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p>
    <w:p w:rsidR="00000000" w:rsidRDefault="00000000">
      <w:pPr>
        <w:spacing w:after="320"/>
        <w:rPr>
          <w:rFonts w:hint="eastAsia"/>
        </w:rPr>
      </w:pPr>
      <w:r>
        <w:rPr>
          <w:rFonts w:hint="eastAsia"/>
        </w:rPr>
        <w:t>2001</w:t>
      </w:r>
      <w:r>
        <w:rPr>
          <w:rFonts w:hint="eastAsia"/>
        </w:rPr>
        <w:t>年实质性会议</w:t>
      </w: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缔约国根据《公约》第</w:t>
      </w:r>
      <w:r>
        <w:rPr>
          <w:rFonts w:hint="eastAsia"/>
        </w:rPr>
        <w:t>16</w:t>
      </w:r>
      <w:r>
        <w:rPr>
          <w:rFonts w:hint="eastAsia"/>
        </w:rPr>
        <w:t>条和第</w:t>
      </w:r>
      <w:r>
        <w:rPr>
          <w:rFonts w:hint="eastAsia"/>
        </w:rPr>
        <w:t>17</w:t>
      </w:r>
      <w:r>
        <w:rPr>
          <w:rFonts w:hint="eastAsia"/>
        </w:rPr>
        <w:t>条提交的初次报告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u w:val="none"/>
        </w:rPr>
      </w:pPr>
      <w:r>
        <w:rPr>
          <w:rFonts w:hint="eastAsia"/>
          <w:u w:val="none"/>
        </w:rPr>
        <w:t xml:space="preserve">   </w:t>
      </w:r>
      <w:r>
        <w:rPr>
          <w:rFonts w:hint="eastAsia"/>
          <w:u w:val="none"/>
        </w:rPr>
        <w:t>捷克共和国</w:t>
      </w:r>
      <w:r>
        <w:rPr>
          <w:rFonts w:hint="eastAsia"/>
          <w:u w:val="none"/>
        </w:rPr>
        <w:t xml:space="preserve"> *</w:t>
      </w:r>
    </w:p>
    <w:p w:rsidR="00000000" w:rsidRDefault="00000000">
      <w:pPr>
        <w:jc w:val="right"/>
        <w:rPr>
          <w:rFonts w:hint="eastAsia"/>
        </w:rPr>
      </w:pPr>
      <w:r>
        <w:rPr>
          <w:rFonts w:hint="eastAsia"/>
        </w:rPr>
        <w:t>［</w:t>
      </w:r>
      <w:r>
        <w:rPr>
          <w:rFonts w:hint="eastAsia"/>
        </w:rPr>
        <w:t>2000</w:t>
      </w:r>
      <w:r>
        <w:rPr>
          <w:rFonts w:hint="eastAsia"/>
        </w:rPr>
        <w:t>年</w:t>
      </w:r>
      <w:r>
        <w:rPr>
          <w:rFonts w:hint="eastAsia"/>
        </w:rPr>
        <w:t>8</w:t>
      </w:r>
      <w:r>
        <w:rPr>
          <w:rFonts w:hint="eastAsia"/>
        </w:rPr>
        <w:t>月</w:t>
      </w:r>
      <w:r>
        <w:rPr>
          <w:rFonts w:hint="eastAsia"/>
        </w:rPr>
        <w:t>30</w:t>
      </w:r>
      <w:r>
        <w:rPr>
          <w:rFonts w:hint="eastAsia"/>
        </w:rPr>
        <w:t>日］</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rPr>
          <w:rFonts w:hint="eastAsia"/>
        </w:rPr>
      </w:pPr>
      <w:r>
        <w:rPr>
          <w:rFonts w:hint="eastAsia"/>
        </w:rPr>
        <w:t>导</w:t>
      </w:r>
      <w:r>
        <w:rPr>
          <w:rFonts w:hint="eastAsia"/>
        </w:rPr>
        <w:t xml:space="preserve">  </w:t>
      </w:r>
      <w:r>
        <w:rPr>
          <w:rFonts w:hint="eastAsia"/>
        </w:rPr>
        <w:t>言</w:t>
      </w:r>
      <w:r>
        <w:t>…………………………</w:t>
      </w:r>
      <w:r>
        <w:rPr>
          <w:rFonts w:hint="eastAsia"/>
        </w:rPr>
        <w:t>..</w:t>
      </w:r>
      <w:r>
        <w:rPr>
          <w:rFonts w:hint="eastAsia"/>
        </w:rPr>
        <w:tab/>
      </w:r>
      <w:r>
        <w:rPr>
          <w:rFonts w:hint="eastAsia"/>
        </w:rPr>
        <w:tab/>
        <w:t>1</w:t>
      </w:r>
      <w:r>
        <w:rPr>
          <w:rFonts w:hint="eastAsia"/>
        </w:rPr>
        <w:tab/>
        <w:t>-</w:t>
      </w:r>
      <w:r>
        <w:rPr>
          <w:rFonts w:hint="eastAsia"/>
        </w:rPr>
        <w:tab/>
        <w:t>6</w:t>
      </w:r>
      <w:r>
        <w:rPr>
          <w:rFonts w:hint="eastAsia"/>
        </w:rPr>
        <w:tab/>
        <w:t>3</w:t>
      </w:r>
    </w:p>
    <w:p w:rsidR="00000000" w:rsidRDefault="00000000">
      <w:pPr>
        <w:pStyle w:val="a3"/>
        <w:spacing w:line="312" w:lineRule="auto"/>
        <w:rPr>
          <w:rFonts w:hint="eastAsia"/>
        </w:rPr>
      </w:pPr>
      <w:r>
        <w:rPr>
          <w:rFonts w:hint="eastAsia"/>
        </w:rPr>
        <w:t>一、一般资料</w:t>
      </w:r>
      <w:r>
        <w:t>…………</w:t>
      </w:r>
      <w:r>
        <w:rPr>
          <w:rFonts w:hint="eastAsia"/>
        </w:rPr>
        <w:t>..</w:t>
      </w:r>
      <w:r>
        <w:rPr>
          <w:rFonts w:hint="eastAsia"/>
        </w:rPr>
        <w:tab/>
      </w:r>
      <w:r>
        <w:rPr>
          <w:rFonts w:hint="eastAsia"/>
        </w:rPr>
        <w:tab/>
        <w:t>7</w:t>
      </w:r>
      <w:r>
        <w:rPr>
          <w:rFonts w:hint="eastAsia"/>
        </w:rPr>
        <w:tab/>
        <w:t>-</w:t>
      </w:r>
      <w:r>
        <w:rPr>
          <w:rFonts w:hint="eastAsia"/>
        </w:rPr>
        <w:tab/>
        <w:t>72</w:t>
      </w:r>
      <w:r>
        <w:rPr>
          <w:rFonts w:hint="eastAsia"/>
        </w:rPr>
        <w:tab/>
        <w:t>4</w:t>
      </w:r>
    </w:p>
    <w:p w:rsidR="00000000" w:rsidRDefault="00000000">
      <w:pPr>
        <w:pStyle w:val="a3"/>
        <w:spacing w:line="312" w:lineRule="auto"/>
        <w:rPr>
          <w:rFonts w:hint="eastAsia"/>
        </w:rPr>
      </w:pPr>
      <w:r>
        <w:rPr>
          <w:rFonts w:hint="eastAsia"/>
        </w:rPr>
        <w:tab/>
        <w:t>A.</w:t>
      </w:r>
      <w:r>
        <w:rPr>
          <w:rFonts w:hint="eastAsia"/>
        </w:rPr>
        <w:tab/>
      </w:r>
      <w:r>
        <w:rPr>
          <w:rFonts w:hint="eastAsia"/>
        </w:rPr>
        <w:t>国家和人民</w:t>
      </w:r>
      <w:r>
        <w:t>………………………</w:t>
      </w:r>
      <w:r>
        <w:rPr>
          <w:rFonts w:hint="eastAsia"/>
        </w:rPr>
        <w:t>.</w:t>
      </w:r>
      <w:r>
        <w:rPr>
          <w:rFonts w:hint="eastAsia"/>
        </w:rPr>
        <w:tab/>
      </w:r>
      <w:r>
        <w:rPr>
          <w:rFonts w:hint="eastAsia"/>
        </w:rPr>
        <w:tab/>
        <w:t>7</w:t>
      </w:r>
      <w:r>
        <w:rPr>
          <w:rFonts w:hint="eastAsia"/>
        </w:rPr>
        <w:tab/>
        <w:t>-</w:t>
      </w:r>
      <w:r>
        <w:rPr>
          <w:rFonts w:hint="eastAsia"/>
        </w:rPr>
        <w:tab/>
        <w:t>18</w:t>
      </w:r>
      <w:r>
        <w:rPr>
          <w:rFonts w:hint="eastAsia"/>
        </w:rPr>
        <w:tab/>
        <w:t>4</w:t>
      </w:r>
    </w:p>
    <w:p w:rsidR="00000000" w:rsidRDefault="00000000">
      <w:pPr>
        <w:pStyle w:val="a3"/>
        <w:spacing w:line="312" w:lineRule="auto"/>
        <w:rPr>
          <w:rFonts w:hint="eastAsia"/>
        </w:rPr>
      </w:pPr>
      <w:r>
        <w:rPr>
          <w:rFonts w:hint="eastAsia"/>
        </w:rPr>
        <w:tab/>
        <w:t>B.</w:t>
      </w:r>
      <w:r>
        <w:rPr>
          <w:rFonts w:hint="eastAsia"/>
        </w:rPr>
        <w:tab/>
      </w:r>
      <w:r>
        <w:rPr>
          <w:rFonts w:hint="eastAsia"/>
        </w:rPr>
        <w:t>经济状况</w:t>
      </w:r>
      <w:r>
        <w:t>…………………………</w:t>
      </w:r>
      <w:r>
        <w:rPr>
          <w:rFonts w:hint="eastAsia"/>
        </w:rPr>
        <w:t>.</w:t>
      </w:r>
      <w:r>
        <w:rPr>
          <w:rFonts w:hint="eastAsia"/>
        </w:rPr>
        <w:tab/>
      </w:r>
      <w:r>
        <w:rPr>
          <w:rFonts w:hint="eastAsia"/>
        </w:rPr>
        <w:tab/>
        <w:t>19</w:t>
      </w:r>
      <w:r>
        <w:rPr>
          <w:rFonts w:hint="eastAsia"/>
        </w:rPr>
        <w:tab/>
        <w:t>-</w:t>
      </w:r>
      <w:r>
        <w:rPr>
          <w:rFonts w:hint="eastAsia"/>
        </w:rPr>
        <w:tab/>
        <w:t>27</w:t>
      </w:r>
      <w:r>
        <w:rPr>
          <w:rFonts w:hint="eastAsia"/>
        </w:rPr>
        <w:tab/>
        <w:t>6</w:t>
      </w:r>
    </w:p>
    <w:p w:rsidR="00000000" w:rsidRDefault="00000000">
      <w:pPr>
        <w:pStyle w:val="a3"/>
        <w:spacing w:line="312" w:lineRule="auto"/>
        <w:rPr>
          <w:rFonts w:hint="eastAsia"/>
        </w:rPr>
      </w:pPr>
      <w:r>
        <w:rPr>
          <w:rFonts w:hint="eastAsia"/>
        </w:rPr>
        <w:tab/>
        <w:t>C.</w:t>
      </w:r>
      <w:r>
        <w:rPr>
          <w:rFonts w:hint="eastAsia"/>
        </w:rPr>
        <w:tab/>
      </w:r>
      <w:r>
        <w:rPr>
          <w:rFonts w:hint="eastAsia"/>
        </w:rPr>
        <w:t>国家管理与地方自治</w:t>
      </w:r>
      <w:r>
        <w:t>………………………</w:t>
      </w:r>
      <w:r>
        <w:rPr>
          <w:rFonts w:hint="eastAsia"/>
        </w:rPr>
        <w:t>..</w:t>
      </w:r>
      <w:r>
        <w:rPr>
          <w:rFonts w:hint="eastAsia"/>
        </w:rPr>
        <w:tab/>
      </w:r>
      <w:r>
        <w:rPr>
          <w:rFonts w:hint="eastAsia"/>
        </w:rPr>
        <w:tab/>
        <w:t>28</w:t>
      </w:r>
      <w:r>
        <w:rPr>
          <w:rFonts w:hint="eastAsia"/>
        </w:rPr>
        <w:tab/>
        <w:t>-</w:t>
      </w:r>
      <w:r>
        <w:rPr>
          <w:rFonts w:hint="eastAsia"/>
        </w:rPr>
        <w:tab/>
        <w:t>37</w:t>
      </w:r>
      <w:r>
        <w:rPr>
          <w:rFonts w:hint="eastAsia"/>
        </w:rPr>
        <w:tab/>
        <w:t>8</w:t>
      </w:r>
    </w:p>
    <w:p w:rsidR="00000000" w:rsidRDefault="00000000">
      <w:pPr>
        <w:pStyle w:val="a3"/>
        <w:spacing w:line="312" w:lineRule="auto"/>
        <w:rPr>
          <w:rFonts w:hint="eastAsia"/>
        </w:rPr>
      </w:pPr>
      <w:r>
        <w:rPr>
          <w:rFonts w:hint="eastAsia"/>
        </w:rPr>
        <w:tab/>
        <w:t>D.</w:t>
      </w:r>
      <w:r>
        <w:rPr>
          <w:rFonts w:hint="eastAsia"/>
        </w:rPr>
        <w:tab/>
      </w:r>
      <w:r>
        <w:rPr>
          <w:rFonts w:hint="eastAsia"/>
        </w:rPr>
        <w:t>政治制度</w:t>
      </w:r>
      <w:r>
        <w:t>…………………………</w:t>
      </w:r>
      <w:r>
        <w:rPr>
          <w:rFonts w:hint="eastAsia"/>
        </w:rPr>
        <w:tab/>
      </w:r>
      <w:r>
        <w:rPr>
          <w:rFonts w:hint="eastAsia"/>
        </w:rPr>
        <w:tab/>
        <w:t>38</w:t>
      </w:r>
      <w:r>
        <w:rPr>
          <w:rFonts w:hint="eastAsia"/>
        </w:rPr>
        <w:tab/>
        <w:t>-</w:t>
      </w:r>
      <w:r>
        <w:rPr>
          <w:rFonts w:hint="eastAsia"/>
        </w:rPr>
        <w:tab/>
        <w:t>40</w:t>
      </w:r>
      <w:r>
        <w:rPr>
          <w:rFonts w:hint="eastAsia"/>
        </w:rPr>
        <w:tab/>
        <w:t>10</w:t>
      </w:r>
    </w:p>
    <w:p w:rsidR="00000000" w:rsidRDefault="00000000">
      <w:pPr>
        <w:pStyle w:val="a3"/>
        <w:spacing w:line="312" w:lineRule="auto"/>
        <w:rPr>
          <w:rFonts w:hint="eastAsia"/>
        </w:rPr>
      </w:pPr>
      <w:r>
        <w:rPr>
          <w:rFonts w:hint="eastAsia"/>
        </w:rPr>
        <w:tab/>
        <w:t>E.</w:t>
      </w:r>
      <w:r>
        <w:rPr>
          <w:rFonts w:hint="eastAsia"/>
        </w:rPr>
        <w:tab/>
      </w:r>
      <w:r>
        <w:rPr>
          <w:rFonts w:hint="eastAsia"/>
        </w:rPr>
        <w:t>司法制度</w:t>
      </w:r>
      <w:r>
        <w:t>………………………………</w:t>
      </w:r>
      <w:r>
        <w:rPr>
          <w:rFonts w:hint="eastAsia"/>
        </w:rPr>
        <w:t>.</w:t>
      </w:r>
      <w:r>
        <w:rPr>
          <w:rFonts w:hint="eastAsia"/>
        </w:rPr>
        <w:tab/>
      </w:r>
      <w:r>
        <w:rPr>
          <w:rFonts w:hint="eastAsia"/>
        </w:rPr>
        <w:tab/>
        <w:t>41</w:t>
      </w:r>
      <w:r>
        <w:rPr>
          <w:rFonts w:hint="eastAsia"/>
        </w:rPr>
        <w:tab/>
        <w:t>-</w:t>
      </w:r>
      <w:r>
        <w:rPr>
          <w:rFonts w:hint="eastAsia"/>
        </w:rPr>
        <w:tab/>
        <w:t>46</w:t>
      </w:r>
      <w:r>
        <w:rPr>
          <w:rFonts w:hint="eastAsia"/>
        </w:rPr>
        <w:tab/>
        <w:t>10</w:t>
      </w:r>
    </w:p>
    <w:p w:rsidR="00000000" w:rsidRDefault="00000000">
      <w:pPr>
        <w:pStyle w:val="a3"/>
        <w:spacing w:line="312" w:lineRule="auto"/>
        <w:rPr>
          <w:rFonts w:hint="eastAsia"/>
        </w:rPr>
      </w:pPr>
      <w:r>
        <w:rPr>
          <w:rFonts w:hint="eastAsia"/>
        </w:rPr>
        <w:tab/>
        <w:t>F.</w:t>
      </w:r>
      <w:r>
        <w:rPr>
          <w:rFonts w:hint="eastAsia"/>
        </w:rPr>
        <w:tab/>
      </w:r>
      <w:r>
        <w:rPr>
          <w:rFonts w:hint="eastAsia"/>
        </w:rPr>
        <w:t>人权保护</w:t>
      </w:r>
      <w:r>
        <w:t>…………………………………</w:t>
      </w:r>
      <w:r>
        <w:rPr>
          <w:rFonts w:hint="eastAsia"/>
        </w:rPr>
        <w:tab/>
      </w:r>
      <w:r>
        <w:rPr>
          <w:rFonts w:hint="eastAsia"/>
        </w:rPr>
        <w:tab/>
        <w:t>47</w:t>
      </w:r>
      <w:r>
        <w:rPr>
          <w:rFonts w:hint="eastAsia"/>
        </w:rPr>
        <w:tab/>
        <w:t>-</w:t>
      </w:r>
      <w:r>
        <w:rPr>
          <w:rFonts w:hint="eastAsia"/>
        </w:rPr>
        <w:tab/>
        <w:t>70</w:t>
      </w:r>
      <w:r>
        <w:rPr>
          <w:rFonts w:hint="eastAsia"/>
        </w:rPr>
        <w:tab/>
        <w:t>12</w:t>
      </w:r>
    </w:p>
    <w:p w:rsidR="00000000" w:rsidRDefault="00000000">
      <w:pPr>
        <w:pStyle w:val="a3"/>
        <w:spacing w:line="312" w:lineRule="auto"/>
        <w:rPr>
          <w:rFonts w:hint="eastAsia"/>
        </w:rPr>
      </w:pPr>
      <w:r>
        <w:rPr>
          <w:rFonts w:hint="eastAsia"/>
        </w:rPr>
        <w:tab/>
        <w:t>G.</w:t>
      </w:r>
      <w:r>
        <w:rPr>
          <w:rFonts w:hint="eastAsia"/>
        </w:rPr>
        <w:tab/>
      </w:r>
      <w:r>
        <w:rPr>
          <w:rFonts w:hint="eastAsia"/>
        </w:rPr>
        <w:t>国际合作</w:t>
      </w:r>
      <w:r>
        <w:t>…………………………………</w:t>
      </w:r>
      <w:r>
        <w:rPr>
          <w:rFonts w:hint="eastAsia"/>
        </w:rPr>
        <w:t>.</w:t>
      </w:r>
      <w:r>
        <w:rPr>
          <w:rFonts w:hint="eastAsia"/>
        </w:rPr>
        <w:tab/>
      </w:r>
      <w:r>
        <w:rPr>
          <w:rFonts w:hint="eastAsia"/>
        </w:rPr>
        <w:tab/>
        <w:t>71</w:t>
      </w:r>
      <w:r>
        <w:rPr>
          <w:rFonts w:hint="eastAsia"/>
        </w:rPr>
        <w:tab/>
        <w:t>-</w:t>
      </w:r>
      <w:r>
        <w:rPr>
          <w:rFonts w:hint="eastAsia"/>
        </w:rPr>
        <w:tab/>
        <w:t>72</w:t>
      </w:r>
      <w:r>
        <w:rPr>
          <w:rFonts w:hint="eastAsia"/>
        </w:rPr>
        <w:tab/>
        <w:t>19</w:t>
      </w:r>
    </w:p>
    <w:p w:rsidR="00000000" w:rsidRDefault="00000000">
      <w:pPr>
        <w:pStyle w:val="a3"/>
        <w:spacing w:line="312" w:lineRule="auto"/>
        <w:rPr>
          <w:rFonts w:hint="eastAsia"/>
        </w:rPr>
      </w:pPr>
      <w:r>
        <w:rPr>
          <w:rFonts w:hint="eastAsia"/>
        </w:rPr>
        <w:t>二、《公约》具体条款的执行</w:t>
      </w:r>
      <w:r>
        <w:t>…………………………</w:t>
      </w:r>
      <w:r>
        <w:rPr>
          <w:rFonts w:hint="eastAsia"/>
        </w:rPr>
        <w:tab/>
      </w:r>
      <w:r>
        <w:rPr>
          <w:rFonts w:hint="eastAsia"/>
        </w:rPr>
        <w:tab/>
        <w:t>73</w:t>
      </w:r>
      <w:r>
        <w:rPr>
          <w:rFonts w:hint="eastAsia"/>
        </w:rPr>
        <w:tab/>
        <w:t>-</w:t>
      </w:r>
      <w:r>
        <w:rPr>
          <w:rFonts w:hint="eastAsia"/>
        </w:rPr>
        <w:tab/>
        <w:t>757</w:t>
      </w:r>
      <w:r>
        <w:rPr>
          <w:rFonts w:hint="eastAsia"/>
        </w:rPr>
        <w:tab/>
        <w:t>21</w:t>
      </w:r>
    </w:p>
    <w:p w:rsidR="00000000" w:rsidRDefault="00000000">
      <w:pPr>
        <w:pStyle w:val="a3"/>
        <w:spacing w:line="312" w:lineRule="auto"/>
        <w:rPr>
          <w:rFonts w:hint="eastAsia"/>
        </w:rPr>
      </w:pPr>
      <w:r>
        <w:rPr>
          <w:rFonts w:hint="eastAsia"/>
        </w:rPr>
        <w:tab/>
      </w:r>
      <w:r>
        <w:rPr>
          <w:rFonts w:hint="eastAsia"/>
        </w:rPr>
        <w:t>第</w:t>
      </w:r>
      <w:r>
        <w:rPr>
          <w:rFonts w:hint="eastAsia"/>
        </w:rPr>
        <w:t>1</w:t>
      </w:r>
      <w:r>
        <w:rPr>
          <w:rFonts w:hint="eastAsia"/>
        </w:rPr>
        <w:t>条</w:t>
      </w:r>
      <w:r>
        <w:t>……………………………………………</w:t>
      </w:r>
      <w:r>
        <w:rPr>
          <w:rFonts w:hint="eastAsia"/>
        </w:rPr>
        <w:t>.</w:t>
      </w:r>
      <w:r>
        <w:rPr>
          <w:rFonts w:hint="eastAsia"/>
        </w:rPr>
        <w:tab/>
      </w:r>
      <w:r>
        <w:rPr>
          <w:rFonts w:hint="eastAsia"/>
        </w:rPr>
        <w:tab/>
        <w:t>73</w:t>
      </w:r>
      <w:r>
        <w:rPr>
          <w:rFonts w:hint="eastAsia"/>
        </w:rPr>
        <w:tab/>
        <w:t>-</w:t>
      </w:r>
      <w:r>
        <w:rPr>
          <w:rFonts w:hint="eastAsia"/>
        </w:rPr>
        <w:tab/>
        <w:t>88</w:t>
      </w:r>
      <w:r>
        <w:rPr>
          <w:rFonts w:hint="eastAsia"/>
        </w:rPr>
        <w:tab/>
        <w:t>21</w:t>
      </w:r>
    </w:p>
    <w:p w:rsidR="00000000" w:rsidRDefault="00000000">
      <w:pPr>
        <w:pStyle w:val="a3"/>
        <w:spacing w:line="312" w:lineRule="auto"/>
        <w:rPr>
          <w:rFonts w:hint="eastAsia"/>
        </w:rPr>
      </w:pPr>
      <w:r>
        <w:rPr>
          <w:rFonts w:hint="eastAsia"/>
        </w:rPr>
        <w:tab/>
      </w:r>
      <w:r>
        <w:rPr>
          <w:rFonts w:hint="eastAsia"/>
        </w:rPr>
        <w:t>第</w:t>
      </w:r>
      <w:r>
        <w:rPr>
          <w:rFonts w:hint="eastAsia"/>
        </w:rPr>
        <w:t>2</w:t>
      </w:r>
      <w:r>
        <w:rPr>
          <w:rFonts w:hint="eastAsia"/>
        </w:rPr>
        <w:t>条</w:t>
      </w:r>
      <w:r>
        <w:t>………………………………………</w:t>
      </w:r>
      <w:r>
        <w:rPr>
          <w:rFonts w:hint="eastAsia"/>
        </w:rPr>
        <w:t>.</w:t>
      </w:r>
      <w:r>
        <w:rPr>
          <w:rFonts w:hint="eastAsia"/>
        </w:rPr>
        <w:tab/>
      </w:r>
      <w:r>
        <w:rPr>
          <w:rFonts w:hint="eastAsia"/>
        </w:rPr>
        <w:tab/>
        <w:t>89</w:t>
      </w:r>
      <w:r>
        <w:rPr>
          <w:rFonts w:hint="eastAsia"/>
        </w:rPr>
        <w:tab/>
        <w:t>-</w:t>
      </w:r>
      <w:r>
        <w:rPr>
          <w:rFonts w:hint="eastAsia"/>
        </w:rPr>
        <w:tab/>
        <w:t>124</w:t>
      </w:r>
      <w:r>
        <w:rPr>
          <w:rFonts w:hint="eastAsia"/>
        </w:rPr>
        <w:tab/>
        <w:t>24</w:t>
      </w:r>
    </w:p>
    <w:p w:rsidR="00000000" w:rsidRDefault="00000000">
      <w:pPr>
        <w:pStyle w:val="a3"/>
        <w:spacing w:line="312" w:lineRule="auto"/>
        <w:rPr>
          <w:rFonts w:hint="eastAsia"/>
        </w:rPr>
      </w:pPr>
      <w:r>
        <w:rPr>
          <w:rFonts w:hint="eastAsia"/>
        </w:rPr>
        <w:tab/>
      </w:r>
      <w:r>
        <w:rPr>
          <w:rFonts w:hint="eastAsia"/>
        </w:rPr>
        <w:t>第</w:t>
      </w:r>
      <w:r>
        <w:rPr>
          <w:rFonts w:hint="eastAsia"/>
        </w:rPr>
        <w:t>3</w:t>
      </w:r>
      <w:r>
        <w:rPr>
          <w:rFonts w:hint="eastAsia"/>
        </w:rPr>
        <w:t>条</w:t>
      </w:r>
      <w:r>
        <w:t>………………………………</w:t>
      </w:r>
      <w:r>
        <w:rPr>
          <w:rFonts w:hint="eastAsia"/>
        </w:rPr>
        <w:tab/>
      </w:r>
      <w:r>
        <w:rPr>
          <w:rFonts w:hint="eastAsia"/>
        </w:rPr>
        <w:tab/>
        <w:t>125</w:t>
      </w:r>
      <w:r>
        <w:rPr>
          <w:rFonts w:hint="eastAsia"/>
        </w:rPr>
        <w:tab/>
        <w:t>-</w:t>
      </w:r>
      <w:r>
        <w:rPr>
          <w:rFonts w:hint="eastAsia"/>
        </w:rPr>
        <w:tab/>
        <w:t>154</w:t>
      </w:r>
      <w:r>
        <w:rPr>
          <w:rFonts w:hint="eastAsia"/>
        </w:rPr>
        <w:tab/>
        <w:t>31</w:t>
      </w:r>
    </w:p>
    <w:p w:rsidR="00000000" w:rsidRDefault="00000000">
      <w:pPr>
        <w:pStyle w:val="a3"/>
        <w:spacing w:line="312" w:lineRule="auto"/>
      </w:pPr>
      <w:r>
        <w:rPr>
          <w:rFonts w:hint="eastAsia"/>
        </w:rPr>
        <w:tab/>
      </w:r>
      <w:r>
        <w:rPr>
          <w:rFonts w:hint="eastAsia"/>
        </w:rPr>
        <w:t>第</w:t>
      </w:r>
      <w:r>
        <w:rPr>
          <w:rFonts w:hint="eastAsia"/>
        </w:rPr>
        <w:t>4</w:t>
      </w:r>
      <w:r>
        <w:rPr>
          <w:rFonts w:hint="eastAsia"/>
        </w:rPr>
        <w:t>条</w:t>
      </w:r>
      <w:r>
        <w:t>………………………………</w:t>
      </w:r>
      <w:r>
        <w:rPr>
          <w:rFonts w:hint="eastAsia"/>
        </w:rPr>
        <w:tab/>
      </w:r>
      <w:r>
        <w:rPr>
          <w:rFonts w:hint="eastAsia"/>
        </w:rPr>
        <w:tab/>
        <w:t>155</w:t>
      </w:r>
      <w:r>
        <w:rPr>
          <w:rFonts w:hint="eastAsia"/>
        </w:rPr>
        <w:tab/>
        <w:t>-</w:t>
      </w:r>
      <w:r>
        <w:rPr>
          <w:rFonts w:hint="eastAsia"/>
        </w:rPr>
        <w:tab/>
        <w:t>166</w:t>
      </w:r>
      <w:r>
        <w:rPr>
          <w:rFonts w:hint="eastAsia"/>
        </w:rPr>
        <w:tab/>
        <w:t>39</w:t>
      </w:r>
    </w:p>
    <w:p w:rsidR="00000000" w:rsidRDefault="00000000">
      <w:pPr>
        <w:pStyle w:val="a3"/>
        <w:spacing w:line="312" w:lineRule="auto"/>
      </w:pPr>
      <w:r>
        <w:rPr>
          <w:rFonts w:hint="eastAsia"/>
        </w:rPr>
        <w:tab/>
      </w:r>
      <w:r>
        <w:rPr>
          <w:rFonts w:hint="eastAsia"/>
        </w:rPr>
        <w:t>第</w:t>
      </w:r>
      <w:r>
        <w:rPr>
          <w:rFonts w:hint="eastAsia"/>
        </w:rPr>
        <w:t>5</w:t>
      </w:r>
      <w:r>
        <w:rPr>
          <w:rFonts w:hint="eastAsia"/>
        </w:rPr>
        <w:t>条</w:t>
      </w:r>
      <w:r>
        <w:t>………………………………</w:t>
      </w:r>
      <w:r>
        <w:rPr>
          <w:rFonts w:hint="eastAsia"/>
        </w:rPr>
        <w:t>..</w:t>
      </w:r>
      <w:r>
        <w:rPr>
          <w:rFonts w:hint="eastAsia"/>
        </w:rPr>
        <w:tab/>
      </w:r>
      <w:r>
        <w:rPr>
          <w:rFonts w:hint="eastAsia"/>
        </w:rPr>
        <w:tab/>
        <w:t>167</w:t>
      </w:r>
      <w:r>
        <w:rPr>
          <w:rFonts w:hint="eastAsia"/>
        </w:rPr>
        <w:tab/>
        <w:t>-</w:t>
      </w:r>
      <w:r>
        <w:rPr>
          <w:rFonts w:hint="eastAsia"/>
        </w:rPr>
        <w:tab/>
        <w:t>186</w:t>
      </w:r>
      <w:r>
        <w:rPr>
          <w:rFonts w:hint="eastAsia"/>
        </w:rPr>
        <w:tab/>
        <w:t>41</w:t>
      </w:r>
    </w:p>
    <w:p w:rsidR="00000000" w:rsidRDefault="00000000">
      <w:pPr>
        <w:pStyle w:val="a3"/>
        <w:spacing w:line="312" w:lineRule="auto"/>
      </w:pPr>
      <w:r>
        <w:rPr>
          <w:rFonts w:hint="eastAsia"/>
        </w:rPr>
        <w:tab/>
      </w:r>
      <w:r>
        <w:rPr>
          <w:rFonts w:hint="eastAsia"/>
        </w:rPr>
        <w:t>第</w:t>
      </w:r>
      <w:r>
        <w:rPr>
          <w:rFonts w:hint="eastAsia"/>
        </w:rPr>
        <w:t>6</w:t>
      </w:r>
      <w:r>
        <w:rPr>
          <w:rFonts w:hint="eastAsia"/>
        </w:rPr>
        <w:t>条</w:t>
      </w:r>
      <w:r>
        <w:t>………………………………</w:t>
      </w:r>
      <w:r>
        <w:rPr>
          <w:rFonts w:hint="eastAsia"/>
        </w:rPr>
        <w:tab/>
      </w:r>
      <w:r>
        <w:rPr>
          <w:rFonts w:hint="eastAsia"/>
        </w:rPr>
        <w:tab/>
        <w:t>187</w:t>
      </w:r>
      <w:r>
        <w:rPr>
          <w:rFonts w:hint="eastAsia"/>
        </w:rPr>
        <w:tab/>
        <w:t>-</w:t>
      </w:r>
      <w:r>
        <w:rPr>
          <w:rFonts w:hint="eastAsia"/>
        </w:rPr>
        <w:tab/>
        <w:t>250</w:t>
      </w:r>
      <w:r>
        <w:rPr>
          <w:rFonts w:hint="eastAsia"/>
        </w:rPr>
        <w:tab/>
      </w:r>
      <w:r>
        <w:t>46</w:t>
      </w:r>
    </w:p>
    <w:p w:rsidR="00000000" w:rsidRDefault="00000000">
      <w:pPr>
        <w:pStyle w:val="a3"/>
        <w:spacing w:line="312" w:lineRule="auto"/>
      </w:pPr>
      <w:r>
        <w:rPr>
          <w:rFonts w:hint="eastAsia"/>
        </w:rPr>
        <w:tab/>
      </w:r>
      <w:r>
        <w:rPr>
          <w:rFonts w:hint="eastAsia"/>
        </w:rPr>
        <w:t>第</w:t>
      </w:r>
      <w:r>
        <w:rPr>
          <w:rFonts w:hint="eastAsia"/>
        </w:rPr>
        <w:t>7</w:t>
      </w:r>
      <w:r>
        <w:rPr>
          <w:rFonts w:hint="eastAsia"/>
        </w:rPr>
        <w:t>条</w:t>
      </w:r>
      <w:r>
        <w:t>………………………………………</w:t>
      </w:r>
      <w:r>
        <w:rPr>
          <w:rFonts w:hint="eastAsia"/>
        </w:rPr>
        <w:t>..</w:t>
      </w:r>
      <w:r>
        <w:rPr>
          <w:rFonts w:hint="eastAsia"/>
        </w:rPr>
        <w:tab/>
      </w:r>
      <w:r>
        <w:rPr>
          <w:rFonts w:hint="eastAsia"/>
        </w:rPr>
        <w:tab/>
        <w:t>251</w:t>
      </w:r>
      <w:r>
        <w:rPr>
          <w:rFonts w:hint="eastAsia"/>
        </w:rPr>
        <w:tab/>
        <w:t>-</w:t>
      </w:r>
      <w:r>
        <w:rPr>
          <w:rFonts w:hint="eastAsia"/>
        </w:rPr>
        <w:tab/>
        <w:t>302</w:t>
      </w:r>
      <w:r>
        <w:rPr>
          <w:rFonts w:hint="eastAsia"/>
        </w:rPr>
        <w:tab/>
      </w:r>
      <w:r>
        <w:t>61</w:t>
      </w:r>
    </w:p>
    <w:p w:rsidR="00000000" w:rsidRDefault="00000000">
      <w:pPr>
        <w:pStyle w:val="a3"/>
        <w:spacing w:line="312" w:lineRule="auto"/>
      </w:pPr>
      <w:r>
        <w:rPr>
          <w:rFonts w:hint="eastAsia"/>
        </w:rPr>
        <w:tab/>
      </w:r>
      <w:r>
        <w:rPr>
          <w:rFonts w:hint="eastAsia"/>
        </w:rPr>
        <w:t>第</w:t>
      </w:r>
      <w:r>
        <w:rPr>
          <w:rFonts w:hint="eastAsia"/>
        </w:rPr>
        <w:t>8</w:t>
      </w:r>
      <w:r>
        <w:rPr>
          <w:rFonts w:hint="eastAsia"/>
        </w:rPr>
        <w:t>条</w:t>
      </w:r>
      <w:r>
        <w:t>…………………………………</w:t>
      </w:r>
      <w:r>
        <w:rPr>
          <w:rFonts w:hint="eastAsia"/>
        </w:rPr>
        <w:tab/>
      </w:r>
      <w:r>
        <w:rPr>
          <w:rFonts w:hint="eastAsia"/>
        </w:rPr>
        <w:tab/>
        <w:t>302</w:t>
      </w:r>
      <w:r>
        <w:rPr>
          <w:rFonts w:hint="eastAsia"/>
        </w:rPr>
        <w:tab/>
        <w:t>-</w:t>
      </w:r>
      <w:r>
        <w:rPr>
          <w:rFonts w:hint="eastAsia"/>
        </w:rPr>
        <w:tab/>
        <w:t>316</w:t>
      </w:r>
      <w:r>
        <w:rPr>
          <w:rFonts w:hint="eastAsia"/>
        </w:rPr>
        <w:tab/>
      </w:r>
      <w:r>
        <w:t>74</w:t>
      </w:r>
    </w:p>
    <w:p w:rsidR="00000000" w:rsidRDefault="00000000">
      <w:pPr>
        <w:pStyle w:val="a3"/>
        <w:spacing w:line="312" w:lineRule="auto"/>
      </w:pPr>
      <w:r>
        <w:rPr>
          <w:rFonts w:hint="eastAsia"/>
        </w:rPr>
        <w:tab/>
      </w:r>
      <w:r>
        <w:rPr>
          <w:rFonts w:hint="eastAsia"/>
        </w:rPr>
        <w:t>第</w:t>
      </w:r>
      <w:r>
        <w:rPr>
          <w:rFonts w:hint="eastAsia"/>
        </w:rPr>
        <w:t>9</w:t>
      </w:r>
      <w:r>
        <w:rPr>
          <w:rFonts w:hint="eastAsia"/>
        </w:rPr>
        <w:t>条</w:t>
      </w:r>
      <w:r>
        <w:t>……………………………………</w:t>
      </w:r>
      <w:r>
        <w:rPr>
          <w:rFonts w:hint="eastAsia"/>
        </w:rPr>
        <w:tab/>
      </w:r>
      <w:r>
        <w:rPr>
          <w:rFonts w:hint="eastAsia"/>
        </w:rPr>
        <w:tab/>
        <w:t>317</w:t>
      </w:r>
      <w:r>
        <w:rPr>
          <w:rFonts w:hint="eastAsia"/>
        </w:rPr>
        <w:tab/>
        <w:t>-</w:t>
      </w:r>
      <w:r>
        <w:rPr>
          <w:rFonts w:hint="eastAsia"/>
        </w:rPr>
        <w:tab/>
        <w:t>361</w:t>
      </w:r>
      <w:r>
        <w:rPr>
          <w:rFonts w:hint="eastAsia"/>
        </w:rPr>
        <w:tab/>
      </w:r>
      <w:r>
        <w:t>77</w:t>
      </w:r>
    </w:p>
    <w:p w:rsidR="00000000" w:rsidRDefault="00000000">
      <w:pPr>
        <w:pStyle w:val="a3"/>
        <w:spacing w:line="312" w:lineRule="auto"/>
      </w:pPr>
      <w:r>
        <w:rPr>
          <w:rFonts w:hint="eastAsia"/>
        </w:rPr>
        <w:tab/>
      </w:r>
      <w:r>
        <w:rPr>
          <w:rFonts w:hint="eastAsia"/>
        </w:rPr>
        <w:t>第</w:t>
      </w:r>
      <w:r>
        <w:rPr>
          <w:rFonts w:hint="eastAsia"/>
        </w:rPr>
        <w:t>10</w:t>
      </w:r>
      <w:r>
        <w:rPr>
          <w:rFonts w:hint="eastAsia"/>
        </w:rPr>
        <w:t>条</w:t>
      </w:r>
      <w:r>
        <w:t>…………………………</w:t>
      </w:r>
      <w:r>
        <w:rPr>
          <w:rFonts w:hint="eastAsia"/>
        </w:rPr>
        <w:t>..</w:t>
      </w:r>
      <w:r>
        <w:rPr>
          <w:rFonts w:hint="eastAsia"/>
        </w:rPr>
        <w:tab/>
      </w:r>
      <w:r>
        <w:rPr>
          <w:rFonts w:hint="eastAsia"/>
        </w:rPr>
        <w:tab/>
        <w:t>362</w:t>
      </w:r>
      <w:r>
        <w:rPr>
          <w:rFonts w:hint="eastAsia"/>
        </w:rPr>
        <w:tab/>
        <w:t>-</w:t>
      </w:r>
      <w:r>
        <w:rPr>
          <w:rFonts w:hint="eastAsia"/>
        </w:rPr>
        <w:tab/>
        <w:t>404</w:t>
      </w:r>
      <w:r>
        <w:rPr>
          <w:rFonts w:hint="eastAsia"/>
        </w:rPr>
        <w:tab/>
      </w:r>
      <w:r>
        <w:t>88</w:t>
      </w:r>
    </w:p>
    <w:p w:rsidR="00000000" w:rsidRDefault="00000000">
      <w:pPr>
        <w:pStyle w:val="a3"/>
        <w:spacing w:line="312" w:lineRule="auto"/>
      </w:pPr>
      <w:r>
        <w:rPr>
          <w:rFonts w:hint="eastAsia"/>
        </w:rPr>
        <w:tab/>
      </w:r>
      <w:r>
        <w:rPr>
          <w:rFonts w:hint="eastAsia"/>
        </w:rPr>
        <w:t>第</w:t>
      </w:r>
      <w:r>
        <w:rPr>
          <w:rFonts w:hint="eastAsia"/>
        </w:rPr>
        <w:t>11</w:t>
      </w:r>
      <w:r>
        <w:rPr>
          <w:rFonts w:hint="eastAsia"/>
        </w:rPr>
        <w:t>条</w:t>
      </w:r>
      <w:r>
        <w:t>…………………………………</w:t>
      </w:r>
      <w:r>
        <w:rPr>
          <w:rFonts w:hint="eastAsia"/>
        </w:rPr>
        <w:t>.</w:t>
      </w:r>
      <w:r>
        <w:rPr>
          <w:rFonts w:hint="eastAsia"/>
        </w:rPr>
        <w:tab/>
      </w:r>
      <w:r>
        <w:rPr>
          <w:rFonts w:hint="eastAsia"/>
        </w:rPr>
        <w:tab/>
        <w:t>405</w:t>
      </w:r>
      <w:r>
        <w:rPr>
          <w:rFonts w:hint="eastAsia"/>
        </w:rPr>
        <w:tab/>
        <w:t>-</w:t>
      </w:r>
      <w:r>
        <w:rPr>
          <w:rFonts w:hint="eastAsia"/>
        </w:rPr>
        <w:tab/>
        <w:t>469</w:t>
      </w:r>
      <w:r>
        <w:rPr>
          <w:rFonts w:hint="eastAsia"/>
        </w:rPr>
        <w:tab/>
      </w:r>
      <w:r>
        <w:t>97</w:t>
      </w:r>
    </w:p>
    <w:p w:rsidR="00000000" w:rsidRDefault="00000000">
      <w:pPr>
        <w:pStyle w:val="a3"/>
        <w:spacing w:line="312" w:lineRule="auto"/>
      </w:pPr>
      <w:r>
        <w:rPr>
          <w:rFonts w:hint="eastAsia"/>
        </w:rPr>
        <w:tab/>
      </w:r>
      <w:r>
        <w:rPr>
          <w:rFonts w:hint="eastAsia"/>
        </w:rPr>
        <w:t>第</w:t>
      </w:r>
      <w:r>
        <w:rPr>
          <w:rFonts w:hint="eastAsia"/>
        </w:rPr>
        <w:t>12</w:t>
      </w:r>
      <w:r>
        <w:rPr>
          <w:rFonts w:hint="eastAsia"/>
        </w:rPr>
        <w:t>条</w:t>
      </w:r>
      <w:r>
        <w:t>……………………………………</w:t>
      </w:r>
      <w:r>
        <w:rPr>
          <w:rFonts w:hint="eastAsia"/>
        </w:rPr>
        <w:tab/>
      </w:r>
      <w:r>
        <w:rPr>
          <w:rFonts w:hint="eastAsia"/>
        </w:rPr>
        <w:tab/>
        <w:t>470</w:t>
      </w:r>
      <w:r>
        <w:rPr>
          <w:rFonts w:hint="eastAsia"/>
        </w:rPr>
        <w:tab/>
        <w:t>-</w:t>
      </w:r>
      <w:r>
        <w:rPr>
          <w:rFonts w:hint="eastAsia"/>
        </w:rPr>
        <w:tab/>
        <w:t>558</w:t>
      </w:r>
      <w:r>
        <w:rPr>
          <w:rFonts w:hint="eastAsia"/>
        </w:rPr>
        <w:tab/>
      </w:r>
      <w:r>
        <w:t>116</w:t>
      </w:r>
    </w:p>
    <w:p w:rsidR="00000000" w:rsidRDefault="00000000">
      <w:pPr>
        <w:pStyle w:val="a3"/>
        <w:spacing w:line="312" w:lineRule="auto"/>
      </w:pPr>
      <w:r>
        <w:rPr>
          <w:rFonts w:hint="eastAsia"/>
        </w:rPr>
        <w:tab/>
      </w:r>
      <w:r>
        <w:rPr>
          <w:rFonts w:hint="eastAsia"/>
        </w:rPr>
        <w:t>第</w:t>
      </w:r>
      <w:r>
        <w:rPr>
          <w:rFonts w:hint="eastAsia"/>
        </w:rPr>
        <w:t>13</w:t>
      </w:r>
      <w:r>
        <w:rPr>
          <w:rFonts w:hint="eastAsia"/>
        </w:rPr>
        <w:t>条</w:t>
      </w:r>
      <w:r>
        <w:t>……………………………………</w:t>
      </w:r>
      <w:r>
        <w:rPr>
          <w:rFonts w:hint="eastAsia"/>
        </w:rPr>
        <w:t>..</w:t>
      </w:r>
      <w:r>
        <w:rPr>
          <w:rFonts w:hint="eastAsia"/>
        </w:rPr>
        <w:tab/>
      </w:r>
      <w:r>
        <w:rPr>
          <w:rFonts w:hint="eastAsia"/>
        </w:rPr>
        <w:tab/>
        <w:t>559</w:t>
      </w:r>
      <w:r>
        <w:rPr>
          <w:rFonts w:hint="eastAsia"/>
        </w:rPr>
        <w:tab/>
        <w:t>-</w:t>
      </w:r>
      <w:r>
        <w:rPr>
          <w:rFonts w:hint="eastAsia"/>
        </w:rPr>
        <w:tab/>
        <w:t>640</w:t>
      </w:r>
      <w:r>
        <w:rPr>
          <w:rFonts w:hint="eastAsia"/>
        </w:rPr>
        <w:tab/>
      </w:r>
      <w:r>
        <w:t>139</w:t>
      </w:r>
    </w:p>
    <w:p w:rsidR="00000000" w:rsidRDefault="00000000">
      <w:pPr>
        <w:pStyle w:val="a3"/>
        <w:spacing w:line="312" w:lineRule="auto"/>
      </w:pPr>
      <w:r>
        <w:rPr>
          <w:rFonts w:hint="eastAsia"/>
        </w:rPr>
        <w:tab/>
      </w:r>
      <w:r>
        <w:rPr>
          <w:rFonts w:hint="eastAsia"/>
        </w:rPr>
        <w:t>第</w:t>
      </w:r>
      <w:r>
        <w:rPr>
          <w:rFonts w:hint="eastAsia"/>
        </w:rPr>
        <w:t>14</w:t>
      </w:r>
      <w:r>
        <w:rPr>
          <w:rFonts w:hint="eastAsia"/>
        </w:rPr>
        <w:t>条</w:t>
      </w:r>
      <w:r>
        <w:t>………………………………………</w:t>
      </w:r>
      <w:r>
        <w:rPr>
          <w:rFonts w:hint="eastAsia"/>
        </w:rPr>
        <w:t>.</w:t>
      </w:r>
      <w:r>
        <w:rPr>
          <w:rFonts w:hint="eastAsia"/>
        </w:rPr>
        <w:tab/>
      </w:r>
      <w:r>
        <w:rPr>
          <w:rFonts w:hint="eastAsia"/>
        </w:rPr>
        <w:tab/>
      </w:r>
      <w:r>
        <w:rPr>
          <w:rFonts w:hint="eastAsia"/>
        </w:rPr>
        <w:tab/>
        <w:t>641</w:t>
      </w:r>
      <w:r>
        <w:rPr>
          <w:rFonts w:hint="eastAsia"/>
        </w:rPr>
        <w:tab/>
      </w:r>
      <w:r>
        <w:t>162</w:t>
      </w:r>
    </w:p>
    <w:p w:rsidR="00000000" w:rsidRDefault="00000000">
      <w:pPr>
        <w:pStyle w:val="a3"/>
        <w:spacing w:line="312" w:lineRule="auto"/>
      </w:pPr>
      <w:r>
        <w:rPr>
          <w:rFonts w:hint="eastAsia"/>
        </w:rPr>
        <w:tab/>
      </w:r>
      <w:r>
        <w:rPr>
          <w:rFonts w:hint="eastAsia"/>
        </w:rPr>
        <w:t>第</w:t>
      </w:r>
      <w:r>
        <w:rPr>
          <w:rFonts w:hint="eastAsia"/>
        </w:rPr>
        <w:t>15</w:t>
      </w:r>
      <w:r>
        <w:rPr>
          <w:rFonts w:hint="eastAsia"/>
        </w:rPr>
        <w:t>条</w:t>
      </w:r>
      <w:r>
        <w:t>……………………………………</w:t>
      </w:r>
      <w:r>
        <w:rPr>
          <w:rFonts w:hint="eastAsia"/>
        </w:rPr>
        <w:t>..</w:t>
      </w:r>
      <w:r>
        <w:rPr>
          <w:rFonts w:hint="eastAsia"/>
        </w:rPr>
        <w:tab/>
      </w:r>
      <w:r>
        <w:rPr>
          <w:rFonts w:hint="eastAsia"/>
        </w:rPr>
        <w:tab/>
        <w:t>642</w:t>
      </w:r>
      <w:r>
        <w:rPr>
          <w:rFonts w:hint="eastAsia"/>
        </w:rPr>
        <w:tab/>
        <w:t>-</w:t>
      </w:r>
      <w:r>
        <w:rPr>
          <w:rFonts w:hint="eastAsia"/>
        </w:rPr>
        <w:tab/>
        <w:t>758</w:t>
      </w:r>
      <w:r>
        <w:rPr>
          <w:rFonts w:hint="eastAsia"/>
        </w:rPr>
        <w:tab/>
      </w:r>
      <w:r>
        <w:t>163</w:t>
      </w:r>
    </w:p>
    <w:p w:rsidR="00000000" w:rsidRDefault="00000000">
      <w:pPr>
        <w:pStyle w:val="a3"/>
        <w:spacing w:before="120" w:line="312" w:lineRule="auto"/>
        <w:rPr>
          <w:rFonts w:hint="eastAsia"/>
          <w:bCs/>
        </w:rPr>
      </w:pPr>
      <w:r>
        <w:rPr>
          <w:rFonts w:hint="eastAsia"/>
        </w:rPr>
        <w:t>附件</w:t>
      </w:r>
      <w:r>
        <w:rPr>
          <w:rFonts w:hint="eastAsia"/>
          <w:spacing w:val="-40"/>
          <w:sz w:val="22"/>
        </w:rPr>
        <w:t>：</w:t>
      </w:r>
      <w:r>
        <w:rPr>
          <w:rFonts w:hint="eastAsia"/>
          <w:sz w:val="22"/>
        </w:rPr>
        <w:t>《</w:t>
      </w:r>
      <w:r>
        <w:rPr>
          <w:rFonts w:hint="eastAsia"/>
        </w:rPr>
        <w:t>基本权利和自由宪章》</w:t>
      </w:r>
      <w:r>
        <w:rPr>
          <w:rFonts w:hint="eastAsia"/>
        </w:rPr>
        <w:t>*</w:t>
      </w:r>
    </w:p>
    <w:p w:rsidR="00000000" w:rsidRDefault="00000000">
      <w:pPr>
        <w:rPr>
          <w:rFonts w:hint="eastAsia"/>
          <w:u w:val="single"/>
        </w:rPr>
      </w:pPr>
      <w:r>
        <w:rPr>
          <w:rFonts w:hint="eastAsia"/>
          <w:u w:val="single"/>
        </w:rPr>
        <w:t xml:space="preserve">                   </w:t>
      </w:r>
    </w:p>
    <w:p w:rsidR="00000000" w:rsidRDefault="00000000">
      <w:pPr>
        <w:pStyle w:val="FootnoteText"/>
        <w:rPr>
          <w:rFonts w:hint="eastAsia"/>
          <w:bCs/>
        </w:rPr>
      </w:pPr>
      <w:r>
        <w:rPr>
          <w:rFonts w:hint="eastAsia"/>
        </w:rPr>
        <w:t>*</w:t>
      </w:r>
      <w:r>
        <w:rPr>
          <w:rFonts w:hint="eastAsia"/>
        </w:rPr>
        <w:tab/>
      </w:r>
      <w:r>
        <w:rPr>
          <w:rFonts w:hint="eastAsia"/>
        </w:rPr>
        <w:t>可查阅秘书处档案。</w:t>
      </w:r>
    </w:p>
    <w:p w:rsidR="00000000" w:rsidRDefault="00000000">
      <w:pPr>
        <w:pStyle w:val="a3"/>
        <w:spacing w:before="120" w:line="312" w:lineRule="auto"/>
        <w:rPr>
          <w:rFonts w:hint="eastAsia"/>
          <w:bCs/>
        </w:rPr>
      </w:pPr>
    </w:p>
    <w:p w:rsidR="00000000" w:rsidRDefault="00000000">
      <w:pPr>
        <w:pStyle w:val="Heading2"/>
        <w:rPr>
          <w:rFonts w:hint="eastAsia"/>
        </w:rPr>
      </w:pP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1.  </w:t>
      </w:r>
      <w:r>
        <w:rPr>
          <w:rFonts w:hint="eastAsia"/>
        </w:rPr>
        <w:t>《经济、社会、文化权利国际公约》</w:t>
      </w:r>
      <w:r>
        <w:rPr>
          <w:rFonts w:hint="eastAsia"/>
        </w:rPr>
        <w:t>(</w:t>
      </w:r>
      <w:r>
        <w:rPr>
          <w:rFonts w:hint="eastAsia"/>
        </w:rPr>
        <w:t>以下简称《公约》</w:t>
      </w:r>
      <w:r>
        <w:rPr>
          <w:rFonts w:hint="eastAsia"/>
        </w:rPr>
        <w:t>)</w:t>
      </w:r>
      <w:r>
        <w:rPr>
          <w:rFonts w:hint="eastAsia"/>
        </w:rPr>
        <w:t>于</w:t>
      </w:r>
      <w:r>
        <w:rPr>
          <w:rFonts w:hint="eastAsia"/>
        </w:rPr>
        <w:t>1966</w:t>
      </w:r>
      <w:r>
        <w:rPr>
          <w:rFonts w:hint="eastAsia"/>
        </w:rPr>
        <w:t>年</w:t>
      </w:r>
      <w:r>
        <w:rPr>
          <w:rFonts w:hint="eastAsia"/>
        </w:rPr>
        <w:t>12</w:t>
      </w:r>
      <w:r>
        <w:rPr>
          <w:rFonts w:hint="eastAsia"/>
        </w:rPr>
        <w:t>月</w:t>
      </w:r>
      <w:r>
        <w:rPr>
          <w:rFonts w:hint="eastAsia"/>
        </w:rPr>
        <w:t>19</w:t>
      </w:r>
      <w:r>
        <w:rPr>
          <w:rFonts w:hint="eastAsia"/>
        </w:rPr>
        <w:t>日在纽约开放签署。《公约》于</w:t>
      </w:r>
      <w:r>
        <w:rPr>
          <w:rFonts w:hint="eastAsia"/>
        </w:rPr>
        <w:t>1968</w:t>
      </w:r>
      <w:r>
        <w:rPr>
          <w:rFonts w:hint="eastAsia"/>
        </w:rPr>
        <w:t>年</w:t>
      </w:r>
      <w:r>
        <w:rPr>
          <w:rFonts w:hint="eastAsia"/>
        </w:rPr>
        <w:t>10</w:t>
      </w:r>
      <w:r>
        <w:rPr>
          <w:rFonts w:hint="eastAsia"/>
        </w:rPr>
        <w:t>月</w:t>
      </w:r>
      <w:r>
        <w:rPr>
          <w:rFonts w:hint="eastAsia"/>
        </w:rPr>
        <w:t>7</w:t>
      </w:r>
      <w:r>
        <w:rPr>
          <w:rFonts w:hint="eastAsia"/>
        </w:rPr>
        <w:t>日以捷克斯洛伐克社会主义共和国的名义在纽约签署。</w:t>
      </w:r>
    </w:p>
    <w:p w:rsidR="00000000" w:rsidRDefault="00000000">
      <w:pPr>
        <w:rPr>
          <w:rFonts w:hint="eastAsia"/>
        </w:rPr>
      </w:pPr>
      <w:r>
        <w:rPr>
          <w:rFonts w:hint="eastAsia"/>
        </w:rPr>
        <w:tab/>
        <w:t xml:space="preserve">2.  </w:t>
      </w:r>
      <w:r>
        <w:rPr>
          <w:rFonts w:hint="eastAsia"/>
        </w:rPr>
        <w:t>捷克斯洛伐克社会主义共和国联邦议会于</w:t>
      </w:r>
      <w:r>
        <w:rPr>
          <w:rFonts w:hint="eastAsia"/>
        </w:rPr>
        <w:t>1975</w:t>
      </w:r>
      <w:r>
        <w:rPr>
          <w:rFonts w:hint="eastAsia"/>
        </w:rPr>
        <w:t>年</w:t>
      </w:r>
      <w:r>
        <w:rPr>
          <w:rFonts w:hint="eastAsia"/>
        </w:rPr>
        <w:t>11</w:t>
      </w:r>
      <w:r>
        <w:rPr>
          <w:rFonts w:hint="eastAsia"/>
        </w:rPr>
        <w:t>月</w:t>
      </w:r>
      <w:r>
        <w:rPr>
          <w:rFonts w:hint="eastAsia"/>
        </w:rPr>
        <w:t>11</w:t>
      </w:r>
      <w:r>
        <w:rPr>
          <w:rFonts w:hint="eastAsia"/>
        </w:rPr>
        <w:t>日批准了《公约》。时任总统在批准《公约》时对第</w:t>
      </w:r>
      <w:r>
        <w:rPr>
          <w:rFonts w:hint="eastAsia"/>
        </w:rPr>
        <w:t>26</w:t>
      </w:r>
      <w:r>
        <w:rPr>
          <w:rFonts w:hint="eastAsia"/>
        </w:rPr>
        <w:t>条第</w:t>
      </w:r>
      <w:r>
        <w:rPr>
          <w:rFonts w:hint="eastAsia"/>
        </w:rPr>
        <w:t>1</w:t>
      </w:r>
      <w:r>
        <w:rPr>
          <w:rFonts w:hint="eastAsia"/>
        </w:rPr>
        <w:t>款作出了一项评论。捷克斯洛伐克社会主义共和国的批准书于</w:t>
      </w:r>
      <w:r>
        <w:rPr>
          <w:rFonts w:hint="eastAsia"/>
        </w:rPr>
        <w:t>1975</w:t>
      </w:r>
      <w:r>
        <w:rPr>
          <w:rFonts w:hint="eastAsia"/>
        </w:rPr>
        <w:t>年</w:t>
      </w:r>
      <w:r>
        <w:rPr>
          <w:rFonts w:hint="eastAsia"/>
        </w:rPr>
        <w:t>12</w:t>
      </w:r>
      <w:r>
        <w:rPr>
          <w:rFonts w:hint="eastAsia"/>
        </w:rPr>
        <w:t>月</w:t>
      </w:r>
      <w:r>
        <w:rPr>
          <w:rFonts w:hint="eastAsia"/>
        </w:rPr>
        <w:t>23</w:t>
      </w:r>
      <w:r>
        <w:rPr>
          <w:rFonts w:hint="eastAsia"/>
        </w:rPr>
        <w:t>日交存联合国秘书长。</w:t>
      </w:r>
    </w:p>
    <w:p w:rsidR="00000000" w:rsidRDefault="00000000">
      <w:pPr>
        <w:rPr>
          <w:rFonts w:hint="eastAsia"/>
        </w:rPr>
      </w:pPr>
      <w:r>
        <w:rPr>
          <w:rFonts w:hint="eastAsia"/>
        </w:rPr>
        <w:tab/>
        <w:t xml:space="preserve">3.  </w:t>
      </w:r>
      <w:r>
        <w:rPr>
          <w:rFonts w:hint="eastAsia"/>
        </w:rPr>
        <w:t>作为捷克斯洛伐克联邦共和国的两个继承国之一，捷克共和国于</w:t>
      </w:r>
      <w:r>
        <w:rPr>
          <w:rFonts w:hint="eastAsia"/>
        </w:rPr>
        <w:t>1993</w:t>
      </w:r>
      <w:r>
        <w:rPr>
          <w:rFonts w:hint="eastAsia"/>
        </w:rPr>
        <w:t>年</w:t>
      </w:r>
      <w:r>
        <w:rPr>
          <w:rFonts w:hint="eastAsia"/>
        </w:rPr>
        <w:t>1</w:t>
      </w:r>
      <w:r>
        <w:rPr>
          <w:rFonts w:hint="eastAsia"/>
        </w:rPr>
        <w:t>月</w:t>
      </w:r>
      <w:r>
        <w:rPr>
          <w:rFonts w:hint="eastAsia"/>
        </w:rPr>
        <w:t>1</w:t>
      </w:r>
      <w:r>
        <w:rPr>
          <w:rFonts w:hint="eastAsia"/>
        </w:rPr>
        <w:t>日成立。捷克共和国于</w:t>
      </w:r>
      <w:r>
        <w:rPr>
          <w:rFonts w:hint="eastAsia"/>
        </w:rPr>
        <w:t>1993</w:t>
      </w:r>
      <w:r>
        <w:rPr>
          <w:rFonts w:hint="eastAsia"/>
        </w:rPr>
        <w:t>年</w:t>
      </w:r>
      <w:r>
        <w:rPr>
          <w:rFonts w:hint="eastAsia"/>
        </w:rPr>
        <w:t>2</w:t>
      </w:r>
      <w:r>
        <w:rPr>
          <w:rFonts w:hint="eastAsia"/>
        </w:rPr>
        <w:t>月</w:t>
      </w:r>
      <w:r>
        <w:rPr>
          <w:rFonts w:hint="eastAsia"/>
        </w:rPr>
        <w:t>22</w:t>
      </w:r>
      <w:r>
        <w:rPr>
          <w:rFonts w:hint="eastAsia"/>
        </w:rPr>
        <w:t>日向《公约》的保存人</w:t>
      </w:r>
      <w:r>
        <w:rPr>
          <w:rFonts w:hint="eastAsia"/>
          <w:spacing w:val="-40"/>
          <w:sz w:val="22"/>
        </w:rPr>
        <w:t>——</w:t>
      </w:r>
      <w:r>
        <w:rPr>
          <w:sz w:val="22"/>
        </w:rPr>
        <w:t xml:space="preserve"> </w:t>
      </w:r>
      <w:r>
        <w:rPr>
          <w:rFonts w:hint="eastAsia"/>
        </w:rPr>
        <w:t>联合国秘书长发出通知，捷克共和国继承截止到</w:t>
      </w:r>
      <w:r>
        <w:rPr>
          <w:rFonts w:hint="eastAsia"/>
        </w:rPr>
        <w:t>1993</w:t>
      </w:r>
      <w:r>
        <w:rPr>
          <w:rFonts w:hint="eastAsia"/>
        </w:rPr>
        <w:t>年</w:t>
      </w:r>
      <w:r>
        <w:rPr>
          <w:rFonts w:hint="eastAsia"/>
        </w:rPr>
        <w:t>1</w:t>
      </w:r>
      <w:r>
        <w:rPr>
          <w:rFonts w:hint="eastAsia"/>
        </w:rPr>
        <w:t>月</w:t>
      </w:r>
      <w:r>
        <w:rPr>
          <w:rFonts w:hint="eastAsia"/>
        </w:rPr>
        <w:t>1</w:t>
      </w:r>
      <w:r>
        <w:rPr>
          <w:rFonts w:hint="eastAsia"/>
        </w:rPr>
        <w:t>日前捷克斯洛伐克联邦共和国根据《公约》所承担的义务。</w:t>
      </w:r>
    </w:p>
    <w:p w:rsidR="00000000" w:rsidRDefault="00000000">
      <w:pPr>
        <w:rPr>
          <w:rFonts w:hint="eastAsia"/>
        </w:rPr>
      </w:pPr>
      <w:r>
        <w:rPr>
          <w:rFonts w:hint="eastAsia"/>
        </w:rPr>
        <w:tab/>
        <w:t>4.  1976</w:t>
      </w:r>
      <w:r>
        <w:rPr>
          <w:rFonts w:hint="eastAsia"/>
        </w:rPr>
        <w:t>年</w:t>
      </w:r>
      <w:r>
        <w:rPr>
          <w:rFonts w:hint="eastAsia"/>
        </w:rPr>
        <w:t>3</w:t>
      </w:r>
      <w:r>
        <w:rPr>
          <w:rFonts w:hint="eastAsia"/>
        </w:rPr>
        <w:t>月</w:t>
      </w:r>
      <w:r>
        <w:rPr>
          <w:rFonts w:hint="eastAsia"/>
        </w:rPr>
        <w:t>23</w:t>
      </w:r>
      <w:r>
        <w:rPr>
          <w:rFonts w:hint="eastAsia"/>
        </w:rPr>
        <w:t>日，《经济、社会、文化权利国际公约》根据其第</w:t>
      </w:r>
      <w:r>
        <w:rPr>
          <w:rFonts w:hint="eastAsia"/>
        </w:rPr>
        <w:t>27</w:t>
      </w:r>
      <w:r>
        <w:rPr>
          <w:rFonts w:hint="eastAsia"/>
        </w:rPr>
        <w:t>条的规定对捷克斯洛伐克社会主义共和国生效。《法律汇编》在编号</w:t>
      </w:r>
      <w:r>
        <w:rPr>
          <w:rFonts w:hint="eastAsia"/>
        </w:rPr>
        <w:t>120/1976 C</w:t>
      </w:r>
      <w:r>
        <w:t>oll</w:t>
      </w:r>
      <w:r>
        <w:rPr>
          <w:rFonts w:hint="eastAsia"/>
        </w:rPr>
        <w:t>号项下公布了《公约》的全文以及《公民权利和政治权利国际公约》的文本。《公约》的文本因此向所有人开放并具有普遍的约束力。根据《捷克共和国宪法》第</w:t>
      </w:r>
      <w:r>
        <w:rPr>
          <w:rFonts w:hint="eastAsia"/>
        </w:rPr>
        <w:t>10</w:t>
      </w:r>
      <w:r>
        <w:rPr>
          <w:rFonts w:hint="eastAsia"/>
        </w:rPr>
        <w:t>条的规定，《公约》的地位优先于法律。</w:t>
      </w:r>
    </w:p>
    <w:p w:rsidR="00000000" w:rsidRDefault="00000000">
      <w:pPr>
        <w:rPr>
          <w:rFonts w:hint="eastAsia"/>
        </w:rPr>
      </w:pPr>
      <w:r>
        <w:rPr>
          <w:rFonts w:hint="eastAsia"/>
        </w:rPr>
        <w:tab/>
        <w:t xml:space="preserve">5.  </w:t>
      </w:r>
      <w:r>
        <w:rPr>
          <w:rFonts w:hint="eastAsia"/>
        </w:rPr>
        <w:t>捷克共和国提交的初次报告涉及</w:t>
      </w:r>
      <w:r>
        <w:rPr>
          <w:rFonts w:hint="eastAsia"/>
        </w:rPr>
        <w:t>1993</w:t>
      </w:r>
      <w:r>
        <w:rPr>
          <w:rFonts w:hint="eastAsia"/>
        </w:rPr>
        <w:t>年</w:t>
      </w:r>
      <w:r>
        <w:rPr>
          <w:rFonts w:hint="eastAsia"/>
        </w:rPr>
        <w:t>1</w:t>
      </w:r>
      <w:r>
        <w:rPr>
          <w:rFonts w:hint="eastAsia"/>
        </w:rPr>
        <w:t>月</w:t>
      </w:r>
      <w:r>
        <w:rPr>
          <w:rFonts w:hint="eastAsia"/>
        </w:rPr>
        <w:t>1</w:t>
      </w:r>
      <w:r>
        <w:rPr>
          <w:rFonts w:hint="eastAsia"/>
        </w:rPr>
        <w:t>日至</w:t>
      </w:r>
      <w:r>
        <w:rPr>
          <w:rFonts w:hint="eastAsia"/>
        </w:rPr>
        <w:t>1999</w:t>
      </w:r>
      <w:r>
        <w:rPr>
          <w:rFonts w:hint="eastAsia"/>
        </w:rPr>
        <w:t>年</w:t>
      </w:r>
      <w:r>
        <w:rPr>
          <w:rFonts w:hint="eastAsia"/>
        </w:rPr>
        <w:t>12</w:t>
      </w:r>
      <w:r>
        <w:rPr>
          <w:rFonts w:hint="eastAsia"/>
        </w:rPr>
        <w:t>月</w:t>
      </w:r>
      <w:r>
        <w:rPr>
          <w:rFonts w:hint="eastAsia"/>
        </w:rPr>
        <w:t>31</w:t>
      </w:r>
      <w:r>
        <w:rPr>
          <w:rFonts w:hint="eastAsia"/>
        </w:rPr>
        <w:t>日的期间</w:t>
      </w:r>
      <w:r>
        <w:rPr>
          <w:rFonts w:hint="eastAsia"/>
        </w:rPr>
        <w:t>(</w:t>
      </w:r>
      <w:r>
        <w:rPr>
          <w:rFonts w:hint="eastAsia"/>
        </w:rPr>
        <w:t>“报告期间”</w:t>
      </w:r>
      <w:r>
        <w:rPr>
          <w:rFonts w:hint="eastAsia"/>
        </w:rPr>
        <w:t>)</w:t>
      </w:r>
      <w:r>
        <w:rPr>
          <w:rFonts w:hint="eastAsia"/>
        </w:rPr>
        <w:t>。根据《公约》第</w:t>
      </w:r>
      <w:r>
        <w:rPr>
          <w:rFonts w:hint="eastAsia"/>
        </w:rPr>
        <w:t>16</w:t>
      </w:r>
      <w:r>
        <w:rPr>
          <w:rFonts w:hint="eastAsia"/>
        </w:rPr>
        <w:t>和第</w:t>
      </w:r>
      <w:r>
        <w:rPr>
          <w:rFonts w:hint="eastAsia"/>
        </w:rPr>
        <w:t>17</w:t>
      </w:r>
      <w:r>
        <w:rPr>
          <w:rFonts w:hint="eastAsia"/>
        </w:rPr>
        <w:t>条提交的捷克共和国的初次报告的编写依据是：</w:t>
      </w:r>
    </w:p>
    <w:p w:rsidR="00000000" w:rsidRDefault="00000000">
      <w:pPr>
        <w:numPr>
          <w:ilvl w:val="0"/>
          <w:numId w:val="50"/>
        </w:numPr>
        <w:rPr>
          <w:rFonts w:hint="eastAsia"/>
        </w:rPr>
      </w:pPr>
      <w:r>
        <w:rPr>
          <w:rFonts w:hint="eastAsia"/>
        </w:rPr>
        <w:t>委员会经过修订的、关于缔约国提交《公约》义务履行情况报告的格式和内容的一般准则；</w:t>
      </w:r>
    </w:p>
    <w:p w:rsidR="00000000" w:rsidRDefault="00000000">
      <w:pPr>
        <w:numPr>
          <w:ilvl w:val="0"/>
          <w:numId w:val="50"/>
        </w:numPr>
        <w:rPr>
          <w:rFonts w:hint="eastAsia"/>
        </w:rPr>
      </w:pPr>
      <w:r>
        <w:rPr>
          <w:rFonts w:hint="eastAsia"/>
        </w:rPr>
        <w:t>报告期间的有关事实和捷克共和国为履行《公约》义务所采取的新的措施。</w:t>
      </w:r>
    </w:p>
    <w:p w:rsidR="00000000" w:rsidRDefault="00000000">
      <w:pPr>
        <w:rPr>
          <w:rFonts w:hint="eastAsia"/>
        </w:rPr>
      </w:pPr>
      <w:r>
        <w:rPr>
          <w:rFonts w:hint="eastAsia"/>
        </w:rPr>
        <w:tab/>
        <w:t xml:space="preserve">6.  </w:t>
      </w:r>
      <w:r>
        <w:rPr>
          <w:rFonts w:hint="eastAsia"/>
        </w:rPr>
        <w:t>报告由捷克共和国政府办公厅人权局根据下列中央国家行政机关的文件编写：交通和通信部、文化部、国防部、地方发展部、劳动和社会事务部、司法部、教育、青年和体育部、内政部、外交部、卫生部、农业部、环境部、捷克统计局、电台和电视广播委员会、捷克共和国政府研究和发展委员会、捷克共和国政府残疾人委员会和捷克共和国政府全国少数民族委员会。其他文件由非政府的非营利性组织和学术机构提供。</w:t>
      </w:r>
    </w:p>
    <w:p w:rsidR="00000000" w:rsidRDefault="00000000">
      <w:pPr>
        <w:pStyle w:val="Heading2"/>
        <w:spacing w:before="320"/>
        <w:rPr>
          <w:rFonts w:hint="eastAsia"/>
        </w:rPr>
      </w:pPr>
      <w:r>
        <w:rPr>
          <w:rFonts w:hint="eastAsia"/>
        </w:rPr>
        <w:t>一、一般资料</w:t>
      </w:r>
    </w:p>
    <w:p w:rsidR="00000000" w:rsidRDefault="00000000">
      <w:pPr>
        <w:pStyle w:val="Heading3"/>
        <w:rPr>
          <w:rFonts w:hint="eastAsia"/>
        </w:rPr>
      </w:pPr>
      <w:r>
        <w:rPr>
          <w:rFonts w:hint="eastAsia"/>
          <w:u w:val="none"/>
        </w:rPr>
        <w:t xml:space="preserve">A.  </w:t>
      </w:r>
      <w:r>
        <w:rPr>
          <w:rFonts w:hint="eastAsia"/>
        </w:rPr>
        <w:t>国家和人民</w:t>
      </w:r>
    </w:p>
    <w:p w:rsidR="00000000" w:rsidRDefault="00000000">
      <w:pPr>
        <w:rPr>
          <w:rFonts w:hint="eastAsia"/>
        </w:rPr>
      </w:pPr>
      <w:r>
        <w:rPr>
          <w:rFonts w:hint="eastAsia"/>
        </w:rPr>
        <w:tab/>
        <w:t xml:space="preserve">7.  </w:t>
      </w:r>
      <w:r>
        <w:rPr>
          <w:rFonts w:hint="eastAsia"/>
        </w:rPr>
        <w:t>捷克共和国的面积为</w:t>
      </w:r>
      <w:r>
        <w:rPr>
          <w:rFonts w:hint="eastAsia"/>
        </w:rPr>
        <w:t>78,866</w:t>
      </w:r>
      <w:r>
        <w:rPr>
          <w:rFonts w:hint="eastAsia"/>
        </w:rPr>
        <w:t>平方公里，截止到</w:t>
      </w:r>
      <w:r>
        <w:rPr>
          <w:rFonts w:hint="eastAsia"/>
        </w:rPr>
        <w:t>1998</w:t>
      </w:r>
      <w:r>
        <w:rPr>
          <w:rFonts w:hint="eastAsia"/>
        </w:rPr>
        <w:t>年</w:t>
      </w:r>
      <w:r>
        <w:rPr>
          <w:rFonts w:hint="eastAsia"/>
        </w:rPr>
        <w:t>12</w:t>
      </w:r>
      <w:r>
        <w:rPr>
          <w:rFonts w:hint="eastAsia"/>
        </w:rPr>
        <w:t>月</w:t>
      </w:r>
      <w:r>
        <w:rPr>
          <w:rFonts w:hint="eastAsia"/>
        </w:rPr>
        <w:t>31</w:t>
      </w:r>
      <w:r>
        <w:rPr>
          <w:rFonts w:hint="eastAsia"/>
        </w:rPr>
        <w:t>日，拥有人口</w:t>
      </w:r>
      <w:r>
        <w:rPr>
          <w:rFonts w:hint="eastAsia"/>
        </w:rPr>
        <w:t>10,299,000</w:t>
      </w:r>
      <w:r>
        <w:rPr>
          <w:rFonts w:hint="eastAsia"/>
        </w:rPr>
        <w:t>。人口密度为每平方公里</w:t>
      </w:r>
      <w:r>
        <w:rPr>
          <w:rFonts w:hint="eastAsia"/>
        </w:rPr>
        <w:t>130</w:t>
      </w:r>
      <w:r>
        <w:rPr>
          <w:rFonts w:hint="eastAsia"/>
        </w:rPr>
        <w:t>人。</w:t>
      </w:r>
    </w:p>
    <w:p w:rsidR="00000000" w:rsidRDefault="00000000">
      <w:pPr>
        <w:spacing w:after="320"/>
        <w:rPr>
          <w:rFonts w:hint="eastAsia"/>
        </w:rPr>
      </w:pPr>
      <w:r>
        <w:rPr>
          <w:rFonts w:hint="eastAsia"/>
        </w:rPr>
        <w:tab/>
        <w:t xml:space="preserve">8.  </w:t>
      </w:r>
      <w:r>
        <w:rPr>
          <w:rFonts w:hint="eastAsia"/>
        </w:rPr>
        <w:t>捷克共和国目前的人口结构呈递减型，即儿童所占的比例低于最大年龄组</w:t>
      </w:r>
      <w:r>
        <w:rPr>
          <w:rFonts w:hint="eastAsia"/>
        </w:rPr>
        <w:t>(50</w:t>
      </w:r>
      <w:r>
        <w:rPr>
          <w:rFonts w:hint="eastAsia"/>
        </w:rPr>
        <w:t>岁以上人口所占比例</w:t>
      </w:r>
      <w:r>
        <w:rPr>
          <w:rFonts w:hint="eastAsia"/>
        </w:rPr>
        <w:t>)</w:t>
      </w:r>
      <w:r>
        <w:rPr>
          <w:rFonts w:hint="eastAsia"/>
        </w:rPr>
        <w:t>；常住居民的总数即使加上移民也呈下降趋势，而且人口的平均年龄正在出现老龄化。在较高年龄段，妇女占到绝大多数。从业年龄人口所承受的经济负担正与日俱增，尤其是考虑到养恤金制度的基础目前是由从业人口提供养恤金的资金。</w:t>
      </w:r>
    </w:p>
    <w:p w:rsidR="00000000" w:rsidRDefault="00000000">
      <w:pPr>
        <w:pStyle w:val="Heading3"/>
        <w:rPr>
          <w:rFonts w:hint="eastAsia"/>
        </w:rPr>
      </w:pPr>
      <w:r>
        <w:rPr>
          <w:rFonts w:hint="eastAsia"/>
        </w:rPr>
        <w:t>按主要年龄组划分的人口</w:t>
      </w:r>
      <w:r>
        <w:rPr>
          <w:rFonts w:hint="eastAsia"/>
        </w:rPr>
        <w:t>(</w:t>
      </w:r>
      <w:r>
        <w:rPr>
          <w:rFonts w:hint="eastAsia"/>
        </w:rPr>
        <w:t>截止到每年</w:t>
      </w:r>
      <w:r>
        <w:rPr>
          <w:rFonts w:hint="eastAsia"/>
        </w:rPr>
        <w:t>12</w:t>
      </w:r>
      <w:r>
        <w:rPr>
          <w:rFonts w:hint="eastAsia"/>
        </w:rPr>
        <w:t>月</w:t>
      </w:r>
      <w:r>
        <w:rPr>
          <w:rFonts w:hint="eastAsia"/>
        </w:rPr>
        <w:t>31</w:t>
      </w:r>
      <w:r>
        <w:rPr>
          <w:rFonts w:hint="eastAsia"/>
        </w:rPr>
        <w:t>日</w:t>
      </w:r>
      <w:r>
        <w:rPr>
          <w:rFonts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217"/>
        <w:gridCol w:w="1217"/>
        <w:gridCol w:w="1217"/>
        <w:gridCol w:w="1217"/>
        <w:gridCol w:w="1217"/>
        <w:gridCol w:w="1217"/>
      </w:tblGrid>
      <w:tr w:rsidR="00000000">
        <w:tblPrEx>
          <w:tblCellMar>
            <w:top w:w="0" w:type="dxa"/>
            <w:bottom w:w="0" w:type="dxa"/>
          </w:tblCellMar>
        </w:tblPrEx>
        <w:tc>
          <w:tcPr>
            <w:tcW w:w="2268" w:type="dxa"/>
          </w:tcPr>
          <w:p w:rsidR="00000000" w:rsidRDefault="00000000">
            <w:pPr>
              <w:spacing w:line="288" w:lineRule="auto"/>
              <w:jc w:val="center"/>
              <w:rPr>
                <w:rFonts w:hint="eastAsia"/>
                <w:sz w:val="20"/>
              </w:rPr>
            </w:pPr>
            <w:r>
              <w:rPr>
                <w:rFonts w:hint="eastAsia"/>
                <w:sz w:val="20"/>
              </w:rPr>
              <w:t>指</w:t>
            </w:r>
            <w:r>
              <w:rPr>
                <w:sz w:val="20"/>
              </w:rPr>
              <w:tab/>
            </w:r>
            <w:r>
              <w:rPr>
                <w:rFonts w:hint="eastAsia"/>
                <w:sz w:val="20"/>
              </w:rPr>
              <w:t>标</w:t>
            </w:r>
          </w:p>
        </w:tc>
        <w:tc>
          <w:tcPr>
            <w:tcW w:w="1217" w:type="dxa"/>
          </w:tcPr>
          <w:p w:rsidR="00000000" w:rsidRDefault="00000000">
            <w:pPr>
              <w:spacing w:line="288" w:lineRule="auto"/>
              <w:jc w:val="center"/>
              <w:rPr>
                <w:rFonts w:hint="eastAsia"/>
                <w:sz w:val="20"/>
              </w:rPr>
            </w:pPr>
            <w:r>
              <w:rPr>
                <w:rFonts w:hint="eastAsia"/>
                <w:sz w:val="20"/>
              </w:rPr>
              <w:t>1993</w:t>
            </w:r>
            <w:r>
              <w:rPr>
                <w:rFonts w:hint="eastAsia"/>
                <w:sz w:val="20"/>
              </w:rPr>
              <w:t>年</w:t>
            </w:r>
          </w:p>
        </w:tc>
        <w:tc>
          <w:tcPr>
            <w:tcW w:w="1217" w:type="dxa"/>
          </w:tcPr>
          <w:p w:rsidR="00000000" w:rsidRDefault="00000000">
            <w:pPr>
              <w:spacing w:line="288" w:lineRule="auto"/>
              <w:jc w:val="center"/>
              <w:rPr>
                <w:rFonts w:hint="eastAsia"/>
                <w:sz w:val="20"/>
              </w:rPr>
            </w:pPr>
            <w:r>
              <w:rPr>
                <w:rFonts w:hint="eastAsia"/>
                <w:sz w:val="20"/>
              </w:rPr>
              <w:t>1994</w:t>
            </w:r>
            <w:r>
              <w:rPr>
                <w:rFonts w:hint="eastAsia"/>
                <w:sz w:val="20"/>
              </w:rPr>
              <w:t>年</w:t>
            </w:r>
          </w:p>
        </w:tc>
        <w:tc>
          <w:tcPr>
            <w:tcW w:w="1217" w:type="dxa"/>
          </w:tcPr>
          <w:p w:rsidR="00000000" w:rsidRDefault="00000000">
            <w:pPr>
              <w:spacing w:line="288" w:lineRule="auto"/>
              <w:jc w:val="center"/>
              <w:rPr>
                <w:rFonts w:hint="eastAsia"/>
                <w:sz w:val="20"/>
              </w:rPr>
            </w:pPr>
            <w:r>
              <w:rPr>
                <w:rFonts w:hint="eastAsia"/>
                <w:sz w:val="20"/>
              </w:rPr>
              <w:t>1995</w:t>
            </w:r>
            <w:r>
              <w:rPr>
                <w:rFonts w:hint="eastAsia"/>
                <w:sz w:val="20"/>
              </w:rPr>
              <w:t>年</w:t>
            </w:r>
          </w:p>
        </w:tc>
        <w:tc>
          <w:tcPr>
            <w:tcW w:w="1217" w:type="dxa"/>
          </w:tcPr>
          <w:p w:rsidR="00000000" w:rsidRDefault="00000000">
            <w:pPr>
              <w:spacing w:line="288" w:lineRule="auto"/>
              <w:jc w:val="center"/>
              <w:rPr>
                <w:rFonts w:hint="eastAsia"/>
                <w:sz w:val="20"/>
              </w:rPr>
            </w:pPr>
            <w:r>
              <w:rPr>
                <w:rFonts w:hint="eastAsia"/>
                <w:sz w:val="20"/>
              </w:rPr>
              <w:t>1996</w:t>
            </w:r>
            <w:r>
              <w:rPr>
                <w:rFonts w:hint="eastAsia"/>
                <w:sz w:val="20"/>
              </w:rPr>
              <w:t>年</w:t>
            </w:r>
          </w:p>
        </w:tc>
        <w:tc>
          <w:tcPr>
            <w:tcW w:w="1217" w:type="dxa"/>
          </w:tcPr>
          <w:p w:rsidR="00000000" w:rsidRDefault="00000000">
            <w:pPr>
              <w:spacing w:line="288" w:lineRule="auto"/>
              <w:jc w:val="center"/>
              <w:rPr>
                <w:rFonts w:hint="eastAsia"/>
                <w:sz w:val="20"/>
              </w:rPr>
            </w:pPr>
            <w:r>
              <w:rPr>
                <w:rFonts w:hint="eastAsia"/>
                <w:sz w:val="20"/>
              </w:rPr>
              <w:t>1997</w:t>
            </w:r>
            <w:r>
              <w:rPr>
                <w:rFonts w:hint="eastAsia"/>
                <w:sz w:val="20"/>
              </w:rPr>
              <w:t>年</w:t>
            </w:r>
          </w:p>
        </w:tc>
        <w:tc>
          <w:tcPr>
            <w:tcW w:w="1217" w:type="dxa"/>
          </w:tcPr>
          <w:p w:rsidR="00000000" w:rsidRDefault="00000000">
            <w:pPr>
              <w:spacing w:line="288" w:lineRule="auto"/>
              <w:jc w:val="center"/>
              <w:rPr>
                <w:rFonts w:hint="eastAsia"/>
                <w:sz w:val="20"/>
              </w:rPr>
            </w:pPr>
            <w:r>
              <w:rPr>
                <w:rFonts w:hint="eastAsia"/>
                <w:sz w:val="20"/>
              </w:rPr>
              <w:t>1998</w:t>
            </w:r>
            <w:r>
              <w:rPr>
                <w:rFonts w:hint="eastAsia"/>
                <w:sz w:val="20"/>
              </w:rPr>
              <w:t>年</w:t>
            </w:r>
          </w:p>
        </w:tc>
      </w:tr>
      <w:tr w:rsidR="00000000">
        <w:tblPrEx>
          <w:tblCellMar>
            <w:top w:w="0" w:type="dxa"/>
            <w:bottom w:w="0" w:type="dxa"/>
          </w:tblCellMar>
        </w:tblPrEx>
        <w:tc>
          <w:tcPr>
            <w:tcW w:w="2268" w:type="dxa"/>
          </w:tcPr>
          <w:p w:rsidR="00000000" w:rsidRDefault="00000000">
            <w:pPr>
              <w:spacing w:line="288" w:lineRule="auto"/>
              <w:rPr>
                <w:rFonts w:hint="eastAsia"/>
                <w:sz w:val="20"/>
              </w:rPr>
            </w:pPr>
            <w:r>
              <w:rPr>
                <w:rFonts w:hint="eastAsia"/>
                <w:sz w:val="20"/>
              </w:rPr>
              <w:t>年龄：</w:t>
            </w:r>
            <w:r>
              <w:rPr>
                <w:rFonts w:hint="eastAsia"/>
                <w:sz w:val="20"/>
              </w:rPr>
              <w:t>0-14</w:t>
            </w:r>
            <w:r>
              <w:rPr>
                <w:rFonts w:hint="eastAsia"/>
                <w:sz w:val="20"/>
              </w:rPr>
              <w:t>岁</w:t>
            </w:r>
            <w:r>
              <w:rPr>
                <w:rFonts w:hint="eastAsia"/>
                <w:sz w:val="20"/>
              </w:rPr>
              <w:t>(%)</w:t>
            </w:r>
          </w:p>
        </w:tc>
        <w:tc>
          <w:tcPr>
            <w:tcW w:w="1217" w:type="dxa"/>
          </w:tcPr>
          <w:p w:rsidR="00000000" w:rsidRDefault="00000000">
            <w:pPr>
              <w:spacing w:line="288" w:lineRule="auto"/>
              <w:jc w:val="center"/>
              <w:rPr>
                <w:rFonts w:hint="eastAsia"/>
                <w:sz w:val="20"/>
              </w:rPr>
            </w:pPr>
            <w:r>
              <w:rPr>
                <w:rFonts w:hint="eastAsia"/>
                <w:sz w:val="20"/>
              </w:rPr>
              <w:t>19.5</w:t>
            </w:r>
          </w:p>
        </w:tc>
        <w:tc>
          <w:tcPr>
            <w:tcW w:w="1217" w:type="dxa"/>
          </w:tcPr>
          <w:p w:rsidR="00000000" w:rsidRDefault="00000000">
            <w:pPr>
              <w:spacing w:line="288" w:lineRule="auto"/>
              <w:jc w:val="center"/>
              <w:rPr>
                <w:rFonts w:hint="eastAsia"/>
                <w:sz w:val="20"/>
              </w:rPr>
            </w:pPr>
            <w:r>
              <w:rPr>
                <w:rFonts w:hint="eastAsia"/>
                <w:sz w:val="20"/>
              </w:rPr>
              <w:t>18.8</w:t>
            </w:r>
          </w:p>
        </w:tc>
        <w:tc>
          <w:tcPr>
            <w:tcW w:w="1217" w:type="dxa"/>
          </w:tcPr>
          <w:p w:rsidR="00000000" w:rsidRDefault="00000000">
            <w:pPr>
              <w:spacing w:line="288" w:lineRule="auto"/>
              <w:jc w:val="center"/>
              <w:rPr>
                <w:rFonts w:hint="eastAsia"/>
                <w:sz w:val="20"/>
              </w:rPr>
            </w:pPr>
            <w:r>
              <w:rPr>
                <w:rFonts w:hint="eastAsia"/>
                <w:sz w:val="20"/>
              </w:rPr>
              <w:t>18.3</w:t>
            </w:r>
          </w:p>
        </w:tc>
        <w:tc>
          <w:tcPr>
            <w:tcW w:w="1217" w:type="dxa"/>
          </w:tcPr>
          <w:p w:rsidR="00000000" w:rsidRDefault="00000000">
            <w:pPr>
              <w:spacing w:line="288" w:lineRule="auto"/>
              <w:ind w:right="227"/>
              <w:jc w:val="right"/>
              <w:rPr>
                <w:rFonts w:hint="eastAsia"/>
                <w:sz w:val="20"/>
              </w:rPr>
            </w:pPr>
            <w:r>
              <w:rPr>
                <w:rFonts w:hint="eastAsia"/>
                <w:sz w:val="20"/>
              </w:rPr>
              <w:t>17.9</w:t>
            </w:r>
          </w:p>
        </w:tc>
        <w:tc>
          <w:tcPr>
            <w:tcW w:w="1217" w:type="dxa"/>
          </w:tcPr>
          <w:p w:rsidR="00000000" w:rsidRDefault="00000000">
            <w:pPr>
              <w:spacing w:line="288" w:lineRule="auto"/>
              <w:ind w:right="227"/>
              <w:jc w:val="right"/>
              <w:rPr>
                <w:rFonts w:hint="eastAsia"/>
                <w:sz w:val="20"/>
              </w:rPr>
            </w:pPr>
            <w:r>
              <w:rPr>
                <w:rFonts w:hint="eastAsia"/>
                <w:sz w:val="20"/>
              </w:rPr>
              <w:t>17.4</w:t>
            </w:r>
          </w:p>
        </w:tc>
        <w:tc>
          <w:tcPr>
            <w:tcW w:w="1217" w:type="dxa"/>
          </w:tcPr>
          <w:p w:rsidR="00000000" w:rsidRDefault="00000000">
            <w:pPr>
              <w:spacing w:line="288" w:lineRule="auto"/>
              <w:ind w:right="227"/>
              <w:jc w:val="right"/>
              <w:rPr>
                <w:rFonts w:hint="eastAsia"/>
                <w:sz w:val="20"/>
              </w:rPr>
            </w:pPr>
            <w:r>
              <w:rPr>
                <w:rFonts w:hint="eastAsia"/>
                <w:sz w:val="20"/>
              </w:rPr>
              <w:t>17.0</w:t>
            </w:r>
          </w:p>
        </w:tc>
      </w:tr>
      <w:tr w:rsidR="00000000">
        <w:tblPrEx>
          <w:tblCellMar>
            <w:top w:w="0" w:type="dxa"/>
            <w:bottom w:w="0" w:type="dxa"/>
          </w:tblCellMar>
        </w:tblPrEx>
        <w:tc>
          <w:tcPr>
            <w:tcW w:w="2268" w:type="dxa"/>
          </w:tcPr>
          <w:p w:rsidR="00000000" w:rsidRDefault="00000000">
            <w:pPr>
              <w:spacing w:line="288" w:lineRule="auto"/>
              <w:rPr>
                <w:rFonts w:hint="eastAsia"/>
                <w:sz w:val="20"/>
              </w:rPr>
            </w:pPr>
            <w:r>
              <w:rPr>
                <w:rFonts w:hint="eastAsia"/>
                <w:sz w:val="20"/>
              </w:rPr>
              <w:t>15-59</w:t>
            </w:r>
            <w:r>
              <w:rPr>
                <w:rFonts w:hint="eastAsia"/>
                <w:sz w:val="20"/>
              </w:rPr>
              <w:t>岁</w:t>
            </w:r>
            <w:r>
              <w:rPr>
                <w:rFonts w:hint="eastAsia"/>
                <w:sz w:val="20"/>
              </w:rPr>
              <w:t>(%)</w:t>
            </w:r>
          </w:p>
        </w:tc>
        <w:tc>
          <w:tcPr>
            <w:tcW w:w="1217" w:type="dxa"/>
          </w:tcPr>
          <w:p w:rsidR="00000000" w:rsidRDefault="00000000">
            <w:pPr>
              <w:spacing w:line="288" w:lineRule="auto"/>
              <w:jc w:val="center"/>
              <w:rPr>
                <w:rFonts w:hint="eastAsia"/>
                <w:sz w:val="20"/>
              </w:rPr>
            </w:pPr>
            <w:r>
              <w:rPr>
                <w:rFonts w:hint="eastAsia"/>
                <w:sz w:val="20"/>
              </w:rPr>
              <w:t>62.5</w:t>
            </w:r>
          </w:p>
        </w:tc>
        <w:tc>
          <w:tcPr>
            <w:tcW w:w="1217" w:type="dxa"/>
          </w:tcPr>
          <w:p w:rsidR="00000000" w:rsidRDefault="00000000">
            <w:pPr>
              <w:spacing w:line="288" w:lineRule="auto"/>
              <w:jc w:val="center"/>
              <w:rPr>
                <w:rFonts w:hint="eastAsia"/>
                <w:sz w:val="20"/>
              </w:rPr>
            </w:pPr>
            <w:r>
              <w:rPr>
                <w:rFonts w:hint="eastAsia"/>
                <w:sz w:val="20"/>
              </w:rPr>
              <w:t>63.2</w:t>
            </w:r>
          </w:p>
        </w:tc>
        <w:tc>
          <w:tcPr>
            <w:tcW w:w="1217" w:type="dxa"/>
          </w:tcPr>
          <w:p w:rsidR="00000000" w:rsidRDefault="00000000">
            <w:pPr>
              <w:spacing w:line="288" w:lineRule="auto"/>
              <w:jc w:val="center"/>
              <w:rPr>
                <w:rFonts w:hint="eastAsia"/>
                <w:sz w:val="20"/>
              </w:rPr>
            </w:pPr>
            <w:r>
              <w:rPr>
                <w:rFonts w:hint="eastAsia"/>
                <w:sz w:val="20"/>
              </w:rPr>
              <w:t>63.7</w:t>
            </w:r>
          </w:p>
        </w:tc>
        <w:tc>
          <w:tcPr>
            <w:tcW w:w="1217" w:type="dxa"/>
          </w:tcPr>
          <w:p w:rsidR="00000000" w:rsidRDefault="00000000">
            <w:pPr>
              <w:spacing w:line="288" w:lineRule="auto"/>
              <w:ind w:right="227"/>
              <w:jc w:val="right"/>
              <w:rPr>
                <w:rFonts w:hint="eastAsia"/>
                <w:sz w:val="20"/>
              </w:rPr>
            </w:pPr>
            <w:r>
              <w:rPr>
                <w:rFonts w:hint="eastAsia"/>
                <w:sz w:val="20"/>
              </w:rPr>
              <w:t>64.1</w:t>
            </w:r>
          </w:p>
        </w:tc>
        <w:tc>
          <w:tcPr>
            <w:tcW w:w="1217" w:type="dxa"/>
          </w:tcPr>
          <w:p w:rsidR="00000000" w:rsidRDefault="00000000">
            <w:pPr>
              <w:spacing w:line="288" w:lineRule="auto"/>
              <w:ind w:right="227"/>
              <w:jc w:val="right"/>
              <w:rPr>
                <w:rFonts w:hint="eastAsia"/>
                <w:sz w:val="20"/>
              </w:rPr>
            </w:pPr>
            <w:r>
              <w:rPr>
                <w:rFonts w:hint="eastAsia"/>
                <w:sz w:val="20"/>
              </w:rPr>
              <w:t>64.6</w:t>
            </w:r>
          </w:p>
        </w:tc>
        <w:tc>
          <w:tcPr>
            <w:tcW w:w="1217" w:type="dxa"/>
          </w:tcPr>
          <w:p w:rsidR="00000000" w:rsidRDefault="00000000">
            <w:pPr>
              <w:spacing w:line="288" w:lineRule="auto"/>
              <w:ind w:right="227"/>
              <w:jc w:val="right"/>
              <w:rPr>
                <w:rFonts w:hint="eastAsia"/>
                <w:sz w:val="20"/>
              </w:rPr>
            </w:pPr>
            <w:r>
              <w:rPr>
                <w:rFonts w:hint="eastAsia"/>
                <w:sz w:val="20"/>
              </w:rPr>
              <w:t>64.9</w:t>
            </w:r>
          </w:p>
        </w:tc>
      </w:tr>
      <w:tr w:rsidR="00000000">
        <w:tblPrEx>
          <w:tblCellMar>
            <w:top w:w="0" w:type="dxa"/>
            <w:bottom w:w="0" w:type="dxa"/>
          </w:tblCellMar>
        </w:tblPrEx>
        <w:tc>
          <w:tcPr>
            <w:tcW w:w="2268" w:type="dxa"/>
          </w:tcPr>
          <w:p w:rsidR="00000000" w:rsidRDefault="00000000">
            <w:pPr>
              <w:spacing w:line="288" w:lineRule="auto"/>
              <w:rPr>
                <w:rFonts w:hint="eastAsia"/>
                <w:sz w:val="20"/>
              </w:rPr>
            </w:pPr>
            <w:r>
              <w:rPr>
                <w:rFonts w:hint="eastAsia"/>
                <w:sz w:val="20"/>
              </w:rPr>
              <w:t>60</w:t>
            </w:r>
            <w:r>
              <w:rPr>
                <w:rFonts w:hint="eastAsia"/>
                <w:sz w:val="20"/>
              </w:rPr>
              <w:t>岁以上</w:t>
            </w:r>
            <w:r>
              <w:rPr>
                <w:rFonts w:hint="eastAsia"/>
                <w:sz w:val="20"/>
              </w:rPr>
              <w:t>(%)</w:t>
            </w:r>
          </w:p>
        </w:tc>
        <w:tc>
          <w:tcPr>
            <w:tcW w:w="1217" w:type="dxa"/>
          </w:tcPr>
          <w:p w:rsidR="00000000" w:rsidRDefault="00000000">
            <w:pPr>
              <w:spacing w:line="288" w:lineRule="auto"/>
              <w:jc w:val="center"/>
              <w:rPr>
                <w:rFonts w:hint="eastAsia"/>
                <w:sz w:val="20"/>
              </w:rPr>
            </w:pPr>
            <w:r>
              <w:rPr>
                <w:rFonts w:hint="eastAsia"/>
                <w:sz w:val="20"/>
              </w:rPr>
              <w:t>18.0</w:t>
            </w:r>
          </w:p>
        </w:tc>
        <w:tc>
          <w:tcPr>
            <w:tcW w:w="1217" w:type="dxa"/>
          </w:tcPr>
          <w:p w:rsidR="00000000" w:rsidRDefault="00000000">
            <w:pPr>
              <w:spacing w:line="288" w:lineRule="auto"/>
              <w:jc w:val="center"/>
              <w:rPr>
                <w:rFonts w:hint="eastAsia"/>
                <w:sz w:val="20"/>
              </w:rPr>
            </w:pPr>
            <w:r>
              <w:rPr>
                <w:rFonts w:hint="eastAsia"/>
                <w:sz w:val="20"/>
              </w:rPr>
              <w:t>18.0</w:t>
            </w:r>
          </w:p>
        </w:tc>
        <w:tc>
          <w:tcPr>
            <w:tcW w:w="1217" w:type="dxa"/>
          </w:tcPr>
          <w:p w:rsidR="00000000" w:rsidRDefault="00000000">
            <w:pPr>
              <w:spacing w:line="288" w:lineRule="auto"/>
              <w:jc w:val="center"/>
              <w:rPr>
                <w:rFonts w:hint="eastAsia"/>
                <w:sz w:val="20"/>
              </w:rPr>
            </w:pPr>
            <w:r>
              <w:rPr>
                <w:rFonts w:hint="eastAsia"/>
                <w:sz w:val="20"/>
              </w:rPr>
              <w:t>18.0</w:t>
            </w:r>
          </w:p>
        </w:tc>
        <w:tc>
          <w:tcPr>
            <w:tcW w:w="1217" w:type="dxa"/>
          </w:tcPr>
          <w:p w:rsidR="00000000" w:rsidRDefault="00000000">
            <w:pPr>
              <w:spacing w:line="288" w:lineRule="auto"/>
              <w:ind w:right="227"/>
              <w:jc w:val="right"/>
              <w:rPr>
                <w:rFonts w:hint="eastAsia"/>
                <w:sz w:val="20"/>
              </w:rPr>
            </w:pPr>
            <w:r>
              <w:rPr>
                <w:rFonts w:hint="eastAsia"/>
                <w:sz w:val="20"/>
              </w:rPr>
              <w:t>18.0</w:t>
            </w:r>
          </w:p>
        </w:tc>
        <w:tc>
          <w:tcPr>
            <w:tcW w:w="1217" w:type="dxa"/>
          </w:tcPr>
          <w:p w:rsidR="00000000" w:rsidRDefault="00000000">
            <w:pPr>
              <w:spacing w:line="288" w:lineRule="auto"/>
              <w:ind w:right="227"/>
              <w:jc w:val="right"/>
              <w:rPr>
                <w:rFonts w:hint="eastAsia"/>
                <w:sz w:val="20"/>
              </w:rPr>
            </w:pPr>
            <w:r>
              <w:rPr>
                <w:rFonts w:hint="eastAsia"/>
                <w:sz w:val="20"/>
              </w:rPr>
              <w:t>18.0</w:t>
            </w:r>
          </w:p>
        </w:tc>
        <w:tc>
          <w:tcPr>
            <w:tcW w:w="1217" w:type="dxa"/>
          </w:tcPr>
          <w:p w:rsidR="00000000" w:rsidRDefault="00000000">
            <w:pPr>
              <w:spacing w:line="288" w:lineRule="auto"/>
              <w:ind w:right="227"/>
              <w:jc w:val="right"/>
              <w:rPr>
                <w:rFonts w:hint="eastAsia"/>
                <w:sz w:val="20"/>
              </w:rPr>
            </w:pPr>
            <w:r>
              <w:rPr>
                <w:rFonts w:hint="eastAsia"/>
                <w:sz w:val="20"/>
              </w:rPr>
              <w:t>18.1</w:t>
            </w:r>
          </w:p>
        </w:tc>
      </w:tr>
      <w:tr w:rsidR="00000000">
        <w:tblPrEx>
          <w:tblCellMar>
            <w:top w:w="0" w:type="dxa"/>
            <w:bottom w:w="0" w:type="dxa"/>
          </w:tblCellMar>
        </w:tblPrEx>
        <w:tc>
          <w:tcPr>
            <w:tcW w:w="2268" w:type="dxa"/>
          </w:tcPr>
          <w:p w:rsidR="00000000" w:rsidRDefault="00000000">
            <w:pPr>
              <w:spacing w:line="288" w:lineRule="auto"/>
              <w:rPr>
                <w:rFonts w:hint="eastAsia"/>
                <w:sz w:val="20"/>
              </w:rPr>
            </w:pPr>
            <w:r>
              <w:rPr>
                <w:rFonts w:hint="eastAsia"/>
                <w:sz w:val="20"/>
              </w:rPr>
              <w:t>平均年龄</w:t>
            </w:r>
          </w:p>
        </w:tc>
        <w:tc>
          <w:tcPr>
            <w:tcW w:w="1217" w:type="dxa"/>
          </w:tcPr>
          <w:p w:rsidR="00000000" w:rsidRDefault="00000000">
            <w:pPr>
              <w:spacing w:line="288" w:lineRule="auto"/>
              <w:jc w:val="center"/>
              <w:rPr>
                <w:rFonts w:hint="eastAsia"/>
                <w:sz w:val="20"/>
              </w:rPr>
            </w:pPr>
            <w:r>
              <w:rPr>
                <w:rFonts w:hint="eastAsia"/>
                <w:sz w:val="20"/>
              </w:rPr>
              <w:t>36.8</w:t>
            </w:r>
          </w:p>
        </w:tc>
        <w:tc>
          <w:tcPr>
            <w:tcW w:w="1217" w:type="dxa"/>
          </w:tcPr>
          <w:p w:rsidR="00000000" w:rsidRDefault="00000000">
            <w:pPr>
              <w:spacing w:line="288" w:lineRule="auto"/>
              <w:jc w:val="center"/>
              <w:rPr>
                <w:rFonts w:hint="eastAsia"/>
                <w:sz w:val="20"/>
              </w:rPr>
            </w:pPr>
            <w:r>
              <w:rPr>
                <w:rFonts w:hint="eastAsia"/>
                <w:sz w:val="20"/>
              </w:rPr>
              <w:t>37.0</w:t>
            </w:r>
          </w:p>
        </w:tc>
        <w:tc>
          <w:tcPr>
            <w:tcW w:w="1217" w:type="dxa"/>
          </w:tcPr>
          <w:p w:rsidR="00000000" w:rsidRDefault="00000000">
            <w:pPr>
              <w:spacing w:line="288" w:lineRule="auto"/>
              <w:jc w:val="center"/>
              <w:rPr>
                <w:rFonts w:hint="eastAsia"/>
                <w:sz w:val="20"/>
              </w:rPr>
            </w:pPr>
            <w:r>
              <w:rPr>
                <w:rFonts w:hint="eastAsia"/>
                <w:sz w:val="20"/>
              </w:rPr>
              <w:t>37.3</w:t>
            </w:r>
          </w:p>
        </w:tc>
        <w:tc>
          <w:tcPr>
            <w:tcW w:w="1217" w:type="dxa"/>
          </w:tcPr>
          <w:p w:rsidR="00000000" w:rsidRDefault="00000000">
            <w:pPr>
              <w:spacing w:line="288" w:lineRule="auto"/>
              <w:ind w:right="227"/>
              <w:jc w:val="right"/>
              <w:rPr>
                <w:rFonts w:hint="eastAsia"/>
                <w:sz w:val="20"/>
              </w:rPr>
            </w:pPr>
            <w:r>
              <w:rPr>
                <w:rFonts w:hint="eastAsia"/>
                <w:sz w:val="20"/>
              </w:rPr>
              <w:t>37.6</w:t>
            </w:r>
          </w:p>
        </w:tc>
        <w:tc>
          <w:tcPr>
            <w:tcW w:w="1217" w:type="dxa"/>
          </w:tcPr>
          <w:p w:rsidR="00000000" w:rsidRDefault="00000000">
            <w:pPr>
              <w:spacing w:line="288" w:lineRule="auto"/>
              <w:ind w:right="227"/>
              <w:jc w:val="right"/>
              <w:rPr>
                <w:rFonts w:hint="eastAsia"/>
                <w:sz w:val="20"/>
              </w:rPr>
            </w:pPr>
            <w:r>
              <w:rPr>
                <w:rFonts w:hint="eastAsia"/>
                <w:sz w:val="20"/>
              </w:rPr>
              <w:t>37.9</w:t>
            </w:r>
          </w:p>
        </w:tc>
        <w:tc>
          <w:tcPr>
            <w:tcW w:w="1217" w:type="dxa"/>
          </w:tcPr>
          <w:p w:rsidR="00000000" w:rsidRDefault="00000000">
            <w:pPr>
              <w:spacing w:line="288" w:lineRule="auto"/>
              <w:ind w:right="227"/>
              <w:jc w:val="right"/>
              <w:rPr>
                <w:rFonts w:hint="eastAsia"/>
                <w:sz w:val="20"/>
              </w:rPr>
            </w:pPr>
            <w:r>
              <w:rPr>
                <w:rFonts w:hint="eastAsia"/>
                <w:sz w:val="20"/>
              </w:rPr>
              <w:t>38.2</w:t>
            </w:r>
          </w:p>
        </w:tc>
      </w:tr>
      <w:tr w:rsidR="00000000">
        <w:tblPrEx>
          <w:tblCellMar>
            <w:top w:w="0" w:type="dxa"/>
            <w:bottom w:w="0" w:type="dxa"/>
          </w:tblCellMar>
        </w:tblPrEx>
        <w:tc>
          <w:tcPr>
            <w:tcW w:w="2268" w:type="dxa"/>
          </w:tcPr>
          <w:p w:rsidR="00000000" w:rsidRDefault="00000000">
            <w:pPr>
              <w:spacing w:line="288" w:lineRule="auto"/>
              <w:rPr>
                <w:rFonts w:hint="eastAsia"/>
                <w:sz w:val="20"/>
                <w:lang w:val="fr-CH"/>
              </w:rPr>
            </w:pPr>
            <w:r>
              <w:rPr>
                <w:rFonts w:hint="eastAsia"/>
                <w:sz w:val="20"/>
              </w:rPr>
              <w:t>老龄化指数</w:t>
            </w:r>
            <w:r>
              <w:rPr>
                <w:sz w:val="20"/>
                <w:u w:val="single"/>
                <w:lang w:val="fr-CH"/>
              </w:rPr>
              <w:t>a</w:t>
            </w:r>
            <w:r>
              <w:rPr>
                <w:rFonts w:hint="eastAsia"/>
                <w:sz w:val="20"/>
                <w:lang w:val="fr-CH"/>
              </w:rPr>
              <w:t>/</w:t>
            </w:r>
          </w:p>
        </w:tc>
        <w:tc>
          <w:tcPr>
            <w:tcW w:w="1217" w:type="dxa"/>
          </w:tcPr>
          <w:p w:rsidR="00000000" w:rsidRDefault="00000000">
            <w:pPr>
              <w:spacing w:line="288" w:lineRule="auto"/>
              <w:jc w:val="center"/>
              <w:rPr>
                <w:rFonts w:hint="eastAsia"/>
                <w:sz w:val="20"/>
              </w:rPr>
            </w:pPr>
            <w:r>
              <w:rPr>
                <w:rFonts w:hint="eastAsia"/>
                <w:sz w:val="20"/>
              </w:rPr>
              <w:t>92.4</w:t>
            </w:r>
          </w:p>
        </w:tc>
        <w:tc>
          <w:tcPr>
            <w:tcW w:w="1217" w:type="dxa"/>
          </w:tcPr>
          <w:p w:rsidR="00000000" w:rsidRDefault="00000000">
            <w:pPr>
              <w:spacing w:line="288" w:lineRule="auto"/>
              <w:jc w:val="center"/>
              <w:rPr>
                <w:rFonts w:hint="eastAsia"/>
                <w:sz w:val="20"/>
              </w:rPr>
            </w:pPr>
            <w:r>
              <w:rPr>
                <w:rFonts w:hint="eastAsia"/>
                <w:sz w:val="20"/>
              </w:rPr>
              <w:t>95.4</w:t>
            </w:r>
          </w:p>
        </w:tc>
        <w:tc>
          <w:tcPr>
            <w:tcW w:w="1217" w:type="dxa"/>
          </w:tcPr>
          <w:p w:rsidR="00000000" w:rsidRDefault="00000000">
            <w:pPr>
              <w:spacing w:line="288" w:lineRule="auto"/>
              <w:jc w:val="center"/>
              <w:rPr>
                <w:rFonts w:hint="eastAsia"/>
                <w:sz w:val="20"/>
              </w:rPr>
            </w:pPr>
            <w:r>
              <w:rPr>
                <w:rFonts w:hint="eastAsia"/>
                <w:sz w:val="20"/>
              </w:rPr>
              <w:t>98.1</w:t>
            </w:r>
          </w:p>
        </w:tc>
        <w:tc>
          <w:tcPr>
            <w:tcW w:w="1217" w:type="dxa"/>
          </w:tcPr>
          <w:p w:rsidR="00000000" w:rsidRDefault="00000000">
            <w:pPr>
              <w:spacing w:line="288" w:lineRule="auto"/>
              <w:ind w:right="227"/>
              <w:jc w:val="right"/>
              <w:rPr>
                <w:rFonts w:hint="eastAsia"/>
                <w:sz w:val="20"/>
              </w:rPr>
            </w:pPr>
            <w:r>
              <w:rPr>
                <w:rFonts w:hint="eastAsia"/>
                <w:sz w:val="20"/>
              </w:rPr>
              <w:t>100.8</w:t>
            </w:r>
          </w:p>
        </w:tc>
        <w:tc>
          <w:tcPr>
            <w:tcW w:w="1217" w:type="dxa"/>
          </w:tcPr>
          <w:p w:rsidR="00000000" w:rsidRDefault="00000000">
            <w:pPr>
              <w:spacing w:line="288" w:lineRule="auto"/>
              <w:ind w:right="227"/>
              <w:jc w:val="right"/>
              <w:rPr>
                <w:rFonts w:hint="eastAsia"/>
                <w:sz w:val="20"/>
              </w:rPr>
            </w:pPr>
            <w:r>
              <w:rPr>
                <w:rFonts w:hint="eastAsia"/>
                <w:sz w:val="20"/>
              </w:rPr>
              <w:t>103.5</w:t>
            </w:r>
          </w:p>
        </w:tc>
        <w:tc>
          <w:tcPr>
            <w:tcW w:w="1217" w:type="dxa"/>
          </w:tcPr>
          <w:p w:rsidR="00000000" w:rsidRDefault="00000000">
            <w:pPr>
              <w:spacing w:line="288" w:lineRule="auto"/>
              <w:ind w:right="227"/>
              <w:jc w:val="right"/>
              <w:rPr>
                <w:rFonts w:hint="eastAsia"/>
                <w:sz w:val="20"/>
              </w:rPr>
            </w:pPr>
            <w:r>
              <w:rPr>
                <w:rFonts w:hint="eastAsia"/>
                <w:sz w:val="20"/>
              </w:rPr>
              <w:t>106.4</w:t>
            </w:r>
          </w:p>
        </w:tc>
      </w:tr>
    </w:tbl>
    <w:p w:rsidR="00000000" w:rsidRDefault="00000000">
      <w:pPr>
        <w:pStyle w:val="EndnoteText"/>
        <w:spacing w:before="120"/>
        <w:rPr>
          <w:rFonts w:hint="eastAsia"/>
        </w:rPr>
      </w:pPr>
      <w:r>
        <w:rPr>
          <w:u w:val="single"/>
        </w:rPr>
        <w:t>a</w:t>
      </w:r>
      <w:r>
        <w:rPr>
          <w:rFonts w:hint="eastAsia"/>
        </w:rPr>
        <w:t>/</w:t>
      </w:r>
      <w:r>
        <w:tab/>
      </w:r>
      <w:r>
        <w:rPr>
          <w:rFonts w:hint="eastAsia"/>
          <w:lang w:val="fr-CH"/>
        </w:rPr>
        <w:t>按每</w:t>
      </w:r>
      <w:r>
        <w:rPr>
          <w:rFonts w:hint="eastAsia"/>
        </w:rPr>
        <w:t>100</w:t>
      </w:r>
      <w:r>
        <w:rPr>
          <w:rFonts w:hint="eastAsia"/>
        </w:rPr>
        <w:t>名</w:t>
      </w:r>
      <w:r>
        <w:rPr>
          <w:rFonts w:hint="eastAsia"/>
        </w:rPr>
        <w:t>0-14</w:t>
      </w:r>
      <w:r>
        <w:rPr>
          <w:rFonts w:hint="eastAsia"/>
        </w:rPr>
        <w:t>岁的儿童有多少</w:t>
      </w:r>
      <w:r>
        <w:rPr>
          <w:rFonts w:hint="eastAsia"/>
        </w:rPr>
        <w:t>60</w:t>
      </w:r>
      <w:r>
        <w:rPr>
          <w:rFonts w:hint="eastAsia"/>
        </w:rPr>
        <w:t>岁以上的人口数计算。</w:t>
      </w:r>
    </w:p>
    <w:p w:rsidR="00000000" w:rsidRDefault="00000000">
      <w:pPr>
        <w:pStyle w:val="EndnoteText"/>
        <w:spacing w:after="160"/>
        <w:rPr>
          <w:rFonts w:hint="eastAsia"/>
        </w:rPr>
      </w:pPr>
      <w:r>
        <w:rPr>
          <w:rFonts w:hint="eastAsia"/>
          <w:u w:val="single"/>
        </w:rPr>
        <w:t>资料来源</w:t>
      </w:r>
      <w:r>
        <w:rPr>
          <w:rFonts w:hint="eastAsia"/>
        </w:rPr>
        <w:t>：捷克统计局，</w:t>
      </w:r>
      <w:r>
        <w:rPr>
          <w:rFonts w:hint="eastAsia"/>
        </w:rPr>
        <w:t>1999</w:t>
      </w:r>
      <w:r>
        <w:rPr>
          <w:rFonts w:hint="eastAsia"/>
        </w:rPr>
        <w:t>年。</w:t>
      </w:r>
    </w:p>
    <w:p w:rsidR="00000000" w:rsidRDefault="00000000">
      <w:pPr>
        <w:rPr>
          <w:rFonts w:hint="eastAsia"/>
        </w:rPr>
      </w:pPr>
      <w:r>
        <w:rPr>
          <w:rFonts w:hint="eastAsia"/>
        </w:rPr>
        <w:tab/>
        <w:t xml:space="preserve">9.  </w:t>
      </w:r>
      <w:r>
        <w:rPr>
          <w:rFonts w:hint="eastAsia"/>
        </w:rPr>
        <w:t>按国籍、教育程度、宗教信仰和经济活动类别等其他重要特征分列的人口结构资料来自上次于</w:t>
      </w:r>
      <w:r>
        <w:rPr>
          <w:rFonts w:hint="eastAsia"/>
        </w:rPr>
        <w:t>1991</w:t>
      </w:r>
      <w:r>
        <w:rPr>
          <w:rFonts w:hint="eastAsia"/>
        </w:rPr>
        <w:t>年进行的人口和住房普查。</w:t>
      </w:r>
    </w:p>
    <w:p w:rsidR="00000000" w:rsidRDefault="00000000">
      <w:pPr>
        <w:rPr>
          <w:rFonts w:hint="eastAsia"/>
        </w:rPr>
      </w:pPr>
      <w:r>
        <w:rPr>
          <w:rFonts w:hint="eastAsia"/>
        </w:rPr>
        <w:tab/>
        <w:t xml:space="preserve">10.  </w:t>
      </w:r>
      <w:r>
        <w:rPr>
          <w:rFonts w:hint="eastAsia"/>
        </w:rPr>
        <w:t>捷克共和国是一个民族十分单一的国家：</w:t>
      </w:r>
      <w:r>
        <w:rPr>
          <w:rFonts w:hint="eastAsia"/>
        </w:rPr>
        <w:t>1991</w:t>
      </w:r>
      <w:r>
        <w:rPr>
          <w:rFonts w:hint="eastAsia"/>
        </w:rPr>
        <w:t>年，</w:t>
      </w:r>
      <w:r>
        <w:rPr>
          <w:rFonts w:hint="eastAsia"/>
        </w:rPr>
        <w:t>95%</w:t>
      </w:r>
      <w:r>
        <w:rPr>
          <w:rFonts w:hint="eastAsia"/>
        </w:rPr>
        <w:t>的人都说自己是捷克族</w:t>
      </w:r>
      <w:r>
        <w:rPr>
          <w:rFonts w:hint="eastAsia"/>
        </w:rPr>
        <w:t>(</w:t>
      </w:r>
      <w:r>
        <w:rPr>
          <w:rFonts w:hint="eastAsia"/>
        </w:rPr>
        <w:t>包括摩拉维亚人和西里西亚人</w:t>
      </w:r>
      <w:r>
        <w:rPr>
          <w:rFonts w:hint="eastAsia"/>
        </w:rPr>
        <w:t>)</w:t>
      </w:r>
      <w:r>
        <w:rPr>
          <w:rFonts w:hint="eastAsia"/>
        </w:rPr>
        <w:t>。人口最多的其他民族有斯洛伐克人</w:t>
      </w:r>
      <w:r>
        <w:rPr>
          <w:rFonts w:hint="eastAsia"/>
        </w:rPr>
        <w:t>(3%)</w:t>
      </w:r>
      <w:r>
        <w:rPr>
          <w:rFonts w:hint="eastAsia"/>
        </w:rPr>
        <w:t>、波兰人</w:t>
      </w:r>
      <w:r>
        <w:rPr>
          <w:rFonts w:hint="eastAsia"/>
        </w:rPr>
        <w:t>(0.6%)</w:t>
      </w:r>
      <w:r>
        <w:rPr>
          <w:rFonts w:hint="eastAsia"/>
        </w:rPr>
        <w:t>、德国人</w:t>
      </w:r>
      <w:r>
        <w:rPr>
          <w:rFonts w:hint="eastAsia"/>
        </w:rPr>
        <w:t>(0.5%)</w:t>
      </w:r>
      <w:r>
        <w:rPr>
          <w:rFonts w:hint="eastAsia"/>
        </w:rPr>
        <w:t>和罗姆人</w:t>
      </w:r>
      <w:r>
        <w:rPr>
          <w:rFonts w:hint="eastAsia"/>
        </w:rPr>
        <w:t>(0.3%)</w:t>
      </w:r>
      <w:r>
        <w:rPr>
          <w:rFonts w:hint="eastAsia"/>
        </w:rPr>
        <w:t>。国家还有匈牙利人、乌克兰人、俄罗斯人、保加利亚人、希腊人和其他民族的常住居民。</w:t>
      </w:r>
    </w:p>
    <w:p w:rsidR="00000000" w:rsidRDefault="00000000">
      <w:pPr>
        <w:rPr>
          <w:rFonts w:hint="eastAsia"/>
        </w:rPr>
      </w:pPr>
      <w:r>
        <w:rPr>
          <w:rFonts w:hint="eastAsia"/>
        </w:rPr>
        <w:tab/>
        <w:t xml:space="preserve">11.  </w:t>
      </w:r>
      <w:r>
        <w:rPr>
          <w:rFonts w:hint="eastAsia"/>
        </w:rPr>
        <w:t>在普查中，半数以上的常住居民均表示他们没有任何信仰，或者没有回答这一问题。报告有信仰的人全都首推基督教，尤其是天主教</w:t>
      </w:r>
      <w:r>
        <w:rPr>
          <w:rFonts w:hint="eastAsia"/>
        </w:rPr>
        <w:t>(</w:t>
      </w:r>
      <w:r>
        <w:rPr>
          <w:rFonts w:hint="eastAsia"/>
        </w:rPr>
        <w:t>占报告有信仰人的</w:t>
      </w:r>
      <w:r>
        <w:rPr>
          <w:rFonts w:hint="eastAsia"/>
        </w:rPr>
        <w:t>89%)</w:t>
      </w:r>
      <w:r>
        <w:rPr>
          <w:rFonts w:hint="eastAsia"/>
        </w:rPr>
        <w:t>。</w:t>
      </w:r>
    </w:p>
    <w:p w:rsidR="00000000" w:rsidRDefault="00000000">
      <w:pPr>
        <w:rPr>
          <w:rFonts w:hint="eastAsia"/>
        </w:rPr>
      </w:pPr>
      <w:r>
        <w:rPr>
          <w:rFonts w:hint="eastAsia"/>
        </w:rPr>
        <w:tab/>
        <w:t>12.  1991</w:t>
      </w:r>
      <w:r>
        <w:rPr>
          <w:rFonts w:hint="eastAsia"/>
        </w:rPr>
        <w:t>年人口的受教育水平</w:t>
      </w:r>
      <w:r>
        <w:rPr>
          <w:rFonts w:hint="eastAsia"/>
        </w:rPr>
        <w:t>(25</w:t>
      </w:r>
      <w:r>
        <w:rPr>
          <w:rFonts w:hint="eastAsia"/>
        </w:rPr>
        <w:t>岁以上人口所达到的最高受教育水平</w:t>
      </w:r>
      <w:r>
        <w:rPr>
          <w:rFonts w:hint="eastAsia"/>
        </w:rPr>
        <w:t>)</w:t>
      </w:r>
      <w:r>
        <w:rPr>
          <w:rFonts w:hint="eastAsia"/>
        </w:rPr>
        <w:t>情况如下：</w:t>
      </w:r>
      <w:r>
        <w:rPr>
          <w:rFonts w:hint="eastAsia"/>
        </w:rPr>
        <w:t>32%</w:t>
      </w:r>
      <w:r>
        <w:rPr>
          <w:rFonts w:hint="eastAsia"/>
        </w:rPr>
        <w:t>的成年人口已完成初等教育，</w:t>
      </w:r>
      <w:r>
        <w:rPr>
          <w:rFonts w:hint="eastAsia"/>
        </w:rPr>
        <w:t>59%</w:t>
      </w:r>
      <w:r>
        <w:rPr>
          <w:rFonts w:hint="eastAsia"/>
        </w:rPr>
        <w:t>完成了中等学业或职业教育，</w:t>
      </w:r>
      <w:r>
        <w:rPr>
          <w:rFonts w:hint="eastAsia"/>
        </w:rPr>
        <w:t>9%</w:t>
      </w:r>
      <w:r>
        <w:rPr>
          <w:rFonts w:hint="eastAsia"/>
        </w:rPr>
        <w:t>获得了大学教育。年轻一代比年长一代达到更高的教育水平。在</w:t>
      </w:r>
      <w:r>
        <w:rPr>
          <w:rFonts w:hint="eastAsia"/>
        </w:rPr>
        <w:t>25-29</w:t>
      </w:r>
      <w:r>
        <w:rPr>
          <w:rFonts w:hint="eastAsia"/>
        </w:rPr>
        <w:t>岁的人口中，只有</w:t>
      </w:r>
      <w:r>
        <w:rPr>
          <w:rFonts w:hint="eastAsia"/>
        </w:rPr>
        <w:t>11%</w:t>
      </w:r>
      <w:r>
        <w:rPr>
          <w:rFonts w:hint="eastAsia"/>
        </w:rPr>
        <w:t>仅具有初等教育水平，在</w:t>
      </w:r>
      <w:r>
        <w:rPr>
          <w:rFonts w:hint="eastAsia"/>
        </w:rPr>
        <w:t>50-59</w:t>
      </w:r>
      <w:r>
        <w:rPr>
          <w:rFonts w:hint="eastAsia"/>
        </w:rPr>
        <w:t>岁的人口中，这一比例为</w:t>
      </w:r>
      <w:r>
        <w:rPr>
          <w:rFonts w:hint="eastAsia"/>
        </w:rPr>
        <w:t>37%</w:t>
      </w:r>
      <w:r>
        <w:rPr>
          <w:rFonts w:hint="eastAsia"/>
        </w:rPr>
        <w:t>，而在</w:t>
      </w:r>
      <w:r>
        <w:rPr>
          <w:rFonts w:hint="eastAsia"/>
        </w:rPr>
        <w:t>60</w:t>
      </w:r>
      <w:r>
        <w:rPr>
          <w:rFonts w:hint="eastAsia"/>
        </w:rPr>
        <w:t>岁以上的人口中，这一比例超过</w:t>
      </w:r>
      <w:r>
        <w:rPr>
          <w:rFonts w:hint="eastAsia"/>
        </w:rPr>
        <w:t>56%</w:t>
      </w:r>
      <w:r>
        <w:rPr>
          <w:rFonts w:hint="eastAsia"/>
        </w:rPr>
        <w:t>。</w:t>
      </w:r>
    </w:p>
    <w:p w:rsidR="00000000" w:rsidRDefault="00000000">
      <w:pPr>
        <w:rPr>
          <w:rFonts w:hint="eastAsia"/>
        </w:rPr>
      </w:pPr>
      <w:r>
        <w:rPr>
          <w:rFonts w:hint="eastAsia"/>
        </w:rPr>
        <w:tab/>
        <w:t>13.  1995</w:t>
      </w:r>
      <w:r>
        <w:rPr>
          <w:rFonts w:hint="eastAsia"/>
        </w:rPr>
        <w:t>年，在雇主组中，有</w:t>
      </w:r>
      <w:r>
        <w:rPr>
          <w:rFonts w:hint="eastAsia"/>
        </w:rPr>
        <w:t>11%</w:t>
      </w:r>
      <w:r>
        <w:rPr>
          <w:rFonts w:hint="eastAsia"/>
        </w:rPr>
        <w:t>仅具有初等教育水平，</w:t>
      </w:r>
      <w:r>
        <w:rPr>
          <w:rFonts w:hint="eastAsia"/>
        </w:rPr>
        <w:t>45%</w:t>
      </w:r>
      <w:r>
        <w:rPr>
          <w:rFonts w:hint="eastAsia"/>
        </w:rPr>
        <w:t>受到过职业教育，但没有获得普通中等学校毕业证书，</w:t>
      </w:r>
      <w:r>
        <w:rPr>
          <w:rFonts w:hint="eastAsia"/>
        </w:rPr>
        <w:t>32%</w:t>
      </w:r>
      <w:r>
        <w:rPr>
          <w:rFonts w:hint="eastAsia"/>
        </w:rPr>
        <w:t>为普通中等学校毕业生，仅</w:t>
      </w:r>
      <w:r>
        <w:rPr>
          <w:rFonts w:hint="eastAsia"/>
        </w:rPr>
        <w:t>11%</w:t>
      </w:r>
      <w:r>
        <w:rPr>
          <w:rFonts w:hint="eastAsia"/>
        </w:rPr>
        <w:t>的雇主完成了高等教育。</w:t>
      </w:r>
    </w:p>
    <w:p w:rsidR="00000000" w:rsidRDefault="00000000">
      <w:pPr>
        <w:rPr>
          <w:rFonts w:hint="eastAsia"/>
        </w:rPr>
      </w:pPr>
      <w:r>
        <w:rPr>
          <w:rFonts w:hint="eastAsia"/>
        </w:rPr>
        <w:tab/>
        <w:t xml:space="preserve">14.  </w:t>
      </w:r>
      <w:r>
        <w:rPr>
          <w:rFonts w:hint="eastAsia"/>
        </w:rPr>
        <w:t>捷克共和国的从业人口有几个特征：他们大多数为雇员</w:t>
      </w:r>
      <w:r>
        <w:rPr>
          <w:rFonts w:hint="eastAsia"/>
        </w:rPr>
        <w:t>(</w:t>
      </w:r>
      <w:r>
        <w:rPr>
          <w:rFonts w:hint="eastAsia"/>
        </w:rPr>
        <w:t>取得雇用收入</w:t>
      </w:r>
      <w:r>
        <w:rPr>
          <w:rFonts w:hint="eastAsia"/>
        </w:rPr>
        <w:t>)</w:t>
      </w:r>
      <w:r>
        <w:rPr>
          <w:rFonts w:hint="eastAsia"/>
        </w:rPr>
        <w:t>，主要从事的部门是工业，农业工人的数量正在下降，在非制造领域工作的人数持续上升，</w:t>
      </w:r>
      <w:r>
        <w:rPr>
          <w:rFonts w:hint="eastAsia"/>
        </w:rPr>
        <w:t>90%</w:t>
      </w:r>
      <w:r>
        <w:rPr>
          <w:rFonts w:hint="eastAsia"/>
        </w:rPr>
        <w:t>以上的劳动年龄妇女都在工作。</w:t>
      </w:r>
    </w:p>
    <w:p w:rsidR="00000000" w:rsidRDefault="00000000">
      <w:pPr>
        <w:spacing w:after="320"/>
        <w:rPr>
          <w:rFonts w:hint="eastAsia"/>
        </w:rPr>
      </w:pPr>
      <w:r>
        <w:rPr>
          <w:rFonts w:hint="eastAsia"/>
        </w:rPr>
        <w:tab/>
        <w:t xml:space="preserve">15.  </w:t>
      </w:r>
      <w:r>
        <w:rPr>
          <w:rFonts w:hint="eastAsia"/>
        </w:rPr>
        <w:t>在</w:t>
      </w:r>
      <w:r>
        <w:rPr>
          <w:rFonts w:hint="eastAsia"/>
        </w:rPr>
        <w:t>1990</w:t>
      </w:r>
      <w:r>
        <w:rPr>
          <w:rFonts w:hint="eastAsia"/>
        </w:rPr>
        <w:t>年代期间，人口环境出现恶化，结婚率、生育率和出生率等重要的人口统计指标都在下降。从</w:t>
      </w:r>
      <w:r>
        <w:rPr>
          <w:rFonts w:hint="eastAsia"/>
        </w:rPr>
        <w:t>1994</w:t>
      </w:r>
      <w:r>
        <w:rPr>
          <w:rFonts w:hint="eastAsia"/>
        </w:rPr>
        <w:t>年起，常住居民人口的数量呈自然下降趋势。然而，与此同时，</w:t>
      </w:r>
      <w:r>
        <w:rPr>
          <w:rFonts w:hint="eastAsia"/>
        </w:rPr>
        <w:t>(</w:t>
      </w:r>
      <w:r>
        <w:rPr>
          <w:rFonts w:hint="eastAsia"/>
        </w:rPr>
        <w:t>出生时</w:t>
      </w:r>
      <w:r>
        <w:rPr>
          <w:rFonts w:hint="eastAsia"/>
        </w:rPr>
        <w:t>)</w:t>
      </w:r>
      <w:r>
        <w:rPr>
          <w:rFonts w:hint="eastAsia"/>
        </w:rPr>
        <w:t>预期寿命增加，男人比女人增加更多。预期寿命的增加主要受婴儿和老年人即最小年龄组和最大年龄组死亡率减少的影响。然而，所有年龄组的死亡率都在下降，</w:t>
      </w:r>
      <w:r>
        <w:rPr>
          <w:rFonts w:hint="eastAsia"/>
        </w:rPr>
        <w:t>40</w:t>
      </w:r>
      <w:r>
        <w:rPr>
          <w:rFonts w:hint="eastAsia"/>
        </w:rPr>
        <w:t>岁以上组比</w:t>
      </w:r>
      <w:r>
        <w:rPr>
          <w:rFonts w:hint="eastAsia"/>
        </w:rPr>
        <w:t>40</w:t>
      </w:r>
      <w:r>
        <w:rPr>
          <w:rFonts w:hint="eastAsia"/>
        </w:rPr>
        <w:t>岁以下组甚至下降更多。</w:t>
      </w:r>
    </w:p>
    <w:p w:rsidR="00000000" w:rsidRDefault="00000000">
      <w:pPr>
        <w:pStyle w:val="Heading3"/>
        <w:rPr>
          <w:rFonts w:hint="eastAsia"/>
        </w:rPr>
      </w:pPr>
      <w:r>
        <w:rPr>
          <w:rFonts w:hint="eastAsia"/>
        </w:rPr>
        <w:t>1993</w:t>
      </w:r>
      <w:r>
        <w:rPr>
          <w:rFonts w:hint="eastAsia"/>
        </w:rPr>
        <w:t>年至</w:t>
      </w:r>
      <w:r>
        <w:rPr>
          <w:rFonts w:hint="eastAsia"/>
        </w:rPr>
        <w:t>1998</w:t>
      </w:r>
      <w:r>
        <w:rPr>
          <w:rFonts w:hint="eastAsia"/>
        </w:rPr>
        <w:t>年人口和生命统计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8"/>
        <w:gridCol w:w="997"/>
        <w:gridCol w:w="997"/>
        <w:gridCol w:w="997"/>
        <w:gridCol w:w="997"/>
        <w:gridCol w:w="997"/>
        <w:gridCol w:w="997"/>
      </w:tblGrid>
      <w:tr w:rsidR="00000000">
        <w:tblPrEx>
          <w:tblCellMar>
            <w:top w:w="0" w:type="dxa"/>
            <w:bottom w:w="0" w:type="dxa"/>
          </w:tblCellMar>
        </w:tblPrEx>
        <w:tc>
          <w:tcPr>
            <w:tcW w:w="3588" w:type="dxa"/>
          </w:tcPr>
          <w:p w:rsidR="00000000" w:rsidRDefault="00000000">
            <w:pPr>
              <w:spacing w:line="288" w:lineRule="auto"/>
              <w:jc w:val="center"/>
              <w:rPr>
                <w:rFonts w:hint="eastAsia"/>
                <w:sz w:val="20"/>
              </w:rPr>
            </w:pPr>
            <w:r>
              <w:rPr>
                <w:rFonts w:hint="eastAsia"/>
                <w:sz w:val="20"/>
              </w:rPr>
              <w:t>指</w:t>
            </w:r>
            <w:r>
              <w:rPr>
                <w:sz w:val="20"/>
              </w:rPr>
              <w:tab/>
            </w:r>
            <w:r>
              <w:rPr>
                <w:rFonts w:hint="eastAsia"/>
                <w:sz w:val="20"/>
              </w:rPr>
              <w:t>标</w:t>
            </w:r>
          </w:p>
        </w:tc>
        <w:tc>
          <w:tcPr>
            <w:tcW w:w="997" w:type="dxa"/>
          </w:tcPr>
          <w:p w:rsidR="00000000" w:rsidRDefault="00000000">
            <w:pPr>
              <w:spacing w:line="288" w:lineRule="auto"/>
              <w:jc w:val="center"/>
              <w:rPr>
                <w:rFonts w:hint="eastAsia"/>
                <w:sz w:val="20"/>
              </w:rPr>
            </w:pPr>
            <w:r>
              <w:rPr>
                <w:rFonts w:hint="eastAsia"/>
                <w:sz w:val="20"/>
              </w:rPr>
              <w:t>1993</w:t>
            </w:r>
            <w:r>
              <w:rPr>
                <w:rFonts w:hint="eastAsia"/>
                <w:sz w:val="20"/>
              </w:rPr>
              <w:t>年</w:t>
            </w:r>
          </w:p>
        </w:tc>
        <w:tc>
          <w:tcPr>
            <w:tcW w:w="997" w:type="dxa"/>
          </w:tcPr>
          <w:p w:rsidR="00000000" w:rsidRDefault="00000000">
            <w:pPr>
              <w:spacing w:line="288" w:lineRule="auto"/>
              <w:jc w:val="center"/>
              <w:rPr>
                <w:rFonts w:hint="eastAsia"/>
                <w:sz w:val="20"/>
              </w:rPr>
            </w:pPr>
            <w:r>
              <w:rPr>
                <w:rFonts w:hint="eastAsia"/>
                <w:sz w:val="20"/>
              </w:rPr>
              <w:t>1994</w:t>
            </w:r>
            <w:r>
              <w:rPr>
                <w:rFonts w:hint="eastAsia"/>
                <w:sz w:val="20"/>
              </w:rPr>
              <w:t>年</w:t>
            </w:r>
          </w:p>
        </w:tc>
        <w:tc>
          <w:tcPr>
            <w:tcW w:w="997" w:type="dxa"/>
          </w:tcPr>
          <w:p w:rsidR="00000000" w:rsidRDefault="00000000">
            <w:pPr>
              <w:spacing w:line="288" w:lineRule="auto"/>
              <w:jc w:val="center"/>
              <w:rPr>
                <w:rFonts w:hint="eastAsia"/>
                <w:sz w:val="20"/>
              </w:rPr>
            </w:pPr>
            <w:r>
              <w:rPr>
                <w:rFonts w:hint="eastAsia"/>
                <w:sz w:val="20"/>
              </w:rPr>
              <w:t>1995</w:t>
            </w:r>
            <w:r>
              <w:rPr>
                <w:rFonts w:hint="eastAsia"/>
                <w:sz w:val="20"/>
              </w:rPr>
              <w:t>年</w:t>
            </w:r>
          </w:p>
        </w:tc>
        <w:tc>
          <w:tcPr>
            <w:tcW w:w="997" w:type="dxa"/>
          </w:tcPr>
          <w:p w:rsidR="00000000" w:rsidRDefault="00000000">
            <w:pPr>
              <w:spacing w:line="288" w:lineRule="auto"/>
              <w:jc w:val="center"/>
              <w:rPr>
                <w:rFonts w:hint="eastAsia"/>
                <w:sz w:val="20"/>
              </w:rPr>
            </w:pPr>
            <w:r>
              <w:rPr>
                <w:rFonts w:hint="eastAsia"/>
                <w:sz w:val="20"/>
              </w:rPr>
              <w:t>1996</w:t>
            </w:r>
            <w:r>
              <w:rPr>
                <w:rFonts w:hint="eastAsia"/>
                <w:sz w:val="20"/>
              </w:rPr>
              <w:t>年</w:t>
            </w:r>
          </w:p>
        </w:tc>
        <w:tc>
          <w:tcPr>
            <w:tcW w:w="997" w:type="dxa"/>
          </w:tcPr>
          <w:p w:rsidR="00000000" w:rsidRDefault="00000000">
            <w:pPr>
              <w:spacing w:line="288" w:lineRule="auto"/>
              <w:jc w:val="center"/>
              <w:rPr>
                <w:rFonts w:hint="eastAsia"/>
                <w:sz w:val="20"/>
              </w:rPr>
            </w:pPr>
            <w:r>
              <w:rPr>
                <w:rFonts w:hint="eastAsia"/>
                <w:sz w:val="20"/>
              </w:rPr>
              <w:t>1997</w:t>
            </w:r>
            <w:r>
              <w:rPr>
                <w:rFonts w:hint="eastAsia"/>
                <w:sz w:val="20"/>
              </w:rPr>
              <w:t>年</w:t>
            </w:r>
          </w:p>
        </w:tc>
        <w:tc>
          <w:tcPr>
            <w:tcW w:w="997" w:type="dxa"/>
          </w:tcPr>
          <w:p w:rsidR="00000000" w:rsidRDefault="00000000">
            <w:pPr>
              <w:spacing w:line="288" w:lineRule="auto"/>
              <w:jc w:val="center"/>
              <w:rPr>
                <w:rFonts w:hint="eastAsia"/>
                <w:sz w:val="20"/>
              </w:rPr>
            </w:pPr>
            <w:r>
              <w:rPr>
                <w:rFonts w:hint="eastAsia"/>
                <w:sz w:val="20"/>
              </w:rPr>
              <w:t>1998</w:t>
            </w:r>
            <w:r>
              <w:rPr>
                <w:rFonts w:hint="eastAsia"/>
                <w:sz w:val="20"/>
              </w:rPr>
              <w:t>年</w:t>
            </w:r>
          </w:p>
        </w:tc>
      </w:tr>
      <w:tr w:rsidR="00000000">
        <w:tblPrEx>
          <w:tblCellMar>
            <w:top w:w="0" w:type="dxa"/>
            <w:bottom w:w="0" w:type="dxa"/>
          </w:tblCellMar>
        </w:tblPrEx>
        <w:tc>
          <w:tcPr>
            <w:tcW w:w="3588" w:type="dxa"/>
          </w:tcPr>
          <w:p w:rsidR="00000000" w:rsidRDefault="00000000">
            <w:pPr>
              <w:spacing w:line="288" w:lineRule="auto"/>
              <w:rPr>
                <w:rFonts w:hint="eastAsia"/>
                <w:spacing w:val="0"/>
                <w:sz w:val="20"/>
              </w:rPr>
            </w:pPr>
            <w:r>
              <w:rPr>
                <w:rFonts w:hint="eastAsia"/>
                <w:spacing w:val="0"/>
                <w:sz w:val="20"/>
              </w:rPr>
              <w:t>预期寿命：男子</w:t>
            </w:r>
          </w:p>
        </w:tc>
        <w:tc>
          <w:tcPr>
            <w:tcW w:w="997" w:type="dxa"/>
          </w:tcPr>
          <w:p w:rsidR="00000000" w:rsidRDefault="00000000">
            <w:pPr>
              <w:spacing w:line="288" w:lineRule="auto"/>
              <w:jc w:val="center"/>
              <w:rPr>
                <w:rFonts w:hint="eastAsia"/>
                <w:sz w:val="20"/>
              </w:rPr>
            </w:pPr>
            <w:r>
              <w:rPr>
                <w:rFonts w:hint="eastAsia"/>
                <w:sz w:val="20"/>
              </w:rPr>
              <w:t>69.3</w:t>
            </w:r>
          </w:p>
        </w:tc>
        <w:tc>
          <w:tcPr>
            <w:tcW w:w="997" w:type="dxa"/>
          </w:tcPr>
          <w:p w:rsidR="00000000" w:rsidRDefault="00000000">
            <w:pPr>
              <w:spacing w:line="288" w:lineRule="auto"/>
              <w:jc w:val="center"/>
              <w:rPr>
                <w:rFonts w:hint="eastAsia"/>
                <w:sz w:val="20"/>
              </w:rPr>
            </w:pPr>
            <w:r>
              <w:rPr>
                <w:rFonts w:hint="eastAsia"/>
                <w:sz w:val="20"/>
              </w:rPr>
              <w:t>69.5</w:t>
            </w:r>
          </w:p>
        </w:tc>
        <w:tc>
          <w:tcPr>
            <w:tcW w:w="997" w:type="dxa"/>
          </w:tcPr>
          <w:p w:rsidR="00000000" w:rsidRDefault="00000000">
            <w:pPr>
              <w:spacing w:line="288" w:lineRule="auto"/>
              <w:jc w:val="center"/>
              <w:rPr>
                <w:rFonts w:hint="eastAsia"/>
                <w:sz w:val="20"/>
              </w:rPr>
            </w:pPr>
            <w:r>
              <w:rPr>
                <w:rFonts w:hint="eastAsia"/>
                <w:sz w:val="20"/>
              </w:rPr>
              <w:t>70.0</w:t>
            </w:r>
          </w:p>
        </w:tc>
        <w:tc>
          <w:tcPr>
            <w:tcW w:w="997" w:type="dxa"/>
          </w:tcPr>
          <w:p w:rsidR="00000000" w:rsidRDefault="00000000">
            <w:pPr>
              <w:spacing w:line="288" w:lineRule="auto"/>
              <w:ind w:right="227"/>
              <w:jc w:val="right"/>
              <w:rPr>
                <w:rFonts w:hint="eastAsia"/>
                <w:sz w:val="20"/>
              </w:rPr>
            </w:pPr>
            <w:r>
              <w:rPr>
                <w:rFonts w:hint="eastAsia"/>
                <w:sz w:val="20"/>
              </w:rPr>
              <w:t>70.4</w:t>
            </w:r>
          </w:p>
        </w:tc>
        <w:tc>
          <w:tcPr>
            <w:tcW w:w="997" w:type="dxa"/>
          </w:tcPr>
          <w:p w:rsidR="00000000" w:rsidRDefault="00000000">
            <w:pPr>
              <w:spacing w:line="288" w:lineRule="auto"/>
              <w:ind w:right="227"/>
              <w:jc w:val="right"/>
              <w:rPr>
                <w:rFonts w:hint="eastAsia"/>
                <w:sz w:val="20"/>
              </w:rPr>
            </w:pPr>
            <w:r>
              <w:rPr>
                <w:rFonts w:hint="eastAsia"/>
                <w:sz w:val="20"/>
              </w:rPr>
              <w:t>70.5</w:t>
            </w:r>
          </w:p>
        </w:tc>
        <w:tc>
          <w:tcPr>
            <w:tcW w:w="997" w:type="dxa"/>
          </w:tcPr>
          <w:p w:rsidR="00000000" w:rsidRDefault="00000000">
            <w:pPr>
              <w:spacing w:line="288" w:lineRule="auto"/>
              <w:ind w:right="227"/>
              <w:jc w:val="right"/>
              <w:rPr>
                <w:rFonts w:hint="eastAsia"/>
                <w:sz w:val="20"/>
              </w:rPr>
            </w:pPr>
            <w:r>
              <w:rPr>
                <w:rFonts w:hint="eastAsia"/>
                <w:sz w:val="20"/>
              </w:rPr>
              <w:t>71.1</w:t>
            </w:r>
          </w:p>
        </w:tc>
      </w:tr>
      <w:tr w:rsidR="00000000">
        <w:tblPrEx>
          <w:tblCellMar>
            <w:top w:w="0" w:type="dxa"/>
            <w:bottom w:w="0" w:type="dxa"/>
          </w:tblCellMar>
        </w:tblPrEx>
        <w:tc>
          <w:tcPr>
            <w:tcW w:w="3588" w:type="dxa"/>
          </w:tcPr>
          <w:p w:rsidR="00000000" w:rsidRDefault="00000000">
            <w:pPr>
              <w:spacing w:line="288" w:lineRule="auto"/>
              <w:ind w:left="1111" w:hanging="119"/>
              <w:rPr>
                <w:rFonts w:hint="eastAsia"/>
                <w:spacing w:val="0"/>
                <w:sz w:val="20"/>
              </w:rPr>
            </w:pPr>
            <w:r>
              <w:rPr>
                <w:rFonts w:hint="eastAsia"/>
                <w:spacing w:val="0"/>
                <w:sz w:val="20"/>
              </w:rPr>
              <w:t>女子</w:t>
            </w:r>
          </w:p>
        </w:tc>
        <w:tc>
          <w:tcPr>
            <w:tcW w:w="997" w:type="dxa"/>
          </w:tcPr>
          <w:p w:rsidR="00000000" w:rsidRDefault="00000000">
            <w:pPr>
              <w:spacing w:line="288" w:lineRule="auto"/>
              <w:jc w:val="center"/>
              <w:rPr>
                <w:rFonts w:hint="eastAsia"/>
                <w:sz w:val="20"/>
              </w:rPr>
            </w:pPr>
            <w:r>
              <w:rPr>
                <w:rFonts w:hint="eastAsia"/>
                <w:sz w:val="20"/>
              </w:rPr>
              <w:t>76.4</w:t>
            </w:r>
          </w:p>
        </w:tc>
        <w:tc>
          <w:tcPr>
            <w:tcW w:w="997" w:type="dxa"/>
          </w:tcPr>
          <w:p w:rsidR="00000000" w:rsidRDefault="00000000">
            <w:pPr>
              <w:spacing w:line="288" w:lineRule="auto"/>
              <w:jc w:val="center"/>
              <w:rPr>
                <w:rFonts w:hint="eastAsia"/>
                <w:sz w:val="20"/>
              </w:rPr>
            </w:pPr>
            <w:r>
              <w:rPr>
                <w:rFonts w:hint="eastAsia"/>
                <w:sz w:val="20"/>
              </w:rPr>
              <w:t>76.6</w:t>
            </w:r>
          </w:p>
        </w:tc>
        <w:tc>
          <w:tcPr>
            <w:tcW w:w="997" w:type="dxa"/>
          </w:tcPr>
          <w:p w:rsidR="00000000" w:rsidRDefault="00000000">
            <w:pPr>
              <w:spacing w:line="288" w:lineRule="auto"/>
              <w:jc w:val="center"/>
              <w:rPr>
                <w:rFonts w:hint="eastAsia"/>
                <w:sz w:val="20"/>
              </w:rPr>
            </w:pPr>
            <w:r>
              <w:rPr>
                <w:rFonts w:hint="eastAsia"/>
                <w:sz w:val="20"/>
              </w:rPr>
              <w:t>76.9</w:t>
            </w:r>
          </w:p>
        </w:tc>
        <w:tc>
          <w:tcPr>
            <w:tcW w:w="997" w:type="dxa"/>
          </w:tcPr>
          <w:p w:rsidR="00000000" w:rsidRDefault="00000000">
            <w:pPr>
              <w:spacing w:line="288" w:lineRule="auto"/>
              <w:ind w:right="227"/>
              <w:jc w:val="right"/>
              <w:rPr>
                <w:rFonts w:hint="eastAsia"/>
                <w:sz w:val="20"/>
              </w:rPr>
            </w:pPr>
            <w:r>
              <w:rPr>
                <w:rFonts w:hint="eastAsia"/>
                <w:sz w:val="20"/>
              </w:rPr>
              <w:t>77.3</w:t>
            </w:r>
          </w:p>
        </w:tc>
        <w:tc>
          <w:tcPr>
            <w:tcW w:w="997" w:type="dxa"/>
          </w:tcPr>
          <w:p w:rsidR="00000000" w:rsidRDefault="00000000">
            <w:pPr>
              <w:spacing w:line="288" w:lineRule="auto"/>
              <w:ind w:right="227"/>
              <w:jc w:val="right"/>
              <w:rPr>
                <w:rFonts w:hint="eastAsia"/>
                <w:sz w:val="20"/>
              </w:rPr>
            </w:pPr>
            <w:r>
              <w:rPr>
                <w:rFonts w:hint="eastAsia"/>
                <w:sz w:val="20"/>
              </w:rPr>
              <w:t>77.5</w:t>
            </w:r>
          </w:p>
        </w:tc>
        <w:tc>
          <w:tcPr>
            <w:tcW w:w="997" w:type="dxa"/>
          </w:tcPr>
          <w:p w:rsidR="00000000" w:rsidRDefault="00000000">
            <w:pPr>
              <w:spacing w:line="288" w:lineRule="auto"/>
              <w:ind w:right="227"/>
              <w:jc w:val="right"/>
              <w:rPr>
                <w:rFonts w:hint="eastAsia"/>
                <w:sz w:val="20"/>
              </w:rPr>
            </w:pPr>
            <w:r>
              <w:rPr>
                <w:rFonts w:hint="eastAsia"/>
                <w:sz w:val="20"/>
              </w:rPr>
              <w:t>78.6</w:t>
            </w:r>
          </w:p>
        </w:tc>
      </w:tr>
      <w:tr w:rsidR="00000000">
        <w:tblPrEx>
          <w:tblCellMar>
            <w:top w:w="0" w:type="dxa"/>
            <w:bottom w:w="0" w:type="dxa"/>
          </w:tblCellMar>
        </w:tblPrEx>
        <w:tc>
          <w:tcPr>
            <w:tcW w:w="3588" w:type="dxa"/>
          </w:tcPr>
          <w:p w:rsidR="00000000" w:rsidRDefault="00000000">
            <w:pPr>
              <w:spacing w:line="288" w:lineRule="auto"/>
              <w:rPr>
                <w:spacing w:val="0"/>
                <w:sz w:val="20"/>
                <w:lang w:val="fr-CH"/>
              </w:rPr>
            </w:pPr>
            <w:r>
              <w:rPr>
                <w:rFonts w:hint="eastAsia"/>
                <w:spacing w:val="0"/>
                <w:sz w:val="20"/>
              </w:rPr>
              <w:t>每</w:t>
            </w:r>
            <w:r>
              <w:rPr>
                <w:rFonts w:hint="eastAsia"/>
                <w:spacing w:val="0"/>
                <w:sz w:val="20"/>
              </w:rPr>
              <w:t>1,000</w:t>
            </w:r>
            <w:r>
              <w:rPr>
                <w:rFonts w:hint="eastAsia"/>
                <w:spacing w:val="0"/>
                <w:sz w:val="20"/>
              </w:rPr>
              <w:t>个常住居民人口的活胎率</w:t>
            </w:r>
          </w:p>
        </w:tc>
        <w:tc>
          <w:tcPr>
            <w:tcW w:w="997" w:type="dxa"/>
          </w:tcPr>
          <w:p w:rsidR="00000000" w:rsidRDefault="00000000">
            <w:pPr>
              <w:spacing w:line="288" w:lineRule="auto"/>
              <w:jc w:val="center"/>
              <w:rPr>
                <w:rFonts w:hint="eastAsia"/>
                <w:sz w:val="20"/>
              </w:rPr>
            </w:pPr>
            <w:r>
              <w:rPr>
                <w:rFonts w:hint="eastAsia"/>
                <w:sz w:val="20"/>
              </w:rPr>
              <w:t>11.7</w:t>
            </w:r>
          </w:p>
        </w:tc>
        <w:tc>
          <w:tcPr>
            <w:tcW w:w="997" w:type="dxa"/>
          </w:tcPr>
          <w:p w:rsidR="00000000" w:rsidRDefault="00000000">
            <w:pPr>
              <w:spacing w:line="288" w:lineRule="auto"/>
              <w:jc w:val="center"/>
              <w:rPr>
                <w:rFonts w:hint="eastAsia"/>
                <w:sz w:val="20"/>
              </w:rPr>
            </w:pPr>
            <w:r>
              <w:rPr>
                <w:rFonts w:hint="eastAsia"/>
                <w:sz w:val="20"/>
              </w:rPr>
              <w:t>10.3</w:t>
            </w:r>
          </w:p>
        </w:tc>
        <w:tc>
          <w:tcPr>
            <w:tcW w:w="997" w:type="dxa"/>
          </w:tcPr>
          <w:p w:rsidR="00000000" w:rsidRDefault="00000000">
            <w:pPr>
              <w:spacing w:line="288" w:lineRule="auto"/>
              <w:jc w:val="center"/>
              <w:rPr>
                <w:rFonts w:hint="eastAsia"/>
                <w:sz w:val="20"/>
              </w:rPr>
            </w:pPr>
            <w:r>
              <w:rPr>
                <w:rFonts w:hint="eastAsia"/>
                <w:sz w:val="20"/>
              </w:rPr>
              <w:t>9.3</w:t>
            </w:r>
          </w:p>
        </w:tc>
        <w:tc>
          <w:tcPr>
            <w:tcW w:w="997" w:type="dxa"/>
          </w:tcPr>
          <w:p w:rsidR="00000000" w:rsidRDefault="00000000">
            <w:pPr>
              <w:spacing w:line="288" w:lineRule="auto"/>
              <w:ind w:right="227"/>
              <w:jc w:val="right"/>
              <w:rPr>
                <w:rFonts w:hint="eastAsia"/>
                <w:sz w:val="20"/>
              </w:rPr>
            </w:pPr>
            <w:r>
              <w:rPr>
                <w:rFonts w:hint="eastAsia"/>
                <w:sz w:val="20"/>
              </w:rPr>
              <w:t>8.8</w:t>
            </w:r>
          </w:p>
        </w:tc>
        <w:tc>
          <w:tcPr>
            <w:tcW w:w="997" w:type="dxa"/>
          </w:tcPr>
          <w:p w:rsidR="00000000" w:rsidRDefault="00000000">
            <w:pPr>
              <w:spacing w:line="288" w:lineRule="auto"/>
              <w:ind w:right="227"/>
              <w:jc w:val="right"/>
              <w:rPr>
                <w:rFonts w:hint="eastAsia"/>
                <w:sz w:val="20"/>
              </w:rPr>
            </w:pPr>
            <w:r>
              <w:rPr>
                <w:rFonts w:hint="eastAsia"/>
                <w:sz w:val="20"/>
              </w:rPr>
              <w:t>8.8</w:t>
            </w:r>
          </w:p>
        </w:tc>
        <w:tc>
          <w:tcPr>
            <w:tcW w:w="997" w:type="dxa"/>
          </w:tcPr>
          <w:p w:rsidR="00000000" w:rsidRDefault="00000000">
            <w:pPr>
              <w:spacing w:line="288" w:lineRule="auto"/>
              <w:ind w:right="227"/>
              <w:jc w:val="right"/>
              <w:rPr>
                <w:rFonts w:hint="eastAsia"/>
                <w:sz w:val="20"/>
              </w:rPr>
            </w:pPr>
            <w:r>
              <w:rPr>
                <w:rFonts w:hint="eastAsia"/>
                <w:sz w:val="20"/>
              </w:rPr>
              <w:t>8.8</w:t>
            </w:r>
          </w:p>
        </w:tc>
      </w:tr>
      <w:tr w:rsidR="00000000">
        <w:tblPrEx>
          <w:tblCellMar>
            <w:top w:w="0" w:type="dxa"/>
            <w:bottom w:w="0" w:type="dxa"/>
          </w:tblCellMar>
        </w:tblPrEx>
        <w:tc>
          <w:tcPr>
            <w:tcW w:w="3588" w:type="dxa"/>
          </w:tcPr>
          <w:p w:rsidR="00000000" w:rsidRDefault="00000000">
            <w:pPr>
              <w:spacing w:line="288" w:lineRule="auto"/>
              <w:rPr>
                <w:rFonts w:hint="eastAsia"/>
                <w:spacing w:val="0"/>
                <w:sz w:val="20"/>
              </w:rPr>
            </w:pPr>
            <w:r>
              <w:rPr>
                <w:rFonts w:hint="eastAsia"/>
                <w:spacing w:val="0"/>
                <w:sz w:val="20"/>
              </w:rPr>
              <w:t>每</w:t>
            </w:r>
            <w:r>
              <w:rPr>
                <w:rFonts w:hint="eastAsia"/>
                <w:spacing w:val="0"/>
                <w:sz w:val="20"/>
              </w:rPr>
              <w:t>1,000</w:t>
            </w:r>
            <w:r>
              <w:rPr>
                <w:rFonts w:hint="eastAsia"/>
                <w:spacing w:val="0"/>
                <w:sz w:val="20"/>
              </w:rPr>
              <w:t>个常住居民人口的</w:t>
            </w:r>
            <w:r>
              <w:rPr>
                <w:rFonts w:hint="eastAsia"/>
                <w:spacing w:val="0"/>
                <w:sz w:val="20"/>
                <w:lang w:val="fr-CH"/>
              </w:rPr>
              <w:t>死亡</w:t>
            </w:r>
            <w:r>
              <w:rPr>
                <w:rFonts w:hint="eastAsia"/>
                <w:spacing w:val="0"/>
                <w:sz w:val="20"/>
              </w:rPr>
              <w:t>率</w:t>
            </w:r>
          </w:p>
        </w:tc>
        <w:tc>
          <w:tcPr>
            <w:tcW w:w="997" w:type="dxa"/>
          </w:tcPr>
          <w:p w:rsidR="00000000" w:rsidRDefault="00000000">
            <w:pPr>
              <w:spacing w:line="288" w:lineRule="auto"/>
              <w:jc w:val="center"/>
              <w:rPr>
                <w:rFonts w:hint="eastAsia"/>
                <w:sz w:val="20"/>
              </w:rPr>
            </w:pPr>
            <w:r>
              <w:rPr>
                <w:rFonts w:hint="eastAsia"/>
                <w:sz w:val="20"/>
              </w:rPr>
              <w:t>11.4</w:t>
            </w:r>
          </w:p>
        </w:tc>
        <w:tc>
          <w:tcPr>
            <w:tcW w:w="997" w:type="dxa"/>
          </w:tcPr>
          <w:p w:rsidR="00000000" w:rsidRDefault="00000000">
            <w:pPr>
              <w:spacing w:line="288" w:lineRule="auto"/>
              <w:jc w:val="center"/>
              <w:rPr>
                <w:rFonts w:hint="eastAsia"/>
                <w:sz w:val="20"/>
              </w:rPr>
            </w:pPr>
            <w:r>
              <w:rPr>
                <w:rFonts w:hint="eastAsia"/>
                <w:sz w:val="20"/>
              </w:rPr>
              <w:t>11.4</w:t>
            </w:r>
          </w:p>
        </w:tc>
        <w:tc>
          <w:tcPr>
            <w:tcW w:w="997" w:type="dxa"/>
          </w:tcPr>
          <w:p w:rsidR="00000000" w:rsidRDefault="00000000">
            <w:pPr>
              <w:spacing w:line="288" w:lineRule="auto"/>
              <w:jc w:val="center"/>
              <w:rPr>
                <w:rFonts w:hint="eastAsia"/>
                <w:sz w:val="20"/>
              </w:rPr>
            </w:pPr>
            <w:r>
              <w:rPr>
                <w:rFonts w:hint="eastAsia"/>
                <w:sz w:val="20"/>
              </w:rPr>
              <w:t>11.4</w:t>
            </w:r>
          </w:p>
        </w:tc>
        <w:tc>
          <w:tcPr>
            <w:tcW w:w="997" w:type="dxa"/>
          </w:tcPr>
          <w:p w:rsidR="00000000" w:rsidRDefault="00000000">
            <w:pPr>
              <w:spacing w:line="288" w:lineRule="auto"/>
              <w:ind w:right="227"/>
              <w:jc w:val="right"/>
              <w:rPr>
                <w:rFonts w:hint="eastAsia"/>
                <w:sz w:val="20"/>
              </w:rPr>
            </w:pPr>
            <w:r>
              <w:rPr>
                <w:rFonts w:hint="eastAsia"/>
                <w:sz w:val="20"/>
              </w:rPr>
              <w:t>10.9</w:t>
            </w:r>
          </w:p>
        </w:tc>
        <w:tc>
          <w:tcPr>
            <w:tcW w:w="997" w:type="dxa"/>
          </w:tcPr>
          <w:p w:rsidR="00000000" w:rsidRDefault="00000000">
            <w:pPr>
              <w:spacing w:line="288" w:lineRule="auto"/>
              <w:ind w:right="227"/>
              <w:jc w:val="right"/>
              <w:rPr>
                <w:rFonts w:hint="eastAsia"/>
                <w:sz w:val="20"/>
              </w:rPr>
            </w:pPr>
            <w:r>
              <w:rPr>
                <w:rFonts w:hint="eastAsia"/>
                <w:sz w:val="20"/>
              </w:rPr>
              <w:t>10.9</w:t>
            </w:r>
          </w:p>
        </w:tc>
        <w:tc>
          <w:tcPr>
            <w:tcW w:w="997" w:type="dxa"/>
          </w:tcPr>
          <w:p w:rsidR="00000000" w:rsidRDefault="00000000">
            <w:pPr>
              <w:spacing w:line="288" w:lineRule="auto"/>
              <w:ind w:right="227"/>
              <w:jc w:val="right"/>
              <w:rPr>
                <w:rFonts w:hint="eastAsia"/>
                <w:sz w:val="20"/>
              </w:rPr>
            </w:pPr>
            <w:r>
              <w:rPr>
                <w:rFonts w:hint="eastAsia"/>
                <w:sz w:val="20"/>
              </w:rPr>
              <w:t>10.6</w:t>
            </w:r>
          </w:p>
        </w:tc>
      </w:tr>
      <w:tr w:rsidR="00000000">
        <w:tblPrEx>
          <w:tblCellMar>
            <w:top w:w="0" w:type="dxa"/>
            <w:bottom w:w="0" w:type="dxa"/>
          </w:tblCellMar>
        </w:tblPrEx>
        <w:tc>
          <w:tcPr>
            <w:tcW w:w="3588" w:type="dxa"/>
          </w:tcPr>
          <w:p w:rsidR="00000000" w:rsidRDefault="00000000">
            <w:pPr>
              <w:spacing w:line="288" w:lineRule="auto"/>
              <w:rPr>
                <w:rFonts w:hint="eastAsia"/>
                <w:spacing w:val="0"/>
                <w:sz w:val="20"/>
                <w:lang w:val="fr-CH"/>
              </w:rPr>
            </w:pPr>
            <w:r>
              <w:rPr>
                <w:rFonts w:hint="eastAsia"/>
                <w:spacing w:val="0"/>
                <w:sz w:val="20"/>
              </w:rPr>
              <w:t>每</w:t>
            </w:r>
            <w:r>
              <w:rPr>
                <w:rFonts w:hint="eastAsia"/>
                <w:spacing w:val="0"/>
                <w:sz w:val="20"/>
              </w:rPr>
              <w:t>1,000</w:t>
            </w:r>
            <w:r>
              <w:rPr>
                <w:rFonts w:hint="eastAsia"/>
                <w:spacing w:val="0"/>
                <w:sz w:val="20"/>
              </w:rPr>
              <w:t>个常住居民人口的自然增长率</w:t>
            </w:r>
          </w:p>
        </w:tc>
        <w:tc>
          <w:tcPr>
            <w:tcW w:w="997" w:type="dxa"/>
          </w:tcPr>
          <w:p w:rsidR="00000000" w:rsidRDefault="00000000">
            <w:pPr>
              <w:spacing w:line="288" w:lineRule="auto"/>
              <w:jc w:val="center"/>
              <w:rPr>
                <w:rFonts w:hint="eastAsia"/>
                <w:sz w:val="20"/>
              </w:rPr>
            </w:pPr>
            <w:r>
              <w:rPr>
                <w:rFonts w:hint="eastAsia"/>
                <w:sz w:val="20"/>
              </w:rPr>
              <w:t>0.3</w:t>
            </w:r>
          </w:p>
        </w:tc>
        <w:tc>
          <w:tcPr>
            <w:tcW w:w="997" w:type="dxa"/>
          </w:tcPr>
          <w:p w:rsidR="00000000" w:rsidRDefault="00000000">
            <w:pPr>
              <w:spacing w:line="288" w:lineRule="auto"/>
              <w:jc w:val="center"/>
              <w:rPr>
                <w:rFonts w:hint="eastAsia"/>
                <w:sz w:val="20"/>
              </w:rPr>
            </w:pPr>
            <w:r>
              <w:rPr>
                <w:rFonts w:hint="eastAsia"/>
                <w:sz w:val="20"/>
              </w:rPr>
              <w:t>-1.0</w:t>
            </w:r>
          </w:p>
        </w:tc>
        <w:tc>
          <w:tcPr>
            <w:tcW w:w="997" w:type="dxa"/>
          </w:tcPr>
          <w:p w:rsidR="00000000" w:rsidRDefault="00000000">
            <w:pPr>
              <w:spacing w:line="288" w:lineRule="auto"/>
              <w:jc w:val="center"/>
              <w:rPr>
                <w:rFonts w:hint="eastAsia"/>
                <w:sz w:val="20"/>
              </w:rPr>
            </w:pPr>
            <w:r>
              <w:rPr>
                <w:rFonts w:hint="eastAsia"/>
                <w:sz w:val="20"/>
              </w:rPr>
              <w:t>-2.1</w:t>
            </w:r>
          </w:p>
        </w:tc>
        <w:tc>
          <w:tcPr>
            <w:tcW w:w="997" w:type="dxa"/>
          </w:tcPr>
          <w:p w:rsidR="00000000" w:rsidRDefault="00000000">
            <w:pPr>
              <w:spacing w:line="288" w:lineRule="auto"/>
              <w:ind w:right="227"/>
              <w:jc w:val="right"/>
              <w:rPr>
                <w:rFonts w:hint="eastAsia"/>
                <w:sz w:val="20"/>
              </w:rPr>
            </w:pPr>
            <w:r>
              <w:rPr>
                <w:rFonts w:hint="eastAsia"/>
                <w:sz w:val="20"/>
              </w:rPr>
              <w:t>-2.2</w:t>
            </w:r>
          </w:p>
        </w:tc>
        <w:tc>
          <w:tcPr>
            <w:tcW w:w="997" w:type="dxa"/>
          </w:tcPr>
          <w:p w:rsidR="00000000" w:rsidRDefault="00000000">
            <w:pPr>
              <w:spacing w:line="288" w:lineRule="auto"/>
              <w:ind w:right="227"/>
              <w:jc w:val="right"/>
              <w:rPr>
                <w:rFonts w:hint="eastAsia"/>
                <w:sz w:val="20"/>
              </w:rPr>
            </w:pPr>
            <w:r>
              <w:rPr>
                <w:rFonts w:hint="eastAsia"/>
                <w:sz w:val="20"/>
              </w:rPr>
              <w:t>-2.1</w:t>
            </w:r>
          </w:p>
        </w:tc>
        <w:tc>
          <w:tcPr>
            <w:tcW w:w="997" w:type="dxa"/>
          </w:tcPr>
          <w:p w:rsidR="00000000" w:rsidRDefault="00000000">
            <w:pPr>
              <w:spacing w:line="288" w:lineRule="auto"/>
              <w:ind w:right="227"/>
              <w:jc w:val="right"/>
              <w:rPr>
                <w:rFonts w:hint="eastAsia"/>
                <w:sz w:val="20"/>
              </w:rPr>
            </w:pPr>
            <w:r>
              <w:rPr>
                <w:rFonts w:hint="eastAsia"/>
                <w:sz w:val="20"/>
              </w:rPr>
              <w:t>-1.8</w:t>
            </w:r>
          </w:p>
        </w:tc>
      </w:tr>
      <w:tr w:rsidR="00000000">
        <w:tblPrEx>
          <w:tblCellMar>
            <w:top w:w="0" w:type="dxa"/>
            <w:bottom w:w="0" w:type="dxa"/>
          </w:tblCellMar>
        </w:tblPrEx>
        <w:tc>
          <w:tcPr>
            <w:tcW w:w="3588" w:type="dxa"/>
          </w:tcPr>
          <w:p w:rsidR="00000000" w:rsidRDefault="00000000">
            <w:pPr>
              <w:spacing w:line="288" w:lineRule="auto"/>
              <w:rPr>
                <w:rFonts w:hint="eastAsia"/>
                <w:spacing w:val="0"/>
                <w:sz w:val="20"/>
              </w:rPr>
            </w:pPr>
            <w:r>
              <w:rPr>
                <w:rFonts w:hint="eastAsia"/>
                <w:spacing w:val="0"/>
                <w:sz w:val="20"/>
              </w:rPr>
              <w:t>每</w:t>
            </w:r>
            <w:r>
              <w:rPr>
                <w:rFonts w:hint="eastAsia"/>
                <w:spacing w:val="0"/>
                <w:sz w:val="20"/>
              </w:rPr>
              <w:t>1,000</w:t>
            </w:r>
            <w:r>
              <w:rPr>
                <w:rFonts w:hint="eastAsia"/>
                <w:spacing w:val="0"/>
                <w:sz w:val="20"/>
              </w:rPr>
              <w:t>个常住居民人口的</w:t>
            </w:r>
            <w:r>
              <w:rPr>
                <w:rFonts w:hint="eastAsia"/>
                <w:spacing w:val="0"/>
                <w:sz w:val="20"/>
                <w:lang w:val="fr-CH"/>
              </w:rPr>
              <w:t>结婚</w:t>
            </w:r>
            <w:r>
              <w:rPr>
                <w:rFonts w:hint="eastAsia"/>
                <w:spacing w:val="0"/>
                <w:sz w:val="20"/>
              </w:rPr>
              <w:t>率</w:t>
            </w:r>
          </w:p>
        </w:tc>
        <w:tc>
          <w:tcPr>
            <w:tcW w:w="997" w:type="dxa"/>
          </w:tcPr>
          <w:p w:rsidR="00000000" w:rsidRDefault="00000000">
            <w:pPr>
              <w:spacing w:line="288" w:lineRule="auto"/>
              <w:jc w:val="center"/>
              <w:rPr>
                <w:rFonts w:hint="eastAsia"/>
                <w:sz w:val="20"/>
              </w:rPr>
            </w:pPr>
            <w:r>
              <w:rPr>
                <w:rFonts w:hint="eastAsia"/>
                <w:sz w:val="20"/>
              </w:rPr>
              <w:t>6.4</w:t>
            </w:r>
          </w:p>
        </w:tc>
        <w:tc>
          <w:tcPr>
            <w:tcW w:w="997" w:type="dxa"/>
          </w:tcPr>
          <w:p w:rsidR="00000000" w:rsidRDefault="00000000">
            <w:pPr>
              <w:spacing w:line="288" w:lineRule="auto"/>
              <w:jc w:val="center"/>
              <w:rPr>
                <w:rFonts w:hint="eastAsia"/>
                <w:sz w:val="20"/>
              </w:rPr>
            </w:pPr>
            <w:r>
              <w:rPr>
                <w:rFonts w:hint="eastAsia"/>
                <w:sz w:val="20"/>
              </w:rPr>
              <w:t>5.7</w:t>
            </w:r>
          </w:p>
        </w:tc>
        <w:tc>
          <w:tcPr>
            <w:tcW w:w="997" w:type="dxa"/>
          </w:tcPr>
          <w:p w:rsidR="00000000" w:rsidRDefault="00000000">
            <w:pPr>
              <w:spacing w:line="288" w:lineRule="auto"/>
              <w:jc w:val="center"/>
              <w:rPr>
                <w:rFonts w:hint="eastAsia"/>
                <w:sz w:val="20"/>
              </w:rPr>
            </w:pPr>
            <w:r>
              <w:rPr>
                <w:rFonts w:hint="eastAsia"/>
                <w:sz w:val="20"/>
              </w:rPr>
              <w:t>5.3</w:t>
            </w:r>
          </w:p>
        </w:tc>
        <w:tc>
          <w:tcPr>
            <w:tcW w:w="997" w:type="dxa"/>
          </w:tcPr>
          <w:p w:rsidR="00000000" w:rsidRDefault="00000000">
            <w:pPr>
              <w:spacing w:line="288" w:lineRule="auto"/>
              <w:ind w:right="227"/>
              <w:jc w:val="right"/>
              <w:rPr>
                <w:rFonts w:hint="eastAsia"/>
                <w:sz w:val="20"/>
              </w:rPr>
            </w:pPr>
            <w:r>
              <w:rPr>
                <w:rFonts w:hint="eastAsia"/>
                <w:sz w:val="20"/>
              </w:rPr>
              <w:t>5.2</w:t>
            </w:r>
          </w:p>
        </w:tc>
        <w:tc>
          <w:tcPr>
            <w:tcW w:w="997" w:type="dxa"/>
          </w:tcPr>
          <w:p w:rsidR="00000000" w:rsidRDefault="00000000">
            <w:pPr>
              <w:spacing w:line="288" w:lineRule="auto"/>
              <w:ind w:right="227"/>
              <w:jc w:val="right"/>
              <w:rPr>
                <w:rFonts w:hint="eastAsia"/>
                <w:sz w:val="20"/>
              </w:rPr>
            </w:pPr>
            <w:r>
              <w:rPr>
                <w:rFonts w:hint="eastAsia"/>
                <w:sz w:val="20"/>
              </w:rPr>
              <w:t>5.6</w:t>
            </w:r>
          </w:p>
        </w:tc>
        <w:tc>
          <w:tcPr>
            <w:tcW w:w="997" w:type="dxa"/>
          </w:tcPr>
          <w:p w:rsidR="00000000" w:rsidRDefault="00000000">
            <w:pPr>
              <w:spacing w:line="288" w:lineRule="auto"/>
              <w:ind w:right="227"/>
              <w:jc w:val="right"/>
              <w:rPr>
                <w:rFonts w:hint="eastAsia"/>
                <w:sz w:val="20"/>
              </w:rPr>
            </w:pPr>
            <w:r>
              <w:rPr>
                <w:rFonts w:hint="eastAsia"/>
                <w:sz w:val="20"/>
              </w:rPr>
              <w:t>5.3</w:t>
            </w:r>
          </w:p>
        </w:tc>
      </w:tr>
      <w:tr w:rsidR="00000000">
        <w:tblPrEx>
          <w:tblCellMar>
            <w:top w:w="0" w:type="dxa"/>
            <w:bottom w:w="0" w:type="dxa"/>
          </w:tblCellMar>
        </w:tblPrEx>
        <w:tc>
          <w:tcPr>
            <w:tcW w:w="3588" w:type="dxa"/>
          </w:tcPr>
          <w:p w:rsidR="00000000" w:rsidRDefault="00000000">
            <w:pPr>
              <w:spacing w:line="288" w:lineRule="auto"/>
              <w:rPr>
                <w:rFonts w:hint="eastAsia"/>
                <w:spacing w:val="0"/>
                <w:sz w:val="20"/>
              </w:rPr>
            </w:pPr>
            <w:r>
              <w:rPr>
                <w:rFonts w:hint="eastAsia"/>
                <w:spacing w:val="0"/>
                <w:sz w:val="20"/>
              </w:rPr>
              <w:t>每</w:t>
            </w:r>
            <w:r>
              <w:rPr>
                <w:rFonts w:hint="eastAsia"/>
                <w:spacing w:val="0"/>
                <w:sz w:val="20"/>
              </w:rPr>
              <w:t>100</w:t>
            </w:r>
            <w:r>
              <w:rPr>
                <w:rFonts w:hint="eastAsia"/>
                <w:spacing w:val="0"/>
                <w:sz w:val="20"/>
              </w:rPr>
              <w:t>次结婚中的离婚率</w:t>
            </w:r>
          </w:p>
        </w:tc>
        <w:tc>
          <w:tcPr>
            <w:tcW w:w="997" w:type="dxa"/>
          </w:tcPr>
          <w:p w:rsidR="00000000" w:rsidRDefault="00000000">
            <w:pPr>
              <w:spacing w:line="288" w:lineRule="auto"/>
              <w:jc w:val="center"/>
              <w:rPr>
                <w:rFonts w:hint="eastAsia"/>
                <w:sz w:val="20"/>
              </w:rPr>
            </w:pPr>
            <w:r>
              <w:rPr>
                <w:rFonts w:hint="eastAsia"/>
                <w:sz w:val="20"/>
              </w:rPr>
              <w:t>45.8</w:t>
            </w:r>
          </w:p>
        </w:tc>
        <w:tc>
          <w:tcPr>
            <w:tcW w:w="997" w:type="dxa"/>
          </w:tcPr>
          <w:p w:rsidR="00000000" w:rsidRDefault="00000000">
            <w:pPr>
              <w:spacing w:line="288" w:lineRule="auto"/>
              <w:jc w:val="center"/>
              <w:rPr>
                <w:rFonts w:hint="eastAsia"/>
                <w:sz w:val="20"/>
              </w:rPr>
            </w:pPr>
            <w:r>
              <w:rPr>
                <w:rFonts w:hint="eastAsia"/>
                <w:sz w:val="20"/>
              </w:rPr>
              <w:t>52.9</w:t>
            </w:r>
          </w:p>
        </w:tc>
        <w:tc>
          <w:tcPr>
            <w:tcW w:w="997" w:type="dxa"/>
          </w:tcPr>
          <w:p w:rsidR="00000000" w:rsidRDefault="00000000">
            <w:pPr>
              <w:spacing w:line="288" w:lineRule="auto"/>
              <w:jc w:val="center"/>
              <w:rPr>
                <w:rFonts w:hint="eastAsia"/>
                <w:sz w:val="20"/>
              </w:rPr>
            </w:pPr>
            <w:r>
              <w:rPr>
                <w:rFonts w:hint="eastAsia"/>
                <w:sz w:val="20"/>
              </w:rPr>
              <w:t>56.7</w:t>
            </w:r>
          </w:p>
        </w:tc>
        <w:tc>
          <w:tcPr>
            <w:tcW w:w="997" w:type="dxa"/>
          </w:tcPr>
          <w:p w:rsidR="00000000" w:rsidRDefault="00000000">
            <w:pPr>
              <w:spacing w:line="288" w:lineRule="auto"/>
              <w:ind w:right="227"/>
              <w:jc w:val="right"/>
              <w:rPr>
                <w:rFonts w:hint="eastAsia"/>
                <w:sz w:val="20"/>
              </w:rPr>
            </w:pPr>
            <w:r>
              <w:rPr>
                <w:rFonts w:hint="eastAsia"/>
                <w:sz w:val="20"/>
              </w:rPr>
              <w:t>61.4</w:t>
            </w:r>
          </w:p>
        </w:tc>
        <w:tc>
          <w:tcPr>
            <w:tcW w:w="997" w:type="dxa"/>
          </w:tcPr>
          <w:p w:rsidR="00000000" w:rsidRDefault="00000000">
            <w:pPr>
              <w:spacing w:line="288" w:lineRule="auto"/>
              <w:ind w:right="227"/>
              <w:jc w:val="right"/>
              <w:rPr>
                <w:rFonts w:hint="eastAsia"/>
                <w:sz w:val="20"/>
              </w:rPr>
            </w:pPr>
            <w:r>
              <w:rPr>
                <w:rFonts w:hint="eastAsia"/>
                <w:sz w:val="20"/>
              </w:rPr>
              <w:t>56.2</w:t>
            </w:r>
          </w:p>
        </w:tc>
        <w:tc>
          <w:tcPr>
            <w:tcW w:w="997" w:type="dxa"/>
          </w:tcPr>
          <w:p w:rsidR="00000000" w:rsidRDefault="00000000">
            <w:pPr>
              <w:spacing w:line="288" w:lineRule="auto"/>
              <w:ind w:right="227"/>
              <w:jc w:val="right"/>
              <w:rPr>
                <w:rFonts w:hint="eastAsia"/>
                <w:sz w:val="20"/>
              </w:rPr>
            </w:pPr>
            <w:r>
              <w:rPr>
                <w:rFonts w:hint="eastAsia"/>
                <w:sz w:val="20"/>
              </w:rPr>
              <w:t>58.8</w:t>
            </w:r>
          </w:p>
        </w:tc>
      </w:tr>
    </w:tbl>
    <w:p w:rsidR="00000000" w:rsidRDefault="00000000">
      <w:pPr>
        <w:pStyle w:val="EndnoteText"/>
        <w:spacing w:before="320" w:after="160"/>
        <w:rPr>
          <w:rFonts w:hint="eastAsia"/>
          <w:sz w:val="21"/>
        </w:rPr>
      </w:pPr>
      <w:r>
        <w:rPr>
          <w:rFonts w:hint="eastAsia"/>
          <w:sz w:val="21"/>
          <w:u w:val="single"/>
        </w:rPr>
        <w:t>资料来源</w:t>
      </w:r>
      <w:r>
        <w:rPr>
          <w:rFonts w:hint="eastAsia"/>
          <w:sz w:val="21"/>
        </w:rPr>
        <w:t>：《捷克共和国</w:t>
      </w:r>
      <w:r>
        <w:rPr>
          <w:rFonts w:hint="eastAsia"/>
          <w:sz w:val="21"/>
        </w:rPr>
        <w:t>1999</w:t>
      </w:r>
      <w:r>
        <w:rPr>
          <w:rFonts w:hint="eastAsia"/>
          <w:sz w:val="21"/>
        </w:rPr>
        <w:t>年统计年鉴》</w:t>
      </w:r>
    </w:p>
    <w:p w:rsidR="00000000" w:rsidRDefault="00000000">
      <w:pPr>
        <w:rPr>
          <w:rFonts w:hint="eastAsia"/>
        </w:rPr>
      </w:pPr>
      <w:r>
        <w:rPr>
          <w:rFonts w:hint="eastAsia"/>
        </w:rPr>
        <w:tab/>
        <w:t xml:space="preserve">16.  </w:t>
      </w:r>
      <w:r>
        <w:rPr>
          <w:rFonts w:hint="eastAsia"/>
        </w:rPr>
        <w:t>离婚率高是一种持续的消极现象。</w:t>
      </w:r>
      <w:r>
        <w:rPr>
          <w:rFonts w:hint="eastAsia"/>
        </w:rPr>
        <w:t>1997</w:t>
      </w:r>
      <w:r>
        <w:rPr>
          <w:rFonts w:hint="eastAsia"/>
        </w:rPr>
        <w:t>年，差不多</w:t>
      </w:r>
      <w:r>
        <w:rPr>
          <w:rFonts w:hint="eastAsia"/>
        </w:rPr>
        <w:t>42%</w:t>
      </w:r>
      <w:r>
        <w:rPr>
          <w:rFonts w:hint="eastAsia"/>
        </w:rPr>
        <w:t>的婚姻都走向了离婚，而在捷克共和国成立之时，这一数字仅为</w:t>
      </w:r>
      <w:r>
        <w:rPr>
          <w:rFonts w:hint="eastAsia"/>
        </w:rPr>
        <w:t>36%</w:t>
      </w:r>
      <w:r>
        <w:rPr>
          <w:rFonts w:hint="eastAsia"/>
        </w:rPr>
        <w:t>。与此同时，</w:t>
      </w:r>
      <w:r>
        <w:rPr>
          <w:rFonts w:hint="eastAsia"/>
        </w:rPr>
        <w:t>1990</w:t>
      </w:r>
      <w:r>
        <w:rPr>
          <w:rFonts w:hint="eastAsia"/>
        </w:rPr>
        <w:t>年代的人口现象还表明人口的家庭行为出现了积极的变化</w:t>
      </w:r>
      <w:r>
        <w:rPr>
          <w:rFonts w:hint="eastAsia"/>
          <w:spacing w:val="-40"/>
          <w:sz w:val="22"/>
        </w:rPr>
        <w:t>——</w:t>
      </w:r>
      <w:r>
        <w:rPr>
          <w:sz w:val="22"/>
        </w:rPr>
        <w:t xml:space="preserve"> </w:t>
      </w:r>
      <w:r>
        <w:rPr>
          <w:rFonts w:hint="eastAsia"/>
        </w:rPr>
        <w:t>初次结婚和生第一个孩子的平均年龄在上升。以所谓的事实婚姻的形式生活在一起的夫妻的数量也在上升。</w:t>
      </w:r>
    </w:p>
    <w:p w:rsidR="00000000" w:rsidRDefault="00000000">
      <w:pPr>
        <w:rPr>
          <w:rFonts w:hint="eastAsia"/>
        </w:rPr>
      </w:pPr>
      <w:r>
        <w:rPr>
          <w:rFonts w:hint="eastAsia"/>
        </w:rPr>
        <w:tab/>
        <w:t xml:space="preserve">17.  </w:t>
      </w:r>
      <w:r>
        <w:rPr>
          <w:rFonts w:hint="eastAsia"/>
        </w:rPr>
        <w:t>人口统计状况越来越受到正在延缓人口老龄化进程的移民和常住人口数量的影响。有长期和永久居留许可的外国人的数量在上升。虽然在</w:t>
      </w:r>
      <w:r>
        <w:rPr>
          <w:rFonts w:hint="eastAsia"/>
        </w:rPr>
        <w:t>1993</w:t>
      </w:r>
      <w:r>
        <w:rPr>
          <w:rFonts w:hint="eastAsia"/>
        </w:rPr>
        <w:t>年每</w:t>
      </w:r>
      <w:r>
        <w:rPr>
          <w:rFonts w:hint="eastAsia"/>
        </w:rPr>
        <w:t>1,000</w:t>
      </w:r>
      <w:r>
        <w:rPr>
          <w:rFonts w:hint="eastAsia"/>
        </w:rPr>
        <w:t>个常住人口中只有</w:t>
      </w:r>
      <w:r>
        <w:rPr>
          <w:rFonts w:hint="eastAsia"/>
        </w:rPr>
        <w:t>7.5</w:t>
      </w:r>
      <w:r>
        <w:rPr>
          <w:rFonts w:hint="eastAsia"/>
        </w:rPr>
        <w:t>个这样的外国人，但在</w:t>
      </w:r>
      <w:r>
        <w:rPr>
          <w:rFonts w:hint="eastAsia"/>
        </w:rPr>
        <w:t>1997</w:t>
      </w:r>
      <w:r>
        <w:rPr>
          <w:rFonts w:hint="eastAsia"/>
        </w:rPr>
        <w:t>年这一数字已经达到</w:t>
      </w:r>
      <w:r>
        <w:rPr>
          <w:rFonts w:hint="eastAsia"/>
        </w:rPr>
        <w:t>23.4</w:t>
      </w:r>
      <w:r>
        <w:rPr>
          <w:rFonts w:hint="eastAsia"/>
        </w:rPr>
        <w:t>个外国人。从绝对数字来看，这意味着</w:t>
      </w:r>
      <w:r>
        <w:rPr>
          <w:rFonts w:hint="eastAsia"/>
        </w:rPr>
        <w:t>1993</w:t>
      </w:r>
      <w:r>
        <w:rPr>
          <w:rFonts w:hint="eastAsia"/>
        </w:rPr>
        <w:t>年有</w:t>
      </w:r>
      <w:r>
        <w:rPr>
          <w:rFonts w:hint="eastAsia"/>
        </w:rPr>
        <w:t>77,700</w:t>
      </w:r>
      <w:r>
        <w:rPr>
          <w:rFonts w:hint="eastAsia"/>
        </w:rPr>
        <w:t>名外国公民，</w:t>
      </w:r>
      <w:r>
        <w:rPr>
          <w:rFonts w:hint="eastAsia"/>
        </w:rPr>
        <w:t>1997</w:t>
      </w:r>
      <w:r>
        <w:rPr>
          <w:rFonts w:hint="eastAsia"/>
        </w:rPr>
        <w:t>年有</w:t>
      </w:r>
      <w:r>
        <w:rPr>
          <w:rFonts w:hint="eastAsia"/>
        </w:rPr>
        <w:t>209,800</w:t>
      </w:r>
      <w:r>
        <w:rPr>
          <w:rFonts w:hint="eastAsia"/>
        </w:rPr>
        <w:t>名外国公民。</w:t>
      </w:r>
      <w:r>
        <w:rPr>
          <w:rStyle w:val="EndnoteReference"/>
        </w:rPr>
        <w:endnoteReference w:id="1"/>
      </w:r>
      <w:r>
        <w:rPr>
          <w:rFonts w:hint="eastAsia"/>
        </w:rPr>
        <w:t xml:space="preserve"> </w:t>
      </w:r>
      <w:r>
        <w:rPr>
          <w:rFonts w:hint="eastAsia"/>
        </w:rPr>
        <w:t>向捷克共和国移民的主要来源国有斯洛伐克、越南、乌克兰、德国和俄罗斯联邦。</w:t>
      </w:r>
    </w:p>
    <w:p w:rsidR="00000000" w:rsidRDefault="00000000">
      <w:pPr>
        <w:rPr>
          <w:rFonts w:hint="eastAsia"/>
        </w:rPr>
      </w:pPr>
      <w:r>
        <w:rPr>
          <w:rFonts w:hint="eastAsia"/>
        </w:rPr>
        <w:tab/>
        <w:t xml:space="preserve">18.  </w:t>
      </w:r>
      <w:r>
        <w:rPr>
          <w:rFonts w:hint="eastAsia"/>
        </w:rPr>
        <w:t>国内移徙情况表明，迁移量尤其是较长距离的迁移量呈长期逐渐减少趋势。人口流失最多的地方是有</w:t>
      </w:r>
      <w:r>
        <w:rPr>
          <w:rFonts w:hint="eastAsia"/>
        </w:rPr>
        <w:t>54,000</w:t>
      </w:r>
      <w:r>
        <w:rPr>
          <w:rFonts w:hint="eastAsia"/>
        </w:rPr>
        <w:t>到</w:t>
      </w:r>
      <w:r>
        <w:rPr>
          <w:rFonts w:hint="eastAsia"/>
        </w:rPr>
        <w:t>100,000</w:t>
      </w:r>
      <w:r>
        <w:rPr>
          <w:rFonts w:hint="eastAsia"/>
        </w:rPr>
        <w:t>常住居民人口的中型城市以及大城市。相比之下，位于工业和行政中心周围有</w:t>
      </w:r>
      <w:r>
        <w:rPr>
          <w:rFonts w:hint="eastAsia"/>
        </w:rPr>
        <w:t>2,000</w:t>
      </w:r>
      <w:r>
        <w:rPr>
          <w:rFonts w:hint="eastAsia"/>
        </w:rPr>
        <w:t>到</w:t>
      </w:r>
      <w:r>
        <w:rPr>
          <w:rFonts w:hint="eastAsia"/>
        </w:rPr>
        <w:t>5,000</w:t>
      </w:r>
      <w:r>
        <w:rPr>
          <w:rFonts w:hint="eastAsia"/>
        </w:rPr>
        <w:t>常住居民人口的自治市的人口却在增加。之所以出现这种交替化进程，主要是由于社会原因和生态原因。在达到</w:t>
      </w:r>
      <w:r>
        <w:rPr>
          <w:rFonts w:hint="eastAsia"/>
        </w:rPr>
        <w:t>200</w:t>
      </w:r>
      <w:r>
        <w:rPr>
          <w:rFonts w:hint="eastAsia"/>
        </w:rPr>
        <w:t>和</w:t>
      </w:r>
      <w:r>
        <w:rPr>
          <w:rFonts w:hint="eastAsia"/>
        </w:rPr>
        <w:t>500</w:t>
      </w:r>
      <w:r>
        <w:rPr>
          <w:rFonts w:hint="eastAsia"/>
        </w:rPr>
        <w:t>常住居民人口的最小的农村自治市中，人口流失和老龄化的现象仍在继续之中。</w:t>
      </w:r>
    </w:p>
    <w:p w:rsidR="00000000" w:rsidRDefault="00000000">
      <w:pPr>
        <w:pStyle w:val="Heading3"/>
        <w:spacing w:before="160" w:after="160"/>
        <w:rPr>
          <w:rFonts w:hint="eastAsia"/>
        </w:rPr>
      </w:pPr>
      <w:r>
        <w:rPr>
          <w:rFonts w:hint="eastAsia"/>
          <w:u w:val="none"/>
        </w:rPr>
        <w:t xml:space="preserve">B.  </w:t>
      </w:r>
      <w:r>
        <w:rPr>
          <w:rFonts w:hint="eastAsia"/>
        </w:rPr>
        <w:t>经济状况</w:t>
      </w:r>
    </w:p>
    <w:p w:rsidR="00000000" w:rsidRDefault="00000000">
      <w:pPr>
        <w:rPr>
          <w:rFonts w:hint="eastAsia"/>
        </w:rPr>
      </w:pPr>
      <w:r>
        <w:rPr>
          <w:rFonts w:hint="eastAsia"/>
        </w:rPr>
        <w:tab/>
        <w:t xml:space="preserve">19.  </w:t>
      </w:r>
      <w:r>
        <w:rPr>
          <w:rFonts w:hint="eastAsia"/>
        </w:rPr>
        <w:t>自从</w:t>
      </w:r>
      <w:r>
        <w:rPr>
          <w:rFonts w:hint="eastAsia"/>
        </w:rPr>
        <w:t>1993</w:t>
      </w:r>
      <w:r>
        <w:rPr>
          <w:rFonts w:hint="eastAsia"/>
        </w:rPr>
        <w:t>年成立以来，捷克共和国继续加强市场经济，并创造条件促进经济更快和可持续的发展，以及促进人民生活水平的提高。这方面经济政策的主要目的是加入欧洲联盟。只要捷克共和国加速进行结构改革，它就可以应付欧洲联盟内部的竞争压力和市场力量。</w:t>
      </w:r>
      <w:r>
        <w:rPr>
          <w:rStyle w:val="EndnoteReference"/>
        </w:rPr>
        <w:endnoteReference w:id="2"/>
      </w:r>
      <w:r>
        <w:rPr>
          <w:rFonts w:hint="eastAsia"/>
        </w:rPr>
        <w:t xml:space="preserve"> </w:t>
      </w:r>
    </w:p>
    <w:p w:rsidR="00000000" w:rsidRDefault="00000000">
      <w:pPr>
        <w:rPr>
          <w:rFonts w:hint="eastAsia"/>
        </w:rPr>
      </w:pPr>
      <w:r>
        <w:rPr>
          <w:rFonts w:hint="eastAsia"/>
        </w:rPr>
        <w:tab/>
        <w:t xml:space="preserve">20.  </w:t>
      </w:r>
      <w:r>
        <w:rPr>
          <w:rFonts w:hint="eastAsia"/>
        </w:rPr>
        <w:t>捷克共和国的经济结构与发达国家的经济结构相类似。</w:t>
      </w:r>
      <w:r>
        <w:rPr>
          <w:rFonts w:hint="eastAsia"/>
        </w:rPr>
        <w:t>1997</w:t>
      </w:r>
      <w:r>
        <w:rPr>
          <w:rFonts w:hint="eastAsia"/>
        </w:rPr>
        <w:t>年，农业</w:t>
      </w:r>
      <w:r>
        <w:rPr>
          <w:rFonts w:hint="eastAsia"/>
        </w:rPr>
        <w:t>(</w:t>
      </w:r>
      <w:r>
        <w:rPr>
          <w:rFonts w:hint="eastAsia"/>
        </w:rPr>
        <w:t>包括林业、狩猎管理和养鱼在内</w:t>
      </w:r>
      <w:r>
        <w:rPr>
          <w:rFonts w:hint="eastAsia"/>
        </w:rPr>
        <w:t>)</w:t>
      </w:r>
      <w:r>
        <w:rPr>
          <w:rFonts w:hint="eastAsia"/>
        </w:rPr>
        <w:t>约占从业人口总数的</w:t>
      </w:r>
      <w:r>
        <w:rPr>
          <w:rFonts w:hint="eastAsia"/>
        </w:rPr>
        <w:t>5%</w:t>
      </w:r>
      <w:r>
        <w:rPr>
          <w:rFonts w:hint="eastAsia"/>
        </w:rPr>
        <w:t>，并且占国内生产总值的</w:t>
      </w:r>
      <w:r>
        <w:rPr>
          <w:rFonts w:hint="eastAsia"/>
        </w:rPr>
        <w:t>4%</w:t>
      </w:r>
      <w:r>
        <w:rPr>
          <w:rFonts w:hint="eastAsia"/>
        </w:rPr>
        <w:t>。</w:t>
      </w:r>
      <w:r>
        <w:rPr>
          <w:rFonts w:hint="eastAsia"/>
        </w:rPr>
        <w:t>1997</w:t>
      </w:r>
      <w:r>
        <w:rPr>
          <w:rFonts w:hint="eastAsia"/>
        </w:rPr>
        <w:t>年，人均国内生产总值约达到欧盟国家平均值的</w:t>
      </w:r>
      <w:r>
        <w:rPr>
          <w:rFonts w:hint="eastAsia"/>
        </w:rPr>
        <w:t>63%</w:t>
      </w:r>
      <w:r>
        <w:rPr>
          <w:rFonts w:hint="eastAsia"/>
        </w:rPr>
        <w:t>，即每个常住人口</w:t>
      </w:r>
      <w:r>
        <w:rPr>
          <w:rFonts w:hint="eastAsia"/>
        </w:rPr>
        <w:t>160,089</w:t>
      </w:r>
      <w:r>
        <w:rPr>
          <w:rFonts w:hint="eastAsia"/>
        </w:rPr>
        <w:t>捷克克朗</w:t>
      </w:r>
      <w:r>
        <w:rPr>
          <w:rFonts w:hint="eastAsia"/>
        </w:rPr>
        <w:t>(</w:t>
      </w:r>
      <w:r>
        <w:rPr>
          <w:rFonts w:hint="eastAsia"/>
        </w:rPr>
        <w:t>约合</w:t>
      </w:r>
      <w:r>
        <w:rPr>
          <w:rFonts w:hint="eastAsia"/>
        </w:rPr>
        <w:t>12,000</w:t>
      </w:r>
      <w:r>
        <w:rPr>
          <w:rFonts w:hint="eastAsia"/>
        </w:rPr>
        <w:t>欧元</w:t>
      </w:r>
      <w:r>
        <w:rPr>
          <w:rFonts w:hint="eastAsia"/>
        </w:rPr>
        <w:t>)</w:t>
      </w:r>
      <w:r>
        <w:rPr>
          <w:rFonts w:hint="eastAsia"/>
        </w:rPr>
        <w:t>。</w:t>
      </w:r>
    </w:p>
    <w:p w:rsidR="00000000" w:rsidRDefault="00000000">
      <w:pPr>
        <w:rPr>
          <w:rFonts w:hint="eastAsia"/>
        </w:rPr>
      </w:pPr>
      <w:r>
        <w:rPr>
          <w:rFonts w:hint="eastAsia"/>
        </w:rPr>
        <w:tab/>
        <w:t xml:space="preserve">21.  </w:t>
      </w:r>
      <w:r>
        <w:rPr>
          <w:rFonts w:hint="eastAsia"/>
        </w:rPr>
        <w:t>主要所有制形式是私人所有制。然而，在电力分配公司、矿山、钢厂和一些较大的银行中国家仍然拥有相当数量的股份。农业耕地的很大一部分也仍然归国家所有，尽管土地市场也已经自由化。大多数商品都按市场价格出售，但家用能源和服务的价格，其中包括租金在内，仍然受到控制。客车和铁路运输及电信服务的价格也受到控制。</w:t>
      </w:r>
    </w:p>
    <w:p w:rsidR="00000000" w:rsidRDefault="00000000">
      <w:pPr>
        <w:rPr>
          <w:rFonts w:hint="eastAsia"/>
        </w:rPr>
      </w:pPr>
      <w:r>
        <w:rPr>
          <w:rFonts w:hint="eastAsia"/>
        </w:rPr>
        <w:tab/>
        <w:t xml:space="preserve">22.  </w:t>
      </w:r>
      <w:r>
        <w:rPr>
          <w:rFonts w:hint="eastAsia"/>
        </w:rPr>
        <w:t>在共和国独立的头几年里，制造业由于向市场经济转型的最初步骤开始有所下降，但随后国民经济的形式出现好转，到</w:t>
      </w:r>
      <w:r>
        <w:rPr>
          <w:rFonts w:hint="eastAsia"/>
        </w:rPr>
        <w:t>1995</w:t>
      </w:r>
      <w:r>
        <w:rPr>
          <w:rFonts w:hint="eastAsia"/>
        </w:rPr>
        <w:t>年，国内生产总值增长</w:t>
      </w:r>
      <w:r>
        <w:rPr>
          <w:rFonts w:hint="eastAsia"/>
        </w:rPr>
        <w:t>6.4%</w:t>
      </w:r>
      <w:r>
        <w:rPr>
          <w:rFonts w:hint="eastAsia"/>
        </w:rPr>
        <w:t>，</w:t>
      </w:r>
      <w:r>
        <w:rPr>
          <w:rFonts w:hint="eastAsia"/>
        </w:rPr>
        <w:t>1996</w:t>
      </w:r>
      <w:r>
        <w:rPr>
          <w:rFonts w:hint="eastAsia"/>
        </w:rPr>
        <w:t>年增长</w:t>
      </w:r>
      <w:r>
        <w:rPr>
          <w:rFonts w:hint="eastAsia"/>
        </w:rPr>
        <w:t>3.8%</w:t>
      </w:r>
      <w:r>
        <w:rPr>
          <w:rFonts w:hint="eastAsia"/>
        </w:rPr>
        <w:t>。由于</w:t>
      </w:r>
      <w:r>
        <w:rPr>
          <w:rFonts w:hint="eastAsia"/>
        </w:rPr>
        <w:t>1997</w:t>
      </w:r>
      <w:r>
        <w:rPr>
          <w:rFonts w:hint="eastAsia"/>
        </w:rPr>
        <w:t>年制造业出现停滞</w:t>
      </w:r>
      <w:r>
        <w:rPr>
          <w:rFonts w:hint="eastAsia"/>
        </w:rPr>
        <w:t>(</w:t>
      </w:r>
      <w:r>
        <w:rPr>
          <w:rFonts w:hint="eastAsia"/>
        </w:rPr>
        <w:t>实际国内生产总值仅增长</w:t>
      </w:r>
      <w:r>
        <w:rPr>
          <w:rFonts w:hint="eastAsia"/>
        </w:rPr>
        <w:t>0.3%)</w:t>
      </w:r>
      <w:r>
        <w:rPr>
          <w:rFonts w:hint="eastAsia"/>
        </w:rPr>
        <w:t>以及</w:t>
      </w:r>
      <w:r>
        <w:rPr>
          <w:rFonts w:hint="eastAsia"/>
        </w:rPr>
        <w:t>1998</w:t>
      </w:r>
      <w:r>
        <w:rPr>
          <w:rFonts w:hint="eastAsia"/>
        </w:rPr>
        <w:t>年和</w:t>
      </w:r>
      <w:r>
        <w:rPr>
          <w:rFonts w:hint="eastAsia"/>
        </w:rPr>
        <w:t>1999</w:t>
      </w:r>
      <w:r>
        <w:rPr>
          <w:rFonts w:hint="eastAsia"/>
        </w:rPr>
        <w:t>年出现相当大的经济衰退，这一恢复过程被中断。整个期间经济增长率的变化主要受到外国资本流入起伏的影响，</w:t>
      </w:r>
      <w:r>
        <w:rPr>
          <w:rFonts w:hint="eastAsia"/>
        </w:rPr>
        <w:t>1995</w:t>
      </w:r>
      <w:r>
        <w:rPr>
          <w:rFonts w:hint="eastAsia"/>
        </w:rPr>
        <w:t>年，外国资本流入占到国内生产总值的</w:t>
      </w:r>
      <w:r>
        <w:rPr>
          <w:rFonts w:hint="eastAsia"/>
        </w:rPr>
        <w:t>15.8%</w:t>
      </w:r>
      <w:r>
        <w:rPr>
          <w:rFonts w:hint="eastAsia"/>
        </w:rPr>
        <w:t>，但</w:t>
      </w:r>
      <w:r>
        <w:rPr>
          <w:rFonts w:hint="eastAsia"/>
        </w:rPr>
        <w:t>1997</w:t>
      </w:r>
      <w:r>
        <w:rPr>
          <w:rFonts w:hint="eastAsia"/>
        </w:rPr>
        <w:t>年仅为</w:t>
      </w:r>
      <w:r>
        <w:rPr>
          <w:rFonts w:hint="eastAsia"/>
        </w:rPr>
        <w:t>2%</w:t>
      </w:r>
      <w:r>
        <w:rPr>
          <w:rFonts w:hint="eastAsia"/>
        </w:rPr>
        <w:t>，</w:t>
      </w:r>
      <w:r>
        <w:rPr>
          <w:rFonts w:hint="eastAsia"/>
        </w:rPr>
        <w:t>1998</w:t>
      </w:r>
      <w:r>
        <w:rPr>
          <w:rFonts w:hint="eastAsia"/>
        </w:rPr>
        <w:t>年为</w:t>
      </w:r>
      <w:r>
        <w:rPr>
          <w:rFonts w:hint="eastAsia"/>
        </w:rPr>
        <w:t>4.7%</w:t>
      </w:r>
      <w:r>
        <w:rPr>
          <w:rFonts w:hint="eastAsia"/>
        </w:rPr>
        <w:t>。</w:t>
      </w:r>
    </w:p>
    <w:p w:rsidR="00000000" w:rsidRDefault="00000000">
      <w:pPr>
        <w:rPr>
          <w:rFonts w:hint="eastAsia"/>
        </w:rPr>
      </w:pPr>
      <w:r>
        <w:rPr>
          <w:rFonts w:hint="eastAsia"/>
        </w:rPr>
        <w:tab/>
        <w:t xml:space="preserve">23.  </w:t>
      </w:r>
      <w:r>
        <w:rPr>
          <w:rFonts w:hint="eastAsia"/>
        </w:rPr>
        <w:t>在经过向有效运作的市场经济转型期间最初几年十分低的失业率之后，失业率指数在</w:t>
      </w:r>
      <w:r>
        <w:rPr>
          <w:rFonts w:hint="eastAsia"/>
        </w:rPr>
        <w:t>1997-1998</w:t>
      </w:r>
      <w:r>
        <w:rPr>
          <w:rFonts w:hint="eastAsia"/>
        </w:rPr>
        <w:t>年迅速上升；到</w:t>
      </w:r>
      <w:r>
        <w:rPr>
          <w:rFonts w:hint="eastAsia"/>
        </w:rPr>
        <w:t>1999</w:t>
      </w:r>
      <w:r>
        <w:rPr>
          <w:rFonts w:hint="eastAsia"/>
        </w:rPr>
        <w:t>年年中，失业率超过</w:t>
      </w:r>
      <w:r>
        <w:rPr>
          <w:rFonts w:hint="eastAsia"/>
        </w:rPr>
        <w:t>8%</w:t>
      </w:r>
      <w:r>
        <w:rPr>
          <w:rFonts w:hint="eastAsia"/>
        </w:rPr>
        <w:t>。失业的上升反映了经济增长和企业部门结构改革的速度开始放缓。</w:t>
      </w:r>
    </w:p>
    <w:p w:rsidR="00000000" w:rsidRDefault="00000000">
      <w:pPr>
        <w:spacing w:after="320"/>
        <w:rPr>
          <w:rFonts w:hint="eastAsia"/>
        </w:rPr>
      </w:pPr>
      <w:r>
        <w:rPr>
          <w:rFonts w:hint="eastAsia"/>
        </w:rPr>
        <w:tab/>
        <w:t xml:space="preserve">24.  </w:t>
      </w:r>
      <w:r>
        <w:rPr>
          <w:rFonts w:hint="eastAsia"/>
        </w:rPr>
        <w:t>考虑到经济正处于改革之中，捷克共和国的通货膨胀率在报告期间相对较低；通货膨胀率在</w:t>
      </w:r>
      <w:r>
        <w:rPr>
          <w:rFonts w:hint="eastAsia"/>
        </w:rPr>
        <w:t>8%</w:t>
      </w:r>
      <w:r>
        <w:rPr>
          <w:rFonts w:hint="eastAsia"/>
        </w:rPr>
        <w:t>到</w:t>
      </w:r>
      <w:r>
        <w:rPr>
          <w:rFonts w:hint="eastAsia"/>
        </w:rPr>
        <w:t>11%</w:t>
      </w:r>
      <w:r>
        <w:rPr>
          <w:rFonts w:hint="eastAsia"/>
        </w:rPr>
        <w:t>之间，</w:t>
      </w:r>
      <w:r>
        <w:rPr>
          <w:rFonts w:hint="eastAsia"/>
        </w:rPr>
        <w:t>1999</w:t>
      </w:r>
      <w:r>
        <w:rPr>
          <w:rFonts w:hint="eastAsia"/>
        </w:rPr>
        <w:t>年甚至下降到</w:t>
      </w:r>
      <w:r>
        <w:rPr>
          <w:rFonts w:hint="eastAsia"/>
        </w:rPr>
        <w:t>2.5%</w:t>
      </w:r>
      <w:r>
        <w:rPr>
          <w:rFonts w:hint="eastAsia"/>
        </w:rPr>
        <w:t>。捷克共和国的财政政策是受到高度控制的，这一点在</w:t>
      </w:r>
      <w:r>
        <w:rPr>
          <w:rFonts w:hint="eastAsia"/>
        </w:rPr>
        <w:t>1997</w:t>
      </w:r>
      <w:r>
        <w:rPr>
          <w:rFonts w:hint="eastAsia"/>
        </w:rPr>
        <w:t>年之前在批准国家预算平衡方面尤其明显。从</w:t>
      </w:r>
      <w:r>
        <w:rPr>
          <w:rFonts w:hint="eastAsia"/>
        </w:rPr>
        <w:t>1996</w:t>
      </w:r>
      <w:r>
        <w:rPr>
          <w:rFonts w:hint="eastAsia"/>
        </w:rPr>
        <w:t>年开始，预算赤字开始增加，</w:t>
      </w:r>
      <w:r>
        <w:rPr>
          <w:rFonts w:hint="eastAsia"/>
        </w:rPr>
        <w:t>1998</w:t>
      </w:r>
      <w:r>
        <w:rPr>
          <w:rFonts w:hint="eastAsia"/>
        </w:rPr>
        <w:t>年占到国内生产总值的</w:t>
      </w:r>
      <w:r>
        <w:rPr>
          <w:rFonts w:hint="eastAsia"/>
        </w:rPr>
        <w:t>1.5%</w:t>
      </w:r>
      <w:r>
        <w:rPr>
          <w:rFonts w:hint="eastAsia"/>
        </w:rPr>
        <w:t>，尽管也作出了努力来限制国家的支出。公债水平相对较低，仅为国内生产总值的</w:t>
      </w:r>
      <w:r>
        <w:rPr>
          <w:rFonts w:hint="eastAsia"/>
        </w:rPr>
        <w:t>13.2%</w:t>
      </w:r>
      <w:r>
        <w:rPr>
          <w:rFonts w:hint="eastAsia"/>
        </w:rPr>
        <w:t>。然而，考虑到预算外活动所造成的隐蔽性赤字，以及国家对经济复兴方案所作出的众多的担保，实际公债预计比上述数字要翻一番。</w:t>
      </w:r>
    </w:p>
    <w:p w:rsidR="00000000" w:rsidRDefault="00000000">
      <w:pPr>
        <w:pStyle w:val="Heading3"/>
        <w:rPr>
          <w:rFonts w:hint="eastAsia"/>
        </w:rPr>
      </w:pPr>
      <w:r>
        <w:rPr>
          <w:rFonts w:hint="eastAsia"/>
        </w:rPr>
        <w:t>捷克共和国国民经济主要指标增长情况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8"/>
        <w:gridCol w:w="1052"/>
        <w:gridCol w:w="1052"/>
        <w:gridCol w:w="1052"/>
        <w:gridCol w:w="1052"/>
        <w:gridCol w:w="1052"/>
      </w:tblGrid>
      <w:tr w:rsidR="00000000">
        <w:tblPrEx>
          <w:tblCellMar>
            <w:top w:w="0" w:type="dxa"/>
            <w:bottom w:w="0" w:type="dxa"/>
          </w:tblCellMar>
        </w:tblPrEx>
        <w:tc>
          <w:tcPr>
            <w:tcW w:w="4308" w:type="dxa"/>
            <w:tcBorders>
              <w:bottom w:val="single" w:sz="4" w:space="0" w:color="auto"/>
            </w:tcBorders>
          </w:tcPr>
          <w:p w:rsidR="00000000" w:rsidRDefault="00000000">
            <w:pPr>
              <w:spacing w:line="288" w:lineRule="auto"/>
              <w:jc w:val="center"/>
              <w:rPr>
                <w:rFonts w:hint="eastAsia"/>
                <w:sz w:val="20"/>
              </w:rPr>
            </w:pPr>
            <w:r>
              <w:rPr>
                <w:rFonts w:hint="eastAsia"/>
                <w:sz w:val="20"/>
              </w:rPr>
              <w:t>指</w:t>
            </w:r>
            <w:r>
              <w:rPr>
                <w:sz w:val="20"/>
              </w:rPr>
              <w:tab/>
            </w:r>
            <w:r>
              <w:rPr>
                <w:rFonts w:hint="eastAsia"/>
                <w:sz w:val="20"/>
              </w:rPr>
              <w:t>标</w:t>
            </w:r>
          </w:p>
        </w:tc>
        <w:tc>
          <w:tcPr>
            <w:tcW w:w="1052" w:type="dxa"/>
            <w:tcBorders>
              <w:bottom w:val="single" w:sz="4" w:space="0" w:color="auto"/>
            </w:tcBorders>
          </w:tcPr>
          <w:p w:rsidR="00000000" w:rsidRDefault="00000000">
            <w:pPr>
              <w:spacing w:line="288" w:lineRule="auto"/>
              <w:jc w:val="center"/>
              <w:rPr>
                <w:rFonts w:hint="eastAsia"/>
                <w:sz w:val="20"/>
              </w:rPr>
            </w:pPr>
            <w:r>
              <w:rPr>
                <w:rFonts w:hint="eastAsia"/>
                <w:sz w:val="20"/>
              </w:rPr>
              <w:t>1994</w:t>
            </w:r>
            <w:r>
              <w:rPr>
                <w:rFonts w:hint="eastAsia"/>
                <w:sz w:val="20"/>
              </w:rPr>
              <w:t>年</w:t>
            </w:r>
          </w:p>
        </w:tc>
        <w:tc>
          <w:tcPr>
            <w:tcW w:w="1052" w:type="dxa"/>
            <w:tcBorders>
              <w:bottom w:val="single" w:sz="4" w:space="0" w:color="auto"/>
            </w:tcBorders>
          </w:tcPr>
          <w:p w:rsidR="00000000" w:rsidRDefault="00000000">
            <w:pPr>
              <w:spacing w:line="288" w:lineRule="auto"/>
              <w:jc w:val="center"/>
              <w:rPr>
                <w:rFonts w:hint="eastAsia"/>
                <w:sz w:val="20"/>
              </w:rPr>
            </w:pPr>
            <w:r>
              <w:rPr>
                <w:rFonts w:hint="eastAsia"/>
                <w:sz w:val="20"/>
              </w:rPr>
              <w:t>1995</w:t>
            </w:r>
            <w:r>
              <w:rPr>
                <w:rFonts w:hint="eastAsia"/>
                <w:sz w:val="20"/>
              </w:rPr>
              <w:t>年</w:t>
            </w:r>
          </w:p>
        </w:tc>
        <w:tc>
          <w:tcPr>
            <w:tcW w:w="1052" w:type="dxa"/>
            <w:tcBorders>
              <w:bottom w:val="single" w:sz="4" w:space="0" w:color="auto"/>
            </w:tcBorders>
          </w:tcPr>
          <w:p w:rsidR="00000000" w:rsidRDefault="00000000">
            <w:pPr>
              <w:spacing w:line="288" w:lineRule="auto"/>
              <w:jc w:val="center"/>
              <w:rPr>
                <w:rFonts w:hint="eastAsia"/>
                <w:sz w:val="20"/>
              </w:rPr>
            </w:pPr>
            <w:r>
              <w:rPr>
                <w:rFonts w:hint="eastAsia"/>
                <w:sz w:val="20"/>
              </w:rPr>
              <w:t>1996</w:t>
            </w:r>
            <w:r>
              <w:rPr>
                <w:rFonts w:hint="eastAsia"/>
                <w:sz w:val="20"/>
              </w:rPr>
              <w:t>年</w:t>
            </w:r>
          </w:p>
        </w:tc>
        <w:tc>
          <w:tcPr>
            <w:tcW w:w="1052" w:type="dxa"/>
            <w:tcBorders>
              <w:bottom w:val="single" w:sz="4" w:space="0" w:color="auto"/>
            </w:tcBorders>
          </w:tcPr>
          <w:p w:rsidR="00000000" w:rsidRDefault="00000000">
            <w:pPr>
              <w:spacing w:line="288" w:lineRule="auto"/>
              <w:jc w:val="center"/>
              <w:rPr>
                <w:rFonts w:hint="eastAsia"/>
                <w:sz w:val="20"/>
              </w:rPr>
            </w:pPr>
            <w:r>
              <w:rPr>
                <w:rFonts w:hint="eastAsia"/>
                <w:sz w:val="20"/>
              </w:rPr>
              <w:t>1997</w:t>
            </w:r>
            <w:r>
              <w:rPr>
                <w:rFonts w:hint="eastAsia"/>
                <w:sz w:val="20"/>
              </w:rPr>
              <w:t>年</w:t>
            </w:r>
          </w:p>
        </w:tc>
        <w:tc>
          <w:tcPr>
            <w:tcW w:w="1052" w:type="dxa"/>
            <w:tcBorders>
              <w:bottom w:val="single" w:sz="4" w:space="0" w:color="auto"/>
            </w:tcBorders>
          </w:tcPr>
          <w:p w:rsidR="00000000" w:rsidRDefault="00000000">
            <w:pPr>
              <w:spacing w:line="288" w:lineRule="auto"/>
              <w:jc w:val="center"/>
              <w:rPr>
                <w:rFonts w:hint="eastAsia"/>
                <w:sz w:val="20"/>
              </w:rPr>
            </w:pPr>
            <w:r>
              <w:rPr>
                <w:rFonts w:hint="eastAsia"/>
                <w:sz w:val="20"/>
              </w:rPr>
              <w:t>1998</w:t>
            </w:r>
            <w:r>
              <w:rPr>
                <w:rFonts w:hint="eastAsia"/>
                <w:sz w:val="20"/>
              </w:rPr>
              <w:t>年</w:t>
            </w:r>
          </w:p>
        </w:tc>
      </w:tr>
      <w:tr w:rsidR="00000000">
        <w:tblPrEx>
          <w:tblCellMar>
            <w:top w:w="0" w:type="dxa"/>
            <w:bottom w:w="0" w:type="dxa"/>
          </w:tblCellMar>
        </w:tblPrEx>
        <w:tc>
          <w:tcPr>
            <w:tcW w:w="4308" w:type="dxa"/>
            <w:tcBorders>
              <w:bottom w:val="nil"/>
            </w:tcBorders>
          </w:tcPr>
          <w:p w:rsidR="00000000" w:rsidRDefault="00000000">
            <w:pPr>
              <w:spacing w:line="288" w:lineRule="auto"/>
              <w:rPr>
                <w:sz w:val="20"/>
                <w:lang w:val="fr-CH"/>
              </w:rPr>
            </w:pPr>
            <w:r>
              <w:rPr>
                <w:rFonts w:hint="eastAsia"/>
                <w:sz w:val="20"/>
              </w:rPr>
              <w:t>实际国内生产总值增长百分比</w:t>
            </w:r>
          </w:p>
        </w:tc>
        <w:tc>
          <w:tcPr>
            <w:tcW w:w="1052" w:type="dxa"/>
            <w:tcBorders>
              <w:bottom w:val="nil"/>
            </w:tcBorders>
          </w:tcPr>
          <w:p w:rsidR="00000000" w:rsidRDefault="00000000">
            <w:pPr>
              <w:spacing w:line="288" w:lineRule="auto"/>
              <w:ind w:right="284"/>
              <w:jc w:val="right"/>
              <w:rPr>
                <w:rFonts w:hint="eastAsia"/>
                <w:sz w:val="20"/>
              </w:rPr>
            </w:pPr>
            <w:r>
              <w:rPr>
                <w:rFonts w:hint="eastAsia"/>
                <w:sz w:val="20"/>
              </w:rPr>
              <w:t>2.7</w:t>
            </w:r>
          </w:p>
        </w:tc>
        <w:tc>
          <w:tcPr>
            <w:tcW w:w="1052" w:type="dxa"/>
            <w:tcBorders>
              <w:bottom w:val="nil"/>
            </w:tcBorders>
          </w:tcPr>
          <w:p w:rsidR="00000000" w:rsidRDefault="00000000">
            <w:pPr>
              <w:spacing w:line="288" w:lineRule="auto"/>
              <w:ind w:right="284"/>
              <w:jc w:val="right"/>
              <w:rPr>
                <w:rFonts w:hint="eastAsia"/>
                <w:sz w:val="20"/>
              </w:rPr>
            </w:pPr>
            <w:r>
              <w:rPr>
                <w:rFonts w:hint="eastAsia"/>
                <w:sz w:val="20"/>
              </w:rPr>
              <w:t>6.4</w:t>
            </w:r>
          </w:p>
        </w:tc>
        <w:tc>
          <w:tcPr>
            <w:tcW w:w="1052" w:type="dxa"/>
            <w:tcBorders>
              <w:bottom w:val="nil"/>
            </w:tcBorders>
          </w:tcPr>
          <w:p w:rsidR="00000000" w:rsidRDefault="00000000">
            <w:pPr>
              <w:spacing w:line="288" w:lineRule="auto"/>
              <w:ind w:right="284"/>
              <w:jc w:val="right"/>
              <w:rPr>
                <w:rFonts w:hint="eastAsia"/>
                <w:sz w:val="20"/>
              </w:rPr>
            </w:pPr>
            <w:r>
              <w:rPr>
                <w:rFonts w:hint="eastAsia"/>
                <w:sz w:val="20"/>
              </w:rPr>
              <w:t>3.9</w:t>
            </w:r>
          </w:p>
        </w:tc>
        <w:tc>
          <w:tcPr>
            <w:tcW w:w="1052" w:type="dxa"/>
            <w:tcBorders>
              <w:bottom w:val="nil"/>
            </w:tcBorders>
          </w:tcPr>
          <w:p w:rsidR="00000000" w:rsidRDefault="00000000">
            <w:pPr>
              <w:spacing w:line="288" w:lineRule="auto"/>
              <w:ind w:right="284"/>
              <w:jc w:val="right"/>
              <w:rPr>
                <w:rFonts w:hint="eastAsia"/>
                <w:sz w:val="20"/>
              </w:rPr>
            </w:pPr>
            <w:r>
              <w:rPr>
                <w:rFonts w:hint="eastAsia"/>
                <w:sz w:val="20"/>
              </w:rPr>
              <w:t>1.0</w:t>
            </w:r>
          </w:p>
        </w:tc>
        <w:tc>
          <w:tcPr>
            <w:tcW w:w="1052" w:type="dxa"/>
            <w:tcBorders>
              <w:bottom w:val="nil"/>
            </w:tcBorders>
          </w:tcPr>
          <w:p w:rsidR="00000000" w:rsidRDefault="00000000">
            <w:pPr>
              <w:spacing w:line="288" w:lineRule="auto"/>
              <w:ind w:right="284"/>
              <w:jc w:val="right"/>
              <w:rPr>
                <w:rFonts w:hint="eastAsia"/>
                <w:sz w:val="20"/>
              </w:rPr>
            </w:pPr>
            <w:r>
              <w:rPr>
                <w:rFonts w:hint="eastAsia"/>
                <w:sz w:val="20"/>
              </w:rPr>
              <w:t>-2.3</w:t>
            </w:r>
          </w:p>
        </w:tc>
      </w:tr>
      <w:tr w:rsidR="00000000">
        <w:tblPrEx>
          <w:tblCellMar>
            <w:top w:w="0" w:type="dxa"/>
            <w:bottom w:w="0" w:type="dxa"/>
          </w:tblCellMar>
        </w:tblPrEx>
        <w:tc>
          <w:tcPr>
            <w:tcW w:w="4308" w:type="dxa"/>
            <w:tcBorders>
              <w:top w:val="nil"/>
              <w:bottom w:val="nil"/>
            </w:tcBorders>
          </w:tcPr>
          <w:p w:rsidR="00000000" w:rsidRDefault="00000000">
            <w:pPr>
              <w:spacing w:line="288" w:lineRule="auto"/>
              <w:rPr>
                <w:rFonts w:hint="eastAsia"/>
                <w:sz w:val="20"/>
                <w:lang w:val="fr-CH"/>
              </w:rPr>
            </w:pPr>
            <w:r>
              <w:rPr>
                <w:rFonts w:hint="eastAsia"/>
                <w:sz w:val="20"/>
              </w:rPr>
              <w:t>通货膨胀百分比</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10.0</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9.1</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8.8</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8.5</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10.7</w:t>
            </w:r>
          </w:p>
        </w:tc>
      </w:tr>
      <w:tr w:rsidR="00000000">
        <w:tblPrEx>
          <w:tblCellMar>
            <w:top w:w="0" w:type="dxa"/>
            <w:bottom w:w="0" w:type="dxa"/>
          </w:tblCellMar>
        </w:tblPrEx>
        <w:tc>
          <w:tcPr>
            <w:tcW w:w="4308" w:type="dxa"/>
            <w:tcBorders>
              <w:top w:val="nil"/>
              <w:bottom w:val="nil"/>
            </w:tcBorders>
          </w:tcPr>
          <w:p w:rsidR="00000000" w:rsidRDefault="00000000">
            <w:pPr>
              <w:spacing w:line="288" w:lineRule="auto"/>
              <w:rPr>
                <w:rFonts w:hint="eastAsia"/>
                <w:sz w:val="20"/>
              </w:rPr>
            </w:pPr>
            <w:r>
              <w:rPr>
                <w:sz w:val="20"/>
              </w:rPr>
              <w:t xml:space="preserve">  </w:t>
            </w:r>
            <w:r>
              <w:rPr>
                <w:rFonts w:hint="eastAsia"/>
                <w:sz w:val="20"/>
              </w:rPr>
              <w:t>失业率百分比：</w:t>
            </w:r>
          </w:p>
        </w:tc>
        <w:tc>
          <w:tcPr>
            <w:tcW w:w="1052" w:type="dxa"/>
            <w:tcBorders>
              <w:top w:val="nil"/>
              <w:bottom w:val="nil"/>
            </w:tcBorders>
          </w:tcPr>
          <w:p w:rsidR="00000000" w:rsidRDefault="00000000">
            <w:pPr>
              <w:spacing w:line="288" w:lineRule="auto"/>
              <w:ind w:right="284"/>
              <w:jc w:val="right"/>
              <w:rPr>
                <w:rFonts w:hint="eastAsia"/>
                <w:sz w:val="20"/>
              </w:rPr>
            </w:pPr>
          </w:p>
        </w:tc>
        <w:tc>
          <w:tcPr>
            <w:tcW w:w="1052" w:type="dxa"/>
            <w:tcBorders>
              <w:top w:val="nil"/>
              <w:bottom w:val="nil"/>
            </w:tcBorders>
          </w:tcPr>
          <w:p w:rsidR="00000000" w:rsidRDefault="00000000">
            <w:pPr>
              <w:spacing w:line="288" w:lineRule="auto"/>
              <w:ind w:right="284"/>
              <w:jc w:val="right"/>
              <w:rPr>
                <w:rFonts w:hint="eastAsia"/>
                <w:sz w:val="20"/>
              </w:rPr>
            </w:pPr>
          </w:p>
        </w:tc>
        <w:tc>
          <w:tcPr>
            <w:tcW w:w="1052" w:type="dxa"/>
            <w:tcBorders>
              <w:top w:val="nil"/>
              <w:bottom w:val="nil"/>
            </w:tcBorders>
          </w:tcPr>
          <w:p w:rsidR="00000000" w:rsidRDefault="00000000">
            <w:pPr>
              <w:spacing w:line="288" w:lineRule="auto"/>
              <w:ind w:right="284"/>
              <w:jc w:val="right"/>
              <w:rPr>
                <w:rFonts w:hint="eastAsia"/>
                <w:sz w:val="20"/>
              </w:rPr>
            </w:pPr>
          </w:p>
        </w:tc>
        <w:tc>
          <w:tcPr>
            <w:tcW w:w="1052" w:type="dxa"/>
            <w:tcBorders>
              <w:top w:val="nil"/>
              <w:bottom w:val="nil"/>
            </w:tcBorders>
          </w:tcPr>
          <w:p w:rsidR="00000000" w:rsidRDefault="00000000">
            <w:pPr>
              <w:spacing w:line="288" w:lineRule="auto"/>
              <w:ind w:right="284"/>
              <w:jc w:val="right"/>
              <w:rPr>
                <w:rFonts w:hint="eastAsia"/>
                <w:sz w:val="20"/>
              </w:rPr>
            </w:pPr>
          </w:p>
        </w:tc>
        <w:tc>
          <w:tcPr>
            <w:tcW w:w="1052" w:type="dxa"/>
            <w:tcBorders>
              <w:top w:val="nil"/>
              <w:bottom w:val="nil"/>
            </w:tcBorders>
          </w:tcPr>
          <w:p w:rsidR="00000000" w:rsidRDefault="00000000">
            <w:pPr>
              <w:spacing w:line="288" w:lineRule="auto"/>
              <w:ind w:right="284"/>
              <w:jc w:val="right"/>
              <w:rPr>
                <w:rFonts w:hint="eastAsia"/>
                <w:sz w:val="20"/>
              </w:rPr>
            </w:pPr>
          </w:p>
        </w:tc>
      </w:tr>
      <w:tr w:rsidR="00000000">
        <w:tblPrEx>
          <w:tblCellMar>
            <w:top w:w="0" w:type="dxa"/>
            <w:bottom w:w="0" w:type="dxa"/>
          </w:tblCellMar>
        </w:tblPrEx>
        <w:tc>
          <w:tcPr>
            <w:tcW w:w="4308" w:type="dxa"/>
            <w:tcBorders>
              <w:top w:val="nil"/>
              <w:bottom w:val="nil"/>
            </w:tcBorders>
          </w:tcPr>
          <w:p w:rsidR="00000000" w:rsidRDefault="00000000">
            <w:pPr>
              <w:spacing w:line="288" w:lineRule="auto"/>
              <w:rPr>
                <w:rFonts w:hint="eastAsia"/>
                <w:sz w:val="20"/>
              </w:rPr>
            </w:pPr>
            <w:r>
              <w:rPr>
                <w:rFonts w:hint="eastAsia"/>
                <w:sz w:val="20"/>
              </w:rPr>
              <w:t xml:space="preserve">  </w:t>
            </w:r>
            <w:r>
              <w:rPr>
                <w:rFonts w:hint="eastAsia"/>
                <w:sz w:val="20"/>
              </w:rPr>
              <w:t>按劳工组织定义</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3.8</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4.1</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3.5</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4.7</w:t>
            </w:r>
          </w:p>
        </w:tc>
        <w:tc>
          <w:tcPr>
            <w:tcW w:w="1052" w:type="dxa"/>
            <w:tcBorders>
              <w:top w:val="nil"/>
              <w:bottom w:val="nil"/>
            </w:tcBorders>
          </w:tcPr>
          <w:p w:rsidR="00000000" w:rsidRDefault="00000000">
            <w:pPr>
              <w:spacing w:line="288" w:lineRule="auto"/>
              <w:ind w:right="284"/>
              <w:jc w:val="right"/>
              <w:rPr>
                <w:rFonts w:hint="eastAsia"/>
                <w:sz w:val="20"/>
              </w:rPr>
            </w:pPr>
            <w:r>
              <w:rPr>
                <w:rFonts w:hint="eastAsia"/>
                <w:sz w:val="20"/>
              </w:rPr>
              <w:t>7.3</w:t>
            </w:r>
          </w:p>
        </w:tc>
      </w:tr>
      <w:tr w:rsidR="00000000">
        <w:tblPrEx>
          <w:tblCellMar>
            <w:top w:w="0" w:type="dxa"/>
            <w:bottom w:w="0" w:type="dxa"/>
          </w:tblCellMar>
        </w:tblPrEx>
        <w:tc>
          <w:tcPr>
            <w:tcW w:w="4308" w:type="dxa"/>
            <w:tcBorders>
              <w:top w:val="nil"/>
            </w:tcBorders>
          </w:tcPr>
          <w:p w:rsidR="00000000" w:rsidRDefault="00000000">
            <w:pPr>
              <w:spacing w:line="288" w:lineRule="auto"/>
              <w:rPr>
                <w:rFonts w:hint="eastAsia"/>
                <w:sz w:val="20"/>
              </w:rPr>
            </w:pPr>
            <w:r>
              <w:rPr>
                <w:rFonts w:hint="eastAsia"/>
                <w:sz w:val="20"/>
              </w:rPr>
              <w:t xml:space="preserve">  </w:t>
            </w:r>
            <w:r>
              <w:rPr>
                <w:rFonts w:hint="eastAsia"/>
                <w:sz w:val="20"/>
              </w:rPr>
              <w:t>登记失业率</w:t>
            </w:r>
          </w:p>
        </w:tc>
        <w:tc>
          <w:tcPr>
            <w:tcW w:w="1052" w:type="dxa"/>
            <w:tcBorders>
              <w:top w:val="nil"/>
            </w:tcBorders>
          </w:tcPr>
          <w:p w:rsidR="00000000" w:rsidRDefault="00000000">
            <w:pPr>
              <w:spacing w:line="288" w:lineRule="auto"/>
              <w:ind w:right="284"/>
              <w:jc w:val="right"/>
              <w:rPr>
                <w:rFonts w:hint="eastAsia"/>
                <w:sz w:val="20"/>
              </w:rPr>
            </w:pPr>
            <w:r>
              <w:rPr>
                <w:rFonts w:hint="eastAsia"/>
                <w:sz w:val="20"/>
              </w:rPr>
              <w:t>3.2</w:t>
            </w:r>
          </w:p>
        </w:tc>
        <w:tc>
          <w:tcPr>
            <w:tcW w:w="1052" w:type="dxa"/>
            <w:tcBorders>
              <w:top w:val="nil"/>
            </w:tcBorders>
          </w:tcPr>
          <w:p w:rsidR="00000000" w:rsidRDefault="00000000">
            <w:pPr>
              <w:spacing w:line="288" w:lineRule="auto"/>
              <w:ind w:right="284"/>
              <w:jc w:val="right"/>
              <w:rPr>
                <w:rFonts w:hint="eastAsia"/>
                <w:sz w:val="20"/>
              </w:rPr>
            </w:pPr>
            <w:r>
              <w:rPr>
                <w:rFonts w:hint="eastAsia"/>
                <w:sz w:val="20"/>
              </w:rPr>
              <w:t>3.0</w:t>
            </w:r>
          </w:p>
        </w:tc>
        <w:tc>
          <w:tcPr>
            <w:tcW w:w="1052" w:type="dxa"/>
            <w:tcBorders>
              <w:top w:val="nil"/>
            </w:tcBorders>
          </w:tcPr>
          <w:p w:rsidR="00000000" w:rsidRDefault="00000000">
            <w:pPr>
              <w:spacing w:line="288" w:lineRule="auto"/>
              <w:ind w:right="284"/>
              <w:jc w:val="right"/>
              <w:rPr>
                <w:rFonts w:hint="eastAsia"/>
                <w:sz w:val="20"/>
              </w:rPr>
            </w:pPr>
            <w:r>
              <w:rPr>
                <w:rFonts w:hint="eastAsia"/>
                <w:sz w:val="20"/>
              </w:rPr>
              <w:t>3.5</w:t>
            </w:r>
          </w:p>
        </w:tc>
        <w:tc>
          <w:tcPr>
            <w:tcW w:w="1052" w:type="dxa"/>
            <w:tcBorders>
              <w:top w:val="nil"/>
            </w:tcBorders>
          </w:tcPr>
          <w:p w:rsidR="00000000" w:rsidRDefault="00000000">
            <w:pPr>
              <w:spacing w:line="288" w:lineRule="auto"/>
              <w:ind w:right="284"/>
              <w:jc w:val="right"/>
              <w:rPr>
                <w:rFonts w:hint="eastAsia"/>
                <w:sz w:val="20"/>
              </w:rPr>
            </w:pPr>
            <w:r>
              <w:rPr>
                <w:rFonts w:hint="eastAsia"/>
                <w:sz w:val="20"/>
              </w:rPr>
              <w:t>5.2</w:t>
            </w:r>
          </w:p>
        </w:tc>
        <w:tc>
          <w:tcPr>
            <w:tcW w:w="1052" w:type="dxa"/>
            <w:tcBorders>
              <w:top w:val="nil"/>
            </w:tcBorders>
          </w:tcPr>
          <w:p w:rsidR="00000000" w:rsidRDefault="00000000">
            <w:pPr>
              <w:spacing w:line="288" w:lineRule="auto"/>
              <w:ind w:right="284"/>
              <w:jc w:val="right"/>
              <w:rPr>
                <w:rFonts w:hint="eastAsia"/>
                <w:sz w:val="20"/>
              </w:rPr>
            </w:pPr>
            <w:r>
              <w:rPr>
                <w:rFonts w:hint="eastAsia"/>
                <w:sz w:val="20"/>
              </w:rPr>
              <w:t>7.4</w:t>
            </w:r>
          </w:p>
        </w:tc>
      </w:tr>
      <w:tr w:rsidR="00000000">
        <w:tblPrEx>
          <w:tblCellMar>
            <w:top w:w="0" w:type="dxa"/>
            <w:bottom w:w="0" w:type="dxa"/>
          </w:tblCellMar>
        </w:tblPrEx>
        <w:tc>
          <w:tcPr>
            <w:tcW w:w="4308" w:type="dxa"/>
          </w:tcPr>
          <w:p w:rsidR="00000000" w:rsidRDefault="00000000">
            <w:pPr>
              <w:spacing w:line="288" w:lineRule="auto"/>
              <w:rPr>
                <w:sz w:val="20"/>
                <w:lang w:val="fr-CH"/>
              </w:rPr>
            </w:pPr>
            <w:r>
              <w:rPr>
                <w:rFonts w:hint="eastAsia"/>
                <w:sz w:val="20"/>
              </w:rPr>
              <w:t>公共预算差额：占国内生产总值百分比</w:t>
            </w:r>
          </w:p>
        </w:tc>
        <w:tc>
          <w:tcPr>
            <w:tcW w:w="1052" w:type="dxa"/>
          </w:tcPr>
          <w:p w:rsidR="00000000" w:rsidRDefault="00000000">
            <w:pPr>
              <w:spacing w:line="288" w:lineRule="auto"/>
              <w:ind w:right="284"/>
              <w:jc w:val="right"/>
              <w:rPr>
                <w:rFonts w:hint="eastAsia"/>
                <w:sz w:val="20"/>
              </w:rPr>
            </w:pPr>
            <w:r>
              <w:rPr>
                <w:rFonts w:hint="eastAsia"/>
                <w:sz w:val="20"/>
              </w:rPr>
              <w:t>-1.3</w:t>
            </w:r>
          </w:p>
        </w:tc>
        <w:tc>
          <w:tcPr>
            <w:tcW w:w="1052" w:type="dxa"/>
          </w:tcPr>
          <w:p w:rsidR="00000000" w:rsidRDefault="00000000">
            <w:pPr>
              <w:spacing w:line="288" w:lineRule="auto"/>
              <w:ind w:right="284"/>
              <w:jc w:val="right"/>
              <w:rPr>
                <w:rFonts w:hint="eastAsia"/>
                <w:sz w:val="20"/>
              </w:rPr>
            </w:pPr>
            <w:r>
              <w:rPr>
                <w:rFonts w:hint="eastAsia"/>
                <w:sz w:val="20"/>
              </w:rPr>
              <w:t>-1.3</w:t>
            </w:r>
          </w:p>
        </w:tc>
        <w:tc>
          <w:tcPr>
            <w:tcW w:w="1052" w:type="dxa"/>
          </w:tcPr>
          <w:p w:rsidR="00000000" w:rsidRDefault="00000000">
            <w:pPr>
              <w:spacing w:line="288" w:lineRule="auto"/>
              <w:ind w:right="284"/>
              <w:jc w:val="right"/>
              <w:rPr>
                <w:rFonts w:hint="eastAsia"/>
                <w:sz w:val="20"/>
              </w:rPr>
            </w:pPr>
            <w:r>
              <w:rPr>
                <w:rFonts w:hint="eastAsia"/>
                <w:sz w:val="20"/>
              </w:rPr>
              <w:t>-1.8</w:t>
            </w:r>
          </w:p>
        </w:tc>
        <w:tc>
          <w:tcPr>
            <w:tcW w:w="1052" w:type="dxa"/>
          </w:tcPr>
          <w:p w:rsidR="00000000" w:rsidRDefault="00000000">
            <w:pPr>
              <w:spacing w:line="288" w:lineRule="auto"/>
              <w:ind w:right="284"/>
              <w:jc w:val="right"/>
              <w:rPr>
                <w:rFonts w:hint="eastAsia"/>
                <w:sz w:val="20"/>
              </w:rPr>
            </w:pPr>
            <w:r>
              <w:rPr>
                <w:rFonts w:hint="eastAsia"/>
                <w:sz w:val="20"/>
              </w:rPr>
              <w:t>-2.2</w:t>
            </w:r>
          </w:p>
        </w:tc>
        <w:tc>
          <w:tcPr>
            <w:tcW w:w="1052" w:type="dxa"/>
          </w:tcPr>
          <w:p w:rsidR="00000000" w:rsidRDefault="00000000">
            <w:pPr>
              <w:spacing w:line="288" w:lineRule="auto"/>
              <w:ind w:right="284"/>
              <w:jc w:val="right"/>
              <w:rPr>
                <w:rFonts w:hint="eastAsia"/>
                <w:sz w:val="20"/>
              </w:rPr>
            </w:pPr>
            <w:r>
              <w:rPr>
                <w:rFonts w:hint="eastAsia"/>
                <w:sz w:val="20"/>
              </w:rPr>
              <w:t>-1.5</w:t>
            </w:r>
          </w:p>
        </w:tc>
      </w:tr>
      <w:tr w:rsidR="00000000">
        <w:tblPrEx>
          <w:tblCellMar>
            <w:top w:w="0" w:type="dxa"/>
            <w:bottom w:w="0" w:type="dxa"/>
          </w:tblCellMar>
        </w:tblPrEx>
        <w:tc>
          <w:tcPr>
            <w:tcW w:w="4308" w:type="dxa"/>
          </w:tcPr>
          <w:p w:rsidR="00000000" w:rsidRDefault="00000000">
            <w:pPr>
              <w:spacing w:line="288" w:lineRule="auto"/>
              <w:rPr>
                <w:rFonts w:hint="eastAsia"/>
                <w:sz w:val="20"/>
              </w:rPr>
            </w:pPr>
            <w:r>
              <w:rPr>
                <w:rFonts w:hint="eastAsia"/>
                <w:sz w:val="20"/>
              </w:rPr>
              <w:t>经常项目差额：占国内生产总值百分比</w:t>
            </w:r>
          </w:p>
        </w:tc>
        <w:tc>
          <w:tcPr>
            <w:tcW w:w="1052" w:type="dxa"/>
          </w:tcPr>
          <w:p w:rsidR="00000000" w:rsidRDefault="00000000">
            <w:pPr>
              <w:spacing w:line="288" w:lineRule="auto"/>
              <w:ind w:right="284"/>
              <w:jc w:val="right"/>
              <w:rPr>
                <w:rFonts w:hint="eastAsia"/>
                <w:sz w:val="20"/>
              </w:rPr>
            </w:pPr>
            <w:r>
              <w:rPr>
                <w:rFonts w:hint="eastAsia"/>
                <w:sz w:val="20"/>
              </w:rPr>
              <w:t>-1.9</w:t>
            </w:r>
          </w:p>
        </w:tc>
        <w:tc>
          <w:tcPr>
            <w:tcW w:w="1052" w:type="dxa"/>
          </w:tcPr>
          <w:p w:rsidR="00000000" w:rsidRDefault="00000000">
            <w:pPr>
              <w:spacing w:line="288" w:lineRule="auto"/>
              <w:ind w:right="284"/>
              <w:jc w:val="right"/>
              <w:rPr>
                <w:rFonts w:hint="eastAsia"/>
                <w:sz w:val="20"/>
              </w:rPr>
            </w:pPr>
            <w:r>
              <w:rPr>
                <w:rFonts w:hint="eastAsia"/>
                <w:sz w:val="20"/>
              </w:rPr>
              <w:t>-2.7</w:t>
            </w:r>
          </w:p>
        </w:tc>
        <w:tc>
          <w:tcPr>
            <w:tcW w:w="1052" w:type="dxa"/>
          </w:tcPr>
          <w:p w:rsidR="00000000" w:rsidRDefault="00000000">
            <w:pPr>
              <w:spacing w:line="288" w:lineRule="auto"/>
              <w:ind w:right="284"/>
              <w:jc w:val="right"/>
              <w:rPr>
                <w:rFonts w:hint="eastAsia"/>
                <w:sz w:val="20"/>
              </w:rPr>
            </w:pPr>
            <w:r>
              <w:rPr>
                <w:rFonts w:hint="eastAsia"/>
                <w:sz w:val="20"/>
              </w:rPr>
              <w:t>-7.6</w:t>
            </w:r>
          </w:p>
        </w:tc>
        <w:tc>
          <w:tcPr>
            <w:tcW w:w="1052" w:type="dxa"/>
          </w:tcPr>
          <w:p w:rsidR="00000000" w:rsidRDefault="00000000">
            <w:pPr>
              <w:spacing w:line="288" w:lineRule="auto"/>
              <w:ind w:right="284"/>
              <w:jc w:val="right"/>
              <w:rPr>
                <w:rFonts w:hint="eastAsia"/>
                <w:sz w:val="20"/>
              </w:rPr>
            </w:pPr>
            <w:r>
              <w:rPr>
                <w:rFonts w:hint="eastAsia"/>
                <w:sz w:val="20"/>
              </w:rPr>
              <w:t>-6.1</w:t>
            </w:r>
          </w:p>
        </w:tc>
        <w:tc>
          <w:tcPr>
            <w:tcW w:w="1052" w:type="dxa"/>
          </w:tcPr>
          <w:p w:rsidR="00000000" w:rsidRDefault="00000000">
            <w:pPr>
              <w:spacing w:line="288" w:lineRule="auto"/>
              <w:ind w:right="284"/>
              <w:jc w:val="right"/>
              <w:rPr>
                <w:rFonts w:hint="eastAsia"/>
                <w:sz w:val="20"/>
              </w:rPr>
            </w:pPr>
            <w:r>
              <w:rPr>
                <w:rFonts w:hint="eastAsia"/>
                <w:sz w:val="20"/>
              </w:rPr>
              <w:t>-1.9</w:t>
            </w:r>
          </w:p>
        </w:tc>
      </w:tr>
      <w:tr w:rsidR="00000000">
        <w:tblPrEx>
          <w:tblCellMar>
            <w:top w:w="0" w:type="dxa"/>
            <w:bottom w:w="0" w:type="dxa"/>
          </w:tblCellMar>
        </w:tblPrEx>
        <w:tc>
          <w:tcPr>
            <w:tcW w:w="4308" w:type="dxa"/>
          </w:tcPr>
          <w:p w:rsidR="00000000" w:rsidRDefault="00000000">
            <w:pPr>
              <w:spacing w:line="288" w:lineRule="auto"/>
              <w:rPr>
                <w:rFonts w:hint="eastAsia"/>
                <w:sz w:val="20"/>
              </w:rPr>
            </w:pPr>
            <w:r>
              <w:rPr>
                <w:rFonts w:hint="eastAsia"/>
                <w:sz w:val="20"/>
              </w:rPr>
              <w:t>外债：债务</w:t>
            </w:r>
            <w:r>
              <w:rPr>
                <w:rFonts w:hint="eastAsia"/>
                <w:sz w:val="20"/>
              </w:rPr>
              <w:t>/</w:t>
            </w:r>
            <w:r>
              <w:rPr>
                <w:rFonts w:hint="eastAsia"/>
                <w:sz w:val="20"/>
              </w:rPr>
              <w:t>出口比率</w:t>
            </w:r>
            <w:r>
              <w:rPr>
                <w:rFonts w:hint="eastAsia"/>
                <w:sz w:val="20"/>
              </w:rPr>
              <w:t>(</w:t>
            </w:r>
            <w:r>
              <w:rPr>
                <w:rFonts w:hint="eastAsia"/>
                <w:sz w:val="20"/>
              </w:rPr>
              <w:t>按百分比计算</w:t>
            </w:r>
            <w:r>
              <w:rPr>
                <w:rFonts w:hint="eastAsia"/>
                <w:sz w:val="20"/>
              </w:rPr>
              <w:t>)</w:t>
            </w:r>
          </w:p>
        </w:tc>
        <w:tc>
          <w:tcPr>
            <w:tcW w:w="1052" w:type="dxa"/>
          </w:tcPr>
          <w:p w:rsidR="00000000" w:rsidRDefault="00000000">
            <w:pPr>
              <w:spacing w:line="288" w:lineRule="auto"/>
              <w:ind w:right="284"/>
              <w:jc w:val="right"/>
              <w:rPr>
                <w:rFonts w:hint="eastAsia"/>
                <w:sz w:val="20"/>
              </w:rPr>
            </w:pPr>
            <w:r>
              <w:rPr>
                <w:rFonts w:hint="eastAsia"/>
                <w:sz w:val="20"/>
              </w:rPr>
              <w:t>5.1</w:t>
            </w:r>
          </w:p>
        </w:tc>
        <w:tc>
          <w:tcPr>
            <w:tcW w:w="1052" w:type="dxa"/>
          </w:tcPr>
          <w:p w:rsidR="00000000" w:rsidRDefault="00000000">
            <w:pPr>
              <w:spacing w:line="288" w:lineRule="auto"/>
              <w:ind w:right="284"/>
              <w:jc w:val="right"/>
              <w:rPr>
                <w:rFonts w:hint="eastAsia"/>
                <w:sz w:val="20"/>
              </w:rPr>
            </w:pPr>
            <w:r>
              <w:rPr>
                <w:rFonts w:hint="eastAsia"/>
                <w:sz w:val="20"/>
              </w:rPr>
              <w:t>5.8</w:t>
            </w:r>
          </w:p>
        </w:tc>
        <w:tc>
          <w:tcPr>
            <w:tcW w:w="1052" w:type="dxa"/>
          </w:tcPr>
          <w:p w:rsidR="00000000" w:rsidRDefault="00000000">
            <w:pPr>
              <w:spacing w:line="288" w:lineRule="auto"/>
              <w:ind w:right="284"/>
              <w:jc w:val="right"/>
              <w:rPr>
                <w:rFonts w:hint="eastAsia"/>
                <w:sz w:val="20"/>
              </w:rPr>
            </w:pPr>
            <w:r>
              <w:rPr>
                <w:rFonts w:hint="eastAsia"/>
                <w:sz w:val="20"/>
              </w:rPr>
              <w:t>6.9</w:t>
            </w:r>
          </w:p>
        </w:tc>
        <w:tc>
          <w:tcPr>
            <w:tcW w:w="1052" w:type="dxa"/>
          </w:tcPr>
          <w:p w:rsidR="00000000" w:rsidRDefault="00000000">
            <w:pPr>
              <w:spacing w:line="288" w:lineRule="auto"/>
              <w:ind w:right="284"/>
              <w:jc w:val="right"/>
              <w:rPr>
                <w:rFonts w:hint="eastAsia"/>
                <w:sz w:val="20"/>
              </w:rPr>
            </w:pPr>
            <w:r>
              <w:rPr>
                <w:rFonts w:hint="eastAsia"/>
                <w:sz w:val="20"/>
              </w:rPr>
              <w:t>7.1</w:t>
            </w:r>
          </w:p>
        </w:tc>
        <w:tc>
          <w:tcPr>
            <w:tcW w:w="1052" w:type="dxa"/>
          </w:tcPr>
          <w:p w:rsidR="00000000" w:rsidRDefault="00000000">
            <w:pPr>
              <w:spacing w:line="288" w:lineRule="auto"/>
              <w:ind w:right="284"/>
              <w:jc w:val="right"/>
              <w:rPr>
                <w:rFonts w:hint="eastAsia"/>
                <w:sz w:val="20"/>
              </w:rPr>
            </w:pPr>
            <w:r>
              <w:rPr>
                <w:rFonts w:hint="eastAsia"/>
                <w:sz w:val="20"/>
              </w:rPr>
              <w:t>6.5</w:t>
            </w:r>
          </w:p>
        </w:tc>
      </w:tr>
      <w:tr w:rsidR="00000000">
        <w:tblPrEx>
          <w:tblCellMar>
            <w:top w:w="0" w:type="dxa"/>
            <w:bottom w:w="0" w:type="dxa"/>
          </w:tblCellMar>
        </w:tblPrEx>
        <w:tc>
          <w:tcPr>
            <w:tcW w:w="4308" w:type="dxa"/>
          </w:tcPr>
          <w:p w:rsidR="00000000" w:rsidRDefault="00000000">
            <w:pPr>
              <w:spacing w:line="288" w:lineRule="auto"/>
              <w:rPr>
                <w:rFonts w:hint="eastAsia"/>
                <w:spacing w:val="0"/>
                <w:sz w:val="20"/>
                <w:lang w:val="fr-CH"/>
              </w:rPr>
            </w:pPr>
            <w:r>
              <w:rPr>
                <w:rFonts w:hint="eastAsia"/>
                <w:spacing w:val="0"/>
                <w:sz w:val="20"/>
              </w:rPr>
              <w:t>外国直接投资：净值，占国内生产总值百分比</w:t>
            </w:r>
          </w:p>
        </w:tc>
        <w:tc>
          <w:tcPr>
            <w:tcW w:w="1052" w:type="dxa"/>
          </w:tcPr>
          <w:p w:rsidR="00000000" w:rsidRDefault="00000000">
            <w:pPr>
              <w:spacing w:line="288" w:lineRule="auto"/>
              <w:ind w:right="284"/>
              <w:jc w:val="right"/>
              <w:rPr>
                <w:rFonts w:hint="eastAsia"/>
                <w:sz w:val="20"/>
              </w:rPr>
            </w:pPr>
            <w:r>
              <w:rPr>
                <w:rFonts w:hint="eastAsia"/>
                <w:sz w:val="20"/>
              </w:rPr>
              <w:t>-</w:t>
            </w:r>
          </w:p>
        </w:tc>
        <w:tc>
          <w:tcPr>
            <w:tcW w:w="1052" w:type="dxa"/>
          </w:tcPr>
          <w:p w:rsidR="00000000" w:rsidRDefault="00000000">
            <w:pPr>
              <w:spacing w:line="288" w:lineRule="auto"/>
              <w:ind w:right="284"/>
              <w:jc w:val="right"/>
              <w:rPr>
                <w:rFonts w:hint="eastAsia"/>
                <w:sz w:val="20"/>
              </w:rPr>
            </w:pPr>
            <w:r>
              <w:rPr>
                <w:rFonts w:hint="eastAsia"/>
                <w:sz w:val="20"/>
              </w:rPr>
              <w:t>5.0</w:t>
            </w:r>
          </w:p>
        </w:tc>
        <w:tc>
          <w:tcPr>
            <w:tcW w:w="1052" w:type="dxa"/>
          </w:tcPr>
          <w:p w:rsidR="00000000" w:rsidRDefault="00000000">
            <w:pPr>
              <w:spacing w:line="288" w:lineRule="auto"/>
              <w:ind w:right="284"/>
              <w:jc w:val="right"/>
              <w:rPr>
                <w:rFonts w:hint="eastAsia"/>
                <w:sz w:val="20"/>
              </w:rPr>
            </w:pPr>
            <w:r>
              <w:rPr>
                <w:rFonts w:hint="eastAsia"/>
                <w:sz w:val="20"/>
              </w:rPr>
              <w:t>2.5</w:t>
            </w:r>
          </w:p>
        </w:tc>
        <w:tc>
          <w:tcPr>
            <w:tcW w:w="1052" w:type="dxa"/>
          </w:tcPr>
          <w:p w:rsidR="00000000" w:rsidRDefault="00000000">
            <w:pPr>
              <w:spacing w:line="288" w:lineRule="auto"/>
              <w:ind w:right="284"/>
              <w:jc w:val="right"/>
              <w:rPr>
                <w:rFonts w:hint="eastAsia"/>
                <w:sz w:val="20"/>
              </w:rPr>
            </w:pPr>
            <w:r>
              <w:rPr>
                <w:rFonts w:hint="eastAsia"/>
                <w:sz w:val="20"/>
              </w:rPr>
              <w:t>2.5</w:t>
            </w:r>
          </w:p>
        </w:tc>
        <w:tc>
          <w:tcPr>
            <w:tcW w:w="1052" w:type="dxa"/>
          </w:tcPr>
          <w:p w:rsidR="00000000" w:rsidRDefault="00000000">
            <w:pPr>
              <w:spacing w:line="288" w:lineRule="auto"/>
              <w:ind w:right="284"/>
              <w:jc w:val="right"/>
              <w:rPr>
                <w:rFonts w:hint="eastAsia"/>
                <w:sz w:val="20"/>
              </w:rPr>
            </w:pPr>
            <w:r>
              <w:rPr>
                <w:rFonts w:hint="eastAsia"/>
                <w:sz w:val="20"/>
              </w:rPr>
              <w:t>4.5</w:t>
            </w:r>
          </w:p>
        </w:tc>
      </w:tr>
    </w:tbl>
    <w:p w:rsidR="00000000" w:rsidRDefault="00000000">
      <w:pPr>
        <w:pStyle w:val="FootnoteText"/>
        <w:spacing w:before="160" w:after="160"/>
        <w:rPr>
          <w:rFonts w:hint="eastAsia"/>
          <w:sz w:val="21"/>
          <w:lang w:val="fr-CH"/>
        </w:rPr>
      </w:pPr>
      <w:r>
        <w:rPr>
          <w:rFonts w:hint="eastAsia"/>
          <w:sz w:val="21"/>
          <w:u w:val="single"/>
          <w:lang w:val="fr-CH"/>
        </w:rPr>
        <w:t>资料来源</w:t>
      </w:r>
      <w:r>
        <w:rPr>
          <w:rFonts w:hint="eastAsia"/>
          <w:sz w:val="21"/>
          <w:lang w:val="fr-CH"/>
        </w:rPr>
        <w:t> </w:t>
      </w:r>
      <w:r>
        <w:rPr>
          <w:rFonts w:hint="eastAsia"/>
          <w:sz w:val="21"/>
          <w:lang w:val="fr-CH"/>
        </w:rPr>
        <w:t>：《欧洲委员会关于捷克共和国的定期报告》，</w:t>
      </w:r>
      <w:r>
        <w:rPr>
          <w:rFonts w:hint="eastAsia"/>
          <w:sz w:val="21"/>
          <w:lang w:val="fr-CH"/>
        </w:rPr>
        <w:t>1999</w:t>
      </w:r>
      <w:r>
        <w:rPr>
          <w:rFonts w:hint="eastAsia"/>
          <w:sz w:val="21"/>
          <w:lang w:val="fr-CH"/>
        </w:rPr>
        <w:t>年。</w:t>
      </w:r>
    </w:p>
    <w:p w:rsidR="00000000" w:rsidRDefault="00000000">
      <w:pPr>
        <w:rPr>
          <w:rFonts w:hint="eastAsia"/>
        </w:rPr>
      </w:pPr>
      <w:r>
        <w:rPr>
          <w:rFonts w:hint="eastAsia"/>
        </w:rPr>
        <w:tab/>
        <w:t xml:space="preserve">25.  </w:t>
      </w:r>
      <w:r>
        <w:rPr>
          <w:rFonts w:hint="eastAsia"/>
        </w:rPr>
        <w:t>捷克经济具有高度的开放性，因此它对外国商品和金融市场的发展非常敏感。</w:t>
      </w:r>
      <w:r>
        <w:rPr>
          <w:rFonts w:hint="eastAsia"/>
        </w:rPr>
        <w:t>1998</w:t>
      </w:r>
      <w:r>
        <w:rPr>
          <w:rFonts w:hint="eastAsia"/>
        </w:rPr>
        <w:t>年，开放度</w:t>
      </w:r>
      <w:r>
        <w:rPr>
          <w:rFonts w:hint="eastAsia"/>
        </w:rPr>
        <w:t xml:space="preserve"> </w:t>
      </w:r>
      <w:r>
        <w:rPr>
          <w:rStyle w:val="EndnoteReference"/>
        </w:rPr>
        <w:endnoteReference w:id="3"/>
      </w:r>
      <w:r>
        <w:rPr>
          <w:rFonts w:hint="eastAsia"/>
        </w:rPr>
        <w:t xml:space="preserve"> </w:t>
      </w:r>
      <w:r>
        <w:rPr>
          <w:rFonts w:hint="eastAsia"/>
        </w:rPr>
        <w:t>为</w:t>
      </w:r>
      <w:r>
        <w:rPr>
          <w:rFonts w:hint="eastAsia"/>
        </w:rPr>
        <w:t>125%</w:t>
      </w:r>
      <w:r>
        <w:rPr>
          <w:rFonts w:hint="eastAsia"/>
        </w:rPr>
        <w:t>。</w:t>
      </w:r>
    </w:p>
    <w:p w:rsidR="00000000" w:rsidRDefault="00000000">
      <w:pPr>
        <w:rPr>
          <w:rFonts w:hint="eastAsia"/>
        </w:rPr>
      </w:pPr>
      <w:r>
        <w:rPr>
          <w:rFonts w:hint="eastAsia"/>
        </w:rPr>
        <w:tab/>
        <w:t xml:space="preserve">26.  </w:t>
      </w:r>
      <w:r>
        <w:rPr>
          <w:rFonts w:hint="eastAsia"/>
        </w:rPr>
        <w:t>在</w:t>
      </w:r>
      <w:r>
        <w:rPr>
          <w:rFonts w:hint="eastAsia"/>
        </w:rPr>
        <w:t>1993-1997</w:t>
      </w:r>
      <w:r>
        <w:rPr>
          <w:rFonts w:hint="eastAsia"/>
        </w:rPr>
        <w:t>年，在快速经济增长和对外国际收支的关系上出现了困难。然而，在</w:t>
      </w:r>
      <w:r>
        <w:rPr>
          <w:rFonts w:hint="eastAsia"/>
        </w:rPr>
        <w:t>1998</w:t>
      </w:r>
      <w:r>
        <w:rPr>
          <w:rFonts w:hint="eastAsia"/>
        </w:rPr>
        <w:t>年，国际收支经常项目逆差减少到仅占国内生产总值</w:t>
      </w:r>
      <w:r>
        <w:rPr>
          <w:rFonts w:hint="eastAsia"/>
        </w:rPr>
        <w:t>1.9%</w:t>
      </w:r>
      <w:r>
        <w:rPr>
          <w:rFonts w:hint="eastAsia"/>
        </w:rPr>
        <w:t>，这尤其是由于经济活动明显减少、原材料价格下降以及衰退引起的进口下降等原因所引起。</w:t>
      </w:r>
    </w:p>
    <w:p w:rsidR="00000000" w:rsidRDefault="00000000">
      <w:pPr>
        <w:spacing w:after="320"/>
        <w:rPr>
          <w:rFonts w:hint="eastAsia"/>
        </w:rPr>
      </w:pPr>
      <w:r>
        <w:rPr>
          <w:rFonts w:hint="eastAsia"/>
        </w:rPr>
        <w:tab/>
        <w:t xml:space="preserve">27.  </w:t>
      </w:r>
      <w:r>
        <w:rPr>
          <w:rFonts w:hint="eastAsia"/>
        </w:rPr>
        <w:t>近年来国民经济中生产力状况的恶化反映了捷克企业和金融部门的根本弱点。企业部门的结构改革正在有限的范围内缓慢推进。刚刚诞生的市场机构的不成熟和不完善，公司治理结构的不充分以及所有权不明确都妨碍了这种结构改革。在探索权利实施方面存在的不足则使这种状况更加恶化。</w:t>
      </w:r>
    </w:p>
    <w:p w:rsidR="00000000" w:rsidRDefault="00000000">
      <w:pPr>
        <w:pStyle w:val="Heading3"/>
        <w:rPr>
          <w:rFonts w:hint="eastAsia"/>
        </w:rPr>
      </w:pPr>
      <w:r>
        <w:rPr>
          <w:rFonts w:hint="eastAsia"/>
          <w:u w:val="none"/>
        </w:rPr>
        <w:t xml:space="preserve">C.  </w:t>
      </w:r>
      <w:r>
        <w:rPr>
          <w:rFonts w:hint="eastAsia"/>
        </w:rPr>
        <w:t>国家管理与地方自治</w:t>
      </w:r>
    </w:p>
    <w:p w:rsidR="00000000" w:rsidRDefault="00000000">
      <w:pPr>
        <w:rPr>
          <w:rFonts w:hint="eastAsia"/>
        </w:rPr>
      </w:pPr>
      <w:r>
        <w:rPr>
          <w:rFonts w:hint="eastAsia"/>
        </w:rPr>
        <w:tab/>
        <w:t xml:space="preserve">28.  </w:t>
      </w:r>
      <w:r>
        <w:rPr>
          <w:rFonts w:hint="eastAsia"/>
        </w:rPr>
        <w:t>捷克共和国在行政上划分为行政区，行政区再划分为自治市。全国共有</w:t>
      </w:r>
      <w:r>
        <w:rPr>
          <w:rFonts w:hint="eastAsia"/>
        </w:rPr>
        <w:t>76</w:t>
      </w:r>
      <w:r>
        <w:rPr>
          <w:rFonts w:hint="eastAsia"/>
        </w:rPr>
        <w:t>个行政区，其中三个还是大城市：布尔诺、比尔森和俄斯特拉发。一个行政区平均拥有</w:t>
      </w:r>
      <w:r>
        <w:rPr>
          <w:rFonts w:hint="eastAsia"/>
        </w:rPr>
        <w:t>83</w:t>
      </w:r>
      <w:r>
        <w:rPr>
          <w:rFonts w:hint="eastAsia"/>
        </w:rPr>
        <w:t>个自治市。首都布拉格市是一个独立的领土单位；其管辖范围相当于一个地区，其城市所辖各区的管辖范围相当于行政区的管辖范围。最小的行政单位是自治市，捷克共和国有</w:t>
      </w:r>
      <w:r>
        <w:rPr>
          <w:rFonts w:hint="eastAsia"/>
        </w:rPr>
        <w:t>6,000</w:t>
      </w:r>
      <w:r>
        <w:rPr>
          <w:rFonts w:hint="eastAsia"/>
        </w:rPr>
        <w:t>多个这样的自治市。自治市中约有</w:t>
      </w:r>
      <w:r>
        <w:rPr>
          <w:rFonts w:hint="eastAsia"/>
        </w:rPr>
        <w:t>10%</w:t>
      </w:r>
      <w:r>
        <w:rPr>
          <w:rFonts w:hint="eastAsia"/>
        </w:rPr>
        <w:t>拥有城镇的地位，国家有约</w:t>
      </w:r>
      <w:r>
        <w:rPr>
          <w:rFonts w:hint="eastAsia"/>
        </w:rPr>
        <w:t>75%</w:t>
      </w:r>
      <w:r>
        <w:rPr>
          <w:rFonts w:hint="eastAsia"/>
        </w:rPr>
        <w:t>的人口生活在其中。相比之下，达到</w:t>
      </w:r>
      <w:r>
        <w:rPr>
          <w:rFonts w:hint="eastAsia"/>
        </w:rPr>
        <w:t>1,000</w:t>
      </w:r>
      <w:r>
        <w:rPr>
          <w:rFonts w:hint="eastAsia"/>
        </w:rPr>
        <w:t>常住人口的农村的小自治市占所有自治市的</w:t>
      </w:r>
      <w:r>
        <w:rPr>
          <w:rFonts w:hint="eastAsia"/>
        </w:rPr>
        <w:t>78%</w:t>
      </w:r>
      <w:r>
        <w:rPr>
          <w:rFonts w:hint="eastAsia"/>
        </w:rPr>
        <w:t>，但仅有</w:t>
      </w:r>
      <w:r>
        <w:rPr>
          <w:rFonts w:hint="eastAsia"/>
        </w:rPr>
        <w:t>16%</w:t>
      </w:r>
      <w:r>
        <w:rPr>
          <w:rFonts w:hint="eastAsia"/>
        </w:rPr>
        <w:t>的人口在其中生活。</w:t>
      </w:r>
    </w:p>
    <w:p w:rsidR="00000000" w:rsidRDefault="00000000">
      <w:pPr>
        <w:rPr>
          <w:rFonts w:hint="eastAsia"/>
        </w:rPr>
      </w:pPr>
      <w:r>
        <w:rPr>
          <w:rFonts w:hint="eastAsia"/>
        </w:rPr>
        <w:tab/>
        <w:t xml:space="preserve">29.  </w:t>
      </w:r>
      <w:r>
        <w:rPr>
          <w:rFonts w:hint="eastAsia"/>
        </w:rPr>
        <w:t>在报告期间，仅有自治市是自治单位。较高的领土自治单位</w:t>
      </w:r>
      <w:r>
        <w:rPr>
          <w:rFonts w:hint="eastAsia"/>
        </w:rPr>
        <w:t>(</w:t>
      </w:r>
      <w:r>
        <w:rPr>
          <w:rFonts w:hint="eastAsia"/>
        </w:rPr>
        <w:t>地区</w:t>
      </w:r>
      <w:r>
        <w:rPr>
          <w:rFonts w:hint="eastAsia"/>
        </w:rPr>
        <w:t>)</w:t>
      </w:r>
      <w:r>
        <w:rPr>
          <w:rFonts w:hint="eastAsia"/>
        </w:rPr>
        <w:t>于</w:t>
      </w:r>
      <w:r>
        <w:rPr>
          <w:rFonts w:hint="eastAsia"/>
        </w:rPr>
        <w:t>1997</w:t>
      </w:r>
      <w:r>
        <w:rPr>
          <w:rFonts w:hint="eastAsia"/>
        </w:rPr>
        <w:t>年由宪法法令设立。</w:t>
      </w:r>
      <w:r>
        <w:rPr>
          <w:rStyle w:val="EndnoteReference"/>
        </w:rPr>
        <w:endnoteReference w:id="4"/>
      </w:r>
      <w:r>
        <w:rPr>
          <w:rFonts w:hint="eastAsia"/>
        </w:rPr>
        <w:t xml:space="preserve">  </w:t>
      </w:r>
      <w:r>
        <w:rPr>
          <w:rFonts w:hint="eastAsia"/>
        </w:rPr>
        <w:t>该法令将</w:t>
      </w:r>
      <w:r>
        <w:rPr>
          <w:rFonts w:hint="eastAsia"/>
        </w:rPr>
        <w:t>14</w:t>
      </w:r>
      <w:r>
        <w:rPr>
          <w:rFonts w:hint="eastAsia"/>
        </w:rPr>
        <w:t>个新地区的边界划分为每个地区所拥有的行政区的领土范围。该法令于</w:t>
      </w:r>
      <w:r>
        <w:rPr>
          <w:rFonts w:hint="eastAsia"/>
        </w:rPr>
        <w:t>2000</w:t>
      </w:r>
      <w:r>
        <w:rPr>
          <w:rFonts w:hint="eastAsia"/>
        </w:rPr>
        <w:t>年</w:t>
      </w:r>
      <w:r>
        <w:rPr>
          <w:rFonts w:hint="eastAsia"/>
        </w:rPr>
        <w:t>1</w:t>
      </w:r>
      <w:r>
        <w:rPr>
          <w:rFonts w:hint="eastAsia"/>
        </w:rPr>
        <w:t>月</w:t>
      </w:r>
      <w:r>
        <w:rPr>
          <w:rFonts w:hint="eastAsia"/>
        </w:rPr>
        <w:t>1</w:t>
      </w:r>
      <w:r>
        <w:rPr>
          <w:rFonts w:hint="eastAsia"/>
        </w:rPr>
        <w:t>日生效。国家对行政区的管理通过行政区办事处实现，行政区办事处的活动和管辖权受特别法律的约束。</w:t>
      </w:r>
      <w:r>
        <w:rPr>
          <w:rStyle w:val="EndnoteReference"/>
        </w:rPr>
        <w:endnoteReference w:id="5"/>
      </w:r>
      <w:r>
        <w:rPr>
          <w:rFonts w:hint="eastAsia"/>
        </w:rPr>
        <w:t xml:space="preserve"> </w:t>
      </w:r>
    </w:p>
    <w:p w:rsidR="00000000" w:rsidRDefault="00000000">
      <w:pPr>
        <w:rPr>
          <w:rFonts w:hint="eastAsia"/>
        </w:rPr>
      </w:pPr>
      <w:r>
        <w:rPr>
          <w:rFonts w:hint="eastAsia"/>
        </w:rPr>
        <w:tab/>
        <w:t xml:space="preserve">30.  </w:t>
      </w:r>
      <w:r>
        <w:rPr>
          <w:rFonts w:hint="eastAsia"/>
        </w:rPr>
        <w:t>在报告期间，基本的领土自治单位是自治市。自治市由一个代表机构作为公法团体进行管理，该公法团体可以拥有自己的财产并根据自己的预算进行经营。国家只有在必须保护法律的情况下并且按照法律规定的方式才可以干预领土自治单位包括自治市的活动。代表机构在普遍、平等和直接选举的基础上通过无记名投票选出，任期四年。</w:t>
      </w:r>
      <w:r>
        <w:rPr>
          <w:rStyle w:val="EndnoteReference"/>
        </w:rPr>
        <w:endnoteReference w:id="6"/>
      </w:r>
      <w:r>
        <w:rPr>
          <w:rFonts w:hint="eastAsia"/>
        </w:rPr>
        <w:t xml:space="preserve">  </w:t>
      </w:r>
      <w:r>
        <w:rPr>
          <w:rFonts w:hint="eastAsia"/>
        </w:rPr>
        <w:t>在其管辖范围内，代表机构可以发布具有普遍约束力的法令。</w:t>
      </w:r>
      <w:r>
        <w:rPr>
          <w:rStyle w:val="EndnoteReference"/>
        </w:rPr>
        <w:endnoteReference w:id="7"/>
      </w:r>
    </w:p>
    <w:p w:rsidR="00000000" w:rsidRDefault="00000000">
      <w:pPr>
        <w:rPr>
          <w:rFonts w:hint="eastAsia"/>
        </w:rPr>
      </w:pPr>
      <w:r>
        <w:rPr>
          <w:rFonts w:hint="eastAsia"/>
        </w:rPr>
        <w:tab/>
        <w:t xml:space="preserve">31.  </w:t>
      </w:r>
      <w:r>
        <w:rPr>
          <w:rFonts w:hint="eastAsia"/>
        </w:rPr>
        <w:t>捷克共和国的立法权属于议会。议会由参众两院组成。凡达到</w:t>
      </w:r>
      <w:r>
        <w:rPr>
          <w:rFonts w:hint="eastAsia"/>
        </w:rPr>
        <w:t>18</w:t>
      </w:r>
      <w:r>
        <w:rPr>
          <w:rFonts w:hint="eastAsia"/>
        </w:rPr>
        <w:t>周岁的每个捷克公民都有权选举参众两院议员。</w:t>
      </w:r>
    </w:p>
    <w:p w:rsidR="00000000" w:rsidRDefault="00000000">
      <w:pPr>
        <w:rPr>
          <w:rFonts w:hint="eastAsia"/>
        </w:rPr>
      </w:pPr>
      <w:r>
        <w:rPr>
          <w:rFonts w:hint="eastAsia"/>
        </w:rPr>
        <w:tab/>
        <w:t xml:space="preserve">32.  </w:t>
      </w:r>
      <w:r>
        <w:rPr>
          <w:rFonts w:hint="eastAsia"/>
        </w:rPr>
        <w:t>众议院有</w:t>
      </w:r>
      <w:r>
        <w:rPr>
          <w:rFonts w:hint="eastAsia"/>
        </w:rPr>
        <w:t>200</w:t>
      </w:r>
      <w:r>
        <w:rPr>
          <w:rFonts w:hint="eastAsia"/>
        </w:rPr>
        <w:t>名众议员，当选后任期四年。众议院的选举根据比例代表制原则在普遍、平等和直接选举的基础上通过无记名投票方式进行。凡拥有选举权、在选举日其表决权的行使未受到限制</w:t>
      </w:r>
      <w:r>
        <w:rPr>
          <w:rFonts w:hint="eastAsia"/>
        </w:rPr>
        <w:t xml:space="preserve"> </w:t>
      </w:r>
      <w:r>
        <w:rPr>
          <w:rStyle w:val="EndnoteReference"/>
        </w:rPr>
        <w:endnoteReference w:id="8"/>
      </w:r>
      <w:r>
        <w:rPr>
          <w:rFonts w:hint="eastAsia"/>
        </w:rPr>
        <w:t xml:space="preserve">  </w:t>
      </w:r>
      <w:r>
        <w:rPr>
          <w:rFonts w:hint="eastAsia"/>
        </w:rPr>
        <w:t>并且达到</w:t>
      </w:r>
      <w:r>
        <w:rPr>
          <w:rFonts w:hint="eastAsia"/>
        </w:rPr>
        <w:t>21</w:t>
      </w:r>
      <w:r>
        <w:rPr>
          <w:rFonts w:hint="eastAsia"/>
        </w:rPr>
        <w:t>周岁的每个捷克公民都有资格当选众议院议员，由于保护公共卫生的原因而对人身自由实行法定限制的除外。</w:t>
      </w:r>
      <w:r>
        <w:rPr>
          <w:rStyle w:val="EndnoteReference"/>
        </w:rPr>
        <w:endnoteReference w:id="9"/>
      </w:r>
    </w:p>
    <w:p w:rsidR="00000000" w:rsidRDefault="00000000">
      <w:pPr>
        <w:rPr>
          <w:rFonts w:hint="eastAsia"/>
        </w:rPr>
      </w:pPr>
      <w:r>
        <w:rPr>
          <w:rFonts w:hint="eastAsia"/>
        </w:rPr>
        <w:tab/>
        <w:t xml:space="preserve">33.  </w:t>
      </w:r>
      <w:r>
        <w:rPr>
          <w:rFonts w:hint="eastAsia"/>
        </w:rPr>
        <w:t>参议院有</w:t>
      </w:r>
      <w:r>
        <w:rPr>
          <w:rFonts w:hint="eastAsia"/>
        </w:rPr>
        <w:t>81</w:t>
      </w:r>
      <w:r>
        <w:rPr>
          <w:rFonts w:hint="eastAsia"/>
        </w:rPr>
        <w:t>名参议员，当选后任期六年。每两年选举三分之一的参议员。参议院的选举根据多数制原则在普遍、平等和直接选举的基础上根据无记名投票方式进行。凡拥有投票权、达到</w:t>
      </w:r>
      <w:r>
        <w:rPr>
          <w:rFonts w:hint="eastAsia"/>
        </w:rPr>
        <w:t>40</w:t>
      </w:r>
      <w:r>
        <w:rPr>
          <w:rFonts w:hint="eastAsia"/>
        </w:rPr>
        <w:t>周岁而且在选举日行使投票权未受到任何限制的每个捷克公民</w:t>
      </w:r>
      <w:r>
        <w:rPr>
          <w:rFonts w:hint="eastAsia"/>
        </w:rPr>
        <w:t xml:space="preserve"> </w:t>
      </w:r>
      <w:r>
        <w:rPr>
          <w:rStyle w:val="EndnoteReference"/>
        </w:rPr>
        <w:endnoteReference w:id="10"/>
      </w:r>
      <w:r>
        <w:rPr>
          <w:rFonts w:hint="eastAsia"/>
        </w:rPr>
        <w:t xml:space="preserve">  </w:t>
      </w:r>
      <w:r>
        <w:rPr>
          <w:rFonts w:hint="eastAsia"/>
        </w:rPr>
        <w:t>都有资格当选参议院议员。</w:t>
      </w:r>
    </w:p>
    <w:p w:rsidR="00000000" w:rsidRDefault="00000000">
      <w:pPr>
        <w:rPr>
          <w:rFonts w:hint="eastAsia"/>
        </w:rPr>
      </w:pPr>
      <w:r>
        <w:rPr>
          <w:rFonts w:hint="eastAsia"/>
        </w:rPr>
        <w:tab/>
        <w:t xml:space="preserve">34.  </w:t>
      </w:r>
      <w:r>
        <w:rPr>
          <w:rFonts w:hint="eastAsia"/>
        </w:rPr>
        <w:t>国家元首是共和国总统，由议会在两院联席会议上选出。</w:t>
      </w:r>
      <w:r>
        <w:rPr>
          <w:rStyle w:val="EndnoteReference"/>
        </w:rPr>
        <w:endnoteReference w:id="11"/>
      </w:r>
      <w:r>
        <w:rPr>
          <w:rFonts w:hint="eastAsia"/>
        </w:rPr>
        <w:t xml:space="preserve">  </w:t>
      </w:r>
      <w:r>
        <w:rPr>
          <w:rFonts w:hint="eastAsia"/>
        </w:rPr>
        <w:t>总统任期五年，任何人不得连选连任超过两届。凡可当选参议院议员的每个捷克公民都有资格当选共和国总统。共和国总统有权参加议会两院和政府的会议。</w:t>
      </w:r>
    </w:p>
    <w:p w:rsidR="00000000" w:rsidRDefault="00000000">
      <w:pPr>
        <w:rPr>
          <w:rFonts w:hint="eastAsia"/>
        </w:rPr>
      </w:pPr>
      <w:r>
        <w:rPr>
          <w:rFonts w:hint="eastAsia"/>
        </w:rPr>
        <w:tab/>
        <w:t xml:space="preserve">35.  </w:t>
      </w:r>
      <w:r>
        <w:rPr>
          <w:rFonts w:hint="eastAsia"/>
        </w:rPr>
        <w:t>行政权力的最高机构是政府，政府由总理、副总理和各部部长组成。政府向众议院负责。总理由总统任命，总统还根据总理的提名任命副总理和其他各部部长。部长不得从事与履行其职务相冲突的任何活动。政府可以向众议院提出要求进行信任投票的动议。众议院可以对政府进行不信任投票。总理向共和国总统提出辞呈；副总理和各部部长通过总理向共和国总统提出辞呈。政府集体作出决定。政府决议的通过须经大多数部长的同意。政府有权在适当的范围内颁布实施法律的政令。各部部长、其他行政机关</w:t>
      </w:r>
      <w:r>
        <w:rPr>
          <w:rFonts w:hint="eastAsia"/>
        </w:rPr>
        <w:t xml:space="preserve"> </w:t>
      </w:r>
      <w:r>
        <w:rPr>
          <w:rStyle w:val="EndnoteReference"/>
        </w:rPr>
        <w:endnoteReference w:id="12"/>
      </w:r>
      <w:r>
        <w:rPr>
          <w:rFonts w:hint="eastAsia"/>
        </w:rPr>
        <w:t xml:space="preserve">  </w:t>
      </w:r>
      <w:r>
        <w:rPr>
          <w:rFonts w:hint="eastAsia"/>
        </w:rPr>
        <w:t>和领土自治机构可以根据法律的授权依法并在法律规定的范围内颁布规章。</w:t>
      </w:r>
    </w:p>
    <w:p w:rsidR="00000000" w:rsidRDefault="00000000">
      <w:pPr>
        <w:rPr>
          <w:rFonts w:hint="eastAsia"/>
        </w:rPr>
      </w:pPr>
      <w:r>
        <w:rPr>
          <w:rFonts w:hint="eastAsia"/>
        </w:rPr>
        <w:tab/>
        <w:t xml:space="preserve">36.  </w:t>
      </w:r>
      <w:r>
        <w:rPr>
          <w:rFonts w:hint="eastAsia"/>
        </w:rPr>
        <w:t>根据《捷克共和国宪法》</w:t>
      </w:r>
      <w:r>
        <w:rPr>
          <w:rFonts w:hint="eastAsia"/>
        </w:rPr>
        <w:t>(</w:t>
      </w:r>
      <w:r>
        <w:rPr>
          <w:rFonts w:hint="eastAsia"/>
        </w:rPr>
        <w:t>《宪法》</w:t>
      </w:r>
      <w:r>
        <w:rPr>
          <w:rFonts w:hint="eastAsia"/>
        </w:rPr>
        <w:t>)</w:t>
      </w:r>
      <w:r>
        <w:rPr>
          <w:rFonts w:hint="eastAsia"/>
        </w:rPr>
        <w:t>，对国有资产的管理和国家预算的执行情况由一个独立的机构</w:t>
      </w:r>
      <w:r>
        <w:rPr>
          <w:rFonts w:hint="eastAsia"/>
          <w:spacing w:val="-40"/>
          <w:sz w:val="22"/>
        </w:rPr>
        <w:t>——</w:t>
      </w:r>
      <w:r>
        <w:rPr>
          <w:sz w:val="22"/>
        </w:rPr>
        <w:t xml:space="preserve"> </w:t>
      </w:r>
      <w:r>
        <w:rPr>
          <w:rFonts w:hint="eastAsia"/>
        </w:rPr>
        <w:t>最高审计署</w:t>
      </w:r>
      <w:r>
        <w:rPr>
          <w:rFonts w:hint="eastAsia"/>
          <w:spacing w:val="-40"/>
          <w:sz w:val="22"/>
        </w:rPr>
        <w:t>——</w:t>
      </w:r>
      <w:r>
        <w:rPr>
          <w:sz w:val="22"/>
        </w:rPr>
        <w:t xml:space="preserve"> </w:t>
      </w:r>
      <w:r>
        <w:rPr>
          <w:rFonts w:hint="eastAsia"/>
        </w:rPr>
        <w:t>进行监察。最高审计署署长和副署长由共和国总统根据众议院的提名任命。最高审计署的地位、管辖权、组织结构和其他细节均由法律规定。</w:t>
      </w:r>
      <w:r>
        <w:rPr>
          <w:rStyle w:val="EndnoteReference"/>
        </w:rPr>
        <w:endnoteReference w:id="13"/>
      </w:r>
      <w:r>
        <w:rPr>
          <w:rFonts w:hint="eastAsia"/>
        </w:rPr>
        <w:t xml:space="preserve"> </w:t>
      </w:r>
    </w:p>
    <w:p w:rsidR="00000000" w:rsidRDefault="00000000">
      <w:pPr>
        <w:spacing w:after="320"/>
        <w:rPr>
          <w:rFonts w:hint="eastAsia"/>
        </w:rPr>
      </w:pPr>
      <w:r>
        <w:rPr>
          <w:rFonts w:hint="eastAsia"/>
        </w:rPr>
        <w:tab/>
        <w:t xml:space="preserve">37.  </w:t>
      </w:r>
      <w:r>
        <w:rPr>
          <w:rFonts w:hint="eastAsia"/>
        </w:rPr>
        <w:t>国家的中央银行是捷克国民银行。中央银行活动的主要目的是关注货币的稳定性；对它的活动只能依法进行干预。中央银行的地位、管辖权和其他细节由法律规定。</w:t>
      </w:r>
      <w:r>
        <w:rPr>
          <w:rStyle w:val="EndnoteReference"/>
        </w:rPr>
        <w:endnoteReference w:id="14"/>
      </w:r>
      <w:r>
        <w:rPr>
          <w:rFonts w:hint="eastAsia"/>
        </w:rPr>
        <w:t xml:space="preserve">  </w:t>
      </w:r>
      <w:r>
        <w:rPr>
          <w:rFonts w:hint="eastAsia"/>
        </w:rPr>
        <w:t>银行由七名成员组成的银行理事会管理。理事会成员由共和国总统任命和罢免。中央银行理事会的成员不能同时担任立法机构的代表职务、部长职务或其他银行或公司最高机关的成员职务。</w:t>
      </w:r>
    </w:p>
    <w:p w:rsidR="00000000" w:rsidRDefault="00000000">
      <w:pPr>
        <w:pStyle w:val="Heading3"/>
        <w:spacing w:after="160"/>
        <w:rPr>
          <w:rFonts w:hint="eastAsia"/>
        </w:rPr>
      </w:pPr>
      <w:r>
        <w:rPr>
          <w:rFonts w:hint="eastAsia"/>
          <w:u w:val="none"/>
        </w:rPr>
        <w:t xml:space="preserve">D.  </w:t>
      </w:r>
      <w:r>
        <w:rPr>
          <w:rFonts w:hint="eastAsia"/>
        </w:rPr>
        <w:t>政治制度</w:t>
      </w:r>
    </w:p>
    <w:p w:rsidR="00000000" w:rsidRDefault="00000000">
      <w:pPr>
        <w:rPr>
          <w:rFonts w:hint="eastAsia"/>
        </w:rPr>
      </w:pPr>
      <w:r>
        <w:rPr>
          <w:rFonts w:hint="eastAsia"/>
        </w:rPr>
        <w:tab/>
        <w:t xml:space="preserve">38.  </w:t>
      </w:r>
      <w:r>
        <w:rPr>
          <w:rFonts w:hint="eastAsia"/>
        </w:rPr>
        <w:t>根据《宪法》，政治制度的基础是尊重基本民主原则和放弃以武力作为谋求利益的手段的各政党和政治运动自由和自愿组合以及相互之间自由竞争。政治决定根据自由投票所反映出来的多数人的意愿作出。多数人的决定考虑到对少数人进行保护。</w:t>
      </w:r>
    </w:p>
    <w:p w:rsidR="00000000" w:rsidRDefault="00000000">
      <w:pPr>
        <w:rPr>
          <w:rFonts w:hint="eastAsia"/>
        </w:rPr>
      </w:pPr>
      <w:r>
        <w:rPr>
          <w:rFonts w:hint="eastAsia"/>
        </w:rPr>
        <w:tab/>
        <w:t xml:space="preserve">39.  </w:t>
      </w:r>
      <w:r>
        <w:rPr>
          <w:rFonts w:hint="eastAsia"/>
        </w:rPr>
        <w:t>经过</w:t>
      </w:r>
      <w:r>
        <w:rPr>
          <w:rFonts w:hint="eastAsia"/>
        </w:rPr>
        <w:t>1996</w:t>
      </w:r>
      <w:r>
        <w:rPr>
          <w:rFonts w:hint="eastAsia"/>
        </w:rPr>
        <w:t>年的选举之后，六个政党的代表进入了议会众议院。在经过</w:t>
      </w:r>
      <w:r>
        <w:rPr>
          <w:rFonts w:hint="eastAsia"/>
        </w:rPr>
        <w:t>1998</w:t>
      </w:r>
      <w:r>
        <w:rPr>
          <w:rFonts w:hint="eastAsia"/>
        </w:rPr>
        <w:t>年年初进行的选举之后，众议院现在拥有五个政党的代表。</w:t>
      </w:r>
      <w:r>
        <w:rPr>
          <w:rFonts w:hint="eastAsia"/>
        </w:rPr>
        <w:t>1996</w:t>
      </w:r>
      <w:r>
        <w:rPr>
          <w:rFonts w:hint="eastAsia"/>
        </w:rPr>
        <w:t>年，五个政党在参议院有代表，另有</w:t>
      </w:r>
      <w:r>
        <w:rPr>
          <w:rFonts w:hint="eastAsia"/>
        </w:rPr>
        <w:t>10</w:t>
      </w:r>
      <w:r>
        <w:rPr>
          <w:rFonts w:hint="eastAsia"/>
        </w:rPr>
        <w:t>个独立参议员</w:t>
      </w:r>
      <w:r>
        <w:rPr>
          <w:rFonts w:hint="eastAsia"/>
        </w:rPr>
        <w:t>(12%)</w:t>
      </w:r>
      <w:r>
        <w:rPr>
          <w:rFonts w:hint="eastAsia"/>
        </w:rPr>
        <w:t>；经过</w:t>
      </w:r>
      <w:r>
        <w:rPr>
          <w:rFonts w:hint="eastAsia"/>
        </w:rPr>
        <w:t>1998</w:t>
      </w:r>
      <w:r>
        <w:rPr>
          <w:rFonts w:hint="eastAsia"/>
        </w:rPr>
        <w:t>年选举以及</w:t>
      </w:r>
      <w:r>
        <w:rPr>
          <w:rFonts w:hint="eastAsia"/>
        </w:rPr>
        <w:t>1999</w:t>
      </w:r>
      <w:r>
        <w:rPr>
          <w:rFonts w:hint="eastAsia"/>
        </w:rPr>
        <w:t>年的补充选举之后，参议院现有六个政党和</w:t>
      </w:r>
      <w:r>
        <w:rPr>
          <w:rFonts w:hint="eastAsia"/>
        </w:rPr>
        <w:t>12</w:t>
      </w:r>
      <w:r>
        <w:rPr>
          <w:rFonts w:hint="eastAsia"/>
        </w:rPr>
        <w:t>个独立参议员</w:t>
      </w:r>
      <w:r>
        <w:rPr>
          <w:rFonts w:hint="eastAsia"/>
        </w:rPr>
        <w:t>(14%)</w:t>
      </w:r>
      <w:r>
        <w:rPr>
          <w:rFonts w:hint="eastAsia"/>
        </w:rPr>
        <w:t>。</w:t>
      </w:r>
    </w:p>
    <w:p w:rsidR="00000000" w:rsidRDefault="00000000">
      <w:pPr>
        <w:rPr>
          <w:rFonts w:hint="eastAsia"/>
        </w:rPr>
      </w:pPr>
      <w:r>
        <w:rPr>
          <w:rFonts w:hint="eastAsia"/>
        </w:rPr>
        <w:tab/>
        <w:t xml:space="preserve">40.  </w:t>
      </w:r>
      <w:r>
        <w:rPr>
          <w:rFonts w:hint="eastAsia"/>
        </w:rPr>
        <w:t>捷克共和国的上一次自治市选举于</w:t>
      </w:r>
      <w:r>
        <w:rPr>
          <w:rFonts w:hint="eastAsia"/>
        </w:rPr>
        <w:t>1998</w:t>
      </w:r>
      <w:r>
        <w:rPr>
          <w:rFonts w:hint="eastAsia"/>
        </w:rPr>
        <w:t>年进行。在自治市代表机构一级，存在着形形色色的政治派别；除了议会政党的代表和独立候选人外，还有非议会政党和政治运动的代表，或政党和政治运动联盟、政党和独立候选人联盟以及为特定选举成立的独立候选人联盟选出的人。</w:t>
      </w:r>
      <w:r>
        <w:rPr>
          <w:rFonts w:hint="eastAsia"/>
        </w:rPr>
        <w:t>1998</w:t>
      </w:r>
      <w:r>
        <w:rPr>
          <w:rFonts w:hint="eastAsia"/>
        </w:rPr>
        <w:t>年，共有</w:t>
      </w:r>
      <w:r>
        <w:rPr>
          <w:rFonts w:hint="eastAsia"/>
        </w:rPr>
        <w:t>53</w:t>
      </w:r>
      <w:r>
        <w:rPr>
          <w:rFonts w:hint="eastAsia"/>
        </w:rPr>
        <w:t>个这样的实体在选举中获得了成功。虽然议会党在自治市一级赢得了</w:t>
      </w:r>
      <w:r>
        <w:rPr>
          <w:rFonts w:hint="eastAsia"/>
        </w:rPr>
        <w:t>20.3%</w:t>
      </w:r>
      <w:r>
        <w:rPr>
          <w:rFonts w:hint="eastAsia"/>
        </w:rPr>
        <w:t>的议席，但无党派候选人却得到了</w:t>
      </w:r>
      <w:r>
        <w:rPr>
          <w:rFonts w:hint="eastAsia"/>
        </w:rPr>
        <w:t>77%</w:t>
      </w:r>
      <w:r>
        <w:rPr>
          <w:rFonts w:hint="eastAsia"/>
        </w:rPr>
        <w:t>的议席。</w:t>
      </w:r>
    </w:p>
    <w:p w:rsidR="00000000" w:rsidRDefault="00000000">
      <w:pPr>
        <w:pStyle w:val="Heading3"/>
        <w:spacing w:before="160" w:after="160"/>
        <w:rPr>
          <w:rFonts w:hint="eastAsia"/>
        </w:rPr>
      </w:pPr>
      <w:r>
        <w:rPr>
          <w:rFonts w:hint="eastAsia"/>
          <w:u w:val="none"/>
        </w:rPr>
        <w:t xml:space="preserve">E.  </w:t>
      </w:r>
      <w:r>
        <w:rPr>
          <w:rFonts w:hint="eastAsia"/>
        </w:rPr>
        <w:t>司法制度</w:t>
      </w:r>
    </w:p>
    <w:p w:rsidR="00000000" w:rsidRDefault="00000000">
      <w:pPr>
        <w:rPr>
          <w:rFonts w:hint="eastAsia"/>
        </w:rPr>
      </w:pPr>
      <w:r>
        <w:rPr>
          <w:rFonts w:hint="eastAsia"/>
        </w:rPr>
        <w:tab/>
        <w:t xml:space="preserve">41.  </w:t>
      </w:r>
      <w:r>
        <w:rPr>
          <w:rFonts w:hint="eastAsia"/>
        </w:rPr>
        <w:t>根据《宪法》第</w:t>
      </w:r>
      <w:r>
        <w:rPr>
          <w:rFonts w:hint="eastAsia"/>
        </w:rPr>
        <w:t>4</w:t>
      </w:r>
      <w:r>
        <w:rPr>
          <w:rFonts w:hint="eastAsia"/>
        </w:rPr>
        <w:t>条的规定，基本权利和自由得到司法权力的保障。司法权由独立法院以共和国的名义行使。法官独立行使职能。法官不能同时担任共和国总统、议员或政府行政管理部门的任何职务。法律还具体规定了法官不能从事的其他活动。</w:t>
      </w:r>
      <w:r>
        <w:rPr>
          <w:rStyle w:val="EndnoteReference"/>
        </w:rPr>
        <w:endnoteReference w:id="15"/>
      </w:r>
      <w:r>
        <w:rPr>
          <w:rFonts w:hint="eastAsia"/>
        </w:rPr>
        <w:t xml:space="preserve"> </w:t>
      </w:r>
    </w:p>
    <w:p w:rsidR="00000000" w:rsidRDefault="00000000">
      <w:pPr>
        <w:rPr>
          <w:rFonts w:hint="eastAsia"/>
        </w:rPr>
      </w:pPr>
      <w:r>
        <w:rPr>
          <w:rFonts w:hint="eastAsia"/>
        </w:rPr>
        <w:tab/>
        <w:t xml:space="preserve">42.  </w:t>
      </w:r>
      <w:r>
        <w:rPr>
          <w:rFonts w:hint="eastAsia"/>
        </w:rPr>
        <w:t>法院的职责是以法律规定的方式对权利进行保护。只有法院才能对是否犯罪及给予何种处罚的问题作出决定。法院系统由最高法院、最高行政法院、高级、地区和地方法院以及地区商事法院组成。法院的管辖权和组织结构由法律加以规定。法官由共和国总统任命，任期没有时间限制。在作出判决时，法官受法律约束。诉讼各方在法庭上享有同等权利。法庭诉讼采取口头和公开的方式进行，但法律另有规定者除外。判决始终公开作出。</w:t>
      </w:r>
    </w:p>
    <w:p w:rsidR="00000000" w:rsidRDefault="00000000">
      <w:pPr>
        <w:rPr>
          <w:rFonts w:hint="eastAsia"/>
        </w:rPr>
      </w:pPr>
      <w:r>
        <w:rPr>
          <w:rFonts w:hint="eastAsia"/>
        </w:rPr>
        <w:tab/>
        <w:t xml:space="preserve">43  </w:t>
      </w:r>
      <w:r>
        <w:rPr>
          <w:rFonts w:hint="eastAsia"/>
        </w:rPr>
        <w:t>保护合宪性和国内法的司法机关是宪法法院。</w:t>
      </w:r>
      <w:r>
        <w:rPr>
          <w:rStyle w:val="EndnoteReference"/>
        </w:rPr>
        <w:endnoteReference w:id="16"/>
      </w:r>
      <w:r>
        <w:rPr>
          <w:rFonts w:hint="eastAsia"/>
        </w:rPr>
        <w:t xml:space="preserve">  </w:t>
      </w:r>
      <w:r>
        <w:rPr>
          <w:rFonts w:hint="eastAsia"/>
        </w:rPr>
        <w:t>捷克共和国宪法法院是继捷克斯洛伐克联邦共和国宪法法院短暂存在之后于</w:t>
      </w:r>
      <w:r>
        <w:rPr>
          <w:rFonts w:hint="eastAsia"/>
        </w:rPr>
        <w:t>1993</w:t>
      </w:r>
      <w:r>
        <w:rPr>
          <w:rFonts w:hint="eastAsia"/>
        </w:rPr>
        <w:t>年</w:t>
      </w:r>
      <w:r>
        <w:rPr>
          <w:rFonts w:hint="eastAsia"/>
        </w:rPr>
        <w:t>7</w:t>
      </w:r>
      <w:r>
        <w:rPr>
          <w:rFonts w:hint="eastAsia"/>
        </w:rPr>
        <w:t>月</w:t>
      </w:r>
      <w:r>
        <w:rPr>
          <w:rFonts w:hint="eastAsia"/>
        </w:rPr>
        <w:t>1</w:t>
      </w:r>
      <w:r>
        <w:rPr>
          <w:rFonts w:hint="eastAsia"/>
        </w:rPr>
        <w:t>日开始活动的。审查是否符合宪法涉及到适用作为共和国宪法文件的一部分的规范，尤其是涉及到适用《宪法》和《基本权利和自由宪章》</w:t>
      </w:r>
      <w:r>
        <w:rPr>
          <w:rFonts w:hint="eastAsia"/>
        </w:rPr>
        <w:t>(</w:t>
      </w:r>
      <w:r>
        <w:rPr>
          <w:rFonts w:hint="eastAsia"/>
        </w:rPr>
        <w:t>《宪章》</w:t>
      </w:r>
      <w:r>
        <w:rPr>
          <w:rFonts w:hint="eastAsia"/>
        </w:rPr>
        <w:t>)</w:t>
      </w:r>
      <w:r>
        <w:rPr>
          <w:rFonts w:hint="eastAsia"/>
        </w:rPr>
        <w:t>。然而，这一事实还导致法院适用国际法，主要是根据《宪法》第</w:t>
      </w:r>
      <w:r>
        <w:rPr>
          <w:rFonts w:hint="eastAsia"/>
        </w:rPr>
        <w:t>10</w:t>
      </w:r>
      <w:r>
        <w:rPr>
          <w:rFonts w:hint="eastAsia"/>
        </w:rPr>
        <w:t>条的规定适用有关人权和基本自由的具体类别的国际条约。</w:t>
      </w:r>
    </w:p>
    <w:p w:rsidR="00000000" w:rsidRDefault="00000000">
      <w:pPr>
        <w:rPr>
          <w:rFonts w:hint="eastAsia"/>
          <w:spacing w:val="8"/>
        </w:rPr>
      </w:pPr>
      <w:r>
        <w:rPr>
          <w:rFonts w:hint="eastAsia"/>
        </w:rPr>
        <w:tab/>
        <w:t xml:space="preserve">44.  </w:t>
      </w:r>
      <w:r>
        <w:rPr>
          <w:rFonts w:hint="eastAsia"/>
        </w:rPr>
        <w:t>宪法法院还是对国家机关尤其是一般法院所作的裁决进行国内补救的最后机会。在国际法与国内法发生冲突的情况下，宪法法院适用国际和区域性</w:t>
      </w:r>
      <w:r>
        <w:rPr>
          <w:rFonts w:hint="eastAsia"/>
        </w:rPr>
        <w:t>(</w:t>
      </w:r>
      <w:r>
        <w:rPr>
          <w:rFonts w:hint="eastAsia"/>
        </w:rPr>
        <w:t>欧洲</w:t>
      </w:r>
      <w:r>
        <w:rPr>
          <w:rFonts w:hint="eastAsia"/>
        </w:rPr>
        <w:t>)</w:t>
      </w:r>
      <w:r>
        <w:rPr>
          <w:rFonts w:hint="eastAsia"/>
        </w:rPr>
        <w:t>人权条约，尤其是《公民权利和政治权利国际公约》</w:t>
      </w:r>
      <w:r>
        <w:rPr>
          <w:rFonts w:hint="eastAsia"/>
        </w:rPr>
        <w:t>(</w:t>
      </w:r>
      <w:r>
        <w:rPr>
          <w:rFonts w:hint="eastAsia"/>
        </w:rPr>
        <w:t>援引《公约》个别条款的情况出现在宪法法院自其开始活动以来所作的近</w:t>
      </w:r>
      <w:r>
        <w:rPr>
          <w:rFonts w:hint="eastAsia"/>
        </w:rPr>
        <w:t>30</w:t>
      </w:r>
      <w:r>
        <w:rPr>
          <w:rFonts w:hint="eastAsia"/>
        </w:rPr>
        <w:t>项裁决之中</w:t>
      </w:r>
      <w:r>
        <w:rPr>
          <w:rFonts w:hint="eastAsia"/>
        </w:rPr>
        <w:t>)</w:t>
      </w:r>
      <w:r>
        <w:rPr>
          <w:rFonts w:hint="eastAsia"/>
        </w:rPr>
        <w:t>、《经济、社会、文化权利国际公约》、《儿童权利公约》以及经过补充议定书修订的《欧洲保护人权和基本自由公约》。宪法法院全部或部分废止与捷克共和国制宪令中</w:t>
      </w:r>
      <w:r>
        <w:rPr>
          <w:rFonts w:hint="eastAsia"/>
        </w:rPr>
        <w:t>(</w:t>
      </w:r>
      <w:r>
        <w:rPr>
          <w:rFonts w:hint="eastAsia"/>
        </w:rPr>
        <w:t>大多为</w:t>
      </w:r>
      <w:r>
        <w:rPr>
          <w:rFonts w:hint="eastAsia"/>
          <w:spacing w:val="8"/>
        </w:rPr>
        <w:t>《宪章》的条款</w:t>
      </w:r>
      <w:r>
        <w:rPr>
          <w:rFonts w:hint="eastAsia"/>
          <w:spacing w:val="8"/>
        </w:rPr>
        <w:t>)</w:t>
      </w:r>
      <w:r>
        <w:rPr>
          <w:rFonts w:hint="eastAsia"/>
          <w:spacing w:val="8"/>
        </w:rPr>
        <w:t>会与国际协定相抵触的任何法律规定。在迄今为止的裁决中，仅仅由于与一项国际协定相冲突便废止一项法律规范和该规范的一部分，这种情况还比较罕见</w:t>
      </w:r>
      <w:r>
        <w:rPr>
          <w:rFonts w:hint="eastAsia"/>
          <w:spacing w:val="8"/>
        </w:rPr>
        <w:t>(</w:t>
      </w:r>
      <w:r>
        <w:rPr>
          <w:rFonts w:hint="eastAsia"/>
          <w:spacing w:val="8"/>
        </w:rPr>
        <w:t>在</w:t>
      </w:r>
      <w:r>
        <w:rPr>
          <w:rFonts w:hint="eastAsia"/>
          <w:spacing w:val="8"/>
        </w:rPr>
        <w:t>1997</w:t>
      </w:r>
      <w:r>
        <w:rPr>
          <w:rFonts w:hint="eastAsia"/>
          <w:spacing w:val="8"/>
        </w:rPr>
        <w:t>年</w:t>
      </w:r>
      <w:r>
        <w:rPr>
          <w:rFonts w:hint="eastAsia"/>
          <w:spacing w:val="8"/>
        </w:rPr>
        <w:t>4</w:t>
      </w:r>
      <w:r>
        <w:rPr>
          <w:rFonts w:hint="eastAsia"/>
          <w:spacing w:val="8"/>
        </w:rPr>
        <w:t>月</w:t>
      </w:r>
      <w:r>
        <w:rPr>
          <w:rFonts w:hint="eastAsia"/>
          <w:spacing w:val="8"/>
        </w:rPr>
        <w:t>9</w:t>
      </w:r>
      <w:r>
        <w:rPr>
          <w:rFonts w:hint="eastAsia"/>
          <w:spacing w:val="8"/>
        </w:rPr>
        <w:t>日关于“机构教养”的法律制度的第</w:t>
      </w:r>
      <w:r>
        <w:rPr>
          <w:rFonts w:hint="eastAsia"/>
          <w:spacing w:val="8"/>
        </w:rPr>
        <w:t>41</w:t>
      </w:r>
      <w:r>
        <w:rPr>
          <w:rFonts w:hint="eastAsia"/>
          <w:spacing w:val="8"/>
        </w:rPr>
        <w:t>号宪法法院裁决中，由于与《儿童权利公约》第</w:t>
      </w:r>
      <w:r>
        <w:rPr>
          <w:rFonts w:hint="eastAsia"/>
          <w:spacing w:val="8"/>
        </w:rPr>
        <w:t>3</w:t>
      </w:r>
      <w:r>
        <w:rPr>
          <w:rFonts w:hint="eastAsia"/>
          <w:spacing w:val="8"/>
        </w:rPr>
        <w:t>条第</w:t>
      </w:r>
      <w:r>
        <w:rPr>
          <w:rFonts w:hint="eastAsia"/>
          <w:spacing w:val="8"/>
        </w:rPr>
        <w:t>1</w:t>
      </w:r>
      <w:r>
        <w:rPr>
          <w:rFonts w:hint="eastAsia"/>
          <w:spacing w:val="8"/>
        </w:rPr>
        <w:t>款的规定相抵触，宪法法院废止了《刑法》第</w:t>
      </w:r>
      <w:r>
        <w:rPr>
          <w:rFonts w:hint="eastAsia"/>
          <w:spacing w:val="8"/>
        </w:rPr>
        <w:t>171</w:t>
      </w:r>
      <w:r>
        <w:rPr>
          <w:rFonts w:hint="eastAsia"/>
          <w:spacing w:val="8"/>
        </w:rPr>
        <w:t>条第</w:t>
      </w:r>
      <w:r>
        <w:rPr>
          <w:rFonts w:hint="eastAsia"/>
          <w:spacing w:val="8"/>
        </w:rPr>
        <w:t xml:space="preserve">1 </w:t>
      </w:r>
      <w:r>
        <w:rPr>
          <w:spacing w:val="8"/>
        </w:rPr>
        <w:t>(d)</w:t>
      </w:r>
      <w:r>
        <w:rPr>
          <w:rFonts w:hint="eastAsia"/>
          <w:spacing w:val="8"/>
        </w:rPr>
        <w:t>款</w:t>
      </w:r>
      <w:r>
        <w:rPr>
          <w:rFonts w:hint="eastAsia"/>
          <w:spacing w:val="8"/>
        </w:rPr>
        <w:t xml:space="preserve"> </w:t>
      </w:r>
      <w:r>
        <w:rPr>
          <w:rStyle w:val="EndnoteReference"/>
          <w:spacing w:val="8"/>
        </w:rPr>
        <w:endnoteReference w:id="17"/>
      </w:r>
      <w:r>
        <w:rPr>
          <w:rFonts w:hint="eastAsia"/>
          <w:spacing w:val="8"/>
        </w:rPr>
        <w:t xml:space="preserve"> )</w:t>
      </w:r>
      <w:r>
        <w:rPr>
          <w:rFonts w:hint="eastAsia"/>
          <w:spacing w:val="8"/>
        </w:rPr>
        <w:t>。宪法法院还指出，保护国际人权条约所保障的人权和基本自由的概念比国内法上的规定更为广泛</w:t>
      </w:r>
      <w:r>
        <w:rPr>
          <w:rFonts w:hint="eastAsia"/>
          <w:spacing w:val="8"/>
        </w:rPr>
        <w:t>(1998</w:t>
      </w:r>
      <w:r>
        <w:rPr>
          <w:rFonts w:hint="eastAsia"/>
          <w:spacing w:val="8"/>
        </w:rPr>
        <w:t>年</w:t>
      </w:r>
      <w:r>
        <w:rPr>
          <w:rFonts w:hint="eastAsia"/>
          <w:spacing w:val="8"/>
        </w:rPr>
        <w:t>4</w:t>
      </w:r>
      <w:r>
        <w:rPr>
          <w:rFonts w:hint="eastAsia"/>
          <w:spacing w:val="8"/>
        </w:rPr>
        <w:t>月</w:t>
      </w:r>
      <w:r>
        <w:rPr>
          <w:rFonts w:hint="eastAsia"/>
          <w:spacing w:val="8"/>
        </w:rPr>
        <w:t>10</w:t>
      </w:r>
      <w:r>
        <w:rPr>
          <w:rFonts w:hint="eastAsia"/>
          <w:spacing w:val="8"/>
        </w:rPr>
        <w:t>日关于与《公民权利和政治权利国际公约》第</w:t>
      </w:r>
      <w:r>
        <w:rPr>
          <w:rFonts w:hint="eastAsia"/>
          <w:spacing w:val="8"/>
        </w:rPr>
        <w:t>18</w:t>
      </w:r>
      <w:r>
        <w:rPr>
          <w:rFonts w:hint="eastAsia"/>
          <w:spacing w:val="8"/>
        </w:rPr>
        <w:t>条第</w:t>
      </w:r>
      <w:r>
        <w:rPr>
          <w:rFonts w:hint="eastAsia"/>
          <w:spacing w:val="8"/>
        </w:rPr>
        <w:t>1</w:t>
      </w:r>
      <w:r>
        <w:rPr>
          <w:rFonts w:hint="eastAsia"/>
          <w:spacing w:val="8"/>
        </w:rPr>
        <w:t>款相比较的、《宪章》第</w:t>
      </w:r>
      <w:r>
        <w:rPr>
          <w:rFonts w:hint="eastAsia"/>
          <w:spacing w:val="8"/>
        </w:rPr>
        <w:t>16</w:t>
      </w:r>
      <w:r>
        <w:rPr>
          <w:rFonts w:hint="eastAsia"/>
          <w:spacing w:val="8"/>
        </w:rPr>
        <w:t>条第</w:t>
      </w:r>
      <w:r>
        <w:rPr>
          <w:rFonts w:hint="eastAsia"/>
          <w:spacing w:val="8"/>
        </w:rPr>
        <w:t>1</w:t>
      </w:r>
      <w:r>
        <w:rPr>
          <w:rFonts w:hint="eastAsia"/>
          <w:spacing w:val="8"/>
        </w:rPr>
        <w:t>款规定的宗教和信仰自由的第</w:t>
      </w:r>
      <w:r>
        <w:rPr>
          <w:rFonts w:hint="eastAsia"/>
          <w:spacing w:val="8"/>
        </w:rPr>
        <w:t>30</w:t>
      </w:r>
      <w:r>
        <w:rPr>
          <w:rFonts w:hint="eastAsia"/>
          <w:spacing w:val="8"/>
        </w:rPr>
        <w:t>号决议</w:t>
      </w:r>
      <w:r>
        <w:rPr>
          <w:rFonts w:hint="eastAsia"/>
          <w:spacing w:val="8"/>
        </w:rPr>
        <w:t>)</w:t>
      </w:r>
      <w:r>
        <w:rPr>
          <w:rFonts w:hint="eastAsia"/>
          <w:spacing w:val="8"/>
        </w:rPr>
        <w:t>。宪法法院采用一个概念解释许多概念，并采用类似于欧洲人权法院的总体做法解决保护人权和基本自由的问题。它这样做为加强建立在尊重人权和基本自由之上的民主社会的价值和基础作出了重大的贡献。</w:t>
      </w:r>
    </w:p>
    <w:p w:rsidR="00000000" w:rsidRDefault="00000000">
      <w:pPr>
        <w:rPr>
          <w:rFonts w:hint="eastAsia"/>
        </w:rPr>
      </w:pPr>
      <w:r>
        <w:rPr>
          <w:rFonts w:hint="eastAsia"/>
        </w:rPr>
        <w:tab/>
        <w:t xml:space="preserve">45.  </w:t>
      </w:r>
      <w:r>
        <w:rPr>
          <w:rFonts w:hint="eastAsia"/>
        </w:rPr>
        <w:t>宪法法院由共和国总统任命的</w:t>
      </w:r>
      <w:r>
        <w:rPr>
          <w:rFonts w:hint="eastAsia"/>
        </w:rPr>
        <w:t>15</w:t>
      </w:r>
      <w:r>
        <w:rPr>
          <w:rFonts w:hint="eastAsia"/>
        </w:rPr>
        <w:t>名法官组成，任期</w:t>
      </w:r>
      <w:r>
        <w:rPr>
          <w:rFonts w:hint="eastAsia"/>
        </w:rPr>
        <w:t>10</w:t>
      </w:r>
      <w:r>
        <w:rPr>
          <w:rFonts w:hint="eastAsia"/>
        </w:rPr>
        <w:t>年。谁有权起诉和按何种条件起诉以及宪法法院适用的其他诉讼规则均由法律加以规定。在作出裁决时，宪法法院的法官仅受宪法法令、《捷克共和国宪法》第</w:t>
      </w:r>
      <w:r>
        <w:rPr>
          <w:rFonts w:hint="eastAsia"/>
        </w:rPr>
        <w:t>10</w:t>
      </w:r>
      <w:r>
        <w:rPr>
          <w:rFonts w:hint="eastAsia"/>
        </w:rPr>
        <w:t>条规定的国际条约以及“关于宪法法院及其诉讼程序的法令”的约束。宪法法院可以执行的裁决对所有机构和人员均有约束力。</w:t>
      </w:r>
    </w:p>
    <w:p w:rsidR="00000000" w:rsidRDefault="00000000">
      <w:pPr>
        <w:spacing w:after="320"/>
        <w:rPr>
          <w:rFonts w:hint="eastAsia"/>
        </w:rPr>
      </w:pPr>
      <w:r>
        <w:rPr>
          <w:rFonts w:hint="eastAsia"/>
        </w:rPr>
        <w:tab/>
        <w:t xml:space="preserve">46.  </w:t>
      </w:r>
      <w:r>
        <w:rPr>
          <w:rFonts w:hint="eastAsia"/>
        </w:rPr>
        <w:t>国家检察官办公室</w:t>
      </w:r>
      <w:r>
        <w:rPr>
          <w:rFonts w:hint="eastAsia"/>
        </w:rPr>
        <w:t xml:space="preserve"> </w:t>
      </w:r>
      <w:r>
        <w:rPr>
          <w:rStyle w:val="EndnoteReference"/>
        </w:rPr>
        <w:endnoteReference w:id="18"/>
      </w:r>
      <w:r>
        <w:rPr>
          <w:rFonts w:hint="eastAsia"/>
        </w:rPr>
        <w:t xml:space="preserve">  </w:t>
      </w:r>
      <w:r>
        <w:rPr>
          <w:rFonts w:hint="eastAsia"/>
        </w:rPr>
        <w:t>在刑事诉讼中以国家的名义提起诉讼，履行《刑事诉讼法》赋予的与他们有关的职责，</w:t>
      </w:r>
      <w:r>
        <w:rPr>
          <w:rStyle w:val="EndnoteReference"/>
        </w:rPr>
        <w:endnoteReference w:id="19"/>
      </w:r>
      <w:r>
        <w:rPr>
          <w:rFonts w:hint="eastAsia"/>
        </w:rPr>
        <w:t xml:space="preserve">  </w:t>
      </w:r>
      <w:r>
        <w:rPr>
          <w:rFonts w:hint="eastAsia"/>
        </w:rPr>
        <w:t>并且还履行法律如《民事诉讼法》规定的其他任务。</w:t>
      </w:r>
      <w:r>
        <w:rPr>
          <w:rStyle w:val="EndnoteReference"/>
        </w:rPr>
        <w:endnoteReference w:id="20"/>
      </w:r>
      <w:r>
        <w:rPr>
          <w:rFonts w:hint="eastAsia"/>
        </w:rPr>
        <w:t xml:space="preserve">  </w:t>
      </w:r>
      <w:r>
        <w:rPr>
          <w:rFonts w:hint="eastAsia"/>
        </w:rPr>
        <w:t>国家检察官办公室系统由最高国家检察官办公室、高级、地区和地方国家检察官办公室组成。</w:t>
      </w:r>
    </w:p>
    <w:p w:rsidR="00000000" w:rsidRDefault="00000000">
      <w:pPr>
        <w:pStyle w:val="Heading3"/>
        <w:rPr>
          <w:rFonts w:hint="eastAsia"/>
        </w:rPr>
      </w:pPr>
      <w:r>
        <w:rPr>
          <w:rFonts w:hint="eastAsia"/>
          <w:u w:val="none"/>
        </w:rPr>
        <w:t xml:space="preserve">F.  </w:t>
      </w:r>
      <w:r>
        <w:rPr>
          <w:rFonts w:hint="eastAsia"/>
        </w:rPr>
        <w:t>人权保护</w:t>
      </w:r>
    </w:p>
    <w:p w:rsidR="00000000" w:rsidRDefault="00000000">
      <w:pPr>
        <w:rPr>
          <w:rFonts w:hint="eastAsia"/>
        </w:rPr>
      </w:pPr>
      <w:r>
        <w:rPr>
          <w:rFonts w:hint="eastAsia"/>
        </w:rPr>
        <w:tab/>
        <w:t xml:space="preserve">47.  </w:t>
      </w:r>
      <w:r>
        <w:rPr>
          <w:rFonts w:hint="eastAsia"/>
        </w:rPr>
        <w:t>《捷克共和国宪法》于</w:t>
      </w:r>
      <w:r>
        <w:rPr>
          <w:rFonts w:hint="eastAsia"/>
        </w:rPr>
        <w:t>1992</w:t>
      </w:r>
      <w:r>
        <w:rPr>
          <w:rFonts w:hint="eastAsia"/>
        </w:rPr>
        <w:t>年</w:t>
      </w:r>
      <w:r>
        <w:rPr>
          <w:rFonts w:hint="eastAsia"/>
        </w:rPr>
        <w:t>12</w:t>
      </w:r>
      <w:r>
        <w:rPr>
          <w:rFonts w:hint="eastAsia"/>
        </w:rPr>
        <w:t>月</w:t>
      </w:r>
      <w:r>
        <w:rPr>
          <w:rFonts w:hint="eastAsia"/>
        </w:rPr>
        <w:t>16</w:t>
      </w:r>
      <w:r>
        <w:rPr>
          <w:rFonts w:hint="eastAsia"/>
        </w:rPr>
        <w:t>日通过。根据《宪法》，捷克共和国是一个实行法治并且建立在尊重人和公民权利和自由基础上的主权、统一和民主的国家。所有公民均可做法律不禁止做的事情；任何人不得被迫做法律未规定他做的事情。基本权利和自由受到司法权力的保护。根据《宪法》第</w:t>
      </w:r>
      <w:r>
        <w:rPr>
          <w:rFonts w:hint="eastAsia"/>
        </w:rPr>
        <w:t>3</w:t>
      </w:r>
      <w:r>
        <w:rPr>
          <w:rFonts w:hint="eastAsia"/>
        </w:rPr>
        <w:t>条的规定，制宪令还包括《基本权利和自由宪章》</w:t>
      </w:r>
      <w:r>
        <w:rPr>
          <w:rStyle w:val="EndnoteReference"/>
        </w:rPr>
        <w:endnoteReference w:id="21"/>
      </w:r>
      <w:r>
        <w:rPr>
          <w:rFonts w:hint="eastAsia"/>
        </w:rPr>
        <w:t xml:space="preserve">  (</w:t>
      </w:r>
      <w:r>
        <w:rPr>
          <w:rFonts w:hint="eastAsia"/>
        </w:rPr>
        <w:t>《宪章》</w:t>
      </w:r>
      <w:r>
        <w:rPr>
          <w:rFonts w:hint="eastAsia"/>
        </w:rPr>
        <w:t>)</w:t>
      </w:r>
      <w:r>
        <w:rPr>
          <w:rFonts w:hint="eastAsia"/>
        </w:rPr>
        <w:t>。《宪章》承认人与生俱来的权利、一个公民的权利和法律的主权不容侵犯。</w:t>
      </w:r>
    </w:p>
    <w:p w:rsidR="00000000" w:rsidRDefault="00000000">
      <w:pPr>
        <w:rPr>
          <w:rFonts w:hint="eastAsia"/>
        </w:rPr>
      </w:pPr>
      <w:r>
        <w:rPr>
          <w:rFonts w:hint="eastAsia"/>
        </w:rPr>
        <w:tab/>
        <w:t xml:space="preserve">48.  </w:t>
      </w:r>
      <w:r>
        <w:rPr>
          <w:rFonts w:hint="eastAsia"/>
        </w:rPr>
        <w:t>《宪章》把《公民权利和政治权利国际公约》和《经济、社会、文化权利国际公约》规定的大部分权利纳入法律体系之中加以落实。把两个公约的相应条款纳入法律体系之中确保了将《宪章》纳入捷克共和国宪法体系。此外，捷克共和国通过一项宪法法令</w:t>
      </w:r>
      <w:r>
        <w:rPr>
          <w:rFonts w:hint="eastAsia"/>
        </w:rPr>
        <w:t xml:space="preserve"> </w:t>
      </w:r>
      <w:r>
        <w:rPr>
          <w:rStyle w:val="EndnoteReference"/>
        </w:rPr>
        <w:endnoteReference w:id="22"/>
      </w:r>
      <w:r>
        <w:rPr>
          <w:rFonts w:hint="eastAsia"/>
        </w:rPr>
        <w:t xml:space="preserve">  </w:t>
      </w:r>
      <w:r>
        <w:rPr>
          <w:rFonts w:hint="eastAsia"/>
        </w:rPr>
        <w:t>承担了捷克斯洛伐克联邦共和国解体之日根据国际法所承担的所有义务</w:t>
      </w:r>
      <w:r>
        <w:rPr>
          <w:rFonts w:hint="eastAsia"/>
        </w:rPr>
        <w:t>(</w:t>
      </w:r>
      <w:r>
        <w:rPr>
          <w:rFonts w:hint="eastAsia"/>
        </w:rPr>
        <w:t>与捷克共和国的主权未延伸到的领土有关的义务除外</w:t>
      </w:r>
      <w:r>
        <w:rPr>
          <w:rFonts w:hint="eastAsia"/>
        </w:rPr>
        <w:t>)</w:t>
      </w:r>
      <w:r>
        <w:rPr>
          <w:rFonts w:hint="eastAsia"/>
        </w:rPr>
        <w:t>。这一措施确保了遵守前联邦和捷克共和国所有义务的连续性，连续性甚至超过了对由于《宪章》所产生的义务的遵守程度。</w:t>
      </w:r>
    </w:p>
    <w:p w:rsidR="00000000" w:rsidRDefault="00000000">
      <w:pPr>
        <w:rPr>
          <w:rFonts w:hint="eastAsia"/>
        </w:rPr>
      </w:pPr>
      <w:r>
        <w:rPr>
          <w:rFonts w:hint="eastAsia"/>
        </w:rPr>
        <w:tab/>
        <w:t xml:space="preserve">49.  </w:t>
      </w:r>
      <w:r>
        <w:rPr>
          <w:rFonts w:hint="eastAsia"/>
          <w:spacing w:val="4"/>
        </w:rPr>
        <w:t>有关人权和基本自由的法律规范不仅载于《捷克共和国宪法》和《基本权利和自由宪章》，而且还载于民事、刑事和行政性质的实体法和程序法</w:t>
      </w:r>
      <w:r>
        <w:rPr>
          <w:rFonts w:hint="eastAsia"/>
          <w:spacing w:val="4"/>
        </w:rPr>
        <w:t>(</w:t>
      </w:r>
      <w:r>
        <w:rPr>
          <w:rFonts w:hint="eastAsia"/>
          <w:spacing w:val="4"/>
        </w:rPr>
        <w:t>《民法》和《民事诉讼法》、《刑法》和《刑事诉讼法》、《行政诉讼法》</w:t>
      </w:r>
      <w:r>
        <w:rPr>
          <w:rStyle w:val="EndnoteReference"/>
          <w:spacing w:val="4"/>
        </w:rPr>
        <w:endnoteReference w:id="23"/>
      </w:r>
      <w:r>
        <w:rPr>
          <w:rFonts w:hint="eastAsia"/>
          <w:spacing w:val="4"/>
        </w:rPr>
        <w:t xml:space="preserve"> )</w:t>
      </w:r>
      <w:r>
        <w:rPr>
          <w:rFonts w:hint="eastAsia"/>
          <w:spacing w:val="4"/>
        </w:rPr>
        <w:t>和其他法律规定。</w:t>
      </w:r>
    </w:p>
    <w:p w:rsidR="00000000" w:rsidRDefault="00000000">
      <w:pPr>
        <w:rPr>
          <w:rFonts w:hint="eastAsia"/>
        </w:rPr>
      </w:pPr>
      <w:r>
        <w:rPr>
          <w:rFonts w:hint="eastAsia"/>
        </w:rPr>
        <w:tab/>
        <w:t xml:space="preserve">50.  </w:t>
      </w:r>
      <w:r>
        <w:rPr>
          <w:rFonts w:hint="eastAsia"/>
        </w:rPr>
        <w:t>所有宪法法令、法规和在捷克共和国生效的具有普遍约束力的法律原则，其中包括经过批准的国际条约的条文，均在《法律汇编》中颁布并出版附有判例法的评论版。</w:t>
      </w:r>
      <w:r>
        <w:rPr>
          <w:rStyle w:val="EndnoteReference"/>
        </w:rPr>
        <w:endnoteReference w:id="24"/>
      </w:r>
      <w:r>
        <w:rPr>
          <w:rFonts w:hint="eastAsia"/>
        </w:rPr>
        <w:t xml:space="preserve">  </w:t>
      </w:r>
      <w:r>
        <w:rPr>
          <w:rFonts w:hint="eastAsia"/>
        </w:rPr>
        <w:t>根据《捷克共和国法律汇编法》第</w:t>
      </w:r>
      <w:r>
        <w:rPr>
          <w:rFonts w:hint="eastAsia"/>
        </w:rPr>
        <w:t>9</w:t>
      </w:r>
      <w:r>
        <w:rPr>
          <w:rFonts w:hint="eastAsia"/>
        </w:rPr>
        <w:t>条的规定，</w:t>
      </w:r>
      <w:r>
        <w:rPr>
          <w:rStyle w:val="EndnoteReference"/>
        </w:rPr>
        <w:endnoteReference w:id="25"/>
      </w:r>
      <w:r>
        <w:rPr>
          <w:rFonts w:hint="eastAsia"/>
        </w:rPr>
        <w:t xml:space="preserve">  </w:t>
      </w:r>
      <w:r>
        <w:rPr>
          <w:rFonts w:hint="eastAsia"/>
        </w:rPr>
        <w:t>所有自治市都必须至少备有一本《法律汇编》，并确保人人都能查阅。在报告期间，《义务发行本和工作用书法令》</w:t>
      </w:r>
      <w:r>
        <w:rPr>
          <w:rStyle w:val="EndnoteReference"/>
        </w:rPr>
        <w:endnoteReference w:id="26"/>
      </w:r>
      <w:r>
        <w:rPr>
          <w:rFonts w:hint="eastAsia"/>
        </w:rPr>
        <w:t xml:space="preserve">  </w:t>
      </w:r>
      <w:r>
        <w:rPr>
          <w:rFonts w:hint="eastAsia"/>
        </w:rPr>
        <w:t>也确保了法规的查阅。根据这项法令，《法律汇编》必须由出版商向所有行政区公共图书馆、高等院校图书馆和学术性图书馆和档案馆免费寄送一至五本。</w:t>
      </w:r>
      <w:r>
        <w:rPr>
          <w:rStyle w:val="EndnoteReference"/>
        </w:rPr>
        <w:endnoteReference w:id="27"/>
      </w:r>
      <w:r>
        <w:rPr>
          <w:rFonts w:hint="eastAsia"/>
        </w:rPr>
        <w:t xml:space="preserve">  </w:t>
      </w:r>
      <w:r>
        <w:rPr>
          <w:rFonts w:hint="eastAsia"/>
        </w:rPr>
        <w:t>《法律汇编》还可以查阅因特网上的电子版。</w:t>
      </w:r>
    </w:p>
    <w:p w:rsidR="00000000" w:rsidRDefault="00000000">
      <w:pPr>
        <w:rPr>
          <w:rFonts w:hint="eastAsia"/>
        </w:rPr>
      </w:pPr>
      <w:r>
        <w:rPr>
          <w:rFonts w:hint="eastAsia"/>
        </w:rPr>
        <w:tab/>
        <w:t xml:space="preserve">51.  </w:t>
      </w:r>
      <w:r>
        <w:rPr>
          <w:rFonts w:hint="eastAsia"/>
        </w:rPr>
        <w:t>对《公民权利和政治权利国际公约》第</w:t>
      </w:r>
      <w:r>
        <w:rPr>
          <w:rFonts w:hint="eastAsia"/>
        </w:rPr>
        <w:t>2</w:t>
      </w:r>
      <w:r>
        <w:rPr>
          <w:rFonts w:hint="eastAsia"/>
        </w:rPr>
        <w:t>条和《经济、社会、文化权利国际公约》第</w:t>
      </w:r>
      <w:r>
        <w:rPr>
          <w:rFonts w:hint="eastAsia"/>
        </w:rPr>
        <w:t>2</w:t>
      </w:r>
      <w:r>
        <w:rPr>
          <w:rFonts w:hint="eastAsia"/>
        </w:rPr>
        <w:t>和第</w:t>
      </w:r>
      <w:r>
        <w:rPr>
          <w:rFonts w:hint="eastAsia"/>
        </w:rPr>
        <w:t>4</w:t>
      </w:r>
      <w:r>
        <w:rPr>
          <w:rFonts w:hint="eastAsia"/>
        </w:rPr>
        <w:t>条规定的权利提供的保护主要通过提起违宪诉讼的方式进行，这种违宪诉讼可以由下列人向宪法法院提出：</w:t>
      </w:r>
    </w:p>
    <w:p w:rsidR="00000000" w:rsidRDefault="00000000">
      <w:pPr>
        <w:numPr>
          <w:ilvl w:val="0"/>
          <w:numId w:val="51"/>
        </w:numPr>
        <w:rPr>
          <w:rFonts w:hint="eastAsia"/>
        </w:rPr>
      </w:pPr>
      <w:r>
        <w:rPr>
          <w:rFonts w:hint="eastAsia"/>
        </w:rPr>
        <w:t>自然人或法人，针对政府机关作出的、已依法生效的决定或其他措施提出，如果该人认为，受到宪法法令或约束捷克共和国的国际人权和基本自由协定保障的基本权利或自由已经受到侵犯；</w:t>
      </w:r>
    </w:p>
    <w:p w:rsidR="00000000" w:rsidRDefault="00000000">
      <w:pPr>
        <w:numPr>
          <w:ilvl w:val="0"/>
          <w:numId w:val="51"/>
        </w:numPr>
        <w:rPr>
          <w:rFonts w:hint="eastAsia"/>
        </w:rPr>
      </w:pPr>
      <w:r>
        <w:rPr>
          <w:rFonts w:hint="eastAsia"/>
        </w:rPr>
        <w:t>地方行政机关，针对国家的非法干预提起；</w:t>
      </w:r>
    </w:p>
    <w:p w:rsidR="00000000" w:rsidRDefault="00000000">
      <w:pPr>
        <w:numPr>
          <w:ilvl w:val="0"/>
          <w:numId w:val="51"/>
        </w:numPr>
        <w:rPr>
          <w:rFonts w:hint="eastAsia"/>
        </w:rPr>
      </w:pPr>
      <w:r>
        <w:rPr>
          <w:rFonts w:hint="eastAsia"/>
        </w:rPr>
        <w:t>政党，针对解散它的决定或针对另一项关于其活动的违宪或非法决定提出。</w:t>
      </w:r>
    </w:p>
    <w:p w:rsidR="00000000" w:rsidRDefault="00000000">
      <w:pPr>
        <w:rPr>
          <w:rFonts w:hint="eastAsia"/>
        </w:rPr>
      </w:pPr>
      <w:r>
        <w:rPr>
          <w:rFonts w:hint="eastAsia"/>
        </w:rPr>
        <w:tab/>
        <w:t xml:space="preserve">52.  </w:t>
      </w:r>
      <w:r>
        <w:rPr>
          <w:rFonts w:hint="eastAsia"/>
        </w:rPr>
        <w:t>在提起违宪诉讼的同时，还可以提出废止一项法规或其中任何部分的建议，如果构成违宪诉讼理由的事实是由于适用该法规所引起，以及如果原告认为该法规与有宪法或国际保证的权利和自由抵触。</w:t>
      </w:r>
    </w:p>
    <w:p w:rsidR="00000000" w:rsidRDefault="00000000">
      <w:pPr>
        <w:spacing w:after="160"/>
        <w:rPr>
          <w:rFonts w:hint="eastAsia"/>
        </w:rPr>
      </w:pPr>
      <w:r>
        <w:rPr>
          <w:rFonts w:hint="eastAsia"/>
        </w:rPr>
        <w:tab/>
        <w:t xml:space="preserve">53.  </w:t>
      </w:r>
      <w:r>
        <w:rPr>
          <w:rFonts w:hint="eastAsia"/>
        </w:rPr>
        <w:t>法律按照普遍公认的民主的审判程序原则适用于宪法法院的诉讼：程序公开原则，独立和公正地作出判决原则，各关系方享有同等地位和有权使用本民族语言原则。</w:t>
      </w:r>
    </w:p>
    <w:p w:rsidR="00000000" w:rsidRDefault="00000000">
      <w:pPr>
        <w:pStyle w:val="Heading4"/>
        <w:spacing w:before="320"/>
        <w:rPr>
          <w:rFonts w:hint="eastAsia"/>
        </w:rPr>
      </w:pPr>
      <w:r>
        <w:rPr>
          <w:rFonts w:hint="eastAsia"/>
        </w:rPr>
        <w:t>国际人权条约文书</w:t>
      </w:r>
    </w:p>
    <w:p w:rsidR="00000000" w:rsidRDefault="00000000">
      <w:pPr>
        <w:spacing w:after="160"/>
        <w:rPr>
          <w:rFonts w:hint="eastAsia"/>
          <w:spacing w:val="8"/>
        </w:rPr>
      </w:pPr>
      <w:r>
        <w:rPr>
          <w:rFonts w:hint="eastAsia"/>
        </w:rPr>
        <w:tab/>
        <w:t xml:space="preserve">54.  </w:t>
      </w:r>
      <w:r>
        <w:rPr>
          <w:rFonts w:hint="eastAsia"/>
          <w:spacing w:val="8"/>
        </w:rPr>
        <w:t>捷克共和国批准了下列重要的国际和区域性人权法律文书，并受其约束：</w:t>
      </w:r>
    </w:p>
    <w:p w:rsidR="00000000" w:rsidRDefault="00000000">
      <w:pPr>
        <w:numPr>
          <w:ilvl w:val="0"/>
          <w:numId w:val="55"/>
        </w:numPr>
        <w:rPr>
          <w:rFonts w:hint="eastAsia"/>
        </w:rPr>
      </w:pPr>
      <w:r>
        <w:rPr>
          <w:rFonts w:hint="eastAsia"/>
        </w:rPr>
        <w:t>《消除一切形式种族歧视国际公约》；</w:t>
      </w:r>
    </w:p>
    <w:p w:rsidR="00000000" w:rsidRDefault="00000000">
      <w:pPr>
        <w:numPr>
          <w:ilvl w:val="0"/>
          <w:numId w:val="55"/>
        </w:numPr>
        <w:rPr>
          <w:rFonts w:hint="eastAsia"/>
          <w:spacing w:val="0"/>
        </w:rPr>
      </w:pPr>
      <w:r>
        <w:rPr>
          <w:rFonts w:hint="eastAsia"/>
          <w:spacing w:val="0"/>
        </w:rPr>
        <w:t>《公民权利和政治权利国际公约》和《经济、社会、文化权利国际公约》；</w:t>
      </w:r>
    </w:p>
    <w:p w:rsidR="00000000" w:rsidRDefault="00000000">
      <w:pPr>
        <w:numPr>
          <w:ilvl w:val="0"/>
          <w:numId w:val="55"/>
        </w:numPr>
        <w:rPr>
          <w:rFonts w:hint="eastAsia"/>
        </w:rPr>
      </w:pPr>
      <w:r>
        <w:rPr>
          <w:rFonts w:hint="eastAsia"/>
        </w:rPr>
        <w:t>《消除对妇女一切形式歧视公约》；</w:t>
      </w:r>
    </w:p>
    <w:p w:rsidR="00000000" w:rsidRDefault="00000000">
      <w:pPr>
        <w:numPr>
          <w:ilvl w:val="0"/>
          <w:numId w:val="55"/>
        </w:numPr>
        <w:rPr>
          <w:rFonts w:hint="eastAsia"/>
        </w:rPr>
      </w:pPr>
      <w:r>
        <w:rPr>
          <w:rFonts w:hint="eastAsia"/>
        </w:rPr>
        <w:t>《儿童权利公约》；</w:t>
      </w:r>
    </w:p>
    <w:p w:rsidR="00000000" w:rsidRDefault="00000000">
      <w:pPr>
        <w:numPr>
          <w:ilvl w:val="0"/>
          <w:numId w:val="55"/>
        </w:numPr>
        <w:rPr>
          <w:rFonts w:hint="eastAsia"/>
        </w:rPr>
      </w:pPr>
      <w:r>
        <w:rPr>
          <w:rFonts w:hint="eastAsia"/>
        </w:rPr>
        <w:t>《保护人权与基本自由公约》及其各项议定书；</w:t>
      </w:r>
    </w:p>
    <w:p w:rsidR="00000000" w:rsidRDefault="00000000">
      <w:pPr>
        <w:numPr>
          <w:ilvl w:val="0"/>
          <w:numId w:val="55"/>
        </w:numPr>
        <w:rPr>
          <w:rFonts w:hint="eastAsia"/>
        </w:rPr>
      </w:pPr>
      <w:r>
        <w:rPr>
          <w:rFonts w:hint="eastAsia"/>
        </w:rPr>
        <w:t>《禁止酷刑和其他残忍、不人道或有辱人格的待遇或处罚公约》；</w:t>
      </w:r>
    </w:p>
    <w:p w:rsidR="00000000" w:rsidRDefault="00000000">
      <w:pPr>
        <w:numPr>
          <w:ilvl w:val="0"/>
          <w:numId w:val="55"/>
        </w:numPr>
        <w:rPr>
          <w:rFonts w:hint="eastAsia"/>
        </w:rPr>
      </w:pPr>
      <w:r>
        <w:rPr>
          <w:rFonts w:hint="eastAsia"/>
        </w:rPr>
        <w:t>《保护少数民族框架公约》；</w:t>
      </w:r>
    </w:p>
    <w:p w:rsidR="00000000" w:rsidRDefault="00000000">
      <w:pPr>
        <w:numPr>
          <w:ilvl w:val="0"/>
          <w:numId w:val="55"/>
        </w:numPr>
        <w:rPr>
          <w:rFonts w:hint="eastAsia"/>
        </w:rPr>
      </w:pPr>
      <w:r>
        <w:rPr>
          <w:rFonts w:hint="eastAsia"/>
        </w:rPr>
        <w:t>《欧洲社会宪章》及其《议定书》。</w:t>
      </w:r>
    </w:p>
    <w:p w:rsidR="00000000" w:rsidRDefault="00000000">
      <w:pPr>
        <w:rPr>
          <w:rFonts w:hint="eastAsia"/>
        </w:rPr>
      </w:pPr>
      <w:r>
        <w:rPr>
          <w:rFonts w:hint="eastAsia"/>
        </w:rPr>
        <w:tab/>
        <w:t xml:space="preserve">55.  </w:t>
      </w:r>
      <w:r>
        <w:rPr>
          <w:rFonts w:hint="eastAsia"/>
        </w:rPr>
        <w:t>已批准的国际条约和其他重要的国际文书以捷克文在《法律汇编》中公布。</w:t>
      </w:r>
      <w:r>
        <w:rPr>
          <w:rStyle w:val="EndnoteReference"/>
        </w:rPr>
        <w:endnoteReference w:id="28"/>
      </w:r>
      <w:r>
        <w:rPr>
          <w:rFonts w:hint="eastAsia"/>
        </w:rPr>
        <w:t xml:space="preserve">  </w:t>
      </w:r>
      <w:r>
        <w:rPr>
          <w:rFonts w:hint="eastAsia"/>
        </w:rPr>
        <w:t>关于国际盟约和公约义务履行情况的初次和定期报告也</w:t>
      </w:r>
      <w:r>
        <w:rPr>
          <w:rFonts w:hint="eastAsia"/>
        </w:rPr>
        <w:t>(</w:t>
      </w:r>
      <w:r>
        <w:rPr>
          <w:rFonts w:hint="eastAsia"/>
        </w:rPr>
        <w:t>通常由负责任的编纂者</w:t>
      </w:r>
      <w:r>
        <w:rPr>
          <w:rFonts w:hint="eastAsia"/>
        </w:rPr>
        <w:t>/</w:t>
      </w:r>
      <w:r>
        <w:rPr>
          <w:rFonts w:hint="eastAsia"/>
        </w:rPr>
        <w:t>部</w:t>
      </w:r>
      <w:r>
        <w:rPr>
          <w:rFonts w:hint="eastAsia"/>
        </w:rPr>
        <w:t>)</w:t>
      </w:r>
      <w:r>
        <w:rPr>
          <w:rFonts w:hint="eastAsia"/>
        </w:rPr>
        <w:t>印刷发行以及在因特网上公布。关于《公约》履行情况的初步报告也将以同样的方式发表和传播。</w:t>
      </w:r>
    </w:p>
    <w:p w:rsidR="00000000" w:rsidRDefault="00000000">
      <w:pPr>
        <w:rPr>
          <w:rFonts w:hint="eastAsia"/>
        </w:rPr>
      </w:pPr>
      <w:r>
        <w:rPr>
          <w:rFonts w:hint="eastAsia"/>
        </w:rPr>
        <w:tab/>
        <w:t xml:space="preserve">56.  </w:t>
      </w:r>
      <w:r>
        <w:rPr>
          <w:rFonts w:hint="eastAsia"/>
        </w:rPr>
        <w:t>捷克法令中的一个重要内容是《捷克共和国宪法》第</w:t>
      </w:r>
      <w:r>
        <w:rPr>
          <w:rFonts w:hint="eastAsia"/>
        </w:rPr>
        <w:t>10</w:t>
      </w:r>
      <w:r>
        <w:rPr>
          <w:rFonts w:hint="eastAsia"/>
        </w:rPr>
        <w:t>条规定的合宪性原则，根据这一原则，经过批准和颁布的、捷克共和国负有义务的国际人权和基本自由条约可以直接适用并享有优先于法律的地位。这一点在捷克共和国宪法法院的一项判决中也明确地予以指出。</w:t>
      </w:r>
      <w:r>
        <w:rPr>
          <w:rStyle w:val="EndnoteReference"/>
        </w:rPr>
        <w:endnoteReference w:id="29"/>
      </w:r>
    </w:p>
    <w:p w:rsidR="00000000" w:rsidRDefault="00000000">
      <w:pPr>
        <w:rPr>
          <w:rFonts w:hint="eastAsia"/>
        </w:rPr>
      </w:pPr>
      <w:r>
        <w:rPr>
          <w:rFonts w:hint="eastAsia"/>
        </w:rPr>
        <w:tab/>
        <w:t xml:space="preserve">57.  </w:t>
      </w:r>
      <w:r>
        <w:rPr>
          <w:rFonts w:hint="eastAsia"/>
        </w:rPr>
        <w:t>对《欧洲保护人权和基本自由公约》及其议定书规定的权利和自由的保护由欧洲人权法院的机制作为保障。按该公约第</w:t>
      </w:r>
      <w:r>
        <w:rPr>
          <w:rFonts w:hint="eastAsia"/>
        </w:rPr>
        <w:t>11</w:t>
      </w:r>
      <w:r>
        <w:rPr>
          <w:rFonts w:hint="eastAsia"/>
        </w:rPr>
        <w:t>号议定书的形式对该法院进行改革加强了这种保护。该公约于</w:t>
      </w:r>
      <w:r>
        <w:rPr>
          <w:rFonts w:hint="eastAsia"/>
        </w:rPr>
        <w:t>1992</w:t>
      </w:r>
      <w:r>
        <w:rPr>
          <w:rFonts w:hint="eastAsia"/>
        </w:rPr>
        <w:t>年</w:t>
      </w:r>
      <w:r>
        <w:rPr>
          <w:rFonts w:hint="eastAsia"/>
        </w:rPr>
        <w:t>3</w:t>
      </w:r>
      <w:r>
        <w:rPr>
          <w:rFonts w:hint="eastAsia"/>
        </w:rPr>
        <w:t>月</w:t>
      </w:r>
      <w:r>
        <w:rPr>
          <w:rFonts w:hint="eastAsia"/>
        </w:rPr>
        <w:t>18</w:t>
      </w:r>
      <w:r>
        <w:rPr>
          <w:rFonts w:hint="eastAsia"/>
        </w:rPr>
        <w:t>日对捷克斯洛伐克联邦共和国生效，并于</w:t>
      </w:r>
      <w:r>
        <w:rPr>
          <w:rFonts w:hint="eastAsia"/>
        </w:rPr>
        <w:t>1993</w:t>
      </w:r>
      <w:r>
        <w:rPr>
          <w:rFonts w:hint="eastAsia"/>
        </w:rPr>
        <w:t>年</w:t>
      </w:r>
      <w:r>
        <w:rPr>
          <w:rFonts w:hint="eastAsia"/>
        </w:rPr>
        <w:t>1</w:t>
      </w:r>
      <w:r>
        <w:rPr>
          <w:rFonts w:hint="eastAsia"/>
        </w:rPr>
        <w:t>月</w:t>
      </w:r>
      <w:r>
        <w:rPr>
          <w:rFonts w:hint="eastAsia"/>
        </w:rPr>
        <w:t>1</w:t>
      </w:r>
      <w:r>
        <w:rPr>
          <w:rFonts w:hint="eastAsia"/>
        </w:rPr>
        <w:t>日对捷克共和国生效。执行新的管理手段的公约第</w:t>
      </w:r>
      <w:r>
        <w:rPr>
          <w:rFonts w:hint="eastAsia"/>
        </w:rPr>
        <w:t>11</w:t>
      </w:r>
      <w:r>
        <w:rPr>
          <w:rFonts w:hint="eastAsia"/>
        </w:rPr>
        <w:t>号议定书于</w:t>
      </w:r>
      <w:r>
        <w:rPr>
          <w:rFonts w:hint="eastAsia"/>
        </w:rPr>
        <w:t>1998</w:t>
      </w:r>
      <w:r>
        <w:rPr>
          <w:rFonts w:hint="eastAsia"/>
        </w:rPr>
        <w:t>年</w:t>
      </w:r>
      <w:r>
        <w:rPr>
          <w:rFonts w:hint="eastAsia"/>
        </w:rPr>
        <w:t>11</w:t>
      </w:r>
      <w:r>
        <w:rPr>
          <w:rFonts w:hint="eastAsia"/>
        </w:rPr>
        <w:t>月</w:t>
      </w:r>
      <w:r>
        <w:rPr>
          <w:rFonts w:hint="eastAsia"/>
        </w:rPr>
        <w:t>1</w:t>
      </w:r>
      <w:r>
        <w:rPr>
          <w:rFonts w:hint="eastAsia"/>
        </w:rPr>
        <w:t>日生效。</w:t>
      </w:r>
    </w:p>
    <w:p w:rsidR="00000000" w:rsidRDefault="00000000">
      <w:pPr>
        <w:spacing w:after="240"/>
        <w:rPr>
          <w:rFonts w:hint="eastAsia"/>
        </w:rPr>
      </w:pPr>
      <w:r>
        <w:rPr>
          <w:rFonts w:hint="eastAsia"/>
        </w:rPr>
        <w:tab/>
        <w:t>58.  1999</w:t>
      </w:r>
      <w:r>
        <w:rPr>
          <w:rFonts w:hint="eastAsia"/>
        </w:rPr>
        <w:t>年</w:t>
      </w:r>
      <w:r>
        <w:rPr>
          <w:rFonts w:hint="eastAsia"/>
        </w:rPr>
        <w:t>5</w:t>
      </w:r>
      <w:r>
        <w:rPr>
          <w:rFonts w:hint="eastAsia"/>
        </w:rPr>
        <w:t>月，捷克共和国议会通过了《新闻自由法》，</w:t>
      </w:r>
      <w:r>
        <w:rPr>
          <w:rStyle w:val="EndnoteReference"/>
        </w:rPr>
        <w:endnoteReference w:id="30"/>
      </w:r>
      <w:r>
        <w:rPr>
          <w:rFonts w:hint="eastAsia"/>
        </w:rPr>
        <w:t xml:space="preserve">  </w:t>
      </w:r>
      <w:r>
        <w:rPr>
          <w:rFonts w:hint="eastAsia"/>
        </w:rPr>
        <w:t>该法允许提供与国家机关和地方自治机构的管辖权有关的新闻。该法同时也规定了提供新闻的条件。该法于</w:t>
      </w:r>
      <w:r>
        <w:rPr>
          <w:rFonts w:hint="eastAsia"/>
        </w:rPr>
        <w:t>2000</w:t>
      </w:r>
      <w:r>
        <w:rPr>
          <w:rFonts w:hint="eastAsia"/>
        </w:rPr>
        <w:t>年</w:t>
      </w:r>
      <w:r>
        <w:rPr>
          <w:rFonts w:hint="eastAsia"/>
        </w:rPr>
        <w:t>1</w:t>
      </w:r>
      <w:r>
        <w:rPr>
          <w:rFonts w:hint="eastAsia"/>
        </w:rPr>
        <w:t>月</w:t>
      </w:r>
      <w:r>
        <w:rPr>
          <w:rFonts w:hint="eastAsia"/>
        </w:rPr>
        <w:t>1</w:t>
      </w:r>
      <w:r>
        <w:rPr>
          <w:rFonts w:hint="eastAsia"/>
        </w:rPr>
        <w:t>日生效。</w:t>
      </w:r>
    </w:p>
    <w:p w:rsidR="00000000" w:rsidRDefault="00000000">
      <w:pPr>
        <w:pStyle w:val="Heading4"/>
        <w:rPr>
          <w:rFonts w:hint="eastAsia"/>
        </w:rPr>
      </w:pPr>
      <w:r>
        <w:rPr>
          <w:rFonts w:hint="eastAsia"/>
        </w:rPr>
        <w:t>在中央国家行政机关一级保护人权</w:t>
      </w:r>
    </w:p>
    <w:p w:rsidR="00000000" w:rsidRDefault="00000000">
      <w:pPr>
        <w:rPr>
          <w:rFonts w:hint="eastAsia"/>
          <w:spacing w:val="6"/>
        </w:rPr>
      </w:pPr>
      <w:r>
        <w:rPr>
          <w:rFonts w:hint="eastAsia"/>
        </w:rPr>
        <w:tab/>
        <w:t xml:space="preserve">59.  </w:t>
      </w:r>
      <w:r>
        <w:rPr>
          <w:rFonts w:hint="eastAsia"/>
          <w:spacing w:val="6"/>
        </w:rPr>
        <w:t>人权保护个别领域的监督工作在</w:t>
      </w:r>
      <w:r>
        <w:rPr>
          <w:rFonts w:hint="eastAsia"/>
          <w:spacing w:val="6"/>
        </w:rPr>
        <w:t>1998</w:t>
      </w:r>
      <w:r>
        <w:rPr>
          <w:rFonts w:hint="eastAsia"/>
          <w:spacing w:val="6"/>
        </w:rPr>
        <w:t>年之前一直在各部</w:t>
      </w:r>
      <w:r>
        <w:rPr>
          <w:rFonts w:hint="eastAsia"/>
          <w:spacing w:val="6"/>
        </w:rPr>
        <w:t>(</w:t>
      </w:r>
      <w:r>
        <w:rPr>
          <w:rFonts w:hint="eastAsia"/>
          <w:spacing w:val="6"/>
        </w:rPr>
        <w:t>尤其是劳动和社会事务部、教育、青年和体育部、内务部、司法部、文化部、卫生部和不管部部长</w:t>
      </w:r>
      <w:r>
        <w:rPr>
          <w:rFonts w:hint="eastAsia"/>
          <w:spacing w:val="6"/>
        </w:rPr>
        <w:t>)</w:t>
      </w:r>
      <w:r>
        <w:rPr>
          <w:rFonts w:hint="eastAsia"/>
          <w:spacing w:val="6"/>
        </w:rPr>
        <w:t>的管辖范围内进行；对国际义务履行情况进行监督和评价属于外交事务部的职责。</w:t>
      </w:r>
    </w:p>
    <w:p w:rsidR="00000000" w:rsidRDefault="00000000">
      <w:pPr>
        <w:rPr>
          <w:rFonts w:hint="eastAsia"/>
        </w:rPr>
      </w:pPr>
      <w:r>
        <w:rPr>
          <w:rFonts w:hint="eastAsia"/>
        </w:rPr>
        <w:tab/>
        <w:t>60.  1998</w:t>
      </w:r>
      <w:r>
        <w:rPr>
          <w:rFonts w:hint="eastAsia"/>
        </w:rPr>
        <w:t>年，政府设立了人权事务政府专员职位。</w:t>
      </w:r>
      <w:r>
        <w:rPr>
          <w:rStyle w:val="EndnoteReference"/>
        </w:rPr>
        <w:endnoteReference w:id="31"/>
      </w:r>
      <w:r>
        <w:rPr>
          <w:rFonts w:hint="eastAsia"/>
        </w:rPr>
        <w:t xml:space="preserve">  </w:t>
      </w:r>
      <w:r>
        <w:rPr>
          <w:rFonts w:hint="eastAsia"/>
        </w:rPr>
        <w:t>成立捷克共和国政府人权事务委员会</w:t>
      </w:r>
      <w:r>
        <w:rPr>
          <w:rFonts w:hint="eastAsia"/>
        </w:rPr>
        <w:t>(</w:t>
      </w:r>
      <w:r>
        <w:rPr>
          <w:rFonts w:hint="eastAsia"/>
        </w:rPr>
        <w:t>“委员会”</w:t>
      </w:r>
      <w:r>
        <w:rPr>
          <w:rFonts w:hint="eastAsia"/>
        </w:rPr>
        <w:t xml:space="preserve">) </w:t>
      </w:r>
      <w:r>
        <w:rPr>
          <w:rStyle w:val="EndnoteReference"/>
        </w:rPr>
        <w:endnoteReference w:id="32"/>
      </w:r>
      <w:r>
        <w:rPr>
          <w:rFonts w:hint="eastAsia"/>
        </w:rPr>
        <w:t xml:space="preserve">  </w:t>
      </w:r>
      <w:r>
        <w:rPr>
          <w:rFonts w:hint="eastAsia"/>
        </w:rPr>
        <w:t>是改善现状的一项关键的组织措施，同时也是对国际组织要求对在该国保护人权提供体制保障的要求所作出的一项反应。该委员会是捷克政府在保护捷克共和国管辖下的人民的人权和基本自由问题上的一个咨询和协调机构。该委员会负责：</w:t>
      </w:r>
    </w:p>
    <w:p w:rsidR="00000000" w:rsidRDefault="00000000">
      <w:pPr>
        <w:numPr>
          <w:ilvl w:val="0"/>
          <w:numId w:val="53"/>
        </w:numPr>
        <w:rPr>
          <w:rFonts w:hint="eastAsia"/>
        </w:rPr>
      </w:pPr>
      <w:r>
        <w:rPr>
          <w:rFonts w:hint="eastAsia"/>
        </w:rPr>
        <w:t>监督《基本权利和自由宪章》所载的人权和基本自由在捷克共和国的状况；</w:t>
      </w:r>
    </w:p>
    <w:p w:rsidR="00000000" w:rsidRDefault="00000000">
      <w:pPr>
        <w:numPr>
          <w:ilvl w:val="0"/>
          <w:numId w:val="53"/>
        </w:numPr>
        <w:rPr>
          <w:rFonts w:hint="eastAsia"/>
        </w:rPr>
      </w:pPr>
      <w:r>
        <w:rPr>
          <w:rFonts w:hint="eastAsia"/>
        </w:rPr>
        <w:t>监督捷克共和国在人权保护领域的国际义务在国内的履行情况，尤其是对上文第</w:t>
      </w:r>
      <w:r>
        <w:rPr>
          <w:rFonts w:hint="eastAsia"/>
        </w:rPr>
        <w:t>49</w:t>
      </w:r>
      <w:r>
        <w:rPr>
          <w:rFonts w:hint="eastAsia"/>
        </w:rPr>
        <w:t>段所述国际条约文书的履行情况；</w:t>
      </w:r>
    </w:p>
    <w:p w:rsidR="00000000" w:rsidRDefault="00000000">
      <w:pPr>
        <w:numPr>
          <w:ilvl w:val="0"/>
          <w:numId w:val="53"/>
        </w:numPr>
        <w:rPr>
          <w:rFonts w:hint="eastAsia"/>
        </w:rPr>
      </w:pPr>
      <w:r>
        <w:rPr>
          <w:rFonts w:hint="eastAsia"/>
        </w:rPr>
        <w:t>确保政府根据国际条约所承担的义务得到履行，并与外交事务部合作向有关国际组织</w:t>
      </w:r>
      <w:r>
        <w:rPr>
          <w:rFonts w:hint="eastAsia"/>
        </w:rPr>
        <w:t>(</w:t>
      </w:r>
      <w:r>
        <w:rPr>
          <w:rFonts w:hint="eastAsia"/>
        </w:rPr>
        <w:t>联合国、欧洲委员会</w:t>
      </w:r>
      <w:r>
        <w:rPr>
          <w:rFonts w:hint="eastAsia"/>
        </w:rPr>
        <w:t>)</w:t>
      </w:r>
      <w:r>
        <w:rPr>
          <w:rFonts w:hint="eastAsia"/>
        </w:rPr>
        <w:t>提交向这些条约的监督机构提供的报告，如果上述任务并未分配给其他国家行政机关；</w:t>
      </w:r>
    </w:p>
    <w:p w:rsidR="00000000" w:rsidRDefault="00000000">
      <w:pPr>
        <w:numPr>
          <w:ilvl w:val="0"/>
          <w:numId w:val="53"/>
        </w:numPr>
        <w:rPr>
          <w:rFonts w:hint="eastAsia"/>
        </w:rPr>
      </w:pPr>
      <w:r>
        <w:rPr>
          <w:rFonts w:hint="eastAsia"/>
        </w:rPr>
        <w:t>通过副总理和政府立法委员会主席向政府提供有关捷克共和国受到约束或准备加入的国际条约义务履行情况的资料、建议及所持立场；</w:t>
      </w:r>
    </w:p>
    <w:p w:rsidR="00000000" w:rsidRDefault="00000000">
      <w:pPr>
        <w:numPr>
          <w:ilvl w:val="0"/>
          <w:numId w:val="53"/>
        </w:numPr>
        <w:rPr>
          <w:rFonts w:hint="eastAsia"/>
        </w:rPr>
      </w:pPr>
      <w:r>
        <w:rPr>
          <w:rFonts w:hint="eastAsia"/>
        </w:rPr>
        <w:t>在每年三月底向政府提交捷克共和国上一年的人权状况报告；</w:t>
      </w:r>
    </w:p>
    <w:p w:rsidR="00000000" w:rsidRDefault="00000000">
      <w:pPr>
        <w:numPr>
          <w:ilvl w:val="0"/>
          <w:numId w:val="53"/>
        </w:numPr>
        <w:rPr>
          <w:rFonts w:hint="eastAsia"/>
        </w:rPr>
      </w:pPr>
      <w:r>
        <w:rPr>
          <w:rFonts w:hint="eastAsia"/>
        </w:rPr>
        <w:t>监督尊重外国人人权的情况。</w:t>
      </w:r>
    </w:p>
    <w:p w:rsidR="00000000" w:rsidRDefault="00000000">
      <w:pPr>
        <w:rPr>
          <w:rFonts w:hint="eastAsia"/>
        </w:rPr>
      </w:pPr>
      <w:r>
        <w:rPr>
          <w:rFonts w:hint="eastAsia"/>
        </w:rPr>
        <w:tab/>
        <w:t xml:space="preserve">61.  </w:t>
      </w:r>
      <w:r>
        <w:rPr>
          <w:rFonts w:hint="eastAsia"/>
          <w:spacing w:val="4"/>
        </w:rPr>
        <w:t>在该委员会成立之前，没有制定确保公众首先是非政府组织积极参加的任何程序</w:t>
      </w:r>
      <w:r>
        <w:rPr>
          <w:rFonts w:hint="eastAsia"/>
          <w:spacing w:val="4"/>
        </w:rPr>
        <w:t>(</w:t>
      </w:r>
      <w:r>
        <w:rPr>
          <w:rFonts w:hint="eastAsia"/>
          <w:spacing w:val="4"/>
        </w:rPr>
        <w:t>包括组织程序在内</w:t>
      </w:r>
      <w:r>
        <w:rPr>
          <w:rFonts w:hint="eastAsia"/>
          <w:spacing w:val="4"/>
        </w:rPr>
        <w:t>)</w:t>
      </w:r>
      <w:r>
        <w:rPr>
          <w:rFonts w:hint="eastAsia"/>
          <w:spacing w:val="4"/>
        </w:rPr>
        <w:t>，并使之制度化。委员会制定了与非政府的非营利组织合作的条件。上至副总理级国家行政机关，下至一般公众在委员会内都有同等的代表权。目前委员会除主席和副主席以外有</w:t>
      </w:r>
      <w:r>
        <w:rPr>
          <w:rFonts w:hint="eastAsia"/>
          <w:spacing w:val="4"/>
        </w:rPr>
        <w:t>20</w:t>
      </w:r>
      <w:r>
        <w:rPr>
          <w:rFonts w:hint="eastAsia"/>
          <w:spacing w:val="4"/>
        </w:rPr>
        <w:t>名成员。委员会主席是政府人权事务专员。</w:t>
      </w:r>
    </w:p>
    <w:p w:rsidR="00000000" w:rsidRDefault="00000000">
      <w:pPr>
        <w:spacing w:after="240"/>
        <w:rPr>
          <w:rFonts w:hint="eastAsia"/>
        </w:rPr>
      </w:pPr>
      <w:r>
        <w:rPr>
          <w:rFonts w:hint="eastAsia"/>
        </w:rPr>
        <w:tab/>
        <w:t xml:space="preserve">62.  </w:t>
      </w:r>
      <w:r>
        <w:rPr>
          <w:rFonts w:hint="eastAsia"/>
        </w:rPr>
        <w:t>在报告期间，捷克共和国并未设立就政府机关的非法或不正确的决定或程序提供保护的公共权利保护人</w:t>
      </w:r>
      <w:r>
        <w:rPr>
          <w:rFonts w:hint="eastAsia"/>
        </w:rPr>
        <w:t>(</w:t>
      </w:r>
      <w:r>
        <w:rPr>
          <w:rFonts w:hint="eastAsia"/>
        </w:rPr>
        <w:t>调查专员</w:t>
      </w:r>
      <w:r>
        <w:rPr>
          <w:rFonts w:hint="eastAsia"/>
        </w:rPr>
        <w:t>)</w:t>
      </w:r>
      <w:r>
        <w:rPr>
          <w:rFonts w:hint="eastAsia"/>
        </w:rPr>
        <w:t>的机构。《公共权利保护人法》于</w:t>
      </w:r>
      <w:r>
        <w:rPr>
          <w:rFonts w:hint="eastAsia"/>
        </w:rPr>
        <w:t>1999</w:t>
      </w:r>
      <w:r>
        <w:rPr>
          <w:rFonts w:hint="eastAsia"/>
        </w:rPr>
        <w:t>年</w:t>
      </w:r>
      <w:r>
        <w:rPr>
          <w:rFonts w:hint="eastAsia"/>
        </w:rPr>
        <w:t>12</w:t>
      </w:r>
      <w:r>
        <w:rPr>
          <w:rFonts w:hint="eastAsia"/>
        </w:rPr>
        <w:t>月通过，并于</w:t>
      </w:r>
      <w:r>
        <w:rPr>
          <w:rFonts w:hint="eastAsia"/>
        </w:rPr>
        <w:t>1999</w:t>
      </w:r>
      <w:r>
        <w:rPr>
          <w:rFonts w:hint="eastAsia"/>
        </w:rPr>
        <w:t>年</w:t>
      </w:r>
      <w:r>
        <w:rPr>
          <w:rFonts w:hint="eastAsia"/>
        </w:rPr>
        <w:t>12</w:t>
      </w:r>
      <w:r>
        <w:rPr>
          <w:rFonts w:hint="eastAsia"/>
        </w:rPr>
        <w:t>月</w:t>
      </w:r>
      <w:r>
        <w:rPr>
          <w:rFonts w:hint="eastAsia"/>
        </w:rPr>
        <w:t>30</w:t>
      </w:r>
      <w:r>
        <w:rPr>
          <w:rFonts w:hint="eastAsia"/>
        </w:rPr>
        <w:t>日在《法律汇编》中公布。</w:t>
      </w:r>
      <w:r>
        <w:rPr>
          <w:rStyle w:val="EndnoteReference"/>
        </w:rPr>
        <w:endnoteReference w:id="33"/>
      </w:r>
      <w:r>
        <w:rPr>
          <w:rFonts w:hint="eastAsia"/>
        </w:rPr>
        <w:t xml:space="preserve">  </w:t>
      </w:r>
      <w:r>
        <w:rPr>
          <w:rFonts w:hint="eastAsia"/>
        </w:rPr>
        <w:t>根据该法的规定，捷克共和国的公共权利保护人可以查看各部、地区和财务办公室和其他国家行政机关的会议记录；它的管辖权还可以延伸到警察、军队、监狱和保护性治疗机构。它无权强迫某一特定机构采取某种行动，但法律授权它将不适当的情况向高一级机构或政府报告，或予以公布。它不能干预议会、共和国总统、政府、最高审计署、国家检察官办公室或法院的活动。法律不允许调查专员代表公民出庭。根据该法第</w:t>
      </w:r>
      <w:r>
        <w:rPr>
          <w:rFonts w:hint="eastAsia"/>
        </w:rPr>
        <w:t>28</w:t>
      </w:r>
      <w:r>
        <w:rPr>
          <w:rFonts w:hint="eastAsia"/>
        </w:rPr>
        <w:t>条的规定，《公共权利保护人法》将在《法律汇编》中颁布</w:t>
      </w:r>
      <w:r>
        <w:rPr>
          <w:rFonts w:hint="eastAsia"/>
        </w:rPr>
        <w:t>60</w:t>
      </w:r>
      <w:r>
        <w:rPr>
          <w:rFonts w:hint="eastAsia"/>
        </w:rPr>
        <w:t>天后生效</w:t>
      </w:r>
      <w:r>
        <w:rPr>
          <w:rFonts w:hint="eastAsia"/>
          <w:spacing w:val="-40"/>
          <w:sz w:val="22"/>
        </w:rPr>
        <w:t>——</w:t>
      </w:r>
      <w:r>
        <w:rPr>
          <w:sz w:val="22"/>
        </w:rPr>
        <w:t xml:space="preserve"> </w:t>
      </w:r>
      <w:r>
        <w:rPr>
          <w:rFonts w:hint="eastAsia"/>
        </w:rPr>
        <w:t>2000</w:t>
      </w:r>
      <w:r>
        <w:rPr>
          <w:rFonts w:hint="eastAsia"/>
        </w:rPr>
        <w:t>年</w:t>
      </w:r>
      <w:r>
        <w:rPr>
          <w:rFonts w:hint="eastAsia"/>
        </w:rPr>
        <w:t>2</w:t>
      </w:r>
      <w:r>
        <w:rPr>
          <w:rFonts w:hint="eastAsia"/>
        </w:rPr>
        <w:t>月</w:t>
      </w:r>
      <w:r>
        <w:rPr>
          <w:rFonts w:hint="eastAsia"/>
        </w:rPr>
        <w:t>28</w:t>
      </w:r>
      <w:r>
        <w:rPr>
          <w:rFonts w:hint="eastAsia"/>
        </w:rPr>
        <w:t>日。</w:t>
      </w:r>
    </w:p>
    <w:p w:rsidR="00000000" w:rsidRDefault="00000000">
      <w:pPr>
        <w:pStyle w:val="Heading4"/>
        <w:spacing w:after="160"/>
        <w:rPr>
          <w:rFonts w:hint="eastAsia"/>
        </w:rPr>
      </w:pPr>
      <w:r>
        <w:rPr>
          <w:rFonts w:hint="eastAsia"/>
        </w:rPr>
        <w:t>非政府的非营利性组织</w:t>
      </w:r>
    </w:p>
    <w:p w:rsidR="00000000" w:rsidRDefault="00000000">
      <w:pPr>
        <w:rPr>
          <w:rFonts w:hint="eastAsia"/>
        </w:rPr>
      </w:pPr>
      <w:r>
        <w:rPr>
          <w:rFonts w:hint="eastAsia"/>
        </w:rPr>
        <w:tab/>
        <w:t xml:space="preserve">63.  </w:t>
      </w:r>
      <w:r>
        <w:rPr>
          <w:rFonts w:hint="eastAsia"/>
        </w:rPr>
        <w:t>非政府的非营利性组织在人权保护方面发挥着重要的作用。这些组织通过开展旨在改善某一特定人群的条件或加强其成员的特性的公益活动，增进了下列基本文书规定的一些基本人权：《宪法》、《宪章》、《世界人权宣言》和其他规范。</w:t>
      </w:r>
    </w:p>
    <w:p w:rsidR="00000000" w:rsidRDefault="00000000">
      <w:pPr>
        <w:rPr>
          <w:rFonts w:hint="eastAsia"/>
        </w:rPr>
      </w:pPr>
      <w:r>
        <w:rPr>
          <w:rFonts w:hint="eastAsia"/>
        </w:rPr>
        <w:tab/>
        <w:t xml:space="preserve">64.  </w:t>
      </w:r>
      <w:r>
        <w:rPr>
          <w:rFonts w:hint="eastAsia"/>
        </w:rPr>
        <w:t>非政府的非营利性组织是一种体现公民自愿参加从而实现相互或公益目的的组织。它们不是在国家机构的参与下设立或运作，而且它们活动的目的不是为了营利。它们是：</w:t>
      </w:r>
    </w:p>
    <w:p w:rsidR="00000000" w:rsidRDefault="00000000">
      <w:pPr>
        <w:numPr>
          <w:ilvl w:val="0"/>
          <w:numId w:val="54"/>
        </w:numPr>
        <w:rPr>
          <w:rFonts w:hint="eastAsia"/>
        </w:rPr>
      </w:pPr>
      <w:r>
        <w:rPr>
          <w:rFonts w:hint="eastAsia"/>
        </w:rPr>
        <w:t>公民协会</w:t>
      </w:r>
      <w:r>
        <w:rPr>
          <w:rFonts w:hint="eastAsia"/>
        </w:rPr>
        <w:t xml:space="preserve"> </w:t>
      </w:r>
      <w:r>
        <w:rPr>
          <w:rStyle w:val="EndnoteReference"/>
        </w:rPr>
        <w:endnoteReference w:id="34"/>
      </w:r>
      <w:r>
        <w:rPr>
          <w:rFonts w:hint="eastAsia"/>
        </w:rPr>
        <w:t xml:space="preserve">  (</w:t>
      </w:r>
      <w:r>
        <w:rPr>
          <w:rFonts w:hint="eastAsia"/>
        </w:rPr>
        <w:t>团体、社团、俱乐部等等</w:t>
      </w:r>
      <w:r>
        <w:rPr>
          <w:rFonts w:hint="eastAsia"/>
        </w:rPr>
        <w:t>)</w:t>
      </w:r>
      <w:r>
        <w:rPr>
          <w:rFonts w:hint="eastAsia"/>
        </w:rPr>
        <w:t>：公民尤其是自然人为一定目的而组成的协会。法人也可以是成员。法律并未进一步具体规定按目的对协会进行划分。自从《公民协会法》生效</w:t>
      </w:r>
      <w:r>
        <w:rPr>
          <w:rFonts w:hint="eastAsia"/>
        </w:rPr>
        <w:t>(1990</w:t>
      </w:r>
      <w:r>
        <w:rPr>
          <w:rFonts w:hint="eastAsia"/>
        </w:rPr>
        <w:t>年</w:t>
      </w:r>
      <w:r>
        <w:rPr>
          <w:rFonts w:hint="eastAsia"/>
        </w:rPr>
        <w:t>5</w:t>
      </w:r>
      <w:r>
        <w:rPr>
          <w:rFonts w:hint="eastAsia"/>
        </w:rPr>
        <w:t>月</w:t>
      </w:r>
      <w:r>
        <w:rPr>
          <w:rFonts w:hint="eastAsia"/>
        </w:rPr>
        <w:t>1</w:t>
      </w:r>
      <w:r>
        <w:rPr>
          <w:rFonts w:hint="eastAsia"/>
        </w:rPr>
        <w:t>日</w:t>
      </w:r>
      <w:r>
        <w:rPr>
          <w:rFonts w:hint="eastAsia"/>
        </w:rPr>
        <w:t>)</w:t>
      </w:r>
      <w:r>
        <w:rPr>
          <w:rFonts w:hint="eastAsia"/>
        </w:rPr>
        <w:t>之日直至</w:t>
      </w:r>
      <w:r>
        <w:rPr>
          <w:rFonts w:hint="eastAsia"/>
        </w:rPr>
        <w:t>1999</w:t>
      </w:r>
      <w:r>
        <w:rPr>
          <w:rFonts w:hint="eastAsia"/>
        </w:rPr>
        <w:t>年底，内务部登记了</w:t>
      </w:r>
      <w:r>
        <w:rPr>
          <w:rFonts w:hint="eastAsia"/>
        </w:rPr>
        <w:t>42,000</w:t>
      </w:r>
      <w:r>
        <w:rPr>
          <w:rFonts w:hint="eastAsia"/>
        </w:rPr>
        <w:t>多个公民协会，其中在报告期间有近</w:t>
      </w:r>
      <w:r>
        <w:rPr>
          <w:rFonts w:hint="eastAsia"/>
        </w:rPr>
        <w:t>33,000</w:t>
      </w:r>
      <w:r>
        <w:rPr>
          <w:rFonts w:hint="eastAsia"/>
        </w:rPr>
        <w:t>个；</w:t>
      </w:r>
    </w:p>
    <w:p w:rsidR="00000000" w:rsidRDefault="00000000">
      <w:pPr>
        <w:numPr>
          <w:ilvl w:val="0"/>
          <w:numId w:val="54"/>
        </w:numPr>
        <w:rPr>
          <w:rFonts w:hint="eastAsia"/>
        </w:rPr>
      </w:pPr>
      <w:r>
        <w:rPr>
          <w:rFonts w:hint="eastAsia"/>
        </w:rPr>
        <w:t>特殊用途教会设施</w:t>
      </w:r>
      <w:r>
        <w:rPr>
          <w:rFonts w:hint="eastAsia"/>
        </w:rPr>
        <w:t xml:space="preserve"> </w:t>
      </w:r>
      <w:r>
        <w:rPr>
          <w:rStyle w:val="EndnoteReference"/>
        </w:rPr>
        <w:endnoteReference w:id="35"/>
      </w:r>
      <w:r>
        <w:rPr>
          <w:rFonts w:hint="eastAsia"/>
        </w:rPr>
        <w:t xml:space="preserve"> </w:t>
      </w:r>
      <w:r>
        <w:rPr>
          <w:rFonts w:hint="eastAsia"/>
        </w:rPr>
        <w:t>：登记的教堂不依赖于政府独立地建立和运营它们的特殊用途设施，它们通过这些设施实现其慈善目的、社会目的、教育目的和文化目的。这些实体通常以很高的专业化水平提供公众可利用的服务。根据文化部的统计资料，登记的教堂目前运营着</w:t>
      </w:r>
      <w:r>
        <w:rPr>
          <w:rFonts w:hint="eastAsia"/>
        </w:rPr>
        <w:t>168</w:t>
      </w:r>
      <w:r>
        <w:rPr>
          <w:rFonts w:hint="eastAsia"/>
        </w:rPr>
        <w:t>个具有自身法律地位的特殊用途设施；</w:t>
      </w:r>
    </w:p>
    <w:p w:rsidR="00000000" w:rsidRDefault="00000000">
      <w:pPr>
        <w:numPr>
          <w:ilvl w:val="0"/>
          <w:numId w:val="54"/>
        </w:numPr>
        <w:rPr>
          <w:rFonts w:hint="eastAsia"/>
        </w:rPr>
      </w:pPr>
      <w:r>
        <w:rPr>
          <w:rFonts w:hint="eastAsia"/>
        </w:rPr>
        <w:t>公益服务协会</w:t>
      </w:r>
      <w:r>
        <w:rPr>
          <w:rFonts w:hint="eastAsia"/>
        </w:rPr>
        <w:t xml:space="preserve"> </w:t>
      </w:r>
      <w:r>
        <w:rPr>
          <w:rStyle w:val="EndnoteReference"/>
        </w:rPr>
        <w:endnoteReference w:id="36"/>
      </w:r>
      <w:r>
        <w:rPr>
          <w:rFonts w:hint="eastAsia"/>
        </w:rPr>
        <w:t xml:space="preserve">  </w:t>
      </w:r>
      <w:r>
        <w:rPr>
          <w:rFonts w:hint="eastAsia"/>
        </w:rPr>
        <w:t>是根据预先确定的、对所有用户都公平的条件向公众提供公益服务的法律实体。无论这些机构的创始人、成员还是雇员都不得将这些机构的利润用于为自己谋利。法律规定这类公司必须将其利润用来提供其创始文件中所述的服务。</w:t>
      </w:r>
      <w:r>
        <w:rPr>
          <w:rFonts w:hint="eastAsia"/>
        </w:rPr>
        <w:t>1999</w:t>
      </w:r>
      <w:r>
        <w:rPr>
          <w:rFonts w:hint="eastAsia"/>
        </w:rPr>
        <w:t>年，记录法院所保存的记录中有</w:t>
      </w:r>
      <w:r>
        <w:rPr>
          <w:rFonts w:hint="eastAsia"/>
        </w:rPr>
        <w:t>480</w:t>
      </w:r>
      <w:r>
        <w:rPr>
          <w:rFonts w:hint="eastAsia"/>
        </w:rPr>
        <w:t>个公益服务协会登记；</w:t>
      </w:r>
    </w:p>
    <w:p w:rsidR="00000000" w:rsidRDefault="00000000">
      <w:pPr>
        <w:numPr>
          <w:ilvl w:val="0"/>
          <w:numId w:val="54"/>
        </w:numPr>
        <w:rPr>
          <w:rFonts w:hint="eastAsia"/>
        </w:rPr>
      </w:pPr>
      <w:r>
        <w:rPr>
          <w:rFonts w:hint="eastAsia"/>
        </w:rPr>
        <w:t>基金会和基金</w:t>
      </w:r>
      <w:r>
        <w:rPr>
          <w:rFonts w:hint="eastAsia"/>
        </w:rPr>
        <w:t xml:space="preserve"> </w:t>
      </w:r>
      <w:r>
        <w:rPr>
          <w:rStyle w:val="EndnoteReference"/>
        </w:rPr>
        <w:endnoteReference w:id="37"/>
      </w:r>
      <w:r>
        <w:rPr>
          <w:rFonts w:hint="eastAsia"/>
        </w:rPr>
        <w:t xml:space="preserve">  </w:t>
      </w:r>
      <w:r>
        <w:rPr>
          <w:rFonts w:hint="eastAsia"/>
        </w:rPr>
        <w:t>是为实现公益目的而成立的具有特殊目的的资产协会。为了实现其目的，基金会可以利用其资产和其他财产所产生的收入。基金会资产的总价值在基金会整个存续期间最低不得低于</w:t>
      </w:r>
      <w:r>
        <w:rPr>
          <w:rFonts w:hint="eastAsia"/>
        </w:rPr>
        <w:t>500,000</w:t>
      </w:r>
      <w:r>
        <w:rPr>
          <w:rFonts w:hint="eastAsia"/>
        </w:rPr>
        <w:t>捷克克朗。相比之下，基金可以利用其所有的资产实现其目的</w:t>
      </w:r>
      <w:r>
        <w:rPr>
          <w:rFonts w:hint="eastAsia"/>
          <w:spacing w:val="-40"/>
          <w:sz w:val="22"/>
        </w:rPr>
        <w:t>——</w:t>
      </w:r>
      <w:r>
        <w:rPr>
          <w:sz w:val="22"/>
        </w:rPr>
        <w:t xml:space="preserve"> </w:t>
      </w:r>
      <w:r>
        <w:rPr>
          <w:rFonts w:hint="eastAsia"/>
        </w:rPr>
        <w:t>更多的是一次性目的。基金会的资产和其他财产可以是现金、有价证券、动产和不动产、财产权利和满足固定收益这一先决条件并且不受任何留置权限制的其他资产。</w:t>
      </w:r>
      <w:r>
        <w:rPr>
          <w:rFonts w:hint="eastAsia"/>
        </w:rPr>
        <w:t>1999</w:t>
      </w:r>
      <w:r>
        <w:rPr>
          <w:rFonts w:hint="eastAsia"/>
        </w:rPr>
        <w:t>年，记录法院保存的基金会登记簿上登记了</w:t>
      </w:r>
      <w:r>
        <w:rPr>
          <w:rFonts w:hint="eastAsia"/>
        </w:rPr>
        <w:t>245</w:t>
      </w:r>
      <w:r>
        <w:rPr>
          <w:rFonts w:hint="eastAsia"/>
        </w:rPr>
        <w:t>个基金会和</w:t>
      </w:r>
      <w:r>
        <w:rPr>
          <w:rFonts w:hint="eastAsia"/>
        </w:rPr>
        <w:t>607</w:t>
      </w:r>
      <w:r>
        <w:rPr>
          <w:rFonts w:hint="eastAsia"/>
        </w:rPr>
        <w:t>个基金。</w:t>
      </w:r>
    </w:p>
    <w:p w:rsidR="00000000" w:rsidRDefault="00000000">
      <w:pPr>
        <w:rPr>
          <w:rFonts w:hint="eastAsia"/>
        </w:rPr>
      </w:pPr>
      <w:r>
        <w:rPr>
          <w:rFonts w:hint="eastAsia"/>
        </w:rPr>
        <w:tab/>
        <w:t xml:space="preserve">65.  </w:t>
      </w:r>
      <w:r>
        <w:rPr>
          <w:rFonts w:hint="eastAsia"/>
        </w:rPr>
        <w:t>国家提供预算补贴用于资助公民协会、公益公司和特殊用途教会设施所开展的活动。目前，有</w:t>
      </w:r>
      <w:r>
        <w:rPr>
          <w:rFonts w:hint="eastAsia"/>
        </w:rPr>
        <w:t>11</w:t>
      </w:r>
      <w:r>
        <w:rPr>
          <w:rFonts w:hint="eastAsia"/>
        </w:rPr>
        <w:t>个部提供国家补贴。补贴全部用于它们各自的管辖范围，并且是按共同资助一年期项目的方式提供的，这种一年期项目由非政府的非营利性组织根据提供补贴的部与补贴接受者之间签订的协议提出。接受补贴的人必须在提供补贴的日历年份使用补贴并对其负责。提供补贴适用下列规章：</w:t>
      </w:r>
    </w:p>
    <w:p w:rsidR="00000000" w:rsidRDefault="00000000">
      <w:pPr>
        <w:numPr>
          <w:ilvl w:val="1"/>
          <w:numId w:val="54"/>
        </w:numPr>
        <w:rPr>
          <w:rFonts w:hint="eastAsia"/>
        </w:rPr>
      </w:pPr>
      <w:r>
        <w:rPr>
          <w:rFonts w:hint="eastAsia"/>
        </w:rPr>
        <w:t>《国家预算条例》。</w:t>
      </w:r>
      <w:r>
        <w:rPr>
          <w:rStyle w:val="EndnoteReference"/>
        </w:rPr>
        <w:endnoteReference w:id="38"/>
      </w:r>
      <w:r>
        <w:rPr>
          <w:rFonts w:hint="eastAsia"/>
        </w:rPr>
        <w:t xml:space="preserve">  1999</w:t>
      </w:r>
      <w:r>
        <w:rPr>
          <w:rFonts w:hint="eastAsia"/>
        </w:rPr>
        <w:t>年</w:t>
      </w:r>
      <w:r>
        <w:rPr>
          <w:rFonts w:hint="eastAsia"/>
        </w:rPr>
        <w:t>7</w:t>
      </w:r>
      <w:r>
        <w:rPr>
          <w:rFonts w:hint="eastAsia"/>
        </w:rPr>
        <w:t>月，政府批准了新预算条例的实质性要点。</w:t>
      </w:r>
      <w:r>
        <w:rPr>
          <w:rStyle w:val="EndnoteReference"/>
        </w:rPr>
        <w:endnoteReference w:id="39"/>
      </w:r>
      <w:r>
        <w:rPr>
          <w:rFonts w:hint="eastAsia"/>
        </w:rPr>
        <w:t xml:space="preserve">  </w:t>
      </w:r>
      <w:r>
        <w:rPr>
          <w:rFonts w:hint="eastAsia"/>
        </w:rPr>
        <w:t>新预算条例将引进至今仍然缺乏的关于国家补贴政策的定义、从国家预算中提供补贴和可返回财政援助的规则以及取消补贴的程序。预计关于向非营利组织提供国家补贴的更详细的条件将由特别的法律加以规定；</w:t>
      </w:r>
    </w:p>
    <w:p w:rsidR="00000000" w:rsidRDefault="00000000">
      <w:pPr>
        <w:numPr>
          <w:ilvl w:val="1"/>
          <w:numId w:val="54"/>
        </w:numPr>
        <w:rPr>
          <w:rFonts w:hint="eastAsia"/>
        </w:rPr>
      </w:pPr>
      <w:r>
        <w:rPr>
          <w:rFonts w:hint="eastAsia"/>
        </w:rPr>
        <w:t>在报告期间，从国家预算中提供补贴的问题由《从国家预算中提供补贴条例》加以规定。</w:t>
      </w:r>
      <w:r>
        <w:rPr>
          <w:rStyle w:val="EndnoteReference"/>
        </w:rPr>
        <w:endnoteReference w:id="40"/>
      </w:r>
      <w:r>
        <w:rPr>
          <w:rFonts w:hint="eastAsia"/>
        </w:rPr>
        <w:t xml:space="preserve">  </w:t>
      </w:r>
      <w:r>
        <w:rPr>
          <w:rFonts w:hint="eastAsia"/>
        </w:rPr>
        <w:t>政府新制定的《从捷克共和国国家预算中向公民协会提供补贴条例》</w:t>
      </w:r>
      <w:r>
        <w:rPr>
          <w:rStyle w:val="EndnoteReference"/>
        </w:rPr>
        <w:endnoteReference w:id="41"/>
      </w:r>
      <w:r>
        <w:rPr>
          <w:rFonts w:hint="eastAsia"/>
        </w:rPr>
        <w:t xml:space="preserve">  </w:t>
      </w:r>
      <w:r>
        <w:rPr>
          <w:rFonts w:hint="eastAsia"/>
        </w:rPr>
        <w:t>在</w:t>
      </w:r>
      <w:r>
        <w:rPr>
          <w:rFonts w:hint="eastAsia"/>
        </w:rPr>
        <w:t>2000</w:t>
      </w:r>
      <w:r>
        <w:rPr>
          <w:rFonts w:hint="eastAsia"/>
        </w:rPr>
        <w:t>年</w:t>
      </w:r>
      <w:r>
        <w:rPr>
          <w:rFonts w:hint="eastAsia"/>
        </w:rPr>
        <w:t>1</w:t>
      </w:r>
      <w:r>
        <w:rPr>
          <w:rFonts w:hint="eastAsia"/>
        </w:rPr>
        <w:t>月</w:t>
      </w:r>
      <w:r>
        <w:rPr>
          <w:rFonts w:hint="eastAsia"/>
        </w:rPr>
        <w:t>1</w:t>
      </w:r>
      <w:r>
        <w:rPr>
          <w:rFonts w:hint="eastAsia"/>
        </w:rPr>
        <w:t>日生效，该条例比先前的条例更好地处理了提供补贴的问题，尤其是解决了过去多年在补贴实践中出现的一些问题</w:t>
      </w:r>
      <w:r>
        <w:rPr>
          <w:rFonts w:hint="eastAsia"/>
        </w:rPr>
        <w:t>(</w:t>
      </w:r>
      <w:r>
        <w:rPr>
          <w:rFonts w:hint="eastAsia"/>
        </w:rPr>
        <w:t>扩大支付薪酬的机会；在上一个日历年度结束之前对甄选程序进行评价；对由国家补贴提供的工资进行调节；对提供投资补贴规定了更为明确的条件；以及统一了各部提供补贴的条件</w:t>
      </w:r>
      <w:r>
        <w:rPr>
          <w:rFonts w:hint="eastAsia"/>
        </w:rPr>
        <w:t>)</w:t>
      </w:r>
      <w:r>
        <w:rPr>
          <w:rFonts w:hint="eastAsia"/>
        </w:rPr>
        <w:t>；</w:t>
      </w:r>
    </w:p>
    <w:p w:rsidR="00000000" w:rsidRDefault="00000000">
      <w:pPr>
        <w:numPr>
          <w:ilvl w:val="1"/>
          <w:numId w:val="54"/>
        </w:numPr>
        <w:rPr>
          <w:rFonts w:hint="eastAsia"/>
        </w:rPr>
      </w:pPr>
      <w:r>
        <w:rPr>
          <w:rFonts w:hint="eastAsia"/>
        </w:rPr>
        <w:t>一中央国家行政机关</w:t>
      </w:r>
      <w:r>
        <w:rPr>
          <w:rFonts w:hint="eastAsia"/>
          <w:spacing w:val="-40"/>
          <w:sz w:val="22"/>
        </w:rPr>
        <w:t>——</w:t>
      </w:r>
      <w:r>
        <w:rPr>
          <w:sz w:val="22"/>
        </w:rPr>
        <w:t xml:space="preserve"> </w:t>
      </w:r>
      <w:r>
        <w:rPr>
          <w:rFonts w:hint="eastAsia"/>
        </w:rPr>
        <w:t>补贴提供者</w:t>
      </w:r>
      <w:r>
        <w:rPr>
          <w:rFonts w:hint="eastAsia"/>
          <w:spacing w:val="-40"/>
          <w:sz w:val="22"/>
        </w:rPr>
        <w:t>——</w:t>
      </w:r>
      <w:r>
        <w:rPr>
          <w:sz w:val="22"/>
        </w:rPr>
        <w:t xml:space="preserve"> </w:t>
      </w:r>
      <w:r>
        <w:rPr>
          <w:rFonts w:hint="eastAsia"/>
        </w:rPr>
        <w:t>与补贴接受者签订的关于提供国家补贴的一年期协议。由于这种做法不是法律规定而且会导致许多问题</w:t>
      </w:r>
      <w:r>
        <w:rPr>
          <w:rFonts w:hint="eastAsia"/>
        </w:rPr>
        <w:t>(</w:t>
      </w:r>
      <w:r>
        <w:rPr>
          <w:rFonts w:hint="eastAsia"/>
        </w:rPr>
        <w:t>它未对不履行合同义务规定处罚办法等等</w:t>
      </w:r>
      <w:r>
        <w:rPr>
          <w:rFonts w:hint="eastAsia"/>
        </w:rPr>
        <w:t>)</w:t>
      </w:r>
      <w:r>
        <w:rPr>
          <w:rFonts w:hint="eastAsia"/>
        </w:rPr>
        <w:t>，也会被新的预算条例所取代。</w:t>
      </w:r>
    </w:p>
    <w:p w:rsidR="00000000" w:rsidRDefault="00000000">
      <w:pPr>
        <w:rPr>
          <w:rFonts w:hint="eastAsia"/>
        </w:rPr>
      </w:pPr>
      <w:r>
        <w:rPr>
          <w:rFonts w:hint="eastAsia"/>
        </w:rPr>
        <w:tab/>
        <w:t xml:space="preserve">66.  </w:t>
      </w:r>
      <w:r>
        <w:rPr>
          <w:rFonts w:hint="eastAsia"/>
        </w:rPr>
        <w:t>非政府的非营利性组织的收入来源可以</w:t>
      </w:r>
      <w:r>
        <w:rPr>
          <w:rFonts w:hint="eastAsia"/>
        </w:rPr>
        <w:t>(</w:t>
      </w:r>
      <w:r>
        <w:rPr>
          <w:rFonts w:hint="eastAsia"/>
        </w:rPr>
        <w:t>摘要</w:t>
      </w:r>
      <w:r>
        <w:rPr>
          <w:rFonts w:hint="eastAsia"/>
        </w:rPr>
        <w:t>)</w:t>
      </w:r>
      <w:r>
        <w:rPr>
          <w:rFonts w:hint="eastAsia"/>
        </w:rPr>
        <w:t>说明如下：组织本身活动的收入，大多数作为会员制社团的公民协会的会费、基金会的投资基金、来自自治市预算的资助、国内和国外基金会来源、企业界</w:t>
      </w:r>
      <w:r>
        <w:rPr>
          <w:rFonts w:hint="eastAsia"/>
        </w:rPr>
        <w:t>(</w:t>
      </w:r>
      <w:r>
        <w:rPr>
          <w:rFonts w:hint="eastAsia"/>
        </w:rPr>
        <w:t>赞助性赠款</w:t>
      </w:r>
      <w:r>
        <w:rPr>
          <w:rFonts w:hint="eastAsia"/>
        </w:rPr>
        <w:t>)</w:t>
      </w:r>
      <w:r>
        <w:rPr>
          <w:rFonts w:hint="eastAsia"/>
        </w:rPr>
        <w:t>、公开募捐和自然人赠款，其中部分收入来自抽彩和赛会以及税费减免。</w:t>
      </w:r>
    </w:p>
    <w:p w:rsidR="00000000" w:rsidRDefault="00000000">
      <w:pPr>
        <w:spacing w:after="240"/>
        <w:rPr>
          <w:rFonts w:hint="eastAsia"/>
        </w:rPr>
      </w:pPr>
      <w:r>
        <w:rPr>
          <w:rFonts w:hint="eastAsia"/>
        </w:rPr>
        <w:tab/>
        <w:t>67.  1999</w:t>
      </w:r>
      <w:r>
        <w:rPr>
          <w:rFonts w:hint="eastAsia"/>
        </w:rPr>
        <w:t>年，不管部部长担任主席的非政府的非营利性组织政府委员会编写了第一份关于捷克国家预算资助公民协会、特殊用途教会设施、公用事业公司、基金会和基金情况的详细分析报告。在对分析报告进行讨论之后，政府责成各部部长：在</w:t>
      </w:r>
      <w:r>
        <w:rPr>
          <w:rFonts w:hint="eastAsia"/>
        </w:rPr>
        <w:t>1999</w:t>
      </w:r>
      <w:r>
        <w:rPr>
          <w:rFonts w:hint="eastAsia"/>
        </w:rPr>
        <w:t>年年底之前就国家对非政府的非营利性组织的补贴政策在全国范围的优先次序编写一份条理清楚的纲要，并统一有关提供国家补贴的基本的技术和组织规则；到</w:t>
      </w:r>
      <w:r>
        <w:rPr>
          <w:rFonts w:hint="eastAsia"/>
        </w:rPr>
        <w:t>2000</w:t>
      </w:r>
      <w:r>
        <w:rPr>
          <w:rFonts w:hint="eastAsia"/>
        </w:rPr>
        <w:t>年年中之前，对这些补贴的记录实行标准化；到</w:t>
      </w:r>
      <w:r>
        <w:rPr>
          <w:rFonts w:hint="eastAsia"/>
        </w:rPr>
        <w:t>2000</w:t>
      </w:r>
      <w:r>
        <w:rPr>
          <w:rFonts w:hint="eastAsia"/>
        </w:rPr>
        <w:t>年年底之前，对将有关补贴的信息输入中央补贴登记信息系统实行统一的标准。</w:t>
      </w:r>
      <w:r>
        <w:rPr>
          <w:rStyle w:val="EndnoteReference"/>
        </w:rPr>
        <w:endnoteReference w:id="42"/>
      </w:r>
      <w:r>
        <w:rPr>
          <w:rFonts w:hint="eastAsia"/>
        </w:rPr>
        <w:t xml:space="preserve">  </w:t>
      </w:r>
    </w:p>
    <w:p w:rsidR="00000000" w:rsidRDefault="00000000">
      <w:pPr>
        <w:pStyle w:val="Heading3"/>
        <w:spacing w:after="160"/>
        <w:rPr>
          <w:rFonts w:hint="eastAsia"/>
        </w:rPr>
      </w:pPr>
      <w:r>
        <w:rPr>
          <w:rFonts w:hint="eastAsia"/>
        </w:rPr>
        <w:t>分配给非政府的非营利性组织的国家补贴金额</w:t>
      </w:r>
    </w:p>
    <w:tbl>
      <w:tblPr>
        <w:tblW w:w="0" w:type="auto"/>
        <w:tblLook w:val="0000" w:firstRow="0" w:lastRow="0" w:firstColumn="0" w:lastColumn="0" w:noHBand="0" w:noVBand="0"/>
      </w:tblPr>
      <w:tblGrid>
        <w:gridCol w:w="2388"/>
        <w:gridCol w:w="1920"/>
        <w:gridCol w:w="1680"/>
        <w:gridCol w:w="1800"/>
        <w:gridCol w:w="1783"/>
      </w:tblGrid>
      <w:tr w:rsidR="00000000">
        <w:tblPrEx>
          <w:tblCellMar>
            <w:top w:w="0" w:type="dxa"/>
            <w:bottom w:w="0" w:type="dxa"/>
          </w:tblCellMar>
        </w:tblPrEx>
        <w:trPr>
          <w:cantSplit/>
        </w:trPr>
        <w:tc>
          <w:tcPr>
            <w:tcW w:w="2388" w:type="dxa"/>
            <w:tcBorders>
              <w:top w:val="single" w:sz="4" w:space="0" w:color="auto"/>
            </w:tcBorders>
          </w:tcPr>
          <w:p w:rsidR="00000000" w:rsidRDefault="00000000">
            <w:pPr>
              <w:pStyle w:val="aa"/>
              <w:spacing w:line="260" w:lineRule="exact"/>
              <w:jc w:val="center"/>
              <w:rPr>
                <w:rFonts w:hint="eastAsia"/>
              </w:rPr>
            </w:pPr>
          </w:p>
        </w:tc>
        <w:tc>
          <w:tcPr>
            <w:tcW w:w="7183" w:type="dxa"/>
            <w:gridSpan w:val="4"/>
            <w:tcBorders>
              <w:top w:val="single" w:sz="4" w:space="0" w:color="auto"/>
              <w:bottom w:val="single" w:sz="4" w:space="0" w:color="auto"/>
            </w:tcBorders>
          </w:tcPr>
          <w:p w:rsidR="00000000" w:rsidRDefault="00000000">
            <w:pPr>
              <w:pStyle w:val="aa"/>
              <w:spacing w:line="260" w:lineRule="exact"/>
              <w:jc w:val="center"/>
              <w:rPr>
                <w:rFonts w:hint="eastAsia"/>
              </w:rPr>
            </w:pPr>
            <w:r>
              <w:rPr>
                <w:rFonts w:hint="eastAsia"/>
              </w:rPr>
              <w:t>国家补贴</w:t>
            </w:r>
          </w:p>
        </w:tc>
      </w:tr>
      <w:tr w:rsidR="00000000">
        <w:tblPrEx>
          <w:tblCellMar>
            <w:top w:w="0" w:type="dxa"/>
            <w:bottom w:w="0" w:type="dxa"/>
          </w:tblCellMar>
        </w:tblPrEx>
        <w:trPr>
          <w:cantSplit/>
        </w:trPr>
        <w:tc>
          <w:tcPr>
            <w:tcW w:w="2388" w:type="dxa"/>
          </w:tcPr>
          <w:p w:rsidR="00000000" w:rsidRDefault="00000000">
            <w:pPr>
              <w:pStyle w:val="aa"/>
              <w:spacing w:line="260" w:lineRule="exact"/>
              <w:jc w:val="center"/>
              <w:rPr>
                <w:rFonts w:hint="eastAsia"/>
              </w:rPr>
            </w:pPr>
            <w:r>
              <w:rPr>
                <w:rFonts w:hint="eastAsia"/>
              </w:rPr>
              <w:t>部</w:t>
            </w:r>
            <w:r>
              <w:rPr>
                <w:rFonts w:hint="eastAsia"/>
              </w:rPr>
              <w:t xml:space="preserve">  </w:t>
            </w:r>
            <w:r>
              <w:rPr>
                <w:rFonts w:hint="eastAsia"/>
              </w:rPr>
              <w:t>门</w:t>
            </w:r>
          </w:p>
        </w:tc>
        <w:tc>
          <w:tcPr>
            <w:tcW w:w="3600" w:type="dxa"/>
            <w:gridSpan w:val="2"/>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1998</w:t>
            </w:r>
            <w:r>
              <w:rPr>
                <w:rFonts w:hint="eastAsia"/>
                <w:lang w:val="fr-FR"/>
              </w:rPr>
              <w:t>年</w:t>
            </w:r>
          </w:p>
        </w:tc>
        <w:tc>
          <w:tcPr>
            <w:tcW w:w="3583" w:type="dxa"/>
            <w:gridSpan w:val="2"/>
            <w:tcBorders>
              <w:top w:val="single" w:sz="4" w:space="0" w:color="auto"/>
              <w:bottom w:val="single" w:sz="4" w:space="0" w:color="auto"/>
            </w:tcBorders>
          </w:tcPr>
          <w:p w:rsidR="00000000" w:rsidRDefault="00000000">
            <w:pPr>
              <w:pStyle w:val="aa"/>
              <w:spacing w:line="260" w:lineRule="exact"/>
              <w:jc w:val="center"/>
              <w:rPr>
                <w:rFonts w:hint="eastAsia"/>
              </w:rPr>
            </w:pPr>
            <w:r>
              <w:rPr>
                <w:rFonts w:hint="eastAsia"/>
              </w:rPr>
              <w:t>1999</w:t>
            </w:r>
            <w:r>
              <w:rPr>
                <w:rFonts w:hint="eastAsia"/>
              </w:rPr>
              <w:t>年</w:t>
            </w:r>
          </w:p>
        </w:tc>
      </w:tr>
      <w:tr w:rsidR="00000000">
        <w:tblPrEx>
          <w:tblCellMar>
            <w:top w:w="0" w:type="dxa"/>
            <w:bottom w:w="0" w:type="dxa"/>
          </w:tblCellMar>
        </w:tblPrEx>
        <w:tc>
          <w:tcPr>
            <w:tcW w:w="2388" w:type="dxa"/>
            <w:tcBorders>
              <w:bottom w:val="single" w:sz="4" w:space="0" w:color="auto"/>
            </w:tcBorders>
          </w:tcPr>
          <w:p w:rsidR="00000000" w:rsidRDefault="00000000">
            <w:pPr>
              <w:pStyle w:val="aa"/>
              <w:spacing w:line="260" w:lineRule="exact"/>
              <w:jc w:val="center"/>
              <w:rPr>
                <w:rFonts w:hint="eastAsia"/>
              </w:rPr>
            </w:pPr>
          </w:p>
        </w:tc>
        <w:tc>
          <w:tcPr>
            <w:tcW w:w="1920"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以千计</w:t>
            </w:r>
          </w:p>
        </w:tc>
        <w:tc>
          <w:tcPr>
            <w:tcW w:w="1680"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w:t>
            </w:r>
          </w:p>
        </w:tc>
        <w:tc>
          <w:tcPr>
            <w:tcW w:w="1800"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以千计</w:t>
            </w:r>
          </w:p>
        </w:tc>
        <w:tc>
          <w:tcPr>
            <w:tcW w:w="1783"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w:t>
            </w:r>
          </w:p>
        </w:tc>
      </w:tr>
      <w:tr w:rsidR="00000000">
        <w:tblPrEx>
          <w:tblCellMar>
            <w:top w:w="0" w:type="dxa"/>
            <w:bottom w:w="0" w:type="dxa"/>
          </w:tblCellMar>
        </w:tblPrEx>
        <w:tc>
          <w:tcPr>
            <w:tcW w:w="2388" w:type="dxa"/>
            <w:tcBorders>
              <w:top w:val="single" w:sz="4" w:space="0" w:color="auto"/>
            </w:tcBorders>
          </w:tcPr>
          <w:p w:rsidR="00000000" w:rsidRDefault="00000000">
            <w:pPr>
              <w:pStyle w:val="aa"/>
              <w:spacing w:line="260" w:lineRule="exact"/>
              <w:rPr>
                <w:rFonts w:hint="eastAsia"/>
              </w:rPr>
            </w:pPr>
            <w:r>
              <w:rPr>
                <w:rFonts w:hint="eastAsia"/>
              </w:rPr>
              <w:t>农业部</w:t>
            </w:r>
          </w:p>
        </w:tc>
        <w:tc>
          <w:tcPr>
            <w:tcW w:w="1920" w:type="dxa"/>
            <w:tcBorders>
              <w:top w:val="single" w:sz="4" w:space="0" w:color="auto"/>
            </w:tcBorders>
          </w:tcPr>
          <w:p w:rsidR="00000000" w:rsidRDefault="00000000">
            <w:pPr>
              <w:pStyle w:val="aa"/>
              <w:spacing w:line="260" w:lineRule="exact"/>
              <w:ind w:right="567"/>
              <w:jc w:val="right"/>
              <w:rPr>
                <w:rFonts w:hint="eastAsia"/>
                <w:lang w:val="fr-FR"/>
              </w:rPr>
            </w:pPr>
            <w:r>
              <w:rPr>
                <w:rFonts w:hint="eastAsia"/>
                <w:color w:val="000000"/>
                <w:spacing w:val="-9"/>
                <w:szCs w:val="25"/>
                <w:lang w:val="fr-FR"/>
              </w:rPr>
              <w:t>38,192</w:t>
            </w:r>
          </w:p>
        </w:tc>
        <w:tc>
          <w:tcPr>
            <w:tcW w:w="1680" w:type="dxa"/>
            <w:tcBorders>
              <w:top w:val="single" w:sz="4" w:space="0" w:color="auto"/>
            </w:tcBorders>
          </w:tcPr>
          <w:p w:rsidR="00000000" w:rsidRDefault="00000000">
            <w:pPr>
              <w:pStyle w:val="aa"/>
              <w:spacing w:line="260" w:lineRule="exact"/>
              <w:ind w:right="680"/>
              <w:jc w:val="right"/>
              <w:rPr>
                <w:lang w:val="fr-FR"/>
              </w:rPr>
            </w:pPr>
            <w:r>
              <w:rPr>
                <w:color w:val="000000"/>
                <w:szCs w:val="22"/>
                <w:lang w:val="fr-FR"/>
              </w:rPr>
              <w:t>2</w:t>
            </w:r>
          </w:p>
        </w:tc>
        <w:tc>
          <w:tcPr>
            <w:tcW w:w="1800" w:type="dxa"/>
            <w:tcBorders>
              <w:top w:val="single" w:sz="4" w:space="0" w:color="auto"/>
            </w:tcBorders>
          </w:tcPr>
          <w:p w:rsidR="00000000" w:rsidRDefault="00000000">
            <w:pPr>
              <w:pStyle w:val="aa"/>
              <w:spacing w:line="260" w:lineRule="exact"/>
              <w:ind w:right="567"/>
              <w:jc w:val="right"/>
              <w:rPr>
                <w:rFonts w:hint="eastAsia"/>
                <w:color w:val="000000"/>
                <w:spacing w:val="-9"/>
                <w:szCs w:val="25"/>
                <w:lang w:val="fr-FR"/>
              </w:rPr>
            </w:pPr>
            <w:r>
              <w:rPr>
                <w:rFonts w:hint="eastAsia"/>
                <w:color w:val="000000"/>
                <w:spacing w:val="-9"/>
                <w:szCs w:val="25"/>
                <w:lang w:val="fr-FR"/>
              </w:rPr>
              <w:t>48,200</w:t>
            </w:r>
          </w:p>
        </w:tc>
        <w:tc>
          <w:tcPr>
            <w:tcW w:w="1783" w:type="dxa"/>
            <w:tcBorders>
              <w:top w:val="single" w:sz="4" w:space="0" w:color="auto"/>
            </w:tcBorders>
          </w:tcPr>
          <w:p w:rsidR="00000000" w:rsidRDefault="00000000">
            <w:pPr>
              <w:pStyle w:val="aa"/>
              <w:spacing w:line="260" w:lineRule="exact"/>
              <w:ind w:right="680"/>
              <w:jc w:val="right"/>
              <w:rPr>
                <w:color w:val="000000"/>
                <w:szCs w:val="22"/>
                <w:lang w:val="fr-FR"/>
              </w:rPr>
            </w:pPr>
            <w:r>
              <w:rPr>
                <w:color w:val="000000"/>
                <w:szCs w:val="22"/>
                <w:lang w:val="fr-FR"/>
              </w:rPr>
              <w:t>2</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文化部</w:t>
            </w:r>
          </w:p>
        </w:tc>
        <w:tc>
          <w:tcPr>
            <w:tcW w:w="1920" w:type="dxa"/>
          </w:tcPr>
          <w:p w:rsidR="00000000" w:rsidRDefault="00000000">
            <w:pPr>
              <w:pStyle w:val="aa"/>
              <w:spacing w:line="260" w:lineRule="exact"/>
              <w:ind w:right="567"/>
              <w:jc w:val="right"/>
            </w:pPr>
            <w:r>
              <w:rPr>
                <w:color w:val="000000"/>
                <w:spacing w:val="-6"/>
                <w:szCs w:val="22"/>
              </w:rPr>
              <w:t>79,608</w:t>
            </w:r>
          </w:p>
        </w:tc>
        <w:tc>
          <w:tcPr>
            <w:tcW w:w="1680" w:type="dxa"/>
          </w:tcPr>
          <w:p w:rsidR="00000000" w:rsidRDefault="00000000">
            <w:pPr>
              <w:pStyle w:val="aa"/>
              <w:spacing w:line="260" w:lineRule="exact"/>
              <w:ind w:right="680"/>
              <w:jc w:val="right"/>
            </w:pPr>
            <w:r>
              <w:rPr>
                <w:color w:val="000000"/>
                <w:szCs w:val="22"/>
              </w:rPr>
              <w:t>4</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91,491</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4</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财政部</w:t>
            </w:r>
          </w:p>
        </w:tc>
        <w:tc>
          <w:tcPr>
            <w:tcW w:w="1920" w:type="dxa"/>
          </w:tcPr>
          <w:p w:rsidR="00000000" w:rsidRDefault="00000000">
            <w:pPr>
              <w:pStyle w:val="aa"/>
              <w:spacing w:line="260" w:lineRule="exact"/>
              <w:ind w:right="567"/>
              <w:jc w:val="right"/>
            </w:pPr>
            <w:r>
              <w:rPr>
                <w:color w:val="000000"/>
                <w:spacing w:val="-4"/>
                <w:szCs w:val="22"/>
              </w:rPr>
              <w:t>35,700</w:t>
            </w:r>
          </w:p>
        </w:tc>
        <w:tc>
          <w:tcPr>
            <w:tcW w:w="1680" w:type="dxa"/>
          </w:tcPr>
          <w:p w:rsidR="00000000" w:rsidRDefault="00000000">
            <w:pPr>
              <w:pStyle w:val="aa"/>
              <w:spacing w:line="260" w:lineRule="exact"/>
              <w:ind w:right="680"/>
              <w:jc w:val="right"/>
            </w:pPr>
            <w:r>
              <w:rPr>
                <w:color w:val="000000"/>
                <w:szCs w:val="22"/>
              </w:rPr>
              <w:t>2</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38,450</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2</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外交部</w:t>
            </w:r>
          </w:p>
        </w:tc>
        <w:tc>
          <w:tcPr>
            <w:tcW w:w="1920" w:type="dxa"/>
          </w:tcPr>
          <w:p w:rsidR="00000000" w:rsidRDefault="00000000">
            <w:pPr>
              <w:pStyle w:val="aa"/>
              <w:spacing w:line="260" w:lineRule="exact"/>
              <w:ind w:right="567"/>
              <w:jc w:val="right"/>
            </w:pPr>
            <w:r>
              <w:rPr>
                <w:color w:val="000000"/>
                <w:spacing w:val="-10"/>
                <w:szCs w:val="22"/>
              </w:rPr>
              <w:t>15,800</w:t>
            </w:r>
          </w:p>
        </w:tc>
        <w:tc>
          <w:tcPr>
            <w:tcW w:w="1680" w:type="dxa"/>
          </w:tcPr>
          <w:p w:rsidR="00000000" w:rsidRDefault="00000000">
            <w:pPr>
              <w:pStyle w:val="aa"/>
              <w:spacing w:line="260" w:lineRule="exact"/>
              <w:ind w:right="680"/>
              <w:jc w:val="right"/>
            </w:pPr>
            <w:r>
              <w:rPr>
                <w:color w:val="000000"/>
                <w:szCs w:val="22"/>
              </w:rPr>
              <w:t>1</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19,500</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I</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内政部</w:t>
            </w:r>
          </w:p>
        </w:tc>
        <w:tc>
          <w:tcPr>
            <w:tcW w:w="192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67,826</w:t>
            </w:r>
          </w:p>
        </w:tc>
        <w:tc>
          <w:tcPr>
            <w:tcW w:w="1680" w:type="dxa"/>
          </w:tcPr>
          <w:p w:rsidR="00000000" w:rsidRDefault="00000000">
            <w:pPr>
              <w:pStyle w:val="aa"/>
              <w:spacing w:line="260" w:lineRule="exact"/>
              <w:ind w:right="680"/>
              <w:jc w:val="right"/>
              <w:rPr>
                <w:color w:val="000000"/>
                <w:szCs w:val="22"/>
                <w:lang w:val="fr-FR"/>
              </w:rPr>
            </w:pPr>
            <w:r>
              <w:rPr>
                <w:color w:val="000000"/>
                <w:szCs w:val="22"/>
                <w:lang w:val="fr-FR"/>
              </w:rPr>
              <w:t>4</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53,195</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2</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环境部</w:t>
            </w:r>
          </w:p>
        </w:tc>
        <w:tc>
          <w:tcPr>
            <w:tcW w:w="192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19,350</w:t>
            </w:r>
          </w:p>
        </w:tc>
        <w:tc>
          <w:tcPr>
            <w:tcW w:w="1680" w:type="dxa"/>
          </w:tcPr>
          <w:p w:rsidR="00000000" w:rsidRDefault="00000000">
            <w:pPr>
              <w:pStyle w:val="aa"/>
              <w:spacing w:line="260" w:lineRule="exact"/>
              <w:ind w:right="680"/>
              <w:jc w:val="right"/>
              <w:rPr>
                <w:color w:val="000000"/>
                <w:szCs w:val="22"/>
                <w:lang w:val="fr-FR"/>
              </w:rPr>
            </w:pPr>
            <w:r>
              <w:rPr>
                <w:color w:val="000000"/>
                <w:szCs w:val="22"/>
                <w:lang w:val="fr-FR"/>
              </w:rPr>
              <w:t>1</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19,350</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1</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教育、青年和体育部</w:t>
            </w:r>
          </w:p>
        </w:tc>
        <w:tc>
          <w:tcPr>
            <w:tcW w:w="192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652,490</w:t>
            </w:r>
          </w:p>
        </w:tc>
        <w:tc>
          <w:tcPr>
            <w:tcW w:w="1680" w:type="dxa"/>
          </w:tcPr>
          <w:p w:rsidR="00000000" w:rsidRDefault="00000000">
            <w:pPr>
              <w:pStyle w:val="aa"/>
              <w:spacing w:line="260" w:lineRule="exact"/>
              <w:ind w:right="680"/>
              <w:jc w:val="right"/>
              <w:rPr>
                <w:color w:val="000000"/>
                <w:szCs w:val="22"/>
                <w:lang w:val="fr-FR"/>
              </w:rPr>
            </w:pPr>
            <w:r>
              <w:rPr>
                <w:color w:val="000000"/>
                <w:szCs w:val="22"/>
                <w:lang w:val="fr-FR"/>
              </w:rPr>
              <w:t>34</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971,466</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47</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劳动和社会事务部</w:t>
            </w:r>
          </w:p>
        </w:tc>
        <w:tc>
          <w:tcPr>
            <w:tcW w:w="192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659,933</w:t>
            </w:r>
          </w:p>
        </w:tc>
        <w:tc>
          <w:tcPr>
            <w:tcW w:w="1680" w:type="dxa"/>
          </w:tcPr>
          <w:p w:rsidR="00000000" w:rsidRDefault="00000000">
            <w:pPr>
              <w:pStyle w:val="aa"/>
              <w:spacing w:line="260" w:lineRule="exact"/>
              <w:ind w:right="680"/>
              <w:jc w:val="right"/>
              <w:rPr>
                <w:color w:val="000000"/>
                <w:szCs w:val="22"/>
                <w:lang w:val="fr-FR"/>
              </w:rPr>
            </w:pPr>
            <w:r>
              <w:rPr>
                <w:color w:val="000000"/>
                <w:szCs w:val="22"/>
                <w:lang w:val="fr-FR"/>
              </w:rPr>
              <w:t>35</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644,068</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30</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卫生部</w:t>
            </w:r>
          </w:p>
        </w:tc>
        <w:tc>
          <w:tcPr>
            <w:tcW w:w="192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311,379</w:t>
            </w:r>
          </w:p>
        </w:tc>
        <w:tc>
          <w:tcPr>
            <w:tcW w:w="1680" w:type="dxa"/>
          </w:tcPr>
          <w:p w:rsidR="00000000" w:rsidRDefault="00000000">
            <w:pPr>
              <w:pStyle w:val="aa"/>
              <w:spacing w:line="260" w:lineRule="exact"/>
              <w:ind w:right="680"/>
              <w:jc w:val="right"/>
              <w:rPr>
                <w:color w:val="000000"/>
                <w:szCs w:val="22"/>
                <w:lang w:val="fr-FR"/>
              </w:rPr>
            </w:pPr>
            <w:r>
              <w:rPr>
                <w:color w:val="000000"/>
                <w:szCs w:val="22"/>
                <w:lang w:val="fr-FR"/>
              </w:rPr>
              <w:t>16</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221,931</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10</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工业和贸易部</w:t>
            </w:r>
          </w:p>
        </w:tc>
        <w:tc>
          <w:tcPr>
            <w:tcW w:w="192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5,530</w:t>
            </w:r>
          </w:p>
        </w:tc>
        <w:tc>
          <w:tcPr>
            <w:tcW w:w="1680" w:type="dxa"/>
          </w:tcPr>
          <w:p w:rsidR="00000000" w:rsidRDefault="00000000">
            <w:pPr>
              <w:pStyle w:val="aa"/>
              <w:spacing w:line="260" w:lineRule="exact"/>
              <w:ind w:right="680"/>
              <w:jc w:val="right"/>
              <w:rPr>
                <w:color w:val="000000"/>
                <w:szCs w:val="22"/>
                <w:lang w:val="fr-FR"/>
              </w:rPr>
            </w:pPr>
            <w:r>
              <w:rPr>
                <w:color w:val="000000"/>
                <w:szCs w:val="22"/>
                <w:lang w:val="fr-FR"/>
              </w:rPr>
              <w:t>0</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7,800</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0</w:t>
            </w:r>
          </w:p>
        </w:tc>
      </w:tr>
      <w:tr w:rsidR="00000000">
        <w:tblPrEx>
          <w:tblCellMar>
            <w:top w:w="0" w:type="dxa"/>
            <w:bottom w:w="0" w:type="dxa"/>
          </w:tblCellMar>
        </w:tblPrEx>
        <w:tc>
          <w:tcPr>
            <w:tcW w:w="2388" w:type="dxa"/>
          </w:tcPr>
          <w:p w:rsidR="00000000" w:rsidRDefault="00000000">
            <w:pPr>
              <w:pStyle w:val="aa"/>
              <w:spacing w:line="260" w:lineRule="exact"/>
              <w:rPr>
                <w:rFonts w:hint="eastAsia"/>
              </w:rPr>
            </w:pPr>
            <w:r>
              <w:rPr>
                <w:rFonts w:hint="eastAsia"/>
              </w:rPr>
              <w:t>地方发展部</w:t>
            </w:r>
          </w:p>
        </w:tc>
        <w:tc>
          <w:tcPr>
            <w:tcW w:w="192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13,107</w:t>
            </w:r>
          </w:p>
        </w:tc>
        <w:tc>
          <w:tcPr>
            <w:tcW w:w="1680" w:type="dxa"/>
          </w:tcPr>
          <w:p w:rsidR="00000000" w:rsidRDefault="00000000">
            <w:pPr>
              <w:pStyle w:val="aa"/>
              <w:spacing w:line="260" w:lineRule="exact"/>
              <w:ind w:right="680"/>
              <w:jc w:val="right"/>
              <w:rPr>
                <w:color w:val="000000"/>
                <w:szCs w:val="22"/>
                <w:lang w:val="fr-FR"/>
              </w:rPr>
            </w:pPr>
            <w:r>
              <w:rPr>
                <w:color w:val="000000"/>
                <w:szCs w:val="22"/>
                <w:lang w:val="fr-FR"/>
              </w:rPr>
              <w:t>1</w:t>
            </w:r>
          </w:p>
        </w:tc>
        <w:tc>
          <w:tcPr>
            <w:tcW w:w="1800" w:type="dxa"/>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13,536</w:t>
            </w:r>
          </w:p>
        </w:tc>
        <w:tc>
          <w:tcPr>
            <w:tcW w:w="1783" w:type="dxa"/>
          </w:tcPr>
          <w:p w:rsidR="00000000" w:rsidRDefault="00000000">
            <w:pPr>
              <w:pStyle w:val="aa"/>
              <w:spacing w:line="260" w:lineRule="exact"/>
              <w:ind w:right="680"/>
              <w:jc w:val="right"/>
              <w:rPr>
                <w:color w:val="000000"/>
                <w:szCs w:val="22"/>
                <w:lang w:val="fr-FR"/>
              </w:rPr>
            </w:pPr>
            <w:r>
              <w:rPr>
                <w:color w:val="000000"/>
                <w:szCs w:val="22"/>
                <w:lang w:val="fr-FR"/>
              </w:rPr>
              <w:t>1</w:t>
            </w:r>
          </w:p>
        </w:tc>
      </w:tr>
      <w:tr w:rsidR="00000000">
        <w:tblPrEx>
          <w:tblCellMar>
            <w:top w:w="0" w:type="dxa"/>
            <w:bottom w:w="0" w:type="dxa"/>
          </w:tblCellMar>
        </w:tblPrEx>
        <w:tc>
          <w:tcPr>
            <w:tcW w:w="2388" w:type="dxa"/>
            <w:tcBorders>
              <w:bottom w:val="single" w:sz="4" w:space="0" w:color="auto"/>
            </w:tcBorders>
          </w:tcPr>
          <w:p w:rsidR="00000000" w:rsidRDefault="00000000">
            <w:pPr>
              <w:pStyle w:val="aa"/>
              <w:spacing w:line="260" w:lineRule="exact"/>
              <w:rPr>
                <w:rFonts w:hint="eastAsia"/>
              </w:rPr>
            </w:pPr>
            <w:r>
              <w:rPr>
                <w:rFonts w:hint="eastAsia"/>
              </w:rPr>
              <w:t>合</w:t>
            </w:r>
            <w:r>
              <w:rPr>
                <w:rFonts w:hint="eastAsia"/>
              </w:rPr>
              <w:t xml:space="preserve">  </w:t>
            </w:r>
            <w:r>
              <w:rPr>
                <w:rFonts w:hint="eastAsia"/>
              </w:rPr>
              <w:t>计</w:t>
            </w:r>
          </w:p>
        </w:tc>
        <w:tc>
          <w:tcPr>
            <w:tcW w:w="1920" w:type="dxa"/>
            <w:tcBorders>
              <w:bottom w:val="single" w:sz="4" w:space="0" w:color="auto"/>
            </w:tcBorders>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1,898,915</w:t>
            </w:r>
          </w:p>
        </w:tc>
        <w:tc>
          <w:tcPr>
            <w:tcW w:w="1680" w:type="dxa"/>
            <w:tcBorders>
              <w:bottom w:val="single" w:sz="4" w:space="0" w:color="auto"/>
            </w:tcBorders>
          </w:tcPr>
          <w:p w:rsidR="00000000" w:rsidRDefault="00000000">
            <w:pPr>
              <w:pStyle w:val="aa"/>
              <w:spacing w:line="260" w:lineRule="exact"/>
              <w:ind w:right="680"/>
              <w:jc w:val="right"/>
              <w:rPr>
                <w:color w:val="000000"/>
                <w:szCs w:val="22"/>
                <w:lang w:val="fr-FR"/>
              </w:rPr>
            </w:pPr>
            <w:r>
              <w:rPr>
                <w:color w:val="000000"/>
                <w:szCs w:val="22"/>
                <w:lang w:val="fr-FR"/>
              </w:rPr>
              <w:t>100</w:t>
            </w:r>
          </w:p>
        </w:tc>
        <w:tc>
          <w:tcPr>
            <w:tcW w:w="1800" w:type="dxa"/>
            <w:tcBorders>
              <w:bottom w:val="single" w:sz="4" w:space="0" w:color="auto"/>
            </w:tcBorders>
          </w:tcPr>
          <w:p w:rsidR="00000000" w:rsidRDefault="00000000">
            <w:pPr>
              <w:pStyle w:val="aa"/>
              <w:spacing w:line="260" w:lineRule="exact"/>
              <w:ind w:right="567"/>
              <w:jc w:val="right"/>
              <w:rPr>
                <w:color w:val="000000"/>
                <w:spacing w:val="-9"/>
                <w:szCs w:val="25"/>
                <w:lang w:val="fr-FR"/>
              </w:rPr>
            </w:pPr>
            <w:r>
              <w:rPr>
                <w:color w:val="000000"/>
                <w:spacing w:val="-9"/>
                <w:szCs w:val="25"/>
                <w:lang w:val="fr-FR"/>
              </w:rPr>
              <w:t>2,128,987</w:t>
            </w:r>
          </w:p>
        </w:tc>
        <w:tc>
          <w:tcPr>
            <w:tcW w:w="1783" w:type="dxa"/>
            <w:tcBorders>
              <w:bottom w:val="single" w:sz="4" w:space="0" w:color="auto"/>
            </w:tcBorders>
          </w:tcPr>
          <w:p w:rsidR="00000000" w:rsidRDefault="00000000">
            <w:pPr>
              <w:pStyle w:val="aa"/>
              <w:spacing w:line="260" w:lineRule="exact"/>
              <w:ind w:right="680"/>
              <w:jc w:val="right"/>
              <w:rPr>
                <w:color w:val="000000"/>
                <w:szCs w:val="22"/>
                <w:lang w:val="fr-FR"/>
              </w:rPr>
            </w:pPr>
            <w:r>
              <w:rPr>
                <w:color w:val="000000"/>
                <w:szCs w:val="22"/>
                <w:lang w:val="fr-FR"/>
              </w:rPr>
              <w:t>100</w:t>
            </w:r>
          </w:p>
        </w:tc>
      </w:tr>
    </w:tbl>
    <w:p w:rsidR="00000000" w:rsidRDefault="00000000">
      <w:pPr>
        <w:pStyle w:val="FootnoteText"/>
        <w:spacing w:before="160"/>
        <w:ind w:left="1587" w:hanging="1077"/>
        <w:rPr>
          <w:rFonts w:hint="eastAsia"/>
          <w:sz w:val="21"/>
        </w:rPr>
      </w:pPr>
      <w:r>
        <w:rPr>
          <w:rFonts w:hint="eastAsia"/>
          <w:sz w:val="21"/>
          <w:u w:val="single"/>
        </w:rPr>
        <w:t>资料来源</w:t>
      </w:r>
      <w:r>
        <w:rPr>
          <w:rFonts w:hint="eastAsia"/>
          <w:sz w:val="21"/>
        </w:rPr>
        <w:t>：各部关于从国家预算中资助公民协会、特殊用途教会设施、公益服务协会、基金会和基金情况的分析文件。</w:t>
      </w:r>
    </w:p>
    <w:p w:rsidR="00000000" w:rsidRDefault="00000000">
      <w:pPr>
        <w:pStyle w:val="Heading3"/>
        <w:spacing w:before="160" w:after="0"/>
        <w:rPr>
          <w:rFonts w:hint="eastAsia"/>
        </w:rPr>
      </w:pPr>
      <w:r>
        <w:rPr>
          <w:rFonts w:hint="eastAsia"/>
        </w:rPr>
        <w:t>按</w:t>
      </w:r>
      <w:r>
        <w:rPr>
          <w:rFonts w:hint="eastAsia"/>
        </w:rPr>
        <w:t>(</w:t>
      </w:r>
      <w:r>
        <w:rPr>
          <w:rFonts w:hint="eastAsia"/>
        </w:rPr>
        <w:t>部门间</w:t>
      </w:r>
      <w:r>
        <w:rPr>
          <w:rFonts w:hint="eastAsia"/>
        </w:rPr>
        <w:t>)</w:t>
      </w:r>
      <w:r>
        <w:rPr>
          <w:rFonts w:hint="eastAsia"/>
        </w:rPr>
        <w:t>主要活动领域分列的国家补贴</w:t>
      </w:r>
    </w:p>
    <w:p w:rsidR="00000000" w:rsidRDefault="00000000">
      <w:pPr>
        <w:pStyle w:val="Heading3"/>
        <w:spacing w:after="160"/>
        <w:rPr>
          <w:rFonts w:hint="eastAsia"/>
          <w:u w:val="none"/>
        </w:rPr>
      </w:pPr>
      <w:r>
        <w:rPr>
          <w:rFonts w:hint="eastAsia"/>
          <w:u w:val="none"/>
        </w:rPr>
        <w:t>(</w:t>
      </w:r>
      <w:r>
        <w:rPr>
          <w:rFonts w:hint="eastAsia"/>
          <w:u w:val="none"/>
        </w:rPr>
        <w:t>包括教会活动和开办私立学校的费用和未来基金</w:t>
      </w:r>
      <w:r>
        <w:rPr>
          <w:rFonts w:hint="eastAsia"/>
          <w:u w:val="none"/>
        </w:rPr>
        <w:t>)</w:t>
      </w:r>
    </w:p>
    <w:tbl>
      <w:tblPr>
        <w:tblW w:w="0" w:type="auto"/>
        <w:tblLook w:val="0000" w:firstRow="0" w:lastRow="0" w:firstColumn="0" w:lastColumn="0" w:noHBand="0" w:noVBand="0"/>
      </w:tblPr>
      <w:tblGrid>
        <w:gridCol w:w="2988"/>
        <w:gridCol w:w="1800"/>
        <w:gridCol w:w="1560"/>
        <w:gridCol w:w="1800"/>
        <w:gridCol w:w="1423"/>
      </w:tblGrid>
      <w:tr w:rsidR="00000000">
        <w:tblPrEx>
          <w:tblCellMar>
            <w:top w:w="0" w:type="dxa"/>
            <w:bottom w:w="0" w:type="dxa"/>
          </w:tblCellMar>
        </w:tblPrEx>
        <w:trPr>
          <w:cantSplit/>
        </w:trPr>
        <w:tc>
          <w:tcPr>
            <w:tcW w:w="2988" w:type="dxa"/>
            <w:vMerge w:val="restart"/>
            <w:tcBorders>
              <w:top w:val="single" w:sz="4" w:space="0" w:color="auto"/>
            </w:tcBorders>
          </w:tcPr>
          <w:p w:rsidR="00000000" w:rsidRDefault="00000000">
            <w:pPr>
              <w:pStyle w:val="aa"/>
              <w:spacing w:before="160" w:line="260" w:lineRule="exact"/>
              <w:jc w:val="center"/>
              <w:rPr>
                <w:rFonts w:hint="eastAsia"/>
              </w:rPr>
            </w:pPr>
            <w:r>
              <w:rPr>
                <w:rFonts w:hint="eastAsia"/>
              </w:rPr>
              <w:t>活动领域</w:t>
            </w:r>
          </w:p>
        </w:tc>
        <w:tc>
          <w:tcPr>
            <w:tcW w:w="3360" w:type="dxa"/>
            <w:gridSpan w:val="2"/>
            <w:tcBorders>
              <w:top w:val="single" w:sz="4" w:space="0" w:color="auto"/>
              <w:bottom w:val="single" w:sz="4" w:space="0" w:color="auto"/>
            </w:tcBorders>
          </w:tcPr>
          <w:p w:rsidR="00000000" w:rsidRDefault="00000000">
            <w:pPr>
              <w:pStyle w:val="aa"/>
              <w:spacing w:line="260" w:lineRule="exact"/>
              <w:jc w:val="center"/>
              <w:rPr>
                <w:rFonts w:hint="eastAsia"/>
              </w:rPr>
            </w:pPr>
            <w:r>
              <w:rPr>
                <w:rFonts w:hint="eastAsia"/>
              </w:rPr>
              <w:t>1998</w:t>
            </w:r>
            <w:r>
              <w:rPr>
                <w:rFonts w:hint="eastAsia"/>
              </w:rPr>
              <w:t>年</w:t>
            </w:r>
          </w:p>
        </w:tc>
        <w:tc>
          <w:tcPr>
            <w:tcW w:w="3223" w:type="dxa"/>
            <w:gridSpan w:val="2"/>
            <w:tcBorders>
              <w:top w:val="single" w:sz="4" w:space="0" w:color="auto"/>
              <w:bottom w:val="single" w:sz="4" w:space="0" w:color="auto"/>
            </w:tcBorders>
          </w:tcPr>
          <w:p w:rsidR="00000000" w:rsidRDefault="00000000">
            <w:pPr>
              <w:pStyle w:val="aa"/>
              <w:spacing w:line="260" w:lineRule="exact"/>
              <w:jc w:val="center"/>
              <w:rPr>
                <w:rFonts w:hint="eastAsia"/>
              </w:rPr>
            </w:pPr>
            <w:r>
              <w:rPr>
                <w:rFonts w:hint="eastAsia"/>
              </w:rPr>
              <w:t>1999</w:t>
            </w:r>
            <w:r>
              <w:rPr>
                <w:rFonts w:hint="eastAsia"/>
              </w:rPr>
              <w:t>年</w:t>
            </w:r>
          </w:p>
        </w:tc>
      </w:tr>
      <w:tr w:rsidR="00000000">
        <w:tblPrEx>
          <w:tblCellMar>
            <w:top w:w="0" w:type="dxa"/>
            <w:bottom w:w="0" w:type="dxa"/>
          </w:tblCellMar>
        </w:tblPrEx>
        <w:trPr>
          <w:cantSplit/>
        </w:trPr>
        <w:tc>
          <w:tcPr>
            <w:tcW w:w="2988" w:type="dxa"/>
            <w:vMerge/>
            <w:tcBorders>
              <w:bottom w:val="single" w:sz="4" w:space="0" w:color="auto"/>
            </w:tcBorders>
          </w:tcPr>
          <w:p w:rsidR="00000000" w:rsidRDefault="00000000">
            <w:pPr>
              <w:pStyle w:val="aa"/>
              <w:spacing w:line="260" w:lineRule="exact"/>
              <w:jc w:val="center"/>
              <w:rPr>
                <w:rFonts w:hint="eastAsia"/>
              </w:rPr>
            </w:pPr>
          </w:p>
        </w:tc>
        <w:tc>
          <w:tcPr>
            <w:tcW w:w="1800"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以千计</w:t>
            </w:r>
          </w:p>
        </w:tc>
        <w:tc>
          <w:tcPr>
            <w:tcW w:w="1560"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w:t>
            </w:r>
          </w:p>
        </w:tc>
        <w:tc>
          <w:tcPr>
            <w:tcW w:w="1800"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以千计</w:t>
            </w:r>
          </w:p>
        </w:tc>
        <w:tc>
          <w:tcPr>
            <w:tcW w:w="1423" w:type="dxa"/>
            <w:tcBorders>
              <w:top w:val="single" w:sz="4" w:space="0" w:color="auto"/>
              <w:bottom w:val="single" w:sz="4" w:space="0" w:color="auto"/>
            </w:tcBorders>
          </w:tcPr>
          <w:p w:rsidR="00000000" w:rsidRDefault="00000000">
            <w:pPr>
              <w:pStyle w:val="aa"/>
              <w:spacing w:line="260" w:lineRule="exact"/>
              <w:jc w:val="center"/>
              <w:rPr>
                <w:rFonts w:hint="eastAsia"/>
                <w:lang w:val="fr-FR"/>
              </w:rPr>
            </w:pPr>
            <w:r>
              <w:rPr>
                <w:rFonts w:hint="eastAsia"/>
                <w:lang w:val="fr-FR"/>
              </w:rPr>
              <w:t>%</w:t>
            </w:r>
          </w:p>
        </w:tc>
      </w:tr>
      <w:tr w:rsidR="00000000">
        <w:tblPrEx>
          <w:tblCellMar>
            <w:top w:w="0" w:type="dxa"/>
            <w:bottom w:w="0" w:type="dxa"/>
          </w:tblCellMar>
        </w:tblPrEx>
        <w:tc>
          <w:tcPr>
            <w:tcW w:w="2988" w:type="dxa"/>
            <w:tcBorders>
              <w:top w:val="single" w:sz="4" w:space="0" w:color="auto"/>
            </w:tcBorders>
          </w:tcPr>
          <w:p w:rsidR="00000000" w:rsidRDefault="00000000">
            <w:pPr>
              <w:pStyle w:val="aa"/>
              <w:spacing w:line="260" w:lineRule="exact"/>
              <w:rPr>
                <w:rFonts w:hint="eastAsia"/>
                <w:lang w:val="fr-FR"/>
              </w:rPr>
            </w:pPr>
            <w:r>
              <w:rPr>
                <w:rFonts w:hint="eastAsia"/>
              </w:rPr>
              <w:t>文</w:t>
            </w:r>
            <w:r>
              <w:rPr>
                <w:rFonts w:hint="eastAsia"/>
                <w:lang w:val="fr-FR"/>
              </w:rPr>
              <w:t xml:space="preserve">  </w:t>
            </w:r>
            <w:r>
              <w:rPr>
                <w:rFonts w:hint="eastAsia"/>
              </w:rPr>
              <w:t>化</w:t>
            </w:r>
          </w:p>
        </w:tc>
        <w:tc>
          <w:tcPr>
            <w:tcW w:w="1800" w:type="dxa"/>
            <w:tcBorders>
              <w:top w:val="single" w:sz="4" w:space="0" w:color="auto"/>
            </w:tcBorders>
          </w:tcPr>
          <w:p w:rsidR="00000000" w:rsidRDefault="00000000">
            <w:pPr>
              <w:pStyle w:val="aa"/>
              <w:spacing w:line="260" w:lineRule="exact"/>
              <w:ind w:right="510"/>
              <w:jc w:val="right"/>
              <w:rPr>
                <w:lang w:val="fr-FR"/>
              </w:rPr>
            </w:pPr>
            <w:r>
              <w:rPr>
                <w:color w:val="000000"/>
                <w:spacing w:val="-7"/>
                <w:sz w:val="22"/>
                <w:szCs w:val="22"/>
                <w:lang w:val="fr-FR"/>
              </w:rPr>
              <w:t>69,608</w:t>
            </w:r>
          </w:p>
        </w:tc>
        <w:tc>
          <w:tcPr>
            <w:tcW w:w="1560" w:type="dxa"/>
            <w:tcBorders>
              <w:top w:val="single" w:sz="4" w:space="0" w:color="auto"/>
            </w:tcBorders>
          </w:tcPr>
          <w:p w:rsidR="00000000" w:rsidRDefault="00000000">
            <w:pPr>
              <w:pStyle w:val="aa"/>
              <w:spacing w:line="260" w:lineRule="exact"/>
              <w:ind w:right="567"/>
              <w:jc w:val="right"/>
              <w:rPr>
                <w:color w:val="000000"/>
                <w:sz w:val="22"/>
                <w:szCs w:val="22"/>
                <w:lang w:val="fr-FR"/>
              </w:rPr>
            </w:pPr>
            <w:r>
              <w:rPr>
                <w:color w:val="000000"/>
                <w:sz w:val="22"/>
                <w:szCs w:val="22"/>
                <w:lang w:val="fr-FR"/>
              </w:rPr>
              <w:t>2</w:t>
            </w:r>
          </w:p>
        </w:tc>
        <w:tc>
          <w:tcPr>
            <w:tcW w:w="1800" w:type="dxa"/>
            <w:tcBorders>
              <w:top w:val="single" w:sz="4" w:space="0" w:color="auto"/>
            </w:tcBorders>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82,991</w:t>
            </w:r>
          </w:p>
        </w:tc>
        <w:tc>
          <w:tcPr>
            <w:tcW w:w="1423" w:type="dxa"/>
            <w:tcBorders>
              <w:top w:val="single" w:sz="4" w:space="0" w:color="auto"/>
            </w:tcBorders>
          </w:tcPr>
          <w:p w:rsidR="00000000" w:rsidRDefault="00000000">
            <w:pPr>
              <w:pStyle w:val="aa"/>
              <w:spacing w:line="260" w:lineRule="exact"/>
              <w:ind w:right="567"/>
              <w:jc w:val="right"/>
              <w:rPr>
                <w:color w:val="000000"/>
                <w:sz w:val="22"/>
                <w:szCs w:val="22"/>
                <w:lang w:val="fr-FR"/>
              </w:rPr>
            </w:pPr>
            <w:r>
              <w:rPr>
                <w:color w:val="000000"/>
                <w:sz w:val="22"/>
                <w:szCs w:val="22"/>
                <w:lang w:val="fr-FR"/>
              </w:rPr>
              <w:t>2</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rPr>
              <w:t>教育和研究</w:t>
            </w:r>
          </w:p>
        </w:tc>
        <w:tc>
          <w:tcPr>
            <w:tcW w:w="1800" w:type="dxa"/>
          </w:tcPr>
          <w:p w:rsidR="00000000" w:rsidRDefault="00000000">
            <w:pPr>
              <w:pStyle w:val="aa"/>
              <w:spacing w:line="260" w:lineRule="exact"/>
              <w:ind w:right="510"/>
              <w:jc w:val="right"/>
              <w:rPr>
                <w:lang w:val="fr-FR"/>
              </w:rPr>
            </w:pPr>
            <w:r>
              <w:rPr>
                <w:color w:val="000000"/>
                <w:spacing w:val="-8"/>
                <w:sz w:val="22"/>
                <w:szCs w:val="22"/>
                <w:lang w:val="fr-FR"/>
              </w:rPr>
              <w:t>194,090</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4</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14,689</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0</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私人和教会</w:t>
            </w:r>
          </w:p>
        </w:tc>
        <w:tc>
          <w:tcPr>
            <w:tcW w:w="1800" w:type="dxa"/>
          </w:tcPr>
          <w:p w:rsidR="00000000" w:rsidRDefault="00000000">
            <w:pPr>
              <w:pStyle w:val="aa"/>
              <w:spacing w:line="260" w:lineRule="exact"/>
              <w:ind w:right="510"/>
              <w:jc w:val="right"/>
            </w:pPr>
            <w:r>
              <w:rPr>
                <w:color w:val="000000"/>
                <w:spacing w:val="-6"/>
                <w:sz w:val="22"/>
                <w:szCs w:val="22"/>
              </w:rPr>
              <w:t>511,988</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12</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621,514</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17</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保</w:t>
            </w:r>
            <w:r>
              <w:rPr>
                <w:rFonts w:hint="eastAsia"/>
                <w:lang w:val="fr-FR"/>
              </w:rPr>
              <w:t xml:space="preserve">  </w:t>
            </w:r>
            <w:r>
              <w:rPr>
                <w:rFonts w:hint="eastAsia"/>
                <w:lang w:val="fr-FR"/>
              </w:rPr>
              <w:t>健</w:t>
            </w:r>
          </w:p>
        </w:tc>
        <w:tc>
          <w:tcPr>
            <w:tcW w:w="1800" w:type="dxa"/>
          </w:tcPr>
          <w:p w:rsidR="00000000" w:rsidRDefault="00000000">
            <w:pPr>
              <w:pStyle w:val="aa"/>
              <w:spacing w:line="260" w:lineRule="exact"/>
              <w:ind w:right="510"/>
              <w:jc w:val="right"/>
            </w:pPr>
            <w:r>
              <w:rPr>
                <w:color w:val="000000"/>
                <w:spacing w:val="-6"/>
                <w:sz w:val="22"/>
                <w:szCs w:val="22"/>
              </w:rPr>
              <w:t>638,628</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15</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451,291</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12</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社</w:t>
            </w:r>
            <w:r>
              <w:rPr>
                <w:rFonts w:hint="eastAsia"/>
                <w:lang w:val="fr-FR"/>
              </w:rPr>
              <w:t xml:space="preserve">  </w:t>
            </w:r>
            <w:r>
              <w:rPr>
                <w:rFonts w:hint="eastAsia"/>
                <w:lang w:val="fr-FR"/>
              </w:rPr>
              <w:t>会</w:t>
            </w:r>
          </w:p>
        </w:tc>
        <w:tc>
          <w:tcPr>
            <w:tcW w:w="1800" w:type="dxa"/>
          </w:tcPr>
          <w:p w:rsidR="00000000" w:rsidRDefault="00000000">
            <w:pPr>
              <w:pStyle w:val="aa"/>
              <w:spacing w:line="260" w:lineRule="exact"/>
              <w:ind w:right="510"/>
              <w:jc w:val="right"/>
            </w:pPr>
            <w:r>
              <w:rPr>
                <w:color w:val="000000"/>
                <w:spacing w:val="-9"/>
                <w:sz w:val="22"/>
                <w:szCs w:val="22"/>
              </w:rPr>
              <w:t>435,571</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10</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391,678</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11</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少数民族</w:t>
            </w:r>
          </w:p>
        </w:tc>
        <w:tc>
          <w:tcPr>
            <w:tcW w:w="1800" w:type="dxa"/>
          </w:tcPr>
          <w:p w:rsidR="00000000" w:rsidRDefault="00000000">
            <w:pPr>
              <w:pStyle w:val="aa"/>
              <w:spacing w:line="260" w:lineRule="exact"/>
              <w:ind w:right="510"/>
              <w:jc w:val="right"/>
              <w:rPr>
                <w:color w:val="000000"/>
                <w:spacing w:val="-7"/>
                <w:sz w:val="22"/>
                <w:szCs w:val="22"/>
              </w:rPr>
            </w:pPr>
            <w:r>
              <w:rPr>
                <w:color w:val="000000"/>
                <w:spacing w:val="-7"/>
                <w:sz w:val="22"/>
                <w:szCs w:val="22"/>
              </w:rPr>
              <w:t>46,324</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48,735</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生</w:t>
            </w:r>
            <w:r>
              <w:rPr>
                <w:rFonts w:hint="eastAsia"/>
                <w:lang w:val="fr-FR"/>
              </w:rPr>
              <w:t xml:space="preserve">  </w:t>
            </w:r>
            <w:r>
              <w:rPr>
                <w:rFonts w:hint="eastAsia"/>
                <w:lang w:val="fr-FR"/>
              </w:rPr>
              <w:t>态</w:t>
            </w:r>
          </w:p>
        </w:tc>
        <w:tc>
          <w:tcPr>
            <w:tcW w:w="1800" w:type="dxa"/>
          </w:tcPr>
          <w:p w:rsidR="00000000" w:rsidRDefault="00000000">
            <w:pPr>
              <w:pStyle w:val="aa"/>
              <w:spacing w:line="260" w:lineRule="exact"/>
              <w:ind w:right="510"/>
              <w:jc w:val="right"/>
              <w:rPr>
                <w:color w:val="000000"/>
                <w:spacing w:val="-7"/>
                <w:sz w:val="22"/>
                <w:szCs w:val="22"/>
              </w:rPr>
            </w:pPr>
            <w:r>
              <w:rPr>
                <w:color w:val="000000"/>
                <w:spacing w:val="-7"/>
                <w:sz w:val="22"/>
                <w:szCs w:val="22"/>
              </w:rPr>
              <w:t>19,640</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4</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19,693</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儿童和青少年娱乐</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133,622</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3</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174,724</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5</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体</w:t>
            </w:r>
            <w:r>
              <w:rPr>
                <w:rFonts w:hint="eastAsia"/>
                <w:lang w:val="fr-FR"/>
              </w:rPr>
              <w:t xml:space="preserve">  </w:t>
            </w:r>
            <w:r>
              <w:rPr>
                <w:rFonts w:hint="eastAsia"/>
                <w:lang w:val="fr-FR"/>
              </w:rPr>
              <w:t>育</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545,033</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12</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824,837</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23</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体育</w:t>
            </w:r>
            <w:r>
              <w:rPr>
                <w:rFonts w:hint="eastAsia"/>
                <w:spacing w:val="-40"/>
                <w:sz w:val="22"/>
                <w:lang w:val="fr-FR"/>
              </w:rPr>
              <w:t>——</w:t>
            </w:r>
            <w:r>
              <w:rPr>
                <w:sz w:val="22"/>
                <w:lang w:val="fr-FR"/>
              </w:rPr>
              <w:t xml:space="preserve"> </w:t>
            </w:r>
            <w:r>
              <w:rPr>
                <w:rFonts w:hint="eastAsia"/>
                <w:lang w:val="fr-FR"/>
              </w:rPr>
              <w:t>抽彩</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825,774</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19</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教</w:t>
            </w:r>
            <w:r>
              <w:rPr>
                <w:rFonts w:hint="eastAsia"/>
                <w:lang w:val="fr-FR"/>
              </w:rPr>
              <w:t xml:space="preserve">  </w:t>
            </w:r>
            <w:r>
              <w:rPr>
                <w:rFonts w:hint="eastAsia"/>
                <w:lang w:val="fr-FR"/>
              </w:rPr>
              <w:t>堂</w:t>
            </w:r>
          </w:p>
        </w:tc>
        <w:tc>
          <w:tcPr>
            <w:tcW w:w="1800" w:type="dxa"/>
          </w:tcPr>
          <w:p w:rsidR="00000000" w:rsidRDefault="00000000">
            <w:pPr>
              <w:pStyle w:val="aa"/>
              <w:spacing w:line="260" w:lineRule="exact"/>
              <w:ind w:right="510"/>
              <w:jc w:val="right"/>
              <w:rPr>
                <w:lang w:val="fr-FR"/>
              </w:rPr>
            </w:pPr>
            <w:r>
              <w:rPr>
                <w:color w:val="000000"/>
                <w:spacing w:val="-10"/>
                <w:sz w:val="22"/>
                <w:szCs w:val="22"/>
                <w:lang w:val="fr-FR"/>
              </w:rPr>
              <w:t>647,791</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15</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776,131</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21</w:t>
            </w:r>
          </w:p>
        </w:tc>
      </w:tr>
      <w:tr w:rsidR="00000000">
        <w:tblPrEx>
          <w:tblCellMar>
            <w:top w:w="0" w:type="dxa"/>
            <w:bottom w:w="0" w:type="dxa"/>
          </w:tblCellMar>
        </w:tblPrEx>
        <w:tc>
          <w:tcPr>
            <w:tcW w:w="2988" w:type="dxa"/>
          </w:tcPr>
          <w:p w:rsidR="00000000" w:rsidRDefault="00000000">
            <w:pPr>
              <w:pStyle w:val="aa"/>
              <w:spacing w:line="260" w:lineRule="exact"/>
              <w:rPr>
                <w:rFonts w:hint="eastAsia"/>
                <w:lang w:val="fr-FR"/>
              </w:rPr>
            </w:pPr>
            <w:r>
              <w:rPr>
                <w:rFonts w:hint="eastAsia"/>
                <w:lang w:val="fr-FR"/>
              </w:rPr>
              <w:t>其</w:t>
            </w:r>
            <w:r>
              <w:rPr>
                <w:rFonts w:hint="eastAsia"/>
                <w:lang w:val="fr-FR"/>
              </w:rPr>
              <w:t xml:space="preserve">  </w:t>
            </w:r>
            <w:r>
              <w:rPr>
                <w:rFonts w:hint="eastAsia"/>
                <w:lang w:val="fr-FR"/>
              </w:rPr>
              <w:t>他</w:t>
            </w:r>
          </w:p>
        </w:tc>
        <w:tc>
          <w:tcPr>
            <w:tcW w:w="1800" w:type="dxa"/>
          </w:tcPr>
          <w:p w:rsidR="00000000" w:rsidRDefault="00000000">
            <w:pPr>
              <w:pStyle w:val="aa"/>
              <w:spacing w:line="260" w:lineRule="exact"/>
              <w:ind w:right="510"/>
              <w:jc w:val="right"/>
            </w:pPr>
            <w:r>
              <w:rPr>
                <w:color w:val="000000"/>
                <w:spacing w:val="-8"/>
                <w:sz w:val="22"/>
                <w:szCs w:val="22"/>
              </w:rPr>
              <w:t>306,383</w:t>
            </w:r>
          </w:p>
        </w:tc>
        <w:tc>
          <w:tcPr>
            <w:tcW w:w="1560"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7</w:t>
            </w:r>
          </w:p>
        </w:tc>
        <w:tc>
          <w:tcPr>
            <w:tcW w:w="1800" w:type="dxa"/>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240,000</w:t>
            </w:r>
          </w:p>
        </w:tc>
        <w:tc>
          <w:tcPr>
            <w:tcW w:w="1423" w:type="dxa"/>
          </w:tcPr>
          <w:p w:rsidR="00000000" w:rsidRDefault="00000000">
            <w:pPr>
              <w:pStyle w:val="aa"/>
              <w:spacing w:line="260" w:lineRule="exact"/>
              <w:ind w:right="567"/>
              <w:jc w:val="right"/>
              <w:rPr>
                <w:color w:val="000000"/>
                <w:sz w:val="22"/>
                <w:szCs w:val="22"/>
                <w:lang w:val="fr-FR"/>
              </w:rPr>
            </w:pPr>
            <w:r>
              <w:rPr>
                <w:color w:val="000000"/>
                <w:sz w:val="22"/>
                <w:szCs w:val="22"/>
                <w:lang w:val="fr-FR"/>
              </w:rPr>
              <w:t>7</w:t>
            </w:r>
          </w:p>
        </w:tc>
      </w:tr>
      <w:tr w:rsidR="00000000">
        <w:tblPrEx>
          <w:tblCellMar>
            <w:top w:w="0" w:type="dxa"/>
            <w:bottom w:w="0" w:type="dxa"/>
          </w:tblCellMar>
        </w:tblPrEx>
        <w:tc>
          <w:tcPr>
            <w:tcW w:w="2988" w:type="dxa"/>
            <w:tcBorders>
              <w:bottom w:val="single" w:sz="4" w:space="0" w:color="auto"/>
            </w:tcBorders>
          </w:tcPr>
          <w:p w:rsidR="00000000" w:rsidRDefault="00000000">
            <w:pPr>
              <w:pStyle w:val="aa"/>
              <w:spacing w:line="260" w:lineRule="exact"/>
              <w:rPr>
                <w:rFonts w:hint="eastAsia"/>
                <w:lang w:val="fr-FR"/>
              </w:rPr>
            </w:pPr>
            <w:r>
              <w:rPr>
                <w:rFonts w:hint="eastAsia"/>
                <w:lang w:val="fr-FR"/>
              </w:rPr>
              <w:t>合</w:t>
            </w:r>
            <w:r>
              <w:rPr>
                <w:rFonts w:hint="eastAsia"/>
                <w:lang w:val="fr-FR"/>
              </w:rPr>
              <w:t xml:space="preserve">  </w:t>
            </w:r>
            <w:r>
              <w:rPr>
                <w:rFonts w:hint="eastAsia"/>
                <w:lang w:val="fr-FR"/>
              </w:rPr>
              <w:t>计</w:t>
            </w:r>
          </w:p>
        </w:tc>
        <w:tc>
          <w:tcPr>
            <w:tcW w:w="1800" w:type="dxa"/>
            <w:tcBorders>
              <w:bottom w:val="single" w:sz="4" w:space="0" w:color="auto"/>
            </w:tcBorders>
          </w:tcPr>
          <w:p w:rsidR="00000000" w:rsidRDefault="00000000">
            <w:pPr>
              <w:pStyle w:val="aa"/>
              <w:spacing w:line="260" w:lineRule="exact"/>
              <w:ind w:right="510"/>
              <w:jc w:val="right"/>
            </w:pPr>
            <w:r>
              <w:rPr>
                <w:color w:val="000000"/>
                <w:spacing w:val="-6"/>
                <w:w w:val="101"/>
                <w:sz w:val="22"/>
                <w:szCs w:val="22"/>
              </w:rPr>
              <w:t>3,548,678</w:t>
            </w:r>
          </w:p>
        </w:tc>
        <w:tc>
          <w:tcPr>
            <w:tcW w:w="1560" w:type="dxa"/>
            <w:tcBorders>
              <w:bottom w:val="single" w:sz="4" w:space="0" w:color="auto"/>
            </w:tcBorders>
          </w:tcPr>
          <w:p w:rsidR="00000000" w:rsidRDefault="00000000">
            <w:pPr>
              <w:pStyle w:val="aa"/>
              <w:spacing w:line="260" w:lineRule="exact"/>
              <w:ind w:right="567"/>
              <w:jc w:val="right"/>
            </w:pPr>
            <w:r>
              <w:rPr>
                <w:color w:val="000000"/>
                <w:sz w:val="22"/>
                <w:szCs w:val="22"/>
                <w:lang w:val="fr-FR"/>
              </w:rPr>
              <w:t>100</w:t>
            </w:r>
          </w:p>
        </w:tc>
        <w:tc>
          <w:tcPr>
            <w:tcW w:w="1800" w:type="dxa"/>
            <w:tcBorders>
              <w:bottom w:val="single" w:sz="4" w:space="0" w:color="auto"/>
            </w:tcBorders>
          </w:tcPr>
          <w:p w:rsidR="00000000" w:rsidRDefault="00000000">
            <w:pPr>
              <w:pStyle w:val="aa"/>
              <w:spacing w:line="260" w:lineRule="exact"/>
              <w:ind w:right="510"/>
              <w:jc w:val="right"/>
              <w:rPr>
                <w:color w:val="000000"/>
                <w:spacing w:val="-7"/>
                <w:sz w:val="22"/>
                <w:szCs w:val="22"/>
                <w:lang w:val="fr-FR"/>
              </w:rPr>
            </w:pPr>
            <w:r>
              <w:rPr>
                <w:color w:val="000000"/>
                <w:spacing w:val="-7"/>
                <w:sz w:val="22"/>
                <w:szCs w:val="22"/>
                <w:lang w:val="fr-FR"/>
              </w:rPr>
              <w:t>3,646,283</w:t>
            </w:r>
          </w:p>
        </w:tc>
        <w:tc>
          <w:tcPr>
            <w:tcW w:w="1423" w:type="dxa"/>
            <w:tcBorders>
              <w:bottom w:val="single" w:sz="4" w:space="0" w:color="auto"/>
            </w:tcBorders>
          </w:tcPr>
          <w:p w:rsidR="00000000" w:rsidRDefault="00000000">
            <w:pPr>
              <w:pStyle w:val="aa"/>
              <w:spacing w:line="260" w:lineRule="exact"/>
              <w:ind w:right="567"/>
              <w:jc w:val="right"/>
              <w:rPr>
                <w:color w:val="000000"/>
                <w:sz w:val="22"/>
                <w:szCs w:val="22"/>
                <w:lang w:val="fr-FR"/>
              </w:rPr>
            </w:pPr>
            <w:r>
              <w:rPr>
                <w:color w:val="000000"/>
                <w:sz w:val="22"/>
                <w:szCs w:val="22"/>
                <w:lang w:val="fr-FR"/>
              </w:rPr>
              <w:t>100</w:t>
            </w:r>
          </w:p>
        </w:tc>
      </w:tr>
    </w:tbl>
    <w:p w:rsidR="00000000" w:rsidRDefault="00000000">
      <w:pPr>
        <w:pStyle w:val="FootnoteText"/>
        <w:spacing w:before="160"/>
        <w:ind w:left="1587" w:hanging="1077"/>
        <w:rPr>
          <w:rFonts w:hint="eastAsia"/>
          <w:sz w:val="21"/>
        </w:rPr>
      </w:pPr>
      <w:r>
        <w:rPr>
          <w:rFonts w:hint="eastAsia"/>
          <w:sz w:val="21"/>
          <w:u w:val="single"/>
        </w:rPr>
        <w:t>资料来源</w:t>
      </w:r>
      <w:r>
        <w:rPr>
          <w:rFonts w:hint="eastAsia"/>
          <w:sz w:val="21"/>
        </w:rPr>
        <w:t>：各部关于从国家预算中资助公民协会、特殊用途教会设施、公益服务协会、基金会和基金情况的分析文件。</w:t>
      </w:r>
    </w:p>
    <w:p w:rsidR="00000000" w:rsidRDefault="00000000">
      <w:pPr>
        <w:rPr>
          <w:rFonts w:hint="eastAsia"/>
        </w:rPr>
      </w:pPr>
      <w:r>
        <w:rPr>
          <w:rFonts w:hint="eastAsia"/>
        </w:rPr>
        <w:tab/>
        <w:t xml:space="preserve">68.  </w:t>
      </w:r>
      <w:r>
        <w:rPr>
          <w:rFonts w:hint="eastAsia"/>
        </w:rPr>
        <w:t>非政府的非营利性组织政府委员会还在准备材料，以便政府就进一步利用计划分配给基金会投资基金的资金作出有利于各基金会的决定。</w:t>
      </w:r>
      <w:r>
        <w:rPr>
          <w:rStyle w:val="EndnoteReference"/>
        </w:rPr>
        <w:endnoteReference w:id="43"/>
      </w:r>
      <w:r>
        <w:rPr>
          <w:rFonts w:hint="eastAsia"/>
        </w:rPr>
        <w:t xml:space="preserve"> </w:t>
      </w:r>
      <w:r>
        <w:rPr>
          <w:rFonts w:hint="eastAsia"/>
        </w:rPr>
        <w:t>分配用于资助基金活动的资金的第一阶段发生在</w:t>
      </w:r>
      <w:r>
        <w:rPr>
          <w:rFonts w:hint="eastAsia"/>
        </w:rPr>
        <w:t>1999</w:t>
      </w:r>
      <w:r>
        <w:rPr>
          <w:rFonts w:hint="eastAsia"/>
        </w:rPr>
        <w:t>年，当时分配了通过出售国家拥有的实体的股份并集中在国家财产基金的一个特别帐户内的基金，金额为</w:t>
      </w:r>
      <w:r>
        <w:rPr>
          <w:rFonts w:hint="eastAsia"/>
        </w:rPr>
        <w:t>5</w:t>
      </w:r>
      <w:r>
        <w:rPr>
          <w:rFonts w:hint="eastAsia"/>
        </w:rPr>
        <w:t>亿捷克克朗。该笔资金在下列各方面之间分配：社会和人道主义、保健、文化、人权保护、环境保护、教育和其他方面。</w:t>
      </w:r>
    </w:p>
    <w:p w:rsidR="00000000" w:rsidRDefault="00000000">
      <w:pPr>
        <w:rPr>
          <w:rFonts w:hint="eastAsia"/>
        </w:rPr>
      </w:pPr>
      <w:r>
        <w:rPr>
          <w:rFonts w:hint="eastAsia"/>
        </w:rPr>
        <w:tab/>
        <w:t xml:space="preserve">69.  </w:t>
      </w:r>
      <w:r>
        <w:rPr>
          <w:rFonts w:hint="eastAsia"/>
        </w:rPr>
        <w:t>成立时间相对较短但就其宗旨来说十分重要的、自</w:t>
      </w:r>
      <w:r>
        <w:rPr>
          <w:rFonts w:hint="eastAsia"/>
        </w:rPr>
        <w:t>1997</w:t>
      </w:r>
      <w:r>
        <w:rPr>
          <w:rFonts w:hint="eastAsia"/>
        </w:rPr>
        <w:t>年以来在捷克共和国一直在人权领域活动的公民协会有所谓的公民咨询社。公民咨询社是一般咨询的制度化形式，由非政府实体成立，它向公民个人提供免费的、独立的、保密的和公正的咨询服务。公民咨询社的宗旨是确保公民不会由于不了解这些权利和义务、不熟悉所提供的服务或者无法有效地表达需求而遭受损害。咨询社根据对公民的问题所作的分析向有关的国家和地方当局通报立法存在的缺陷以及尚未解决的问题。咨询社按照英国的公民咨询社模式开展工作并已形成了全国性的网络。</w:t>
      </w:r>
    </w:p>
    <w:p w:rsidR="00000000" w:rsidRDefault="00000000">
      <w:pPr>
        <w:spacing w:after="320"/>
        <w:rPr>
          <w:rFonts w:hint="eastAsia"/>
        </w:rPr>
      </w:pPr>
      <w:r>
        <w:rPr>
          <w:rFonts w:hint="eastAsia"/>
        </w:rPr>
        <w:tab/>
        <w:t xml:space="preserve">70.  </w:t>
      </w:r>
      <w:r>
        <w:rPr>
          <w:rFonts w:hint="eastAsia"/>
        </w:rPr>
        <w:t>到</w:t>
      </w:r>
      <w:r>
        <w:rPr>
          <w:rFonts w:hint="eastAsia"/>
        </w:rPr>
        <w:t>1999</w:t>
      </w:r>
      <w:r>
        <w:rPr>
          <w:rFonts w:hint="eastAsia"/>
        </w:rPr>
        <w:t>年底，公民咨询社协会</w:t>
      </w:r>
      <w:r>
        <w:rPr>
          <w:rFonts w:hint="eastAsia"/>
        </w:rPr>
        <w:t>(1997</w:t>
      </w:r>
      <w:r>
        <w:rPr>
          <w:rFonts w:hint="eastAsia"/>
        </w:rPr>
        <w:t>年</w:t>
      </w:r>
      <w:r>
        <w:rPr>
          <w:rFonts w:hint="eastAsia"/>
        </w:rPr>
        <w:t>2</w:t>
      </w:r>
      <w:r>
        <w:rPr>
          <w:rFonts w:hint="eastAsia"/>
        </w:rPr>
        <w:t>月成立</w:t>
      </w:r>
      <w:r>
        <w:rPr>
          <w:rFonts w:hint="eastAsia"/>
        </w:rPr>
        <w:t>)</w:t>
      </w:r>
      <w:r>
        <w:rPr>
          <w:rFonts w:hint="eastAsia"/>
        </w:rPr>
        <w:t>包括了九个咨询社，并且登记了</w:t>
      </w:r>
      <w:r>
        <w:rPr>
          <w:rFonts w:hint="eastAsia"/>
        </w:rPr>
        <w:t>40</w:t>
      </w:r>
      <w:r>
        <w:rPr>
          <w:rFonts w:hint="eastAsia"/>
        </w:rPr>
        <w:t>项新的会员申请。协会中的咨询社有义务采用统一的方法。协会中的成员组织与捷克律师协会一道开展工作；在</w:t>
      </w:r>
      <w:r>
        <w:rPr>
          <w:rFonts w:hint="eastAsia"/>
        </w:rPr>
        <w:t>1997</w:t>
      </w:r>
      <w:r>
        <w:rPr>
          <w:rFonts w:hint="eastAsia"/>
        </w:rPr>
        <w:t>至</w:t>
      </w:r>
      <w:r>
        <w:rPr>
          <w:rFonts w:hint="eastAsia"/>
        </w:rPr>
        <w:t>1999</w:t>
      </w:r>
      <w:r>
        <w:rPr>
          <w:rFonts w:hint="eastAsia"/>
        </w:rPr>
        <w:t>年，它们尤其受到了以下机构的财政资助：英国专有技术基金、劳动和社会事务部、</w:t>
      </w:r>
      <w:r>
        <w:rPr>
          <w:rFonts w:hint="eastAsia"/>
        </w:rPr>
        <w:t>SWIF</w:t>
      </w:r>
      <w:r>
        <w:rPr>
          <w:rFonts w:hint="eastAsia"/>
        </w:rPr>
        <w:t>基金</w:t>
      </w:r>
      <w:r>
        <w:rPr>
          <w:rFonts w:hint="eastAsia"/>
        </w:rPr>
        <w:t>(</w:t>
      </w:r>
      <w:r>
        <w:rPr>
          <w:rFonts w:hint="eastAsia"/>
        </w:rPr>
        <w:t>属国家教育基金</w:t>
      </w:r>
      <w:r>
        <w:rPr>
          <w:rFonts w:hint="eastAsia"/>
        </w:rPr>
        <w:t>)</w:t>
      </w:r>
      <w:r>
        <w:rPr>
          <w:rFonts w:hint="eastAsia"/>
        </w:rPr>
        <w:t>和民间团体发展基金会。公民咨询社已经成为社会工作不可或缺的一个组成部分。</w:t>
      </w:r>
      <w:r>
        <w:rPr>
          <w:rFonts w:hint="eastAsia"/>
        </w:rPr>
        <w:t>1998</w:t>
      </w:r>
      <w:r>
        <w:rPr>
          <w:rFonts w:hint="eastAsia"/>
        </w:rPr>
        <w:t>年</w:t>
      </w:r>
      <w:r>
        <w:rPr>
          <w:rFonts w:hint="eastAsia"/>
        </w:rPr>
        <w:t>2</w:t>
      </w:r>
      <w:r>
        <w:rPr>
          <w:rFonts w:hint="eastAsia"/>
        </w:rPr>
        <w:t>月，捷克共和国政府批准了《社会援助法》的实质纲要，该纲要把公民咨询社视为提供社会服务的一种方式。</w:t>
      </w:r>
    </w:p>
    <w:p w:rsidR="00000000" w:rsidRDefault="00000000">
      <w:pPr>
        <w:pStyle w:val="Heading3"/>
        <w:rPr>
          <w:rFonts w:hint="eastAsia"/>
        </w:rPr>
      </w:pPr>
      <w:r>
        <w:rPr>
          <w:rFonts w:hint="eastAsia"/>
          <w:u w:val="none"/>
        </w:rPr>
        <w:t xml:space="preserve">G.  </w:t>
      </w:r>
      <w:r>
        <w:rPr>
          <w:rFonts w:hint="eastAsia"/>
        </w:rPr>
        <w:t>国际合作</w:t>
      </w:r>
    </w:p>
    <w:p w:rsidR="00000000" w:rsidRDefault="00000000">
      <w:pPr>
        <w:spacing w:after="320"/>
        <w:rPr>
          <w:rFonts w:hint="eastAsia"/>
        </w:rPr>
      </w:pPr>
      <w:r>
        <w:rPr>
          <w:rFonts w:hint="eastAsia"/>
        </w:rPr>
        <w:tab/>
        <w:t xml:space="preserve">71.  </w:t>
      </w:r>
      <w:r>
        <w:rPr>
          <w:rFonts w:hint="eastAsia"/>
        </w:rPr>
        <w:t>捷克共和国对国际体制结构的参与在就包括经济、社会和文化权利在内的人权保护开展国际合作方面发挥了重要的作用。</w:t>
      </w:r>
    </w:p>
    <w:p w:rsidR="00000000" w:rsidRDefault="00000000">
      <w:pPr>
        <w:pStyle w:val="Heading3"/>
        <w:pageBreakBefore/>
        <w:rPr>
          <w:rFonts w:hint="eastAsia"/>
        </w:rPr>
      </w:pPr>
      <w:r>
        <w:rPr>
          <w:rFonts w:hint="eastAsia"/>
        </w:rPr>
        <w:t>捷克共和国在一些政府间国际组织中的成员国地位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8"/>
        <w:gridCol w:w="1560"/>
        <w:gridCol w:w="1560"/>
        <w:gridCol w:w="1440"/>
        <w:gridCol w:w="1773"/>
      </w:tblGrid>
      <w:tr w:rsidR="00000000">
        <w:tblPrEx>
          <w:tblCellMar>
            <w:top w:w="0" w:type="dxa"/>
            <w:bottom w:w="0" w:type="dxa"/>
          </w:tblCellMar>
        </w:tblPrEx>
        <w:trPr>
          <w:cantSplit/>
        </w:trPr>
        <w:tc>
          <w:tcPr>
            <w:tcW w:w="3238" w:type="dxa"/>
            <w:vMerge w:val="restart"/>
            <w:tcBorders>
              <w:right w:val="nil"/>
            </w:tcBorders>
          </w:tcPr>
          <w:p w:rsidR="00000000" w:rsidRDefault="00000000">
            <w:pPr>
              <w:spacing w:before="360" w:line="264" w:lineRule="auto"/>
              <w:jc w:val="center"/>
              <w:rPr>
                <w:rFonts w:hint="eastAsia"/>
                <w:sz w:val="21"/>
              </w:rPr>
            </w:pPr>
            <w:r>
              <w:rPr>
                <w:rFonts w:hint="eastAsia"/>
                <w:sz w:val="21"/>
              </w:rPr>
              <w:t>组</w:t>
            </w:r>
            <w:r>
              <w:rPr>
                <w:rFonts w:hint="eastAsia"/>
                <w:sz w:val="21"/>
              </w:rPr>
              <w:t xml:space="preserve">  </w:t>
            </w:r>
            <w:r>
              <w:rPr>
                <w:rFonts w:hint="eastAsia"/>
                <w:sz w:val="21"/>
              </w:rPr>
              <w:t>织</w:t>
            </w:r>
          </w:p>
        </w:tc>
        <w:tc>
          <w:tcPr>
            <w:tcW w:w="1560" w:type="dxa"/>
            <w:vMerge w:val="restart"/>
            <w:tcBorders>
              <w:left w:val="nil"/>
              <w:right w:val="nil"/>
            </w:tcBorders>
          </w:tcPr>
          <w:p w:rsidR="00000000" w:rsidRDefault="00000000">
            <w:pPr>
              <w:spacing w:before="360" w:line="264" w:lineRule="auto"/>
              <w:jc w:val="center"/>
              <w:rPr>
                <w:rFonts w:hint="eastAsia"/>
                <w:sz w:val="21"/>
              </w:rPr>
            </w:pPr>
            <w:r>
              <w:rPr>
                <w:rFonts w:hint="eastAsia"/>
                <w:sz w:val="21"/>
              </w:rPr>
              <w:t>捷克称谓</w:t>
            </w:r>
          </w:p>
        </w:tc>
        <w:tc>
          <w:tcPr>
            <w:tcW w:w="1560" w:type="dxa"/>
            <w:vMerge w:val="restart"/>
            <w:tcBorders>
              <w:left w:val="nil"/>
              <w:right w:val="nil"/>
            </w:tcBorders>
          </w:tcPr>
          <w:p w:rsidR="00000000" w:rsidRDefault="00000000">
            <w:pPr>
              <w:spacing w:before="360" w:line="264" w:lineRule="auto"/>
              <w:jc w:val="center"/>
              <w:rPr>
                <w:rFonts w:hint="eastAsia"/>
                <w:sz w:val="21"/>
              </w:rPr>
            </w:pPr>
            <w:r>
              <w:rPr>
                <w:rFonts w:hint="eastAsia"/>
                <w:sz w:val="21"/>
              </w:rPr>
              <w:t>国际称谓</w:t>
            </w:r>
          </w:p>
        </w:tc>
        <w:tc>
          <w:tcPr>
            <w:tcW w:w="1440" w:type="dxa"/>
            <w:tcBorders>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加入</w:t>
            </w:r>
          </w:p>
        </w:tc>
        <w:tc>
          <w:tcPr>
            <w:tcW w:w="1773" w:type="dxa"/>
            <w:tcBorders>
              <w:left w:val="nil"/>
              <w:bottom w:val="single" w:sz="4" w:space="0" w:color="auto"/>
            </w:tcBorders>
          </w:tcPr>
          <w:p w:rsidR="00000000" w:rsidRDefault="00000000">
            <w:pPr>
              <w:spacing w:before="60" w:line="264" w:lineRule="auto"/>
              <w:jc w:val="center"/>
              <w:rPr>
                <w:rFonts w:hint="eastAsia"/>
                <w:sz w:val="21"/>
              </w:rPr>
            </w:pPr>
            <w:r>
              <w:rPr>
                <w:rFonts w:hint="eastAsia"/>
                <w:sz w:val="21"/>
              </w:rPr>
              <w:t>年份</w:t>
            </w:r>
          </w:p>
        </w:tc>
      </w:tr>
      <w:tr w:rsidR="00000000">
        <w:tblPrEx>
          <w:tblCellMar>
            <w:top w:w="0" w:type="dxa"/>
            <w:bottom w:w="0" w:type="dxa"/>
          </w:tblCellMar>
        </w:tblPrEx>
        <w:trPr>
          <w:cantSplit/>
        </w:trPr>
        <w:tc>
          <w:tcPr>
            <w:tcW w:w="3238" w:type="dxa"/>
            <w:vMerge/>
            <w:tcBorders>
              <w:bottom w:val="single" w:sz="4" w:space="0" w:color="auto"/>
              <w:right w:val="nil"/>
            </w:tcBorders>
          </w:tcPr>
          <w:p w:rsidR="00000000" w:rsidRDefault="00000000">
            <w:pPr>
              <w:spacing w:before="60" w:line="264" w:lineRule="auto"/>
              <w:jc w:val="center"/>
              <w:rPr>
                <w:rFonts w:hint="eastAsia"/>
                <w:sz w:val="21"/>
              </w:rPr>
            </w:pPr>
          </w:p>
        </w:tc>
        <w:tc>
          <w:tcPr>
            <w:tcW w:w="1560" w:type="dxa"/>
            <w:vMerge/>
            <w:tcBorders>
              <w:left w:val="nil"/>
              <w:bottom w:val="single" w:sz="4" w:space="0" w:color="auto"/>
              <w:right w:val="nil"/>
            </w:tcBorders>
          </w:tcPr>
          <w:p w:rsidR="00000000" w:rsidRDefault="00000000">
            <w:pPr>
              <w:spacing w:before="60" w:line="264" w:lineRule="auto"/>
              <w:jc w:val="center"/>
              <w:rPr>
                <w:rFonts w:hint="eastAsia"/>
                <w:sz w:val="21"/>
              </w:rPr>
            </w:pPr>
          </w:p>
        </w:tc>
        <w:tc>
          <w:tcPr>
            <w:tcW w:w="1560" w:type="dxa"/>
            <w:vMerge/>
            <w:tcBorders>
              <w:left w:val="nil"/>
              <w:bottom w:val="single" w:sz="4" w:space="0" w:color="auto"/>
              <w:right w:val="nil"/>
            </w:tcBorders>
          </w:tcPr>
          <w:p w:rsidR="00000000" w:rsidRDefault="00000000">
            <w:pPr>
              <w:spacing w:before="60" w:line="264" w:lineRule="auto"/>
              <w:jc w:val="center"/>
              <w:rPr>
                <w:rFonts w:hint="eastAsia"/>
                <w:sz w:val="21"/>
              </w:rPr>
            </w:pPr>
          </w:p>
        </w:tc>
        <w:tc>
          <w:tcPr>
            <w:tcW w:w="1440" w:type="dxa"/>
            <w:tcBorders>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捷克共和国</w:t>
            </w:r>
          </w:p>
        </w:tc>
        <w:tc>
          <w:tcPr>
            <w:tcW w:w="1773" w:type="dxa"/>
            <w:tcBorders>
              <w:left w:val="nil"/>
              <w:bottom w:val="single" w:sz="4" w:space="0" w:color="auto"/>
            </w:tcBorders>
          </w:tcPr>
          <w:p w:rsidR="00000000" w:rsidRDefault="00000000">
            <w:pPr>
              <w:spacing w:before="60" w:line="264" w:lineRule="auto"/>
              <w:jc w:val="center"/>
              <w:rPr>
                <w:rFonts w:hint="eastAsia"/>
                <w:sz w:val="21"/>
              </w:rPr>
            </w:pPr>
            <w:r>
              <w:rPr>
                <w:rFonts w:hint="eastAsia"/>
                <w:sz w:val="21"/>
              </w:rPr>
              <w:t>捷克斯洛伐克共和国</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rPr>
                <w:rFonts w:hint="eastAsia"/>
                <w:sz w:val="21"/>
              </w:rPr>
            </w:pPr>
            <w:r>
              <w:rPr>
                <w:rFonts w:hint="eastAsia"/>
                <w:sz w:val="21"/>
              </w:rPr>
              <w:t>联合国</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OSN</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UN</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1945</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欧洲安全与合作组织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OBSE</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OSCE</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1975</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欧洲委员会</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RE</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CE</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1991</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联合国粮食及农业组织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FAO</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FAO</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1945</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联合国教育、科学及文化组织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UNESCO</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UNESCO</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1945</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世界卫生组织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WHO</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WHO</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1946</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国际劳工组织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ILO</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ILO</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1919</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国际复兴开发银行</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IBRD</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IBRD</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1945</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国际发展协会</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IDA</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IDA</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1990</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世界知识产权组织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WIPO</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WIPO</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1970</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欧洲复兴开发银行</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EBRD</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EBRD</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1990</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国际统一私法协会</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UNIDROIT</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UNIDROIT</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1968</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国际刑事警察组织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INTERPOL</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INTERPOL</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1993</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r>
              <w:rPr>
                <w:rFonts w:hint="eastAsia"/>
                <w:sz w:val="21"/>
              </w:rPr>
              <w:t>1990</w:t>
            </w: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国际移徙组织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IOM</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IOM</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1995</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经济合作与发展组织</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OECD</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OECD</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1995</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p>
        </w:tc>
      </w:tr>
      <w:tr w:rsidR="00000000">
        <w:tblPrEx>
          <w:tblCellMar>
            <w:top w:w="0" w:type="dxa"/>
            <w:bottom w:w="0" w:type="dxa"/>
          </w:tblCellMar>
        </w:tblPrEx>
        <w:tc>
          <w:tcPr>
            <w:tcW w:w="3238" w:type="dxa"/>
            <w:tcBorders>
              <w:top w:val="single" w:sz="4" w:space="0" w:color="auto"/>
              <w:left w:val="single" w:sz="4" w:space="0" w:color="auto"/>
              <w:bottom w:val="single" w:sz="4" w:space="0" w:color="auto"/>
              <w:right w:val="nil"/>
            </w:tcBorders>
          </w:tcPr>
          <w:p w:rsidR="00000000" w:rsidRDefault="00000000">
            <w:pPr>
              <w:spacing w:before="60" w:line="264" w:lineRule="auto"/>
              <w:ind w:left="510" w:hanging="510"/>
              <w:rPr>
                <w:rFonts w:hint="eastAsia"/>
                <w:sz w:val="21"/>
              </w:rPr>
            </w:pPr>
            <w:r>
              <w:rPr>
                <w:rFonts w:hint="eastAsia"/>
                <w:sz w:val="21"/>
              </w:rPr>
              <w:t>国际文物保存和修复研究中心</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ICCROM</w:t>
            </w:r>
          </w:p>
        </w:tc>
        <w:tc>
          <w:tcPr>
            <w:tcW w:w="156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ICCROM</w:t>
            </w:r>
          </w:p>
        </w:tc>
        <w:tc>
          <w:tcPr>
            <w:tcW w:w="1440" w:type="dxa"/>
            <w:tcBorders>
              <w:top w:val="single" w:sz="4" w:space="0" w:color="auto"/>
              <w:left w:val="nil"/>
              <w:bottom w:val="single" w:sz="4" w:space="0" w:color="auto"/>
              <w:right w:val="nil"/>
            </w:tcBorders>
          </w:tcPr>
          <w:p w:rsidR="00000000" w:rsidRDefault="00000000">
            <w:pPr>
              <w:spacing w:before="60" w:line="264" w:lineRule="auto"/>
              <w:jc w:val="center"/>
              <w:rPr>
                <w:rFonts w:hint="eastAsia"/>
                <w:sz w:val="21"/>
              </w:rPr>
            </w:pPr>
            <w:r>
              <w:rPr>
                <w:rFonts w:hint="eastAsia"/>
                <w:sz w:val="21"/>
              </w:rPr>
              <w:t>1995</w:t>
            </w:r>
          </w:p>
        </w:tc>
        <w:tc>
          <w:tcPr>
            <w:tcW w:w="1773" w:type="dxa"/>
            <w:tcBorders>
              <w:top w:val="single" w:sz="4" w:space="0" w:color="auto"/>
              <w:left w:val="nil"/>
              <w:bottom w:val="single" w:sz="4" w:space="0" w:color="auto"/>
              <w:right w:val="single" w:sz="4" w:space="0" w:color="auto"/>
            </w:tcBorders>
          </w:tcPr>
          <w:p w:rsidR="00000000" w:rsidRDefault="00000000">
            <w:pPr>
              <w:spacing w:before="60" w:line="264" w:lineRule="auto"/>
              <w:jc w:val="center"/>
              <w:rPr>
                <w:rFonts w:hint="eastAsia"/>
                <w:sz w:val="21"/>
              </w:rPr>
            </w:pPr>
          </w:p>
        </w:tc>
      </w:tr>
    </w:tbl>
    <w:p w:rsidR="00000000" w:rsidRDefault="00000000">
      <w:pPr>
        <w:rPr>
          <w:rFonts w:hint="eastAsia"/>
        </w:rPr>
      </w:pPr>
    </w:p>
    <w:p w:rsidR="00000000" w:rsidRDefault="00000000">
      <w:pPr>
        <w:rPr>
          <w:rFonts w:hint="eastAsia"/>
        </w:rPr>
      </w:pPr>
      <w:r>
        <w:rPr>
          <w:rFonts w:hint="eastAsia"/>
        </w:rPr>
        <w:tab/>
        <w:t xml:space="preserve">72.  </w:t>
      </w:r>
      <w:r>
        <w:rPr>
          <w:rFonts w:hint="eastAsia"/>
        </w:rPr>
        <w:t>就准备加入欧洲联盟</w:t>
      </w:r>
      <w:r>
        <w:rPr>
          <w:rFonts w:hint="eastAsia"/>
        </w:rPr>
        <w:t>(</w:t>
      </w:r>
      <w:r>
        <w:rPr>
          <w:rFonts w:hint="eastAsia"/>
        </w:rPr>
        <w:t>“欧盟”</w:t>
      </w:r>
      <w:r>
        <w:rPr>
          <w:rFonts w:hint="eastAsia"/>
        </w:rPr>
        <w:t>)</w:t>
      </w:r>
      <w:r>
        <w:rPr>
          <w:rFonts w:hint="eastAsia"/>
        </w:rPr>
        <w:t>而言，捷克共和国主要通过</w:t>
      </w:r>
      <w:r>
        <w:rPr>
          <w:rFonts w:hint="eastAsia"/>
        </w:rPr>
        <w:t>PHARE</w:t>
      </w:r>
      <w:r>
        <w:rPr>
          <w:rFonts w:hint="eastAsia"/>
        </w:rPr>
        <w:t>方案利用了欧盟的技术和财政援助。</w:t>
      </w:r>
      <w:r>
        <w:rPr>
          <w:rFonts w:hint="eastAsia"/>
        </w:rPr>
        <w:t>1995</w:t>
      </w:r>
      <w:r>
        <w:rPr>
          <w:rFonts w:hint="eastAsia"/>
        </w:rPr>
        <w:t>年至</w:t>
      </w:r>
      <w:r>
        <w:rPr>
          <w:rFonts w:hint="eastAsia"/>
        </w:rPr>
        <w:t>1997</w:t>
      </w:r>
      <w:r>
        <w:rPr>
          <w:rFonts w:hint="eastAsia"/>
        </w:rPr>
        <w:t>年发放给捷克共和国的款项总数已经达到</w:t>
      </w:r>
      <w:r>
        <w:rPr>
          <w:rFonts w:hint="eastAsia"/>
        </w:rPr>
        <w:t>2.24</w:t>
      </w:r>
      <w:r>
        <w:rPr>
          <w:rFonts w:hint="eastAsia"/>
        </w:rPr>
        <w:t>亿欧元。这些援助是由欧洲投资银行、欧洲复兴开发银行、世界银行和其他金融机构共同提供的。技术和财政援助的重点是：</w:t>
      </w:r>
    </w:p>
    <w:p w:rsidR="00000000" w:rsidRDefault="00000000">
      <w:pPr>
        <w:numPr>
          <w:ilvl w:val="0"/>
          <w:numId w:val="56"/>
        </w:numPr>
        <w:rPr>
          <w:rFonts w:hint="eastAsia"/>
        </w:rPr>
      </w:pPr>
      <w:r>
        <w:rPr>
          <w:rFonts w:hint="eastAsia"/>
        </w:rPr>
        <w:t>建设机构</w:t>
      </w:r>
      <w:r>
        <w:rPr>
          <w:rFonts w:hint="eastAsia"/>
        </w:rPr>
        <w:t>(</w:t>
      </w:r>
      <w:r>
        <w:rPr>
          <w:rFonts w:hint="eastAsia"/>
        </w:rPr>
        <w:t>大约</w:t>
      </w:r>
      <w:r>
        <w:rPr>
          <w:rFonts w:hint="eastAsia"/>
        </w:rPr>
        <w:t>30%)</w:t>
      </w:r>
      <w:r>
        <w:rPr>
          <w:rFonts w:hint="eastAsia"/>
        </w:rPr>
        <w:t>：加强民主体制，通过培训、技术援助和与欧盟成员国的体制结构协调一致使国家建立在法治和公共行政管理的基础之上。援助的重点还有保护知识产权、保护环境、安置罗姆人、提供福利保障、实现男女机会平等等等；</w:t>
      </w:r>
    </w:p>
    <w:p w:rsidR="00000000" w:rsidRDefault="00000000">
      <w:pPr>
        <w:numPr>
          <w:ilvl w:val="0"/>
          <w:numId w:val="56"/>
        </w:numPr>
        <w:spacing w:after="320"/>
        <w:rPr>
          <w:rFonts w:hint="eastAsia"/>
        </w:rPr>
      </w:pPr>
      <w:r>
        <w:rPr>
          <w:rFonts w:hint="eastAsia"/>
        </w:rPr>
        <w:t>投资支助</w:t>
      </w:r>
      <w:r>
        <w:rPr>
          <w:rFonts w:hint="eastAsia"/>
        </w:rPr>
        <w:t>(</w:t>
      </w:r>
      <w:r>
        <w:rPr>
          <w:rFonts w:hint="eastAsia"/>
        </w:rPr>
        <w:t>大约</w:t>
      </w:r>
      <w:r>
        <w:rPr>
          <w:rFonts w:hint="eastAsia"/>
        </w:rPr>
        <w:t>70%)</w:t>
      </w:r>
      <w:r>
        <w:rPr>
          <w:rFonts w:hint="eastAsia"/>
        </w:rPr>
        <w:t>：旨在确保进行必要的投资，使捷克共和国的基础设施建设与社区的经验结合起来。这一支助的重点是农业生产的结构改革、区域发展和对人力和智力资本的投资</w:t>
      </w:r>
      <w:r>
        <w:rPr>
          <w:rFonts w:hint="eastAsia"/>
        </w:rPr>
        <w:t>(</w:t>
      </w:r>
      <w:r>
        <w:rPr>
          <w:rFonts w:hint="eastAsia"/>
        </w:rPr>
        <w:t>包括确保参与研究和技术发展的框架方案</w:t>
      </w:r>
      <w:r>
        <w:rPr>
          <w:rFonts w:hint="eastAsia"/>
        </w:rPr>
        <w:t>)</w:t>
      </w:r>
      <w:r>
        <w:rPr>
          <w:rFonts w:hint="eastAsia"/>
        </w:rPr>
        <w:t>。这项支助的重点还包括执行欧洲共同体在环境保护、农业、工业、工作安全和卫生、交通和通信方面的规范。发展中小企业的项目也得到了支助。</w:t>
      </w:r>
    </w:p>
    <w:p w:rsidR="00000000" w:rsidRDefault="00000000">
      <w:pPr>
        <w:pStyle w:val="Heading2"/>
        <w:rPr>
          <w:rFonts w:hint="eastAsia"/>
        </w:rPr>
      </w:pPr>
      <w:r>
        <w:rPr>
          <w:rFonts w:hint="eastAsia"/>
        </w:rPr>
        <w:t>二、《公约》具体条款的执行</w:t>
      </w:r>
    </w:p>
    <w:p w:rsidR="00000000" w:rsidRDefault="00000000">
      <w:pPr>
        <w:pStyle w:val="Heading3"/>
        <w:spacing w:after="160"/>
        <w:rPr>
          <w:rFonts w:hint="eastAsia"/>
        </w:rPr>
      </w:pPr>
      <w:r>
        <w:rPr>
          <w:rFonts w:hint="eastAsia"/>
        </w:rPr>
        <w:t>第</w:t>
      </w:r>
      <w:r>
        <w:rPr>
          <w:rFonts w:hint="eastAsia"/>
        </w:rPr>
        <w:t xml:space="preserve"> 1 </w:t>
      </w:r>
      <w:r>
        <w:rPr>
          <w:rFonts w:hint="eastAsia"/>
        </w:rPr>
        <w:t>条</w:t>
      </w:r>
    </w:p>
    <w:p w:rsidR="00000000" w:rsidRDefault="00000000">
      <w:pPr>
        <w:pStyle w:val="Heading4"/>
        <w:rPr>
          <w:rFonts w:hint="eastAsia"/>
        </w:rPr>
      </w:pPr>
      <w:r>
        <w:rPr>
          <w:rFonts w:hint="eastAsia"/>
        </w:rPr>
        <w:t>第</w:t>
      </w:r>
      <w:r>
        <w:rPr>
          <w:rFonts w:hint="eastAsia"/>
        </w:rPr>
        <w:t xml:space="preserve"> 1 </w:t>
      </w:r>
      <w:r>
        <w:rPr>
          <w:rFonts w:hint="eastAsia"/>
        </w:rPr>
        <w:t>款</w:t>
      </w:r>
    </w:p>
    <w:p w:rsidR="00000000" w:rsidRDefault="00000000">
      <w:pPr>
        <w:rPr>
          <w:rFonts w:hint="eastAsia"/>
        </w:rPr>
      </w:pPr>
      <w:r>
        <w:rPr>
          <w:rFonts w:hint="eastAsia"/>
        </w:rPr>
        <w:tab/>
        <w:t xml:space="preserve">73.  </w:t>
      </w:r>
      <w:r>
        <w:rPr>
          <w:rFonts w:hint="eastAsia"/>
        </w:rPr>
        <w:t>捷克共和国是前捷克斯洛伐克联邦共和国分裂后于</w:t>
      </w:r>
      <w:r>
        <w:rPr>
          <w:rFonts w:hint="eastAsia"/>
        </w:rPr>
        <w:t>1993</w:t>
      </w:r>
      <w:r>
        <w:rPr>
          <w:rFonts w:hint="eastAsia"/>
        </w:rPr>
        <w:t>年</w:t>
      </w:r>
      <w:r>
        <w:rPr>
          <w:rFonts w:hint="eastAsia"/>
        </w:rPr>
        <w:t>1</w:t>
      </w:r>
      <w:r>
        <w:rPr>
          <w:rFonts w:hint="eastAsia"/>
        </w:rPr>
        <w:t>月</w:t>
      </w:r>
      <w:r>
        <w:rPr>
          <w:rFonts w:hint="eastAsia"/>
        </w:rPr>
        <w:t>1</w:t>
      </w:r>
      <w:r>
        <w:rPr>
          <w:rFonts w:hint="eastAsia"/>
        </w:rPr>
        <w:t>日诞生的，是建立在民主原则基础上的一个主权国家，捷克共和国的人民享有尊严和权利的自由和平等。捷克共和国作为一个民主国家自主地确定自己的政治地位并且自主地实现其政治、经济、社会和文化发展。对捷克共和国的事务作出这样自主决策的基础是其《宪法》。</w:t>
      </w:r>
    </w:p>
    <w:p w:rsidR="00000000" w:rsidRDefault="00000000">
      <w:pPr>
        <w:rPr>
          <w:rFonts w:hint="eastAsia"/>
        </w:rPr>
      </w:pPr>
      <w:r>
        <w:rPr>
          <w:rFonts w:hint="eastAsia"/>
        </w:rPr>
        <w:tab/>
        <w:t xml:space="preserve">74.  </w:t>
      </w:r>
      <w:r>
        <w:rPr>
          <w:rFonts w:hint="eastAsia"/>
        </w:rPr>
        <w:t>根据《宪法》第</w:t>
      </w:r>
      <w:r>
        <w:rPr>
          <w:rFonts w:hint="eastAsia"/>
        </w:rPr>
        <w:t>2</w:t>
      </w:r>
      <w:r>
        <w:rPr>
          <w:rFonts w:hint="eastAsia"/>
        </w:rPr>
        <w:t>条的规定，人民通过立法、行政和司法权力机构行使所有的国家权力。根据《宪法》第</w:t>
      </w:r>
      <w:r>
        <w:rPr>
          <w:rFonts w:hint="eastAsia"/>
        </w:rPr>
        <w:t>5</w:t>
      </w:r>
      <w:r>
        <w:rPr>
          <w:rFonts w:hint="eastAsia"/>
        </w:rPr>
        <w:t>条的规定，捷克共和国政治制度的基础是自由和自愿地成立尊重基本民主原则并放弃以武力作为谋求利益手段的政党以及政党之间自由竞争。政治决策的依据</w:t>
      </w:r>
      <w:r>
        <w:rPr>
          <w:rFonts w:hint="eastAsia"/>
        </w:rPr>
        <w:t>(</w:t>
      </w:r>
      <w:r>
        <w:rPr>
          <w:rFonts w:hint="eastAsia"/>
        </w:rPr>
        <w:t>根据《宪法》第</w:t>
      </w:r>
      <w:r>
        <w:rPr>
          <w:rFonts w:hint="eastAsia"/>
        </w:rPr>
        <w:t>6</w:t>
      </w:r>
      <w:r>
        <w:rPr>
          <w:rFonts w:hint="eastAsia"/>
        </w:rPr>
        <w:t>条的规定</w:t>
      </w:r>
      <w:r>
        <w:rPr>
          <w:rFonts w:hint="eastAsia"/>
        </w:rPr>
        <w:t>)</w:t>
      </w:r>
      <w:r>
        <w:rPr>
          <w:rFonts w:hint="eastAsia"/>
        </w:rPr>
        <w:t>是自由投票体现出来的多数人的意志，而且多数人的决策考虑到保护少数人的利益。</w:t>
      </w:r>
    </w:p>
    <w:p w:rsidR="00000000" w:rsidRDefault="00000000">
      <w:pPr>
        <w:rPr>
          <w:rFonts w:hint="eastAsia"/>
        </w:rPr>
      </w:pPr>
      <w:r>
        <w:rPr>
          <w:rFonts w:hint="eastAsia"/>
        </w:rPr>
        <w:tab/>
        <w:t xml:space="preserve">75.  </w:t>
      </w:r>
      <w:r>
        <w:rPr>
          <w:rFonts w:hint="eastAsia"/>
        </w:rPr>
        <w:t>作为一个主权国家，捷克共和国是国际政治中的一个独立实体以及国际法的一个主体。一方面正在进行的全球化进程以及另一方面正在进行的区域化进程分别限制了国家作出决策的自主权，因为前者导致将国家决策权的一部分转移到国际组织一级，而后者则导致将国家决策权力的一部分下放到下级行政机关和组织。</w:t>
      </w:r>
    </w:p>
    <w:p w:rsidR="00000000" w:rsidRDefault="00000000">
      <w:pPr>
        <w:rPr>
          <w:rFonts w:hint="eastAsia"/>
        </w:rPr>
      </w:pPr>
      <w:r>
        <w:rPr>
          <w:rFonts w:hint="eastAsia"/>
        </w:rPr>
        <w:tab/>
        <w:t xml:space="preserve">76.  </w:t>
      </w:r>
      <w:r>
        <w:rPr>
          <w:rFonts w:hint="eastAsia"/>
        </w:rPr>
        <w:t>根据《宪法》第</w:t>
      </w:r>
      <w:r>
        <w:rPr>
          <w:rFonts w:hint="eastAsia"/>
        </w:rPr>
        <w:t>11</w:t>
      </w:r>
      <w:r>
        <w:rPr>
          <w:rFonts w:hint="eastAsia"/>
        </w:rPr>
        <w:t>条的规定，捷克共和国的领土构成一个不可分割的整体，国家的疆界只能通过宪法法令加以改变。领土自治单位是国家领土的组成部分，是享有自治权的公民的领土社区。领土自治单位的成立或解散只能通过宪法法令进行。国家对其事务的干预只有在必须保护法律的情况下并以法律规定的方式进行。</w:t>
      </w:r>
    </w:p>
    <w:p w:rsidR="00000000" w:rsidRDefault="00000000">
      <w:pPr>
        <w:rPr>
          <w:rFonts w:hint="eastAsia"/>
        </w:rPr>
      </w:pPr>
      <w:r>
        <w:rPr>
          <w:rFonts w:hint="eastAsia"/>
        </w:rPr>
        <w:tab/>
        <w:t xml:space="preserve">77.  </w:t>
      </w:r>
      <w:r>
        <w:rPr>
          <w:rFonts w:hint="eastAsia"/>
        </w:rPr>
        <w:t>捷克共和国承担捷克斯洛伐克联邦共和国的国际义务，其中包括根据《经济、社会、文化权利国际公约》和《公民权利和政治权利国际公约》</w:t>
      </w:r>
      <w:r>
        <w:rPr>
          <w:rStyle w:val="EndnoteReference"/>
        </w:rPr>
        <w:endnoteReference w:id="44"/>
      </w:r>
      <w:r>
        <w:rPr>
          <w:rFonts w:hint="eastAsia"/>
        </w:rPr>
        <w:t xml:space="preserve"> </w:t>
      </w:r>
      <w:r>
        <w:rPr>
          <w:rFonts w:hint="eastAsia"/>
        </w:rPr>
        <w:t>两项公约所产生的义务。两项公约所载的权利主要落实在《宪法》和《宪章》的有关条款之中。</w:t>
      </w:r>
    </w:p>
    <w:p w:rsidR="00000000" w:rsidRDefault="00000000">
      <w:pPr>
        <w:rPr>
          <w:rFonts w:hint="eastAsia"/>
        </w:rPr>
      </w:pPr>
      <w:r>
        <w:rPr>
          <w:rFonts w:hint="eastAsia"/>
        </w:rPr>
        <w:tab/>
        <w:t xml:space="preserve">78.  </w:t>
      </w:r>
      <w:r>
        <w:rPr>
          <w:rFonts w:hint="eastAsia"/>
        </w:rPr>
        <w:t>自决权在《宪章》第</w:t>
      </w:r>
      <w:r>
        <w:rPr>
          <w:rFonts w:hint="eastAsia"/>
        </w:rPr>
        <w:t>3</w:t>
      </w:r>
      <w:r>
        <w:rPr>
          <w:rFonts w:hint="eastAsia"/>
        </w:rPr>
        <w:t>条中也得到了支持，该条规定：</w:t>
      </w:r>
    </w:p>
    <w:p w:rsidR="00000000" w:rsidRDefault="00000000">
      <w:pPr>
        <w:pStyle w:val="x0"/>
        <w:rPr>
          <w:rFonts w:hint="eastAsia"/>
        </w:rPr>
      </w:pPr>
      <w:r>
        <w:rPr>
          <w:rFonts w:hint="eastAsia"/>
        </w:rPr>
        <w:t>“</w:t>
      </w:r>
      <w:r>
        <w:rPr>
          <w:rFonts w:hint="eastAsia"/>
        </w:rPr>
        <w:t>(1)</w:t>
      </w:r>
      <w:r>
        <w:rPr>
          <w:rFonts w:hint="eastAsia"/>
        </w:rPr>
        <w:tab/>
      </w:r>
      <w:r>
        <w:rPr>
          <w:rFonts w:hint="eastAsia"/>
        </w:rPr>
        <w:t>保障人人都享有基本权利和自由，而不论其性别、种族、肤色、语言、信仰和宗教、政治或其他信念、民族血统或社会出身、是否某一少数民族的成员、财产、出身或其他身份。</w:t>
      </w:r>
    </w:p>
    <w:p w:rsidR="00000000" w:rsidRDefault="00000000">
      <w:pPr>
        <w:pStyle w:val="x0"/>
        <w:rPr>
          <w:rFonts w:hint="eastAsia"/>
        </w:rPr>
      </w:pPr>
      <w:r>
        <w:rPr>
          <w:rFonts w:hint="eastAsia"/>
        </w:rPr>
        <w:t>“</w:t>
      </w:r>
      <w:r>
        <w:rPr>
          <w:rFonts w:hint="eastAsia"/>
        </w:rPr>
        <w:t>(2)</w:t>
      </w:r>
      <w:r>
        <w:rPr>
          <w:rFonts w:hint="eastAsia"/>
        </w:rPr>
        <w:tab/>
      </w:r>
      <w:r>
        <w:rPr>
          <w:rFonts w:hint="eastAsia"/>
        </w:rPr>
        <w:t>人人都有权自由选择国籍。禁止以任何方式影响这种选择，同时也不得施加任何形式的压力从而压制一个人的民族特性。</w:t>
      </w:r>
    </w:p>
    <w:p w:rsidR="00000000" w:rsidRDefault="00000000">
      <w:pPr>
        <w:pStyle w:val="x0"/>
        <w:spacing w:after="320"/>
        <w:rPr>
          <w:rFonts w:hint="eastAsia"/>
        </w:rPr>
      </w:pPr>
      <w:r>
        <w:rPr>
          <w:rFonts w:hint="eastAsia"/>
        </w:rPr>
        <w:t>“</w:t>
      </w:r>
      <w:r>
        <w:rPr>
          <w:rFonts w:hint="eastAsia"/>
        </w:rPr>
        <w:t>(3)</w:t>
      </w:r>
      <w:r>
        <w:rPr>
          <w:rFonts w:hint="eastAsia"/>
        </w:rPr>
        <w:tab/>
      </w:r>
      <w:r>
        <w:rPr>
          <w:rFonts w:hint="eastAsia"/>
        </w:rPr>
        <w:t>任何人不得仅由于主张基本权利和自由致使其权利遭到损害。”</w:t>
      </w:r>
    </w:p>
    <w:p w:rsidR="00000000" w:rsidRDefault="00000000">
      <w:pPr>
        <w:pStyle w:val="Heading4"/>
        <w:rPr>
          <w:rFonts w:hint="eastAsia"/>
        </w:rPr>
      </w:pPr>
      <w:r>
        <w:rPr>
          <w:rFonts w:hint="eastAsia"/>
        </w:rPr>
        <w:t>第</w:t>
      </w:r>
      <w:r>
        <w:rPr>
          <w:rFonts w:hint="eastAsia"/>
        </w:rPr>
        <w:t xml:space="preserve"> 2 </w:t>
      </w:r>
      <w:r>
        <w:rPr>
          <w:rFonts w:hint="eastAsia"/>
        </w:rPr>
        <w:t>款</w:t>
      </w:r>
    </w:p>
    <w:p w:rsidR="00000000" w:rsidRDefault="00000000">
      <w:pPr>
        <w:rPr>
          <w:rFonts w:hint="eastAsia"/>
        </w:rPr>
      </w:pPr>
      <w:r>
        <w:rPr>
          <w:rFonts w:hint="eastAsia"/>
        </w:rPr>
        <w:tab/>
        <w:t xml:space="preserve">79.  </w:t>
      </w:r>
      <w:r>
        <w:rPr>
          <w:rFonts w:hint="eastAsia"/>
        </w:rPr>
        <w:t>《宪法》序言决心“保卫并同时发展自然和文化财富、物质和精神财富……”。履行序言这一部分的规定和国家承认法律和其他法规的义务的前提是《宪法》第</w:t>
      </w:r>
      <w:r>
        <w:rPr>
          <w:rFonts w:hint="eastAsia"/>
        </w:rPr>
        <w:t>7</w:t>
      </w:r>
      <w:r>
        <w:rPr>
          <w:rFonts w:hint="eastAsia"/>
        </w:rPr>
        <w:t>条。根据该条的规定，“国家应当关心节约使用自然资源和保护自然财富。”</w:t>
      </w:r>
    </w:p>
    <w:p w:rsidR="00000000" w:rsidRDefault="00000000">
      <w:pPr>
        <w:rPr>
          <w:rFonts w:hint="eastAsia"/>
          <w:lang w:val="fr-CH"/>
        </w:rPr>
      </w:pPr>
      <w:r>
        <w:rPr>
          <w:rFonts w:hint="eastAsia"/>
        </w:rPr>
        <w:tab/>
        <w:t xml:space="preserve">80.  </w:t>
      </w:r>
      <w:r>
        <w:rPr>
          <w:rFonts w:hint="eastAsia"/>
        </w:rPr>
        <w:t>在不损害根据互利和国际法</w:t>
      </w:r>
      <w:r>
        <w:rPr>
          <w:rFonts w:hint="eastAsia"/>
          <w:lang w:val="fr-CH"/>
        </w:rPr>
        <w:t>开展的国际经济合作所产生的任何义务的情况下，任何事情均不能阻止捷克共和国处分其自然财富和资源。由于不存在任何此类情况，因此，它们也影响不了享受《公约》所保护的其他权利。</w:t>
      </w:r>
    </w:p>
    <w:p w:rsidR="00000000" w:rsidRDefault="00000000">
      <w:pPr>
        <w:rPr>
          <w:rFonts w:hint="eastAsia"/>
          <w:lang w:val="fr-CH"/>
        </w:rPr>
      </w:pPr>
      <w:r>
        <w:rPr>
          <w:rFonts w:hint="eastAsia"/>
          <w:lang w:val="fr-CH"/>
        </w:rPr>
        <w:tab/>
        <w:t xml:space="preserve">81.  </w:t>
      </w:r>
      <w:r>
        <w:rPr>
          <w:rFonts w:hint="eastAsia"/>
          <w:lang w:val="fr-CH"/>
        </w:rPr>
        <w:t>作为必不可少的外部生存条件的一部分，自然财富和自然资源是统一和独立的环境法规规定的对象。基础法律是《环境法》。</w:t>
      </w:r>
      <w:r>
        <w:rPr>
          <w:rStyle w:val="EndnoteReference"/>
          <w:lang w:val="fr-CH"/>
        </w:rPr>
        <w:endnoteReference w:id="45"/>
      </w:r>
      <w:r>
        <w:rPr>
          <w:rFonts w:hint="eastAsia"/>
          <w:lang w:val="fr-CH"/>
        </w:rPr>
        <w:t xml:space="preserve"> </w:t>
      </w:r>
      <w:r>
        <w:rPr>
          <w:rFonts w:hint="eastAsia"/>
          <w:lang w:val="fr-CH"/>
        </w:rPr>
        <w:t>该法主要确定了环境保护的基本原则并对基本概念作出了界定。根据第</w:t>
      </w:r>
      <w:r>
        <w:rPr>
          <w:rFonts w:hint="eastAsia"/>
          <w:lang w:val="fr-CH"/>
        </w:rPr>
        <w:t>1</w:t>
      </w:r>
      <w:r>
        <w:rPr>
          <w:rFonts w:hint="eastAsia"/>
          <w:lang w:val="fr-CH"/>
        </w:rPr>
        <w:t>条的规定，《环境法》依据长期持续发展的原则制定，第</w:t>
      </w:r>
      <w:r>
        <w:rPr>
          <w:rFonts w:hint="eastAsia"/>
          <w:lang w:val="fr-CH"/>
        </w:rPr>
        <w:t>11</w:t>
      </w:r>
      <w:r>
        <w:rPr>
          <w:rFonts w:hint="eastAsia"/>
          <w:lang w:val="fr-CH"/>
        </w:rPr>
        <w:t>至第</w:t>
      </w:r>
      <w:r>
        <w:rPr>
          <w:rFonts w:hint="eastAsia"/>
          <w:lang w:val="fr-CH"/>
        </w:rPr>
        <w:t>16</w:t>
      </w:r>
      <w:r>
        <w:rPr>
          <w:rFonts w:hint="eastAsia"/>
          <w:lang w:val="fr-CH"/>
        </w:rPr>
        <w:t>条规定了环境保护的基本规则。</w:t>
      </w:r>
    </w:p>
    <w:p w:rsidR="00000000" w:rsidRDefault="00000000">
      <w:pPr>
        <w:spacing w:after="320"/>
        <w:rPr>
          <w:rFonts w:hint="eastAsia"/>
          <w:lang w:val="fr-CH"/>
        </w:rPr>
      </w:pPr>
      <w:r>
        <w:rPr>
          <w:rFonts w:hint="eastAsia"/>
          <w:lang w:val="fr-CH"/>
        </w:rPr>
        <w:tab/>
        <w:t xml:space="preserve">82.  </w:t>
      </w:r>
      <w:r>
        <w:rPr>
          <w:rFonts w:hint="eastAsia"/>
          <w:lang w:val="fr-CH"/>
        </w:rPr>
        <w:t>集中开发自然财富使环境</w:t>
      </w:r>
      <w:r>
        <w:rPr>
          <w:rFonts w:hint="eastAsia"/>
        </w:rPr>
        <w:t>濒临破坏的现象发生在</w:t>
      </w:r>
      <w:r>
        <w:rPr>
          <w:rFonts w:hint="eastAsia"/>
        </w:rPr>
        <w:t>1990</w:t>
      </w:r>
      <w:r>
        <w:rPr>
          <w:rFonts w:hint="eastAsia"/>
        </w:rPr>
        <w:t>年之前，随着服务业和加工业在国民经济中发挥越来越重要的作用，这种现象在</w:t>
      </w:r>
      <w:r>
        <w:rPr>
          <w:rFonts w:hint="eastAsia"/>
        </w:rPr>
        <w:t>1990</w:t>
      </w:r>
      <w:r>
        <w:rPr>
          <w:rFonts w:hint="eastAsia"/>
        </w:rPr>
        <w:t>年代受到了限制。有关自然财富和环境所有主要组成部分的一系列法律</w:t>
      </w:r>
      <w:r>
        <w:rPr>
          <w:rFonts w:hint="eastAsia"/>
        </w:rPr>
        <w:t>(</w:t>
      </w:r>
      <w:r>
        <w:rPr>
          <w:rFonts w:hint="eastAsia"/>
        </w:rPr>
        <w:t>见《公约》第</w:t>
      </w:r>
      <w:r>
        <w:rPr>
          <w:rFonts w:hint="eastAsia"/>
        </w:rPr>
        <w:t>12</w:t>
      </w:r>
      <w:r>
        <w:rPr>
          <w:rFonts w:hint="eastAsia"/>
        </w:rPr>
        <w:t>条第</w:t>
      </w:r>
      <w:r>
        <w:rPr>
          <w:rFonts w:hint="eastAsia"/>
        </w:rPr>
        <w:t>2</w:t>
      </w:r>
      <w:r>
        <w:t>(b)</w:t>
      </w:r>
      <w:r>
        <w:rPr>
          <w:rFonts w:hint="eastAsia"/>
          <w:lang w:val="fr-CH"/>
        </w:rPr>
        <w:t>款</w:t>
      </w:r>
      <w:r>
        <w:rPr>
          <w:rFonts w:hint="eastAsia"/>
          <w:lang w:val="fr-CH"/>
        </w:rPr>
        <w:t>)</w:t>
      </w:r>
      <w:r>
        <w:rPr>
          <w:rFonts w:hint="eastAsia"/>
          <w:lang w:val="fr-CH"/>
        </w:rPr>
        <w:t>表达了在保护和关注环境方面的公共利益。这些法律不仅涉及保护水、空气、土壤、自然和乡村，而且还涉及废物管理、矿产开发、核安全、食物链以及评价对环境造成的复杂性影响。考虑到自然财富的来源有限，对它们的开发和保护是不可分割的。</w:t>
      </w:r>
    </w:p>
    <w:p w:rsidR="00000000" w:rsidRDefault="00000000">
      <w:pPr>
        <w:pStyle w:val="Heading4"/>
        <w:spacing w:after="160"/>
        <w:rPr>
          <w:rFonts w:hint="eastAsia"/>
          <w:lang w:val="fr-CH"/>
        </w:rPr>
      </w:pPr>
      <w:r>
        <w:rPr>
          <w:rFonts w:hint="eastAsia"/>
        </w:rPr>
        <w:t>第</w:t>
      </w:r>
      <w:r>
        <w:rPr>
          <w:rFonts w:hint="eastAsia"/>
        </w:rPr>
        <w:t xml:space="preserve"> </w:t>
      </w:r>
      <w:r>
        <w:rPr>
          <w:rFonts w:hint="eastAsia"/>
          <w:lang w:val="fr-CH"/>
        </w:rPr>
        <w:t xml:space="preserve">3 </w:t>
      </w:r>
      <w:r>
        <w:rPr>
          <w:rFonts w:hint="eastAsia"/>
          <w:lang w:val="fr-CH"/>
        </w:rPr>
        <w:t>款</w:t>
      </w:r>
    </w:p>
    <w:p w:rsidR="00000000" w:rsidRDefault="00000000">
      <w:pPr>
        <w:rPr>
          <w:rFonts w:hint="eastAsia"/>
          <w:lang w:val="fr-CH"/>
        </w:rPr>
      </w:pPr>
      <w:r>
        <w:rPr>
          <w:rFonts w:hint="eastAsia"/>
          <w:lang w:val="fr-CH"/>
        </w:rPr>
        <w:tab/>
        <w:t xml:space="preserve">83.  </w:t>
      </w:r>
      <w:r>
        <w:rPr>
          <w:rFonts w:hint="eastAsia"/>
          <w:lang w:val="fr-CH"/>
        </w:rPr>
        <w:t>捷克共和国是民主国家为建设和加强和平、安全、合作、民主和繁荣的社会所作共同努力的一部分。捷克共和国致力于创造这样一个国际社会</w:t>
      </w:r>
      <w:r>
        <w:rPr>
          <w:rFonts w:hint="eastAsia"/>
          <w:lang w:val="fr-CH"/>
        </w:rPr>
        <w:t> </w:t>
      </w:r>
      <w:r>
        <w:rPr>
          <w:rFonts w:hint="eastAsia"/>
          <w:lang w:val="fr-CH"/>
        </w:rPr>
        <w:t>：武力作为解决国家间争端的方法是不可接受的，威胁和危险必须共同确定并加以解决，并且可以发展各种形式的政治和经济合作。</w:t>
      </w:r>
    </w:p>
    <w:p w:rsidR="00000000" w:rsidRDefault="00000000">
      <w:pPr>
        <w:rPr>
          <w:rFonts w:hint="eastAsia"/>
          <w:lang w:val="fr-CH"/>
        </w:rPr>
      </w:pPr>
      <w:r>
        <w:rPr>
          <w:rFonts w:hint="eastAsia"/>
          <w:lang w:val="fr-CH"/>
        </w:rPr>
        <w:tab/>
        <w:t xml:space="preserve">84.  </w:t>
      </w:r>
      <w:r>
        <w:rPr>
          <w:rFonts w:hint="eastAsia"/>
          <w:lang w:val="fr-CH"/>
        </w:rPr>
        <w:t>捷克共和国与其他国家关系的基础是和平共处和按照《联合国宪章》的各项原则进行经济和文化合作的原则。捷克共和国根据互利和互不干涉内政的原则促进国际合作。另一方面，捷克共和国理解分担责任和国际团结的重要性，并准备参加能导致在国际关系中加强信任和确保安全的所有活动。</w:t>
      </w:r>
    </w:p>
    <w:p w:rsidR="00000000" w:rsidRDefault="00000000">
      <w:pPr>
        <w:rPr>
          <w:rFonts w:hint="eastAsia"/>
          <w:spacing w:val="8"/>
          <w:lang w:val="fr-CH"/>
        </w:rPr>
      </w:pPr>
      <w:r>
        <w:rPr>
          <w:rFonts w:hint="eastAsia"/>
          <w:lang w:val="fr-CH"/>
        </w:rPr>
        <w:tab/>
        <w:t xml:space="preserve">85. </w:t>
      </w:r>
      <w:r>
        <w:rPr>
          <w:rFonts w:hint="eastAsia"/>
          <w:spacing w:val="8"/>
          <w:lang w:val="fr-CH"/>
        </w:rPr>
        <w:t xml:space="preserve"> </w:t>
      </w:r>
      <w:r>
        <w:rPr>
          <w:rFonts w:hint="eastAsia"/>
          <w:spacing w:val="8"/>
          <w:lang w:val="fr-CH"/>
        </w:rPr>
        <w:t>捷克共和国与邻国之间没有领土纠纷。它对任何非自治或托管领土的管理都不负任何责任。它与前捷克斯洛伐克联邦共和国的另一个继承国斯洛伐克共和国的关系是非冲突的、有序的而且自</w:t>
      </w:r>
      <w:r>
        <w:rPr>
          <w:rFonts w:hint="eastAsia"/>
          <w:spacing w:val="8"/>
          <w:lang w:val="fr-CH"/>
        </w:rPr>
        <w:t>1998</w:t>
      </w:r>
      <w:r>
        <w:rPr>
          <w:rFonts w:hint="eastAsia"/>
          <w:spacing w:val="8"/>
          <w:lang w:val="fr-CH"/>
        </w:rPr>
        <w:t>年以来甚至是友好的和比一般更好的。</w:t>
      </w:r>
    </w:p>
    <w:p w:rsidR="00000000" w:rsidRDefault="00000000">
      <w:pPr>
        <w:rPr>
          <w:rFonts w:hint="eastAsia"/>
          <w:lang w:val="fr-CH"/>
        </w:rPr>
      </w:pPr>
      <w:r>
        <w:rPr>
          <w:rFonts w:hint="eastAsia"/>
          <w:lang w:val="fr-CH"/>
        </w:rPr>
        <w:tab/>
        <w:t xml:space="preserve">86.  </w:t>
      </w:r>
      <w:r>
        <w:rPr>
          <w:rFonts w:hint="eastAsia"/>
          <w:lang w:val="fr-CH"/>
        </w:rPr>
        <w:t>捷克共和国是欧洲委员会的一个成员国。它利用其成员地位发展和加强欧洲的法律和伦理价值、多样化的民主制度、依法治国以及保护人权和少数人的权利。</w:t>
      </w:r>
    </w:p>
    <w:p w:rsidR="00000000" w:rsidRDefault="00000000">
      <w:pPr>
        <w:rPr>
          <w:rFonts w:hint="eastAsia"/>
          <w:lang w:val="fr-CH"/>
        </w:rPr>
      </w:pPr>
      <w:r>
        <w:rPr>
          <w:rFonts w:hint="eastAsia"/>
          <w:lang w:val="fr-CH"/>
        </w:rPr>
        <w:tab/>
        <w:t xml:space="preserve">87.  </w:t>
      </w:r>
      <w:r>
        <w:rPr>
          <w:rFonts w:hint="eastAsia"/>
          <w:lang w:val="fr-CH"/>
        </w:rPr>
        <w:t>捷克共和国已经参加欧洲的一体化进程，并且正在谋求加入欧洲联盟。捷克共和国与欧洲共同体之间关系的法律基础是</w:t>
      </w:r>
      <w:r>
        <w:rPr>
          <w:rFonts w:hint="eastAsia"/>
          <w:lang w:val="fr-CH"/>
        </w:rPr>
        <w:t>1995</w:t>
      </w:r>
      <w:r>
        <w:rPr>
          <w:rFonts w:hint="eastAsia"/>
          <w:lang w:val="fr-CH"/>
        </w:rPr>
        <w:t>年</w:t>
      </w:r>
      <w:r>
        <w:rPr>
          <w:rFonts w:hint="eastAsia"/>
          <w:lang w:val="fr-CH"/>
        </w:rPr>
        <w:t>2</w:t>
      </w:r>
      <w:r>
        <w:rPr>
          <w:rFonts w:hint="eastAsia"/>
          <w:lang w:val="fr-CH"/>
        </w:rPr>
        <w:t>月</w:t>
      </w:r>
      <w:r>
        <w:rPr>
          <w:rFonts w:hint="eastAsia"/>
          <w:lang w:val="fr-CH"/>
        </w:rPr>
        <w:t>1</w:t>
      </w:r>
      <w:r>
        <w:rPr>
          <w:rFonts w:hint="eastAsia"/>
          <w:lang w:val="fr-CH"/>
        </w:rPr>
        <w:t>日生效的“</w:t>
      </w:r>
      <w:r>
        <w:rPr>
          <w:rFonts w:hint="eastAsia"/>
          <w:lang w:val="fr-CH"/>
        </w:rPr>
        <w:t>1993</w:t>
      </w:r>
      <w:r>
        <w:rPr>
          <w:rFonts w:hint="eastAsia"/>
          <w:lang w:val="fr-CH"/>
        </w:rPr>
        <w:t>年欧洲共同体及其成员国与捷克共和国之间建立联盟的欧洲协定”。</w:t>
      </w:r>
      <w:r>
        <w:rPr>
          <w:rFonts w:hint="eastAsia"/>
          <w:lang w:val="fr-CH"/>
        </w:rPr>
        <w:t>1996</w:t>
      </w:r>
      <w:r>
        <w:rPr>
          <w:rFonts w:hint="eastAsia"/>
          <w:lang w:val="fr-CH"/>
        </w:rPr>
        <w:t>年</w:t>
      </w:r>
      <w:r>
        <w:rPr>
          <w:rFonts w:hint="eastAsia"/>
          <w:lang w:val="fr-CH"/>
        </w:rPr>
        <w:t>1</w:t>
      </w:r>
      <w:r>
        <w:rPr>
          <w:rFonts w:hint="eastAsia"/>
          <w:lang w:val="fr-CH"/>
        </w:rPr>
        <w:t>月</w:t>
      </w:r>
      <w:r>
        <w:rPr>
          <w:rFonts w:hint="eastAsia"/>
          <w:lang w:val="fr-CH"/>
        </w:rPr>
        <w:t>17</w:t>
      </w:r>
      <w:r>
        <w:rPr>
          <w:rFonts w:hint="eastAsia"/>
          <w:lang w:val="fr-CH"/>
        </w:rPr>
        <w:t>日，捷克共和国提出成员申请，</w:t>
      </w:r>
      <w:r>
        <w:rPr>
          <w:rFonts w:hint="eastAsia"/>
          <w:lang w:val="fr-CH"/>
        </w:rPr>
        <w:t>1998</w:t>
      </w:r>
      <w:r>
        <w:rPr>
          <w:rFonts w:hint="eastAsia"/>
          <w:lang w:val="fr-CH"/>
        </w:rPr>
        <w:t>年，捷克共和国就加入欧盟开始谈判。</w:t>
      </w:r>
    </w:p>
    <w:p w:rsidR="00000000" w:rsidRDefault="00000000">
      <w:pPr>
        <w:spacing w:after="320"/>
        <w:rPr>
          <w:rFonts w:hint="eastAsia"/>
          <w:lang w:val="fr-CH"/>
        </w:rPr>
      </w:pPr>
      <w:r>
        <w:rPr>
          <w:rFonts w:hint="eastAsia"/>
          <w:lang w:val="fr-CH"/>
        </w:rPr>
        <w:tab/>
        <w:t>88.  1999</w:t>
      </w:r>
      <w:r>
        <w:rPr>
          <w:rFonts w:hint="eastAsia"/>
          <w:lang w:val="fr-CH"/>
        </w:rPr>
        <w:t>年</w:t>
      </w:r>
      <w:r>
        <w:rPr>
          <w:rFonts w:hint="eastAsia"/>
          <w:lang w:val="fr-CH"/>
        </w:rPr>
        <w:t>3</w:t>
      </w:r>
      <w:r>
        <w:rPr>
          <w:rFonts w:hint="eastAsia"/>
          <w:lang w:val="fr-CH"/>
        </w:rPr>
        <w:t>月，捷克共和国成为北大西洋公约组织</w:t>
      </w:r>
      <w:r>
        <w:rPr>
          <w:rFonts w:hint="eastAsia"/>
          <w:lang w:val="fr-CH"/>
        </w:rPr>
        <w:t>(</w:t>
      </w:r>
      <w:r>
        <w:rPr>
          <w:rFonts w:hint="eastAsia"/>
          <w:lang w:val="fr-CH"/>
        </w:rPr>
        <w:t>北约</w:t>
      </w:r>
      <w:r>
        <w:rPr>
          <w:rFonts w:hint="eastAsia"/>
          <w:lang w:val="fr-CH"/>
        </w:rPr>
        <w:t>)</w:t>
      </w:r>
      <w:r>
        <w:rPr>
          <w:rFonts w:hint="eastAsia"/>
          <w:lang w:val="fr-CH"/>
        </w:rPr>
        <w:t>的成员国。这样，它就加入了一个从事集体防卫的重要的国际组织。</w:t>
      </w:r>
    </w:p>
    <w:p w:rsidR="00000000" w:rsidRDefault="00000000">
      <w:pPr>
        <w:pStyle w:val="Heading3"/>
        <w:spacing w:after="160"/>
        <w:rPr>
          <w:rFonts w:hint="eastAsia"/>
          <w:lang w:val="fr-CH"/>
        </w:rPr>
      </w:pPr>
      <w:r>
        <w:rPr>
          <w:rFonts w:hint="eastAsia"/>
          <w:lang w:val="fr-CH"/>
        </w:rPr>
        <w:t>第</w:t>
      </w:r>
      <w:r>
        <w:rPr>
          <w:rFonts w:hint="eastAsia"/>
          <w:lang w:val="fr-CH"/>
        </w:rPr>
        <w:t xml:space="preserve"> 2 </w:t>
      </w:r>
      <w:r>
        <w:rPr>
          <w:rFonts w:hint="eastAsia"/>
          <w:lang w:val="fr-CH"/>
        </w:rPr>
        <w:t>条</w:t>
      </w:r>
    </w:p>
    <w:p w:rsidR="00000000" w:rsidRDefault="00000000">
      <w:pPr>
        <w:pStyle w:val="Heading4"/>
        <w:spacing w:after="160"/>
        <w:rPr>
          <w:rFonts w:hint="eastAsia"/>
          <w:lang w:val="fr-CH"/>
        </w:rPr>
      </w:pPr>
      <w:r>
        <w:rPr>
          <w:rFonts w:hint="eastAsia"/>
          <w:lang w:val="fr-CH"/>
        </w:rPr>
        <w:t>第</w:t>
      </w:r>
      <w:r>
        <w:rPr>
          <w:rFonts w:hint="eastAsia"/>
          <w:lang w:val="fr-CH"/>
        </w:rPr>
        <w:t xml:space="preserve"> 1 </w:t>
      </w:r>
      <w:r>
        <w:rPr>
          <w:rFonts w:hint="eastAsia"/>
          <w:lang w:val="fr-CH"/>
        </w:rPr>
        <w:t>款</w:t>
      </w:r>
    </w:p>
    <w:p w:rsidR="00000000" w:rsidRDefault="00000000">
      <w:pPr>
        <w:rPr>
          <w:rFonts w:hint="eastAsia"/>
          <w:lang w:val="fr-CH"/>
        </w:rPr>
      </w:pPr>
      <w:r>
        <w:rPr>
          <w:rFonts w:hint="eastAsia"/>
          <w:lang w:val="fr-CH"/>
        </w:rPr>
        <w:tab/>
        <w:t xml:space="preserve">89.  </w:t>
      </w:r>
      <w:r>
        <w:rPr>
          <w:rFonts w:hint="eastAsia"/>
          <w:lang w:val="fr-CH"/>
        </w:rPr>
        <w:t>《经济、社会、文化权利国际公约》和《公民权利和政治权利国际公约》所产生的大部分的权利和义务都是《宪章》这一宪法法案的一部分。受《宪章》支配的、《经济、社会、文化权利国际公约》规定的基本权利和自由享有司法权力的保护。根据《宪章》第</w:t>
      </w:r>
      <w:r>
        <w:rPr>
          <w:rFonts w:hint="eastAsia"/>
          <w:lang w:val="fr-CH"/>
        </w:rPr>
        <w:t>36</w:t>
      </w:r>
      <w:r>
        <w:rPr>
          <w:rFonts w:hint="eastAsia"/>
          <w:lang w:val="fr-CH"/>
        </w:rPr>
        <w:t>条第</w:t>
      </w:r>
      <w:r>
        <w:rPr>
          <w:rFonts w:hint="eastAsia"/>
          <w:lang w:val="fr-CH"/>
        </w:rPr>
        <w:t>1</w:t>
      </w:r>
      <w:r>
        <w:rPr>
          <w:rFonts w:hint="eastAsia"/>
          <w:lang w:val="fr-CH"/>
        </w:rPr>
        <w:t>款的规定，“人人都可以通过法定程序在一个独立和公正的法庭或者根据具体情况在另一个机构主张权利。”</w:t>
      </w:r>
    </w:p>
    <w:p w:rsidR="00000000" w:rsidRDefault="00000000">
      <w:pPr>
        <w:rPr>
          <w:rFonts w:hint="eastAsia"/>
          <w:lang w:val="fr-CH"/>
        </w:rPr>
      </w:pPr>
      <w:r>
        <w:rPr>
          <w:rFonts w:hint="eastAsia"/>
          <w:lang w:val="fr-CH"/>
        </w:rPr>
        <w:tab/>
        <w:t xml:space="preserve">90.  </w:t>
      </w:r>
      <w:r>
        <w:rPr>
          <w:rFonts w:hint="eastAsia"/>
          <w:lang w:val="fr-CH"/>
        </w:rPr>
        <w:t>《宪法》第</w:t>
      </w:r>
      <w:r>
        <w:rPr>
          <w:rFonts w:hint="eastAsia"/>
          <w:lang w:val="fr-CH"/>
        </w:rPr>
        <w:t>10</w:t>
      </w:r>
      <w:r>
        <w:rPr>
          <w:rFonts w:hint="eastAsia"/>
          <w:lang w:val="fr-CH"/>
        </w:rPr>
        <w:t>条规定</w:t>
      </w:r>
      <w:r>
        <w:rPr>
          <w:rFonts w:hint="eastAsia"/>
          <w:lang w:val="fr-CH"/>
        </w:rPr>
        <w:t> </w:t>
      </w:r>
      <w:r>
        <w:rPr>
          <w:rFonts w:hint="eastAsia"/>
          <w:lang w:val="fr-CH"/>
        </w:rPr>
        <w:t>：“经过适当批准和颁布而且捷克共和国受其约束的、有关人权和基本自由的国际条约可以直接适用，并优先于制定法”。该条的规定对《公约》、法令和其他法规的解释发挥了重要的作用。</w:t>
      </w:r>
    </w:p>
    <w:p w:rsidR="00000000" w:rsidRDefault="00000000">
      <w:pPr>
        <w:rPr>
          <w:rFonts w:hint="eastAsia"/>
          <w:lang w:val="fr-CH"/>
        </w:rPr>
      </w:pPr>
      <w:r>
        <w:rPr>
          <w:rFonts w:hint="eastAsia"/>
          <w:lang w:val="fr-CH"/>
        </w:rPr>
        <w:tab/>
        <w:t xml:space="preserve">91.  </w:t>
      </w:r>
      <w:r>
        <w:rPr>
          <w:rFonts w:hint="eastAsia"/>
          <w:lang w:val="fr-CH"/>
        </w:rPr>
        <w:t>捷克共和国为在经济上全面落实《公约》承认的权利所采取的措施与</w:t>
      </w:r>
      <w:r>
        <w:rPr>
          <w:rFonts w:hint="eastAsia"/>
          <w:lang w:val="fr-CH"/>
        </w:rPr>
        <w:t>1990</w:t>
      </w:r>
      <w:r>
        <w:rPr>
          <w:rFonts w:hint="eastAsia"/>
          <w:lang w:val="fr-CH"/>
        </w:rPr>
        <w:t>年开始的经济改革及其向市场经济过渡有着直接的联系。不过，捷克共和国同时也在努力维护普遍的繁荣和通过国家预算进行公平而有效的重新分配。</w:t>
      </w:r>
    </w:p>
    <w:p w:rsidR="00000000" w:rsidRDefault="00000000">
      <w:pPr>
        <w:rPr>
          <w:rFonts w:hint="eastAsia"/>
          <w:lang w:val="fr-CH"/>
        </w:rPr>
      </w:pPr>
      <w:r>
        <w:rPr>
          <w:rFonts w:hint="eastAsia"/>
          <w:lang w:val="fr-CH"/>
        </w:rPr>
        <w:tab/>
        <w:t xml:space="preserve">92.  </w:t>
      </w:r>
      <w:r>
        <w:rPr>
          <w:rFonts w:hint="eastAsia"/>
          <w:lang w:val="fr-CH"/>
        </w:rPr>
        <w:t>捷克共和国实行的经济改革是为了实现长期经济增长从而真正实现《公约》所承认的权利绝对必须完成的一个进程，它包括了下列一些步骤</w:t>
      </w:r>
      <w:r>
        <w:rPr>
          <w:rFonts w:hint="eastAsia"/>
          <w:lang w:val="fr-CH"/>
        </w:rPr>
        <w:t> </w:t>
      </w:r>
      <w:r>
        <w:rPr>
          <w:rFonts w:hint="eastAsia"/>
          <w:lang w:val="fr-CH"/>
        </w:rPr>
        <w:t>：</w:t>
      </w:r>
    </w:p>
    <w:p w:rsidR="00000000" w:rsidRDefault="00000000">
      <w:pPr>
        <w:numPr>
          <w:ilvl w:val="0"/>
          <w:numId w:val="57"/>
        </w:numPr>
        <w:rPr>
          <w:rFonts w:hint="eastAsia"/>
          <w:lang w:val="fr-CH"/>
        </w:rPr>
      </w:pPr>
      <w:r>
        <w:rPr>
          <w:rFonts w:hint="eastAsia"/>
          <w:lang w:val="fr-CH"/>
        </w:rPr>
        <w:t>确定私人企业发展的基本条件，尤其在立法上</w:t>
      </w:r>
      <w:r>
        <w:rPr>
          <w:rFonts w:hint="eastAsia"/>
          <w:lang w:val="fr-CH"/>
        </w:rPr>
        <w:t>(</w:t>
      </w:r>
      <w:r>
        <w:rPr>
          <w:rFonts w:hint="eastAsia"/>
          <w:lang w:val="fr-CH"/>
        </w:rPr>
        <w:t>关于个体企业、股份公司、国有公司、《破产和清算法》、经济竞争、修订《商法典》、《行业许可法》等等的一些基本规定</w:t>
      </w:r>
      <w:r>
        <w:rPr>
          <w:rFonts w:hint="eastAsia"/>
          <w:lang w:val="fr-CH"/>
        </w:rPr>
        <w:t>)</w:t>
      </w:r>
      <w:r>
        <w:rPr>
          <w:lang w:val="fr-CH"/>
        </w:rPr>
        <w:t> </w:t>
      </w:r>
      <w:r>
        <w:rPr>
          <w:rFonts w:hint="eastAsia"/>
          <w:lang w:val="fr-CH"/>
        </w:rPr>
        <w:t>；</w:t>
      </w:r>
    </w:p>
    <w:p w:rsidR="00000000" w:rsidRDefault="00000000">
      <w:pPr>
        <w:numPr>
          <w:ilvl w:val="0"/>
          <w:numId w:val="57"/>
        </w:numPr>
        <w:rPr>
          <w:rFonts w:hint="eastAsia"/>
          <w:lang w:val="fr-CH"/>
        </w:rPr>
      </w:pPr>
      <w:r>
        <w:rPr>
          <w:rFonts w:hint="eastAsia"/>
          <w:lang w:val="fr-CH"/>
        </w:rPr>
        <w:t>放开价格，目的在于调节中央计划经济扭曲的价格</w:t>
      </w:r>
      <w:r>
        <w:rPr>
          <w:rFonts w:hint="eastAsia"/>
          <w:lang w:val="fr-CH"/>
        </w:rPr>
        <w:t> </w:t>
      </w:r>
      <w:r>
        <w:rPr>
          <w:rFonts w:hint="eastAsia"/>
          <w:lang w:val="fr-CH"/>
        </w:rPr>
        <w:t>；</w:t>
      </w:r>
    </w:p>
    <w:p w:rsidR="00000000" w:rsidRDefault="00000000">
      <w:pPr>
        <w:numPr>
          <w:ilvl w:val="0"/>
          <w:numId w:val="57"/>
        </w:numPr>
        <w:rPr>
          <w:rFonts w:hint="eastAsia"/>
          <w:lang w:val="fr-CH"/>
        </w:rPr>
      </w:pPr>
      <w:r>
        <w:rPr>
          <w:rFonts w:hint="eastAsia"/>
          <w:lang w:val="fr-CH"/>
        </w:rPr>
        <w:t>放开对外贸易</w:t>
      </w:r>
      <w:r>
        <w:rPr>
          <w:rFonts w:hint="eastAsia"/>
          <w:spacing w:val="-50"/>
          <w:lang w:val="fr-CH"/>
        </w:rPr>
        <w:t>―</w:t>
      </w:r>
      <w:r>
        <w:rPr>
          <w:rFonts w:hint="eastAsia"/>
          <w:lang w:val="fr-CH"/>
        </w:rPr>
        <w:t>―在改革之初就取消了国家对外贸的垄断。对关税进行结构调整并废止经济合作互助委员会，导致出口从东欧市场转向经济合作与发展组织</w:t>
      </w:r>
      <w:r>
        <w:rPr>
          <w:rFonts w:hint="eastAsia"/>
          <w:lang w:val="fr-CH"/>
        </w:rPr>
        <w:t xml:space="preserve"> </w:t>
      </w:r>
      <w:r>
        <w:rPr>
          <w:rStyle w:val="EndnoteReference"/>
          <w:lang w:val="fr-CH"/>
        </w:rPr>
        <w:endnoteReference w:id="46"/>
      </w:r>
      <w:r>
        <w:rPr>
          <w:rFonts w:hint="eastAsia"/>
          <w:lang w:val="fr-CH"/>
        </w:rPr>
        <w:t xml:space="preserve"> </w:t>
      </w:r>
      <w:r>
        <w:rPr>
          <w:rFonts w:hint="eastAsia"/>
          <w:lang w:val="fr-CH"/>
        </w:rPr>
        <w:t>成员国尤其是西欧国家市场。欧盟国家占捷克共和国</w:t>
      </w:r>
      <w:r>
        <w:rPr>
          <w:rFonts w:hint="eastAsia"/>
          <w:lang w:val="fr-CH"/>
        </w:rPr>
        <w:t>1999</w:t>
      </w:r>
      <w:r>
        <w:rPr>
          <w:rFonts w:hint="eastAsia"/>
          <w:lang w:val="fr-CH"/>
        </w:rPr>
        <w:t>年出口的几乎</w:t>
      </w:r>
      <w:r>
        <w:rPr>
          <w:rFonts w:hint="eastAsia"/>
          <w:lang w:val="fr-CH"/>
        </w:rPr>
        <w:t>70%</w:t>
      </w:r>
      <w:r>
        <w:rPr>
          <w:rFonts w:hint="eastAsia"/>
          <w:lang w:val="fr-CH"/>
        </w:rPr>
        <w:t>，以及进口总额的约</w:t>
      </w:r>
      <w:r>
        <w:rPr>
          <w:rFonts w:hint="eastAsia"/>
          <w:lang w:val="fr-CH"/>
        </w:rPr>
        <w:t>65%</w:t>
      </w:r>
      <w:r>
        <w:rPr>
          <w:lang w:val="fr-CH"/>
        </w:rPr>
        <w:t> </w:t>
      </w:r>
      <w:r>
        <w:rPr>
          <w:rFonts w:hint="eastAsia"/>
          <w:lang w:val="fr-CH"/>
        </w:rPr>
        <w:t>；</w:t>
      </w:r>
    </w:p>
    <w:p w:rsidR="00000000" w:rsidRDefault="00000000">
      <w:pPr>
        <w:numPr>
          <w:ilvl w:val="0"/>
          <w:numId w:val="57"/>
        </w:numPr>
        <w:rPr>
          <w:rFonts w:hint="eastAsia"/>
        </w:rPr>
      </w:pPr>
      <w:r>
        <w:rPr>
          <w:rFonts w:hint="eastAsia"/>
        </w:rPr>
        <w:t>私有化和结构改革</w:t>
      </w:r>
      <w:r>
        <w:rPr>
          <w:rFonts w:hint="eastAsia"/>
          <w:spacing w:val="-50"/>
        </w:rPr>
        <w:t>―</w:t>
      </w:r>
      <w:r>
        <w:rPr>
          <w:rFonts w:hint="eastAsia"/>
        </w:rPr>
        <w:t>―这一步骤根本改变了国民经济中的所有制</w:t>
      </w:r>
      <w:r>
        <w:rPr>
          <w:rFonts w:hint="eastAsia"/>
          <w:lang w:val="fr-CH"/>
        </w:rPr>
        <w:t>结构</w:t>
      </w:r>
      <w:r>
        <w:rPr>
          <w:rFonts w:hint="eastAsia"/>
        </w:rPr>
        <w:t>。私有化和结构改革的进程尚未结束；专家们目前认为利用息票私有化方法很成问题。为了试图打破这一不利局面，政府于</w:t>
      </w:r>
      <w:r>
        <w:rPr>
          <w:rFonts w:hint="eastAsia"/>
        </w:rPr>
        <w:t>1999</w:t>
      </w:r>
      <w:r>
        <w:rPr>
          <w:rFonts w:hint="eastAsia"/>
        </w:rPr>
        <w:t>年</w:t>
      </w:r>
      <w:r>
        <w:rPr>
          <w:rFonts w:hint="eastAsia"/>
        </w:rPr>
        <w:t>4</w:t>
      </w:r>
      <w:r>
        <w:rPr>
          <w:rFonts w:hint="eastAsia"/>
        </w:rPr>
        <w:t>月批准了一项方案，通过重新注入活力和结构改革解决好几个工业企业的经济问题</w:t>
      </w:r>
      <w:r>
        <w:rPr>
          <w:rFonts w:hint="eastAsia"/>
        </w:rPr>
        <w:t xml:space="preserve"> </w:t>
      </w:r>
      <w:r>
        <w:rPr>
          <w:rStyle w:val="EndnoteReference"/>
        </w:rPr>
        <w:endnoteReference w:id="47"/>
      </w:r>
      <w:r>
        <w:rPr>
          <w:rFonts w:hint="eastAsia"/>
        </w:rPr>
        <w:t xml:space="preserve"> </w:t>
      </w:r>
      <w:r>
        <w:rPr>
          <w:rFonts w:hint="eastAsia"/>
        </w:rPr>
        <w:t>；</w:t>
      </w:r>
    </w:p>
    <w:p w:rsidR="00000000" w:rsidRDefault="00000000">
      <w:pPr>
        <w:numPr>
          <w:ilvl w:val="0"/>
          <w:numId w:val="57"/>
        </w:numPr>
        <w:rPr>
          <w:rFonts w:hint="eastAsia"/>
        </w:rPr>
      </w:pPr>
      <w:r>
        <w:rPr>
          <w:rFonts w:hint="eastAsia"/>
        </w:rPr>
        <w:t>确定汇率</w:t>
      </w:r>
      <w:r>
        <w:rPr>
          <w:rFonts w:hint="eastAsia"/>
          <w:spacing w:val="-50"/>
        </w:rPr>
        <w:t>―</w:t>
      </w:r>
      <w:r>
        <w:rPr>
          <w:rFonts w:hint="eastAsia"/>
        </w:rPr>
        <w:t>―在内部兑换经过最初的急剧贬值并且采取大力促进出口的经济政策之后，</w:t>
      </w:r>
      <w:r>
        <w:rPr>
          <w:rFonts w:hint="eastAsia"/>
        </w:rPr>
        <w:t>1995</w:t>
      </w:r>
      <w:r>
        <w:rPr>
          <w:rFonts w:hint="eastAsia"/>
        </w:rPr>
        <w:t>年实现了外部的可兑换，</w:t>
      </w:r>
      <w:r>
        <w:rPr>
          <w:rFonts w:hint="eastAsia"/>
        </w:rPr>
        <w:t>1997</w:t>
      </w:r>
      <w:r>
        <w:rPr>
          <w:rFonts w:hint="eastAsia"/>
        </w:rPr>
        <w:t>年，在采用浮动汇率之后，所有的汇兑限制都取消了；</w:t>
      </w:r>
    </w:p>
    <w:p w:rsidR="00000000" w:rsidRDefault="00000000">
      <w:pPr>
        <w:numPr>
          <w:ilvl w:val="0"/>
          <w:numId w:val="57"/>
        </w:numPr>
        <w:rPr>
          <w:rFonts w:hint="eastAsia"/>
        </w:rPr>
      </w:pPr>
      <w:r>
        <w:rPr>
          <w:rFonts w:hint="eastAsia"/>
        </w:rPr>
        <w:t>全面税制改革</w:t>
      </w:r>
      <w:r>
        <w:rPr>
          <w:rFonts w:hint="eastAsia"/>
          <w:spacing w:val="-50"/>
        </w:rPr>
        <w:t>―</w:t>
      </w:r>
      <w:r>
        <w:rPr>
          <w:rFonts w:hint="eastAsia"/>
        </w:rPr>
        <w:t>―税收制度自</w:t>
      </w:r>
      <w:r>
        <w:rPr>
          <w:rFonts w:hint="eastAsia"/>
        </w:rPr>
        <w:t>1993</w:t>
      </w:r>
      <w:r>
        <w:rPr>
          <w:rFonts w:hint="eastAsia"/>
        </w:rPr>
        <w:t>年以来实行了标准化；设立了增值税，在以直接税为代价的情况下，间接税得到了加强；</w:t>
      </w:r>
    </w:p>
    <w:p w:rsidR="00000000" w:rsidRDefault="00000000">
      <w:pPr>
        <w:numPr>
          <w:ilvl w:val="0"/>
          <w:numId w:val="57"/>
        </w:numPr>
        <w:rPr>
          <w:rFonts w:hint="eastAsia"/>
        </w:rPr>
      </w:pPr>
      <w:r>
        <w:rPr>
          <w:rFonts w:hint="eastAsia"/>
        </w:rPr>
        <w:t>国内经济和政治体制改革</w:t>
      </w:r>
      <w:r>
        <w:rPr>
          <w:rFonts w:hint="eastAsia"/>
          <w:spacing w:val="-50"/>
        </w:rPr>
        <w:t>―</w:t>
      </w:r>
      <w:r>
        <w:rPr>
          <w:rFonts w:hint="eastAsia"/>
        </w:rPr>
        <w:t>―自成立以来，捷克共和国一直是国际货币基金组织</w:t>
      </w:r>
      <w:r>
        <w:rPr>
          <w:rFonts w:hint="eastAsia"/>
        </w:rPr>
        <w:t xml:space="preserve"> </w:t>
      </w:r>
      <w:r>
        <w:rPr>
          <w:rStyle w:val="EndnoteReference"/>
        </w:rPr>
        <w:endnoteReference w:id="48"/>
      </w:r>
      <w:r>
        <w:rPr>
          <w:rFonts w:hint="eastAsia"/>
        </w:rPr>
        <w:t xml:space="preserve"> </w:t>
      </w:r>
      <w:r>
        <w:rPr>
          <w:rFonts w:hint="eastAsia"/>
        </w:rPr>
        <w:t>和世界银行、世界贸易组织</w:t>
      </w:r>
      <w:r>
        <w:rPr>
          <w:rFonts w:hint="eastAsia"/>
        </w:rPr>
        <w:t xml:space="preserve"> </w:t>
      </w:r>
      <w:r>
        <w:rPr>
          <w:rStyle w:val="EndnoteReference"/>
        </w:rPr>
        <w:endnoteReference w:id="49"/>
      </w:r>
      <w:r>
        <w:rPr>
          <w:rFonts w:hint="eastAsia"/>
        </w:rPr>
        <w:t xml:space="preserve"> </w:t>
      </w:r>
      <w:r>
        <w:rPr>
          <w:rFonts w:hint="eastAsia"/>
        </w:rPr>
        <w:t>和其它国际经济组织的成员国；捷克共和国还是《中欧自由贸易协定》</w:t>
      </w:r>
      <w:r>
        <w:rPr>
          <w:rFonts w:hint="eastAsia"/>
        </w:rPr>
        <w:t xml:space="preserve"> </w:t>
      </w:r>
      <w:r>
        <w:rPr>
          <w:rStyle w:val="EndnoteReference"/>
        </w:rPr>
        <w:endnoteReference w:id="50"/>
      </w:r>
      <w:r>
        <w:rPr>
          <w:rFonts w:hint="eastAsia"/>
        </w:rPr>
        <w:t xml:space="preserve"> </w:t>
      </w:r>
      <w:r>
        <w:rPr>
          <w:rFonts w:hint="eastAsia"/>
        </w:rPr>
        <w:t>的缔约国，并已开始加入欧洲联盟的一体化进程。</w:t>
      </w:r>
    </w:p>
    <w:p w:rsidR="00000000" w:rsidRDefault="00000000">
      <w:pPr>
        <w:rPr>
          <w:rFonts w:hint="eastAsia"/>
        </w:rPr>
      </w:pPr>
      <w:r>
        <w:rPr>
          <w:rFonts w:hint="eastAsia"/>
        </w:rPr>
        <w:tab/>
        <w:t xml:space="preserve">93.  </w:t>
      </w:r>
      <w:r>
        <w:rPr>
          <w:rFonts w:hint="eastAsia"/>
        </w:rPr>
        <w:t>判断私有化期间所采取的步骤是否适当所采用的一个标准就是维持较低的失业率从而维持社会的安宁。在根据国家财产管理和私有化部的法令</w:t>
      </w:r>
      <w:r>
        <w:rPr>
          <w:rFonts w:hint="eastAsia"/>
        </w:rPr>
        <w:t xml:space="preserve"> </w:t>
      </w:r>
      <w:r>
        <w:rPr>
          <w:rStyle w:val="EndnoteReference"/>
        </w:rPr>
        <w:endnoteReference w:id="51"/>
      </w:r>
      <w:r>
        <w:rPr>
          <w:rFonts w:hint="eastAsia"/>
        </w:rPr>
        <w:t xml:space="preserve"> </w:t>
      </w:r>
      <w:r>
        <w:rPr>
          <w:rFonts w:hint="eastAsia"/>
        </w:rPr>
        <w:t>评价私有化方案时，也考虑到了创造就业机会这样的问题。在通过直接出售实行私有化的过程中也采用了这一标准。支持就业还反映在国家支持企业尤其是那些受到结构改革影响最大的领域里的企业的发展条件之中。</w:t>
      </w:r>
    </w:p>
    <w:p w:rsidR="00000000" w:rsidRDefault="00000000">
      <w:pPr>
        <w:rPr>
          <w:rFonts w:hint="eastAsia"/>
        </w:rPr>
      </w:pPr>
      <w:r>
        <w:rPr>
          <w:rFonts w:hint="eastAsia"/>
        </w:rPr>
        <w:tab/>
        <w:t xml:space="preserve">94.  </w:t>
      </w:r>
      <w:r>
        <w:rPr>
          <w:rFonts w:hint="eastAsia"/>
        </w:rPr>
        <w:t>促进经济、社会和文化自由发展的基本手段之一是地区政策。政府于</w:t>
      </w:r>
      <w:r>
        <w:rPr>
          <w:rFonts w:hint="eastAsia"/>
        </w:rPr>
        <w:t>1998</w:t>
      </w:r>
      <w:r>
        <w:rPr>
          <w:rFonts w:hint="eastAsia"/>
        </w:rPr>
        <w:t>年批准的“地区政策原则”规定了支持地区发展的基本纲要。在该文件中，地区发展被理解为国家、地区和地方当局的一项计划性活动，其目的是要促进捷克共和国各地区平衡和协调发展、缩小各地区发展水平的差异以及改进地区经济结构。</w:t>
      </w:r>
    </w:p>
    <w:p w:rsidR="00000000" w:rsidRDefault="00000000">
      <w:pPr>
        <w:rPr>
          <w:rFonts w:hint="eastAsia"/>
        </w:rPr>
      </w:pPr>
      <w:r>
        <w:rPr>
          <w:rFonts w:hint="eastAsia"/>
        </w:rPr>
        <w:tab/>
        <w:t xml:space="preserve">95.  </w:t>
      </w:r>
      <w:r>
        <w:rPr>
          <w:rFonts w:hint="eastAsia"/>
        </w:rPr>
        <w:t>通过“地区政策原则”时附有一项规定，即这些原则只适用于支持地区发展的法案制订和生效之前的过渡期间。政府责成地方发展部部长拟订一项法令草案。预计该法将于</w:t>
      </w:r>
      <w:r>
        <w:rPr>
          <w:rFonts w:hint="eastAsia"/>
        </w:rPr>
        <w:t>2001</w:t>
      </w:r>
      <w:r>
        <w:rPr>
          <w:rFonts w:hint="eastAsia"/>
        </w:rPr>
        <w:t>年生效。</w:t>
      </w:r>
    </w:p>
    <w:p w:rsidR="00000000" w:rsidRDefault="00000000">
      <w:pPr>
        <w:rPr>
          <w:rFonts w:hint="eastAsia"/>
        </w:rPr>
      </w:pPr>
      <w:r>
        <w:rPr>
          <w:rFonts w:hint="eastAsia"/>
        </w:rPr>
        <w:tab/>
        <w:t xml:space="preserve">96.  </w:t>
      </w:r>
      <w:r>
        <w:rPr>
          <w:rFonts w:hint="eastAsia"/>
        </w:rPr>
        <w:t>就捷克共和国目前正在进行的加入欧洲联盟的筹备工作而言，“地区政策原则”和支持地区发展的新法令的主要好处首先在于为把捷克的地区政策和欧盟的地区政策尤其是地区政策的基本原则、它们的手段、体制保障等统一起来创造了条件。</w:t>
      </w:r>
    </w:p>
    <w:p w:rsidR="00000000" w:rsidRDefault="00000000">
      <w:pPr>
        <w:spacing w:after="320"/>
        <w:rPr>
          <w:rFonts w:hint="eastAsia"/>
        </w:rPr>
      </w:pPr>
      <w:r>
        <w:rPr>
          <w:rFonts w:hint="eastAsia"/>
        </w:rPr>
        <w:tab/>
        <w:t>97.  1999</w:t>
      </w:r>
      <w:r>
        <w:rPr>
          <w:rFonts w:hint="eastAsia"/>
        </w:rPr>
        <w:t>年</w:t>
      </w:r>
      <w:r>
        <w:rPr>
          <w:rFonts w:hint="eastAsia"/>
        </w:rPr>
        <w:t>7</w:t>
      </w:r>
      <w:r>
        <w:rPr>
          <w:rFonts w:hint="eastAsia"/>
        </w:rPr>
        <w:t>月，政府讨论并注意到建议的“地区发展战略”。这是捷克共和国地区政策大约在</w:t>
      </w:r>
      <w:r>
        <w:rPr>
          <w:rFonts w:hint="eastAsia"/>
        </w:rPr>
        <w:t>2010</w:t>
      </w:r>
      <w:r>
        <w:rPr>
          <w:rFonts w:hint="eastAsia"/>
        </w:rPr>
        <w:t>年前的未来期间的一个基本的概念性文件。“地区发展战略”将首先作为捷克共和国地区政策的一个概念性文件，在此基础上，将首先制订全国性然后是地区性的方案文件。该战略还将成为与欧洲联盟的结构性资金挂钩的发展方案的编制依据。</w:t>
      </w:r>
    </w:p>
    <w:p w:rsidR="00000000" w:rsidRDefault="00000000">
      <w:pPr>
        <w:pStyle w:val="Heading4"/>
        <w:rPr>
          <w:rFonts w:hint="eastAsia"/>
        </w:rPr>
      </w:pPr>
      <w:r>
        <w:rPr>
          <w:rFonts w:hint="eastAsia"/>
        </w:rPr>
        <w:t>第</w:t>
      </w:r>
      <w:r>
        <w:rPr>
          <w:rFonts w:hint="eastAsia"/>
        </w:rPr>
        <w:t xml:space="preserve"> 2 </w:t>
      </w:r>
      <w:r>
        <w:rPr>
          <w:rFonts w:hint="eastAsia"/>
        </w:rPr>
        <w:t>款</w:t>
      </w:r>
    </w:p>
    <w:p w:rsidR="00000000" w:rsidRDefault="00000000">
      <w:pPr>
        <w:rPr>
          <w:rFonts w:hint="eastAsia"/>
        </w:rPr>
      </w:pPr>
      <w:r>
        <w:rPr>
          <w:rFonts w:hint="eastAsia"/>
        </w:rPr>
        <w:tab/>
        <w:t xml:space="preserve">98.  </w:t>
      </w:r>
      <w:r>
        <w:rPr>
          <w:rFonts w:hint="eastAsia"/>
        </w:rPr>
        <w:t>非歧视原则载于：</w:t>
      </w:r>
    </w:p>
    <w:p w:rsidR="00000000" w:rsidRDefault="00000000">
      <w:pPr>
        <w:numPr>
          <w:ilvl w:val="0"/>
          <w:numId w:val="59"/>
        </w:numPr>
        <w:rPr>
          <w:rFonts w:hint="eastAsia"/>
        </w:rPr>
      </w:pPr>
      <w:r>
        <w:rPr>
          <w:rFonts w:hint="eastAsia"/>
        </w:rPr>
        <w:t>《宪章》第</w:t>
      </w:r>
      <w:r>
        <w:rPr>
          <w:rFonts w:hint="eastAsia"/>
        </w:rPr>
        <w:t>1</w:t>
      </w:r>
      <w:r>
        <w:rPr>
          <w:rFonts w:hint="eastAsia"/>
        </w:rPr>
        <w:t>条：“所有人都是自由的、享有同等的尊严和平等的权利。他们的基本权利和自由与生俱来、不可分割、不可消灭并且不能废止。”</w:t>
      </w:r>
    </w:p>
    <w:p w:rsidR="00000000" w:rsidRDefault="00000000">
      <w:pPr>
        <w:numPr>
          <w:ilvl w:val="0"/>
          <w:numId w:val="59"/>
        </w:numPr>
        <w:rPr>
          <w:rFonts w:hint="eastAsia"/>
        </w:rPr>
      </w:pPr>
      <w:r>
        <w:rPr>
          <w:rFonts w:hint="eastAsia"/>
        </w:rPr>
        <w:t>《宪章》第</w:t>
      </w:r>
      <w:r>
        <w:rPr>
          <w:rFonts w:hint="eastAsia"/>
        </w:rPr>
        <w:t>3</w:t>
      </w:r>
      <w:r>
        <w:rPr>
          <w:rFonts w:hint="eastAsia"/>
        </w:rPr>
        <w:t>条第</w:t>
      </w:r>
      <w:r>
        <w:rPr>
          <w:rFonts w:hint="eastAsia"/>
        </w:rPr>
        <w:t>1</w:t>
      </w:r>
      <w:r>
        <w:rPr>
          <w:rFonts w:hint="eastAsia"/>
        </w:rPr>
        <w:t>款：“保障人人享有基本权利和自由，而不论其性别、种族、肤色、语言、信仰和宗教、政治或其它信念、民族血统或社会出身、是否某一少数民族的成员、财产、出生或其它身份。”</w:t>
      </w:r>
      <w:r>
        <w:br/>
      </w:r>
      <w:r>
        <w:rPr>
          <w:rFonts w:hint="eastAsia"/>
        </w:rPr>
        <w:t>《宪章》第</w:t>
      </w:r>
      <w:r>
        <w:rPr>
          <w:rFonts w:hint="eastAsia"/>
        </w:rPr>
        <w:t>3</w:t>
      </w:r>
      <w:r>
        <w:rPr>
          <w:rFonts w:hint="eastAsia"/>
        </w:rPr>
        <w:t>条第</w:t>
      </w:r>
      <w:r>
        <w:rPr>
          <w:rFonts w:hint="eastAsia"/>
        </w:rPr>
        <w:t>3</w:t>
      </w:r>
      <w:r>
        <w:rPr>
          <w:rFonts w:hint="eastAsia"/>
        </w:rPr>
        <w:t>款规定，任何人不得因由于主张基本权利和基本自由致使其权利遭到损害。《宪章》第</w:t>
      </w:r>
      <w:r>
        <w:rPr>
          <w:rFonts w:hint="eastAsia"/>
        </w:rPr>
        <w:t>24</w:t>
      </w:r>
      <w:r>
        <w:rPr>
          <w:rFonts w:hint="eastAsia"/>
        </w:rPr>
        <w:t>条也载入了禁止歧视的规定：“不得因一个人加入任何少数民族团体而对其不利。”这些原则完全适用于《宪章》第四章所载的权利，即经济、社会和文化权利。</w:t>
      </w:r>
    </w:p>
    <w:p w:rsidR="00000000" w:rsidRDefault="00000000">
      <w:pPr>
        <w:rPr>
          <w:rFonts w:hint="eastAsia"/>
        </w:rPr>
      </w:pPr>
      <w:r>
        <w:rPr>
          <w:rFonts w:hint="eastAsia"/>
        </w:rPr>
        <w:tab/>
        <w:t xml:space="preserve">99.  </w:t>
      </w:r>
      <w:r>
        <w:rPr>
          <w:rFonts w:hint="eastAsia"/>
        </w:rPr>
        <w:t>我们还要提及捷克共和国关于履行《消除一切形式种族歧视国际公约》规定义务的初次报告和定期报告。</w:t>
      </w:r>
    </w:p>
    <w:p w:rsidR="00000000" w:rsidRDefault="00000000">
      <w:pPr>
        <w:rPr>
          <w:rFonts w:hint="eastAsia"/>
        </w:rPr>
      </w:pPr>
      <w:r>
        <w:rPr>
          <w:rFonts w:hint="eastAsia"/>
        </w:rPr>
        <w:tab/>
        <w:t xml:space="preserve">100.  </w:t>
      </w:r>
      <w:r>
        <w:rPr>
          <w:rFonts w:hint="eastAsia"/>
        </w:rPr>
        <w:t>在下文中，我们涉及的是关于执行国际劳工组织关于同工同酬的第</w:t>
      </w:r>
      <w:r>
        <w:rPr>
          <w:rFonts w:hint="eastAsia"/>
        </w:rPr>
        <w:t>100</w:t>
      </w:r>
      <w:r>
        <w:rPr>
          <w:rFonts w:hint="eastAsia"/>
        </w:rPr>
        <w:t>号公约和关于就业和职业歧视的第</w:t>
      </w:r>
      <w:r>
        <w:rPr>
          <w:rFonts w:hint="eastAsia"/>
        </w:rPr>
        <w:t>111</w:t>
      </w:r>
      <w:r>
        <w:rPr>
          <w:rFonts w:hint="eastAsia"/>
        </w:rPr>
        <w:t>号公约情况的报告。</w:t>
      </w:r>
    </w:p>
    <w:p w:rsidR="00000000" w:rsidRDefault="00000000">
      <w:pPr>
        <w:rPr>
          <w:rFonts w:hint="eastAsia"/>
        </w:rPr>
      </w:pPr>
      <w:r>
        <w:rPr>
          <w:rFonts w:hint="eastAsia"/>
        </w:rPr>
        <w:tab/>
        <w:t xml:space="preserve">101.  </w:t>
      </w:r>
      <w:r>
        <w:rPr>
          <w:rFonts w:hint="eastAsia"/>
        </w:rPr>
        <w:t>明确禁止歧视的规定载于《就业法》的修正案</w:t>
      </w:r>
      <w:r>
        <w:rPr>
          <w:rFonts w:hint="eastAsia"/>
        </w:rPr>
        <w:t xml:space="preserve"> </w:t>
      </w:r>
      <w:r>
        <w:rPr>
          <w:rStyle w:val="EndnoteReference"/>
        </w:rPr>
        <w:endnoteReference w:id="52"/>
      </w:r>
      <w:r>
        <w:rPr>
          <w:rFonts w:hint="eastAsia"/>
        </w:rPr>
        <w:t xml:space="preserve"> </w:t>
      </w:r>
      <w:r>
        <w:rPr>
          <w:rFonts w:hint="eastAsia"/>
        </w:rPr>
        <w:t>之中，该法于</w:t>
      </w:r>
      <w:r>
        <w:rPr>
          <w:rFonts w:hint="eastAsia"/>
        </w:rPr>
        <w:t>1999</w:t>
      </w:r>
      <w:r>
        <w:rPr>
          <w:rFonts w:hint="eastAsia"/>
        </w:rPr>
        <w:t>年</w:t>
      </w:r>
      <w:r>
        <w:rPr>
          <w:rFonts w:hint="eastAsia"/>
        </w:rPr>
        <w:t>10</w:t>
      </w:r>
      <w:r>
        <w:rPr>
          <w:rFonts w:hint="eastAsia"/>
        </w:rPr>
        <w:t>月</w:t>
      </w:r>
      <w:r>
        <w:rPr>
          <w:rFonts w:hint="eastAsia"/>
        </w:rPr>
        <w:t>1</w:t>
      </w:r>
      <w:r>
        <w:rPr>
          <w:rFonts w:hint="eastAsia"/>
        </w:rPr>
        <w:t>日生效。其中第</w:t>
      </w:r>
      <w:r>
        <w:rPr>
          <w:rFonts w:hint="eastAsia"/>
        </w:rPr>
        <w:t>1</w:t>
      </w:r>
      <w:r>
        <w:rPr>
          <w:rFonts w:hint="eastAsia"/>
        </w:rPr>
        <w:t>条第</w:t>
      </w:r>
      <w:r>
        <w:rPr>
          <w:rFonts w:hint="eastAsia"/>
        </w:rPr>
        <w:t>1</w:t>
      </w:r>
      <w:r>
        <w:rPr>
          <w:rFonts w:hint="eastAsia"/>
        </w:rPr>
        <w:t>款规定：“除法律另有规定或者有存在于公民应当履行并且为从事工作所必需的职业</w:t>
      </w:r>
      <w:r>
        <w:rPr>
          <w:rFonts w:hint="eastAsia"/>
        </w:rPr>
        <w:t>(</w:t>
      </w:r>
      <w:r>
        <w:rPr>
          <w:rFonts w:hint="eastAsia"/>
        </w:rPr>
        <w:t>工作</w:t>
      </w:r>
      <w:r>
        <w:rPr>
          <w:rFonts w:hint="eastAsia"/>
        </w:rPr>
        <w:t>)</w:t>
      </w:r>
      <w:r>
        <w:rPr>
          <w:rFonts w:hint="eastAsia"/>
        </w:rPr>
        <w:t>的先决条件、要求和性质之中的事实根据的情形外，不得因公民的种族、肤色、性别、性取向、语言、信仰或宗教、政治或其它信念、政党或政治运动、工会组织以及其它协会的成员或活动、国籍、民族血统或社会出身、财产、家庭、健康、年龄、婚姻和家庭状况或对其家人承担的义务而否定公民的就业</w:t>
      </w:r>
      <w:r>
        <w:rPr>
          <w:rFonts w:hint="eastAsia"/>
        </w:rPr>
        <w:t>(</w:t>
      </w:r>
      <w:r>
        <w:rPr>
          <w:rFonts w:hint="eastAsia"/>
        </w:rPr>
        <w:t>工作</w:t>
      </w:r>
      <w:r>
        <w:rPr>
          <w:rFonts w:hint="eastAsia"/>
        </w:rPr>
        <w:t>)</w:t>
      </w:r>
      <w:r>
        <w:rPr>
          <w:rFonts w:hint="eastAsia"/>
        </w:rPr>
        <w:t>权”</w:t>
      </w:r>
      <w:r>
        <w:rPr>
          <w:rFonts w:hint="eastAsia"/>
        </w:rPr>
        <w:t>(</w:t>
      </w:r>
      <w:r>
        <w:rPr>
          <w:rFonts w:hint="eastAsia"/>
        </w:rPr>
        <w:t>另见《公约》第</w:t>
      </w:r>
      <w:r>
        <w:rPr>
          <w:rFonts w:hint="eastAsia"/>
        </w:rPr>
        <w:t>6</w:t>
      </w:r>
      <w:r>
        <w:rPr>
          <w:rFonts w:hint="eastAsia"/>
        </w:rPr>
        <w:t>条</w:t>
      </w:r>
      <w:r>
        <w:rPr>
          <w:rFonts w:hint="eastAsia"/>
        </w:rPr>
        <w:t>)</w:t>
      </w:r>
      <w:r>
        <w:rPr>
          <w:rFonts w:hint="eastAsia"/>
        </w:rPr>
        <w:t>。监督执行劳动法规和就业条例的国家机关</w:t>
      </w:r>
      <w:r>
        <w:rPr>
          <w:rFonts w:hint="eastAsia"/>
        </w:rPr>
        <w:t>(</w:t>
      </w:r>
      <w:r>
        <w:rPr>
          <w:rFonts w:hint="eastAsia"/>
        </w:rPr>
        <w:t>即地区劳工办事处</w:t>
      </w:r>
      <w:r>
        <w:rPr>
          <w:rFonts w:hint="eastAsia"/>
        </w:rPr>
        <w:t>)</w:t>
      </w:r>
      <w:r>
        <w:rPr>
          <w:rFonts w:hint="eastAsia"/>
        </w:rPr>
        <w:t>可以对违反这一原则的雇主实施制裁。此外，该法第</w:t>
      </w:r>
      <w:r>
        <w:rPr>
          <w:rFonts w:hint="eastAsia"/>
        </w:rPr>
        <w:t>1</w:t>
      </w:r>
      <w:r>
        <w:rPr>
          <w:rFonts w:hint="eastAsia"/>
        </w:rPr>
        <w:t>条第</w:t>
      </w:r>
      <w:r>
        <w:rPr>
          <w:rFonts w:hint="eastAsia"/>
        </w:rPr>
        <w:t>2</w:t>
      </w:r>
      <w:r>
        <w:rPr>
          <w:rFonts w:hint="eastAsia"/>
        </w:rPr>
        <w:t>款还禁止刊登歧视性广告：“不得违背第</w:t>
      </w:r>
      <w:r>
        <w:rPr>
          <w:rFonts w:hint="eastAsia"/>
        </w:rPr>
        <w:t>1</w:t>
      </w:r>
      <w:r>
        <w:rPr>
          <w:rFonts w:hint="eastAsia"/>
        </w:rPr>
        <w:t>款的规定向根据本法形成法律关系的当事方提供就业</w:t>
      </w:r>
      <w:r>
        <w:rPr>
          <w:rFonts w:hint="eastAsia"/>
        </w:rPr>
        <w:t>(</w:t>
      </w:r>
      <w:r>
        <w:rPr>
          <w:rFonts w:hint="eastAsia"/>
        </w:rPr>
        <w:t>工作</w:t>
      </w:r>
      <w:r>
        <w:rPr>
          <w:rFonts w:hint="eastAsia"/>
        </w:rPr>
        <w:t>)</w:t>
      </w:r>
      <w:r>
        <w:rPr>
          <w:rFonts w:hint="eastAsia"/>
        </w:rPr>
        <w:t>。”受害人可以单独通过法院寻求保护。</w:t>
      </w:r>
    </w:p>
    <w:p w:rsidR="00000000" w:rsidRDefault="00000000">
      <w:pPr>
        <w:rPr>
          <w:rFonts w:hint="eastAsia"/>
        </w:rPr>
      </w:pPr>
      <w:r>
        <w:rPr>
          <w:rFonts w:hint="eastAsia"/>
        </w:rPr>
        <w:tab/>
        <w:t xml:space="preserve">102.  </w:t>
      </w:r>
      <w:r>
        <w:rPr>
          <w:rFonts w:hint="eastAsia"/>
        </w:rPr>
        <w:t>禁止歧视原则也得到了有关教育和教育制度的具有普遍约束力法规的遵守</w:t>
      </w:r>
      <w:r>
        <w:rPr>
          <w:rFonts w:hint="eastAsia"/>
        </w:rPr>
        <w:t>(</w:t>
      </w:r>
      <w:r>
        <w:rPr>
          <w:rFonts w:hint="eastAsia"/>
        </w:rPr>
        <w:t>尽管其中未明确加以规定</w:t>
      </w:r>
      <w:r>
        <w:rPr>
          <w:rFonts w:hint="eastAsia"/>
        </w:rPr>
        <w:t>)</w:t>
      </w:r>
      <w:r>
        <w:rPr>
          <w:rFonts w:hint="eastAsia"/>
        </w:rPr>
        <w:t>，尤其是下列主要法律：《小学、中学和中学后职业学校教育制度法》</w:t>
      </w:r>
      <w:r>
        <w:rPr>
          <w:rFonts w:hint="eastAsia"/>
        </w:rPr>
        <w:t>(</w:t>
      </w:r>
      <w:r>
        <w:rPr>
          <w:rFonts w:hint="eastAsia"/>
        </w:rPr>
        <w:t>“中小学法”</w:t>
      </w:r>
      <w:r>
        <w:rPr>
          <w:rFonts w:hint="eastAsia"/>
        </w:rPr>
        <w:t xml:space="preserve">) </w:t>
      </w:r>
      <w:r>
        <w:rPr>
          <w:rStyle w:val="EndnoteReference"/>
        </w:rPr>
        <w:endnoteReference w:id="53"/>
      </w:r>
      <w:r>
        <w:rPr>
          <w:rFonts w:hint="eastAsia"/>
        </w:rPr>
        <w:t xml:space="preserve"> </w:t>
      </w:r>
      <w:r>
        <w:rPr>
          <w:rFonts w:hint="eastAsia"/>
        </w:rPr>
        <w:t>、《国家及地方教育行政部门法》</w:t>
      </w:r>
      <w:r>
        <w:rPr>
          <w:rFonts w:hint="eastAsia"/>
        </w:rPr>
        <w:t xml:space="preserve"> </w:t>
      </w:r>
      <w:r>
        <w:rPr>
          <w:rStyle w:val="EndnoteReference"/>
        </w:rPr>
        <w:endnoteReference w:id="54"/>
      </w:r>
      <w:r>
        <w:rPr>
          <w:rFonts w:hint="eastAsia"/>
        </w:rPr>
        <w:t xml:space="preserve"> </w:t>
      </w:r>
      <w:r>
        <w:rPr>
          <w:rFonts w:hint="eastAsia"/>
        </w:rPr>
        <w:t>、《中小学教育设施法》</w:t>
      </w:r>
      <w:r>
        <w:rPr>
          <w:rFonts w:hint="eastAsia"/>
        </w:rPr>
        <w:t xml:space="preserve"> </w:t>
      </w:r>
      <w:r>
        <w:rPr>
          <w:rStyle w:val="EndnoteReference"/>
        </w:rPr>
        <w:endnoteReference w:id="55"/>
      </w:r>
      <w:r>
        <w:rPr>
          <w:rFonts w:hint="eastAsia"/>
        </w:rPr>
        <w:t xml:space="preserve"> </w:t>
      </w:r>
      <w:r>
        <w:rPr>
          <w:rFonts w:hint="eastAsia"/>
        </w:rPr>
        <w:t>和《大学教育法》</w:t>
      </w:r>
      <w:r>
        <w:rPr>
          <w:rFonts w:hint="eastAsia"/>
        </w:rPr>
        <w:t xml:space="preserve"> </w:t>
      </w:r>
      <w:r>
        <w:rPr>
          <w:rStyle w:val="EndnoteReference"/>
        </w:rPr>
        <w:endnoteReference w:id="56"/>
      </w:r>
      <w:r>
        <w:rPr>
          <w:rFonts w:hint="eastAsia"/>
        </w:rPr>
        <w:t xml:space="preserve"> </w:t>
      </w:r>
      <w:r>
        <w:rPr>
          <w:rFonts w:hint="eastAsia"/>
        </w:rPr>
        <w:t>，《大学教育法》宣示了获得高等教育、取得适当的专业资格和准备从事研究和其它专业活动的民主原则，根据这些原则，任何人不得基于肤色、性别、宗教、民族血统或社会出身或属于某个族裔群体的成员而受到歧视。反对歧视原则还载于《公共卫生法》</w:t>
      </w:r>
      <w:r>
        <w:rPr>
          <w:rFonts w:hint="eastAsia"/>
        </w:rPr>
        <w:t xml:space="preserve"> </w:t>
      </w:r>
      <w:r>
        <w:rPr>
          <w:rStyle w:val="EndnoteReference"/>
        </w:rPr>
        <w:endnoteReference w:id="57"/>
      </w:r>
      <w:r>
        <w:rPr>
          <w:rFonts w:hint="eastAsia"/>
        </w:rPr>
        <w:t xml:space="preserve"> </w:t>
      </w:r>
      <w:r>
        <w:rPr>
          <w:rFonts w:hint="eastAsia"/>
        </w:rPr>
        <w:t>，该法还特别对在国外接受教育的保健工作者颁发执照的问题进行了规定。</w:t>
      </w:r>
    </w:p>
    <w:p w:rsidR="00000000" w:rsidRDefault="00000000">
      <w:pPr>
        <w:rPr>
          <w:rFonts w:hint="eastAsia"/>
        </w:rPr>
      </w:pPr>
      <w:r>
        <w:rPr>
          <w:rFonts w:hint="eastAsia"/>
        </w:rPr>
        <w:tab/>
        <w:t xml:space="preserve">103.  </w:t>
      </w:r>
      <w:r>
        <w:rPr>
          <w:rFonts w:hint="eastAsia"/>
        </w:rPr>
        <w:t>《消费者保护法》</w:t>
      </w:r>
      <w:r>
        <w:rPr>
          <w:rFonts w:hint="eastAsia"/>
        </w:rPr>
        <w:t xml:space="preserve"> </w:t>
      </w:r>
      <w:r>
        <w:rPr>
          <w:rStyle w:val="EndnoteReference"/>
        </w:rPr>
        <w:endnoteReference w:id="58"/>
      </w:r>
      <w:r>
        <w:rPr>
          <w:rFonts w:hint="eastAsia"/>
        </w:rPr>
        <w:t xml:space="preserve"> </w:t>
      </w:r>
      <w:r>
        <w:rPr>
          <w:rFonts w:hint="eastAsia"/>
        </w:rPr>
        <w:t>第</w:t>
      </w:r>
      <w:r>
        <w:rPr>
          <w:rFonts w:hint="eastAsia"/>
        </w:rPr>
        <w:t>6</w:t>
      </w:r>
      <w:r>
        <w:rPr>
          <w:rFonts w:hint="eastAsia"/>
        </w:rPr>
        <w:t>条也载入了禁止歧视的规定：“在出售产品或提供服务时，销售者的行为不得违背良好道德；其中尤其不得以任何方式对消费者进行歧视。”对非歧视义务遵守情况的监督</w:t>
      </w:r>
      <w:r>
        <w:rPr>
          <w:rFonts w:hint="eastAsia"/>
        </w:rPr>
        <w:t>(</w:t>
      </w:r>
      <w:r>
        <w:rPr>
          <w:rFonts w:hint="eastAsia"/>
        </w:rPr>
        <w:t>消费者保护监督</w:t>
      </w:r>
      <w:r>
        <w:rPr>
          <w:rFonts w:hint="eastAsia"/>
        </w:rPr>
        <w:t>)</w:t>
      </w:r>
      <w:r>
        <w:rPr>
          <w:rFonts w:hint="eastAsia"/>
        </w:rPr>
        <w:t>根据该法第</w:t>
      </w:r>
      <w:r>
        <w:rPr>
          <w:rFonts w:hint="eastAsia"/>
        </w:rPr>
        <w:t>23</w:t>
      </w:r>
      <w:r>
        <w:rPr>
          <w:rFonts w:hint="eastAsia"/>
        </w:rPr>
        <w:t>条的规定，由捷克共和国商业检视局进行。</w:t>
      </w:r>
    </w:p>
    <w:p w:rsidR="00000000" w:rsidRDefault="00000000">
      <w:pPr>
        <w:rPr>
          <w:rFonts w:hint="eastAsia"/>
        </w:rPr>
      </w:pPr>
      <w:r>
        <w:rPr>
          <w:rFonts w:hint="eastAsia"/>
        </w:rPr>
        <w:tab/>
        <w:t xml:space="preserve">104.  </w:t>
      </w:r>
      <w:r>
        <w:rPr>
          <w:rFonts w:hint="eastAsia"/>
        </w:rPr>
        <w:t>有关政府机关</w:t>
      </w:r>
      <w:r>
        <w:rPr>
          <w:rFonts w:hint="eastAsia"/>
        </w:rPr>
        <w:t>(</w:t>
      </w:r>
      <w:r>
        <w:rPr>
          <w:rFonts w:hint="eastAsia"/>
        </w:rPr>
        <w:t>就歧视而言，捷克商业检视局</w:t>
      </w:r>
      <w:r>
        <w:rPr>
          <w:rFonts w:hint="eastAsia"/>
        </w:rPr>
        <w:t>)</w:t>
      </w:r>
      <w:r>
        <w:rPr>
          <w:rFonts w:hint="eastAsia"/>
        </w:rPr>
        <w:t>可以对违反《消费者保护法》规定义务的行为处以</w:t>
      </w:r>
      <w:r>
        <w:rPr>
          <w:rFonts w:hint="eastAsia"/>
        </w:rPr>
        <w:t>50</w:t>
      </w:r>
      <w:r>
        <w:rPr>
          <w:rFonts w:hint="eastAsia"/>
        </w:rPr>
        <w:t>万捷克克朗的罚款；在确定罚款时，要考虑到违法活动的性质以及危害结果的程度。</w:t>
      </w:r>
      <w:r>
        <w:rPr>
          <w:rStyle w:val="EndnoteReference"/>
        </w:rPr>
        <w:endnoteReference w:id="59"/>
      </w:r>
      <w:r>
        <w:rPr>
          <w:rFonts w:hint="eastAsia"/>
        </w:rPr>
        <w:t xml:space="preserve"> </w:t>
      </w:r>
      <w:r>
        <w:rPr>
          <w:rFonts w:hint="eastAsia"/>
        </w:rPr>
        <w:t>实际上，如果在捷克共和国商业检视局所作的任何检查</w:t>
      </w:r>
      <w:r>
        <w:rPr>
          <w:rFonts w:hint="eastAsia"/>
        </w:rPr>
        <w:t>(</w:t>
      </w:r>
      <w:r>
        <w:rPr>
          <w:rFonts w:hint="eastAsia"/>
        </w:rPr>
        <w:t>包括随机检查</w:t>
      </w:r>
      <w:r>
        <w:rPr>
          <w:rFonts w:hint="eastAsia"/>
        </w:rPr>
        <w:t>)</w:t>
      </w:r>
      <w:r>
        <w:rPr>
          <w:rFonts w:hint="eastAsia"/>
        </w:rPr>
        <w:t>期间发现存在歧视，则这种歧视被认为已经得到证明。对一年之内屡次违反义务的行为可处以高达</w:t>
      </w:r>
      <w:r>
        <w:rPr>
          <w:rFonts w:hint="eastAsia"/>
        </w:rPr>
        <w:t>100</w:t>
      </w:r>
      <w:r>
        <w:rPr>
          <w:rFonts w:hint="eastAsia"/>
        </w:rPr>
        <w:t>万捷克克朗的罚款</w:t>
      </w:r>
      <w:r>
        <w:rPr>
          <w:rFonts w:hint="eastAsia"/>
        </w:rPr>
        <w:t>(</w:t>
      </w:r>
      <w:r>
        <w:rPr>
          <w:rFonts w:hint="eastAsia"/>
        </w:rPr>
        <w:t>《消费者保护法》第</w:t>
      </w:r>
      <w:r>
        <w:rPr>
          <w:rFonts w:hint="eastAsia"/>
        </w:rPr>
        <w:t>24</w:t>
      </w:r>
      <w:r>
        <w:rPr>
          <w:rFonts w:hint="eastAsia"/>
        </w:rPr>
        <w:t>条</w:t>
      </w:r>
      <w:r>
        <w:rPr>
          <w:rFonts w:hint="eastAsia"/>
        </w:rPr>
        <w:t>)</w:t>
      </w:r>
      <w:r>
        <w:rPr>
          <w:rFonts w:hint="eastAsia"/>
        </w:rPr>
        <w:t>。根据该法第</w:t>
      </w:r>
      <w:r>
        <w:rPr>
          <w:rFonts w:hint="eastAsia"/>
        </w:rPr>
        <w:t>23</w:t>
      </w:r>
      <w:r>
        <w:rPr>
          <w:rFonts w:hint="eastAsia"/>
        </w:rPr>
        <w:t>条和第</w:t>
      </w:r>
      <w:r>
        <w:rPr>
          <w:rFonts w:hint="eastAsia"/>
        </w:rPr>
        <w:t>24</w:t>
      </w:r>
      <w:r>
        <w:rPr>
          <w:rFonts w:hint="eastAsia"/>
        </w:rPr>
        <w:t>条提起的诉讼须遵守有关行政诉讼的一般规定。</w:t>
      </w:r>
      <w:r>
        <w:rPr>
          <w:rStyle w:val="EndnoteReference"/>
        </w:rPr>
        <w:endnoteReference w:id="60"/>
      </w:r>
      <w:r>
        <w:rPr>
          <w:rFonts w:hint="eastAsia"/>
        </w:rPr>
        <w:t xml:space="preserve"> </w:t>
      </w:r>
    </w:p>
    <w:p w:rsidR="00000000" w:rsidRDefault="00000000">
      <w:pPr>
        <w:rPr>
          <w:rFonts w:hint="eastAsia"/>
        </w:rPr>
      </w:pPr>
      <w:r>
        <w:rPr>
          <w:rFonts w:hint="eastAsia"/>
        </w:rPr>
        <w:tab/>
        <w:t xml:space="preserve">105.  </w:t>
      </w:r>
      <w:r>
        <w:rPr>
          <w:rFonts w:hint="eastAsia"/>
        </w:rPr>
        <w:t>该法令中所载的禁止歧视规定在实践中并未始终得到全面遵守。关于《公约》第</w:t>
      </w:r>
      <w:r>
        <w:rPr>
          <w:rFonts w:hint="eastAsia"/>
        </w:rPr>
        <w:t>3</w:t>
      </w:r>
      <w:r>
        <w:rPr>
          <w:rFonts w:hint="eastAsia"/>
        </w:rPr>
        <w:t>和第</w:t>
      </w:r>
      <w:r>
        <w:rPr>
          <w:rFonts w:hint="eastAsia"/>
        </w:rPr>
        <w:t>6</w:t>
      </w:r>
      <w:r>
        <w:rPr>
          <w:rFonts w:hint="eastAsia"/>
        </w:rPr>
        <w:t>条的文字叙述了因各种原因发生歧视的情况。</w:t>
      </w:r>
    </w:p>
    <w:p w:rsidR="00000000" w:rsidRDefault="00000000">
      <w:pPr>
        <w:pStyle w:val="Heading4"/>
        <w:spacing w:before="320"/>
        <w:rPr>
          <w:rFonts w:hint="eastAsia"/>
        </w:rPr>
      </w:pPr>
      <w:r>
        <w:rPr>
          <w:rFonts w:hint="eastAsia"/>
        </w:rPr>
        <w:t>保护外国人权利的保障</w:t>
      </w:r>
    </w:p>
    <w:p w:rsidR="00000000" w:rsidRDefault="00000000">
      <w:pPr>
        <w:rPr>
          <w:rFonts w:hint="eastAsia"/>
        </w:rPr>
      </w:pPr>
      <w:r>
        <w:rPr>
          <w:rFonts w:hint="eastAsia"/>
        </w:rPr>
        <w:tab/>
        <w:t xml:space="preserve">106.  </w:t>
      </w:r>
      <w:r>
        <w:rPr>
          <w:rFonts w:hint="eastAsia"/>
        </w:rPr>
        <w:t>《宪章》第</w:t>
      </w:r>
      <w:r>
        <w:rPr>
          <w:rFonts w:hint="eastAsia"/>
        </w:rPr>
        <w:t>42</w:t>
      </w:r>
      <w:r>
        <w:rPr>
          <w:rFonts w:hint="eastAsia"/>
        </w:rPr>
        <w:t>条第</w:t>
      </w:r>
      <w:r>
        <w:rPr>
          <w:rFonts w:hint="eastAsia"/>
        </w:rPr>
        <w:t>2</w:t>
      </w:r>
      <w:r>
        <w:rPr>
          <w:rFonts w:hint="eastAsia"/>
        </w:rPr>
        <w:t>款和第</w:t>
      </w:r>
      <w:r>
        <w:rPr>
          <w:rFonts w:hint="eastAsia"/>
        </w:rPr>
        <w:t>3</w:t>
      </w:r>
      <w:r>
        <w:rPr>
          <w:rFonts w:hint="eastAsia"/>
        </w:rPr>
        <w:t>款规定：</w:t>
      </w:r>
    </w:p>
    <w:p w:rsidR="00000000" w:rsidRDefault="00000000">
      <w:pPr>
        <w:ind w:left="1530" w:hanging="780"/>
        <w:rPr>
          <w:rFonts w:hint="eastAsia"/>
        </w:rPr>
      </w:pPr>
      <w:r>
        <w:rPr>
          <w:rFonts w:hint="eastAsia"/>
        </w:rPr>
        <w:t>“</w:t>
      </w:r>
      <w:r>
        <w:rPr>
          <w:rFonts w:hint="eastAsia"/>
        </w:rPr>
        <w:t>(2)</w:t>
      </w:r>
      <w:r>
        <w:rPr>
          <w:rFonts w:hint="eastAsia"/>
        </w:rPr>
        <w:tab/>
      </w:r>
      <w:r>
        <w:rPr>
          <w:rFonts w:hint="eastAsia"/>
        </w:rPr>
        <w:t>外国人在捷克斯洛伐克联邦共和国享有《宪章》所保障的人权和基本自由，除非这种权利和自由明确规定只给予公民。</w:t>
      </w:r>
    </w:p>
    <w:p w:rsidR="00000000" w:rsidRDefault="00000000">
      <w:pPr>
        <w:ind w:left="1530" w:hanging="780"/>
        <w:rPr>
          <w:rFonts w:hint="eastAsia"/>
        </w:rPr>
      </w:pPr>
      <w:r>
        <w:rPr>
          <w:rFonts w:hint="eastAsia"/>
        </w:rPr>
        <w:t>“</w:t>
      </w:r>
      <w:r>
        <w:rPr>
          <w:rFonts w:hint="eastAsia"/>
        </w:rPr>
        <w:t>(3)</w:t>
      </w:r>
      <w:r>
        <w:rPr>
          <w:rFonts w:hint="eastAsia"/>
        </w:rPr>
        <w:tab/>
      </w:r>
      <w:r>
        <w:rPr>
          <w:rFonts w:hint="eastAsia"/>
        </w:rPr>
        <w:t>在颁布生效的法律采用“公民”一词的场合，如果涉及到《宪章》无论国籍赋予所有人的基本权利和自由，应理解为指每个个人。”</w:t>
      </w:r>
    </w:p>
    <w:p w:rsidR="00000000" w:rsidRDefault="00000000">
      <w:pPr>
        <w:rPr>
          <w:rFonts w:hint="eastAsia"/>
        </w:rPr>
      </w:pPr>
      <w:r>
        <w:rPr>
          <w:rFonts w:hint="eastAsia"/>
        </w:rPr>
        <w:tab/>
        <w:t xml:space="preserve">107.  </w:t>
      </w:r>
      <w:r>
        <w:rPr>
          <w:rFonts w:hint="eastAsia"/>
        </w:rPr>
        <w:t>《宪章》不论国籍所保障的基本人权和自由包括生命权</w:t>
      </w:r>
      <w:r>
        <w:rPr>
          <w:rFonts w:hint="eastAsia"/>
        </w:rPr>
        <w:t>(</w:t>
      </w:r>
      <w:r>
        <w:rPr>
          <w:rFonts w:hint="eastAsia"/>
        </w:rPr>
        <w:t>第</w:t>
      </w:r>
      <w:r>
        <w:rPr>
          <w:rFonts w:hint="eastAsia"/>
        </w:rPr>
        <w:t>6</w:t>
      </w:r>
      <w:r>
        <w:rPr>
          <w:rFonts w:hint="eastAsia"/>
        </w:rPr>
        <w:t>条</w:t>
      </w:r>
      <w:r>
        <w:rPr>
          <w:rFonts w:hint="eastAsia"/>
        </w:rPr>
        <w:t>)</w:t>
      </w:r>
      <w:r>
        <w:rPr>
          <w:rFonts w:hint="eastAsia"/>
        </w:rPr>
        <w:t>；人身和私生活不受侵犯</w:t>
      </w:r>
      <w:r>
        <w:rPr>
          <w:rFonts w:hint="eastAsia"/>
        </w:rPr>
        <w:t>(</w:t>
      </w:r>
      <w:r>
        <w:rPr>
          <w:rFonts w:hint="eastAsia"/>
        </w:rPr>
        <w:t>任何人不得遭受酷刑或残忍、不人道或有辱人格待遇或处罚</w:t>
      </w:r>
      <w:r>
        <w:rPr>
          <w:rFonts w:hint="eastAsia"/>
        </w:rPr>
        <w:t>(</w:t>
      </w:r>
      <w:r>
        <w:rPr>
          <w:rFonts w:hint="eastAsia"/>
        </w:rPr>
        <w:t>第</w:t>
      </w:r>
      <w:r>
        <w:rPr>
          <w:rFonts w:hint="eastAsia"/>
        </w:rPr>
        <w:t>7</w:t>
      </w:r>
      <w:r>
        <w:rPr>
          <w:rFonts w:hint="eastAsia"/>
        </w:rPr>
        <w:t>条</w:t>
      </w:r>
      <w:r>
        <w:rPr>
          <w:rFonts w:hint="eastAsia"/>
        </w:rPr>
        <w:t>))</w:t>
      </w:r>
      <w:r>
        <w:rPr>
          <w:rFonts w:hint="eastAsia"/>
        </w:rPr>
        <w:t>；个人自由保障</w:t>
      </w:r>
      <w:r>
        <w:rPr>
          <w:rFonts w:hint="eastAsia"/>
        </w:rPr>
        <w:t>(</w:t>
      </w:r>
      <w:r>
        <w:rPr>
          <w:rFonts w:hint="eastAsia"/>
        </w:rPr>
        <w:t>第</w:t>
      </w:r>
      <w:r>
        <w:rPr>
          <w:rFonts w:hint="eastAsia"/>
        </w:rPr>
        <w:t>8</w:t>
      </w:r>
      <w:r>
        <w:rPr>
          <w:rFonts w:hint="eastAsia"/>
        </w:rPr>
        <w:t>条</w:t>
      </w:r>
      <w:r>
        <w:rPr>
          <w:rFonts w:hint="eastAsia"/>
        </w:rPr>
        <w:t>)</w:t>
      </w:r>
      <w:r>
        <w:rPr>
          <w:rFonts w:hint="eastAsia"/>
        </w:rPr>
        <w:t>；禁止强迫劳动或服役</w:t>
      </w:r>
      <w:r>
        <w:rPr>
          <w:rFonts w:hint="eastAsia"/>
        </w:rPr>
        <w:t>(</w:t>
      </w:r>
      <w:r>
        <w:rPr>
          <w:rFonts w:hint="eastAsia"/>
        </w:rPr>
        <w:t>第</w:t>
      </w:r>
      <w:r>
        <w:rPr>
          <w:rFonts w:hint="eastAsia"/>
        </w:rPr>
        <w:t>9</w:t>
      </w:r>
      <w:r>
        <w:rPr>
          <w:rFonts w:hint="eastAsia"/>
        </w:rPr>
        <w:t>条</w:t>
      </w:r>
      <w:r>
        <w:rPr>
          <w:rFonts w:hint="eastAsia"/>
        </w:rPr>
        <w:t>)</w:t>
      </w:r>
      <w:r>
        <w:rPr>
          <w:rFonts w:hint="eastAsia"/>
        </w:rPr>
        <w:t>；维护人的尊严、个人荣誉、良好声誉、保护私人和家庭生活未经授权不受干预以及保护个人资料未经授权不被收集、公布或作其它滥用用途的权利</w:t>
      </w:r>
      <w:r>
        <w:rPr>
          <w:rFonts w:hint="eastAsia"/>
        </w:rPr>
        <w:t>(</w:t>
      </w:r>
      <w:r>
        <w:rPr>
          <w:rFonts w:hint="eastAsia"/>
        </w:rPr>
        <w:t>第</w:t>
      </w:r>
      <w:r>
        <w:rPr>
          <w:rFonts w:hint="eastAsia"/>
        </w:rPr>
        <w:t>10</w:t>
      </w:r>
      <w:r>
        <w:rPr>
          <w:rFonts w:hint="eastAsia"/>
        </w:rPr>
        <w:t>条</w:t>
      </w:r>
      <w:r>
        <w:rPr>
          <w:rFonts w:hint="eastAsia"/>
        </w:rPr>
        <w:t>)</w:t>
      </w:r>
      <w:r>
        <w:rPr>
          <w:rFonts w:hint="eastAsia"/>
        </w:rPr>
        <w:t>；住宅不受侵犯</w:t>
      </w:r>
      <w:r>
        <w:rPr>
          <w:rFonts w:hint="eastAsia"/>
        </w:rPr>
        <w:t>(</w:t>
      </w:r>
      <w:r>
        <w:rPr>
          <w:rFonts w:hint="eastAsia"/>
        </w:rPr>
        <w:t>第</w:t>
      </w:r>
      <w:r>
        <w:rPr>
          <w:rFonts w:hint="eastAsia"/>
        </w:rPr>
        <w:t>12</w:t>
      </w:r>
      <w:r>
        <w:rPr>
          <w:rFonts w:hint="eastAsia"/>
        </w:rPr>
        <w:t>条</w:t>
      </w:r>
      <w:r>
        <w:rPr>
          <w:rFonts w:hint="eastAsia"/>
        </w:rPr>
        <w:t>)</w:t>
      </w:r>
      <w:r>
        <w:rPr>
          <w:rFonts w:hint="eastAsia"/>
        </w:rPr>
        <w:t>；保护通信秘密</w:t>
      </w:r>
      <w:r>
        <w:rPr>
          <w:rFonts w:hint="eastAsia"/>
        </w:rPr>
        <w:t>(</w:t>
      </w:r>
      <w:r>
        <w:rPr>
          <w:rFonts w:hint="eastAsia"/>
        </w:rPr>
        <w:t>第</w:t>
      </w:r>
      <w:r>
        <w:rPr>
          <w:rFonts w:hint="eastAsia"/>
        </w:rPr>
        <w:t>13</w:t>
      </w:r>
      <w:r>
        <w:rPr>
          <w:rFonts w:hint="eastAsia"/>
        </w:rPr>
        <w:t>条</w:t>
      </w:r>
      <w:r>
        <w:rPr>
          <w:rFonts w:hint="eastAsia"/>
        </w:rPr>
        <w:t>)</w:t>
      </w:r>
      <w:r>
        <w:rPr>
          <w:rFonts w:hint="eastAsia"/>
        </w:rPr>
        <w:t>；迁徙自由和选择居所的自由</w:t>
      </w:r>
      <w:r>
        <w:rPr>
          <w:rFonts w:hint="eastAsia"/>
        </w:rPr>
        <w:t>(</w:t>
      </w:r>
      <w:r>
        <w:rPr>
          <w:rFonts w:hint="eastAsia"/>
        </w:rPr>
        <w:t>第</w:t>
      </w:r>
      <w:r>
        <w:rPr>
          <w:rFonts w:hint="eastAsia"/>
        </w:rPr>
        <w:t>14</w:t>
      </w:r>
      <w:r>
        <w:rPr>
          <w:rFonts w:hint="eastAsia"/>
        </w:rPr>
        <w:t>条</w:t>
      </w:r>
      <w:r>
        <w:rPr>
          <w:rFonts w:hint="eastAsia"/>
        </w:rPr>
        <w:t>)</w:t>
      </w:r>
      <w:r>
        <w:rPr>
          <w:rFonts w:hint="eastAsia"/>
        </w:rPr>
        <w:t>；思想、意识和宗教信仰自由</w:t>
      </w:r>
      <w:r>
        <w:rPr>
          <w:rFonts w:hint="eastAsia"/>
        </w:rPr>
        <w:t>(</w:t>
      </w:r>
      <w:r>
        <w:rPr>
          <w:rFonts w:hint="eastAsia"/>
        </w:rPr>
        <w:t>第</w:t>
      </w:r>
      <w:r>
        <w:rPr>
          <w:rFonts w:hint="eastAsia"/>
        </w:rPr>
        <w:t>15</w:t>
      </w:r>
      <w:r>
        <w:rPr>
          <w:rFonts w:hint="eastAsia"/>
        </w:rPr>
        <w:t>条</w:t>
      </w:r>
      <w:r>
        <w:rPr>
          <w:rFonts w:hint="eastAsia"/>
        </w:rPr>
        <w:t>)</w:t>
      </w:r>
      <w:r>
        <w:rPr>
          <w:rFonts w:hint="eastAsia"/>
        </w:rPr>
        <w:t>；以及自由表示宗教信仰</w:t>
      </w:r>
      <w:r>
        <w:rPr>
          <w:rFonts w:hint="eastAsia"/>
        </w:rPr>
        <w:t>(</w:t>
      </w:r>
      <w:r>
        <w:rPr>
          <w:rFonts w:hint="eastAsia"/>
        </w:rPr>
        <w:t>第</w:t>
      </w:r>
      <w:r>
        <w:rPr>
          <w:rFonts w:hint="eastAsia"/>
        </w:rPr>
        <w:t>16</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108.  </w:t>
      </w:r>
      <w:r>
        <w:rPr>
          <w:rFonts w:hint="eastAsia"/>
        </w:rPr>
        <w:t>《宪章》第一章只在关于所有权的第</w:t>
      </w:r>
      <w:r>
        <w:rPr>
          <w:rFonts w:hint="eastAsia"/>
        </w:rPr>
        <w:t>11</w:t>
      </w:r>
      <w:r>
        <w:rPr>
          <w:rFonts w:hint="eastAsia"/>
        </w:rPr>
        <w:t>条中规定了限制。该条第</w:t>
      </w:r>
      <w:r>
        <w:rPr>
          <w:rFonts w:hint="eastAsia"/>
        </w:rPr>
        <w:t>2</w:t>
      </w:r>
      <w:r>
        <w:rPr>
          <w:rFonts w:hint="eastAsia"/>
        </w:rPr>
        <w:t>款规定：“法律还可以规定某些财产只能由公民或活动中心在捷克斯洛伐克联邦共和国的法人拥有。”</w:t>
      </w:r>
    </w:p>
    <w:p w:rsidR="00000000" w:rsidRDefault="00000000">
      <w:pPr>
        <w:rPr>
          <w:rFonts w:hint="eastAsia"/>
        </w:rPr>
      </w:pPr>
      <w:r>
        <w:rPr>
          <w:rFonts w:hint="eastAsia"/>
        </w:rPr>
        <w:tab/>
        <w:t xml:space="preserve">109.  </w:t>
      </w:r>
      <w:r>
        <w:rPr>
          <w:rFonts w:hint="eastAsia"/>
        </w:rPr>
        <w:t>《宪章》关于保障少数民族权利的第三章在第</w:t>
      </w:r>
      <w:r>
        <w:rPr>
          <w:rFonts w:hint="eastAsia"/>
        </w:rPr>
        <w:t>24</w:t>
      </w:r>
      <w:r>
        <w:rPr>
          <w:rFonts w:hint="eastAsia"/>
        </w:rPr>
        <w:t>条中规定，是否少数民族成员不得给任何人带来不利影响，其中包括外国人。不过，下列积极权利</w:t>
      </w:r>
      <w:r>
        <w:rPr>
          <w:rFonts w:hint="eastAsia"/>
        </w:rPr>
        <w:t>(</w:t>
      </w:r>
      <w:r>
        <w:rPr>
          <w:rFonts w:hint="eastAsia"/>
        </w:rPr>
        <w:t>第</w:t>
      </w:r>
      <w:r>
        <w:rPr>
          <w:rFonts w:hint="eastAsia"/>
        </w:rPr>
        <w:t>25</w:t>
      </w:r>
      <w:r>
        <w:rPr>
          <w:rFonts w:hint="eastAsia"/>
        </w:rPr>
        <w:t>条</w:t>
      </w:r>
      <w:r>
        <w:rPr>
          <w:rFonts w:hint="eastAsia"/>
        </w:rPr>
        <w:t>)</w:t>
      </w:r>
      <w:r>
        <w:rPr>
          <w:rFonts w:hint="eastAsia"/>
        </w:rPr>
        <w:t>只适用于捷克共和国公民：发展本民族文化的权利、以本民族语文接受信息和参加全国性协会的权利、以本民族语文接受教育的权利、与官员打交道时使用自己语言的权利以及参与决定少数民族事务的权利。</w:t>
      </w:r>
    </w:p>
    <w:p w:rsidR="00000000" w:rsidRDefault="00000000">
      <w:pPr>
        <w:rPr>
          <w:rFonts w:hint="eastAsia"/>
        </w:rPr>
      </w:pPr>
      <w:r>
        <w:rPr>
          <w:rFonts w:hint="eastAsia"/>
        </w:rPr>
        <w:tab/>
        <w:t xml:space="preserve">110.  </w:t>
      </w:r>
      <w:r>
        <w:rPr>
          <w:rFonts w:hint="eastAsia"/>
        </w:rPr>
        <w:t>《宪章》第四章第</w:t>
      </w:r>
      <w:r>
        <w:rPr>
          <w:rFonts w:hint="eastAsia"/>
        </w:rPr>
        <w:t>26</w:t>
      </w:r>
      <w:r>
        <w:rPr>
          <w:rFonts w:hint="eastAsia"/>
        </w:rPr>
        <w:t>条保障人人</w:t>
      </w:r>
      <w:r>
        <w:rPr>
          <w:rFonts w:hint="eastAsia"/>
        </w:rPr>
        <w:t>(</w:t>
      </w:r>
      <w:r>
        <w:rPr>
          <w:rFonts w:hint="eastAsia"/>
        </w:rPr>
        <w:t>包括外国人</w:t>
      </w:r>
      <w:r>
        <w:rPr>
          <w:rFonts w:hint="eastAsia"/>
        </w:rPr>
        <w:t>)</w:t>
      </w:r>
      <w:r>
        <w:rPr>
          <w:rFonts w:hint="eastAsia"/>
        </w:rPr>
        <w:t>有权自由选择职业并接受培训，并有权开办企业和从事其它商业活动；同时还保障人人有权通过工作获取生计。然而，在无法行使这一权利不是由于自身过错造成的情况下，只对公民提供物质保障。《宪章》第</w:t>
      </w:r>
      <w:r>
        <w:rPr>
          <w:rFonts w:hint="eastAsia"/>
        </w:rPr>
        <w:t>27</w:t>
      </w:r>
      <w:r>
        <w:rPr>
          <w:rFonts w:hint="eastAsia"/>
        </w:rPr>
        <w:t>条还保障外国人参加工会的权利。</w:t>
      </w:r>
    </w:p>
    <w:p w:rsidR="00000000" w:rsidRDefault="00000000">
      <w:pPr>
        <w:rPr>
          <w:rFonts w:hint="eastAsia"/>
        </w:rPr>
      </w:pPr>
      <w:r>
        <w:rPr>
          <w:rFonts w:hint="eastAsia"/>
        </w:rPr>
        <w:tab/>
        <w:t xml:space="preserve">111.  </w:t>
      </w:r>
      <w:r>
        <w:rPr>
          <w:rFonts w:hint="eastAsia"/>
        </w:rPr>
        <w:t>关于经济、社会和文化权利的某些其它规定仅适用于捷克共和国公民，尤其是关于参加社会保障制度的条款。因此，举例来说，只有公民在年老和无力工作时或在失去供养者之后才有权获得相应的物质保障</w:t>
      </w:r>
      <w:r>
        <w:rPr>
          <w:rFonts w:hint="eastAsia"/>
        </w:rPr>
        <w:t>(</w:t>
      </w:r>
      <w:r>
        <w:rPr>
          <w:rFonts w:hint="eastAsia"/>
        </w:rPr>
        <w:t>第</w:t>
      </w:r>
      <w:r>
        <w:rPr>
          <w:rFonts w:hint="eastAsia"/>
        </w:rPr>
        <w:t>30</w:t>
      </w:r>
      <w:r>
        <w:rPr>
          <w:rFonts w:hint="eastAsia"/>
        </w:rPr>
        <w:t>条</w:t>
      </w:r>
      <w:r>
        <w:rPr>
          <w:rFonts w:hint="eastAsia"/>
        </w:rPr>
        <w:t>)</w:t>
      </w:r>
      <w:r>
        <w:rPr>
          <w:rFonts w:hint="eastAsia"/>
        </w:rPr>
        <w:t>，而且只有公民有权根据公共健康保险享受免费保健</w:t>
      </w:r>
      <w:r>
        <w:rPr>
          <w:rFonts w:hint="eastAsia"/>
        </w:rPr>
        <w:t>(</w:t>
      </w:r>
      <w:r>
        <w:rPr>
          <w:rFonts w:hint="eastAsia"/>
        </w:rPr>
        <w:t>第</w:t>
      </w:r>
      <w:r>
        <w:rPr>
          <w:rFonts w:hint="eastAsia"/>
        </w:rPr>
        <w:t>31</w:t>
      </w:r>
      <w:r>
        <w:rPr>
          <w:rFonts w:hint="eastAsia"/>
        </w:rPr>
        <w:t>条</w:t>
      </w:r>
      <w:r>
        <w:rPr>
          <w:rFonts w:hint="eastAsia"/>
        </w:rPr>
        <w:t>)</w:t>
      </w:r>
      <w:r>
        <w:rPr>
          <w:rFonts w:hint="eastAsia"/>
        </w:rPr>
        <w:t>。根据《宪章》第</w:t>
      </w:r>
      <w:r>
        <w:rPr>
          <w:rFonts w:hint="eastAsia"/>
        </w:rPr>
        <w:t>30</w:t>
      </w:r>
      <w:r>
        <w:rPr>
          <w:rFonts w:hint="eastAsia"/>
        </w:rPr>
        <w:t>条的规定，因物质需要而遭受困境的所有人</w:t>
      </w:r>
      <w:r>
        <w:rPr>
          <w:rFonts w:hint="eastAsia"/>
        </w:rPr>
        <w:t>(</w:t>
      </w:r>
      <w:r>
        <w:rPr>
          <w:rFonts w:hint="eastAsia"/>
        </w:rPr>
        <w:t>包括外国人</w:t>
      </w:r>
      <w:r>
        <w:rPr>
          <w:rFonts w:hint="eastAsia"/>
        </w:rPr>
        <w:t>)</w:t>
      </w:r>
      <w:r>
        <w:rPr>
          <w:rFonts w:hint="eastAsia"/>
        </w:rPr>
        <w:t>都有权获得保证其基本生活水平所必需的援助。然而，关于经济、社会和文化权利的法律还根据居住身份或就业身份赋予了外国人很多权利。</w:t>
      </w:r>
    </w:p>
    <w:p w:rsidR="00000000" w:rsidRDefault="00000000">
      <w:pPr>
        <w:rPr>
          <w:rFonts w:hint="eastAsia"/>
        </w:rPr>
      </w:pPr>
      <w:r>
        <w:rPr>
          <w:rFonts w:hint="eastAsia"/>
        </w:rPr>
        <w:tab/>
        <w:t xml:space="preserve">112.  </w:t>
      </w:r>
      <w:r>
        <w:rPr>
          <w:rFonts w:hint="eastAsia"/>
        </w:rPr>
        <w:t>捷克的法令赋予永久居留外国人的地位与公民的基本相同。最重要的例外是他们没有投票权和不须服兵役。在报告期间，根据《外国人在捷克共和国居留法》</w:t>
      </w:r>
      <w:r>
        <w:rPr>
          <w:rStyle w:val="EndnoteReference"/>
        </w:rPr>
        <w:endnoteReference w:id="61"/>
      </w:r>
      <w:r>
        <w:rPr>
          <w:rFonts w:hint="eastAsia"/>
        </w:rPr>
        <w:t xml:space="preserve"> (</w:t>
      </w:r>
      <w:r>
        <w:rPr>
          <w:rFonts w:hint="eastAsia"/>
        </w:rPr>
        <w:t>也称作“《外国人法》”</w:t>
      </w:r>
      <w:r>
        <w:rPr>
          <w:rFonts w:hint="eastAsia"/>
        </w:rPr>
        <w:t>)</w:t>
      </w:r>
      <w:r>
        <w:rPr>
          <w:rFonts w:hint="eastAsia"/>
        </w:rPr>
        <w:t>第</w:t>
      </w:r>
      <w:r>
        <w:rPr>
          <w:rFonts w:hint="eastAsia"/>
        </w:rPr>
        <w:t>7</w:t>
      </w:r>
      <w:r>
        <w:rPr>
          <w:rFonts w:hint="eastAsia"/>
        </w:rPr>
        <w:t>条的规定，如果外国人的配偶、直系亲属或兄弟姐妹在捷克共和国有永久居留地位，可以为家庭团聚的目的发给永久居留证。可以为了人道主义目的或者在根据捷克共和国外交政策利益的理由认为居留正当合法的情况下发给永久居留证。</w:t>
      </w:r>
    </w:p>
    <w:p w:rsidR="00000000" w:rsidRDefault="00000000">
      <w:pPr>
        <w:rPr>
          <w:rFonts w:hint="eastAsia"/>
        </w:rPr>
      </w:pPr>
      <w:r>
        <w:rPr>
          <w:rFonts w:hint="eastAsia"/>
        </w:rPr>
        <w:tab/>
        <w:t xml:space="preserve">113.  </w:t>
      </w:r>
      <w:r>
        <w:rPr>
          <w:rFonts w:hint="eastAsia"/>
        </w:rPr>
        <w:t>《宪章》关于保障获得司法保护和其他法律保护的权利的第五章完全适用于外国人。</w:t>
      </w:r>
    </w:p>
    <w:p w:rsidR="00000000" w:rsidRDefault="00000000">
      <w:pPr>
        <w:rPr>
          <w:rFonts w:hint="eastAsia"/>
        </w:rPr>
      </w:pPr>
      <w:r>
        <w:rPr>
          <w:rFonts w:hint="eastAsia"/>
        </w:rPr>
        <w:tab/>
        <w:t xml:space="preserve">114.  </w:t>
      </w:r>
      <w:r>
        <w:rPr>
          <w:rFonts w:hint="eastAsia"/>
        </w:rPr>
        <w:t>在报告期间，外国人进入捷克共和国以及逗留的条件由《外国人逗留和居住法》确定。外国人申请在捷克共和国长期居留的实际程序根据《行政诉讼法》</w:t>
      </w:r>
      <w:r>
        <w:rPr>
          <w:rStyle w:val="EndnoteReference"/>
        </w:rPr>
        <w:endnoteReference w:id="62"/>
      </w:r>
      <w:r>
        <w:rPr>
          <w:rFonts w:hint="eastAsia"/>
        </w:rPr>
        <w:t xml:space="preserve"> </w:t>
      </w:r>
      <w:r>
        <w:rPr>
          <w:rFonts w:hint="eastAsia"/>
        </w:rPr>
        <w:t>的有关规定办理。如果申请被驳回，外国人有权利用该法规定的所有普通和特别上诉方法。赋予外国人对根据《外国人法》所作的行政决定以司法审查的权利大大地加强了外国人获得的法律保障，它的依据是捷克共和国宪法法院的一项裁决</w:t>
      </w:r>
      <w:r>
        <w:rPr>
          <w:rFonts w:hint="eastAsia"/>
        </w:rPr>
        <w:t>(</w:t>
      </w:r>
      <w:r>
        <w:rPr>
          <w:rFonts w:hint="eastAsia"/>
        </w:rPr>
        <w:t>第</w:t>
      </w:r>
      <w:r>
        <w:rPr>
          <w:rFonts w:hint="eastAsia"/>
        </w:rPr>
        <w:t xml:space="preserve">160/1998 </w:t>
      </w:r>
      <w:r>
        <w:t>Coll</w:t>
      </w:r>
      <w:r>
        <w:rPr>
          <w:rFonts w:hint="eastAsia"/>
        </w:rPr>
        <w:t>.</w:t>
      </w:r>
      <w:r>
        <w:rPr>
          <w:rFonts w:hint="eastAsia"/>
        </w:rPr>
        <w:t>号决定</w:t>
      </w:r>
      <w:r>
        <w:rPr>
          <w:rFonts w:hint="eastAsia"/>
        </w:rPr>
        <w:t>)</w:t>
      </w:r>
      <w:r>
        <w:rPr>
          <w:rFonts w:hint="eastAsia"/>
        </w:rPr>
        <w:t>，该项裁决废止了《外国人逗留和居住法》中极大地限制了获得司法保护权的第</w:t>
      </w:r>
      <w:r>
        <w:rPr>
          <w:rFonts w:hint="eastAsia"/>
        </w:rPr>
        <w:t>32</w:t>
      </w:r>
      <w:r>
        <w:rPr>
          <w:rFonts w:hint="eastAsia"/>
        </w:rPr>
        <w:t>条第</w:t>
      </w:r>
      <w:r>
        <w:rPr>
          <w:rFonts w:hint="eastAsia"/>
        </w:rPr>
        <w:t>2</w:t>
      </w:r>
      <w:r>
        <w:rPr>
          <w:rFonts w:hint="eastAsia"/>
        </w:rPr>
        <w:t>款，并从</w:t>
      </w:r>
      <w:r>
        <w:rPr>
          <w:rFonts w:hint="eastAsia"/>
        </w:rPr>
        <w:t>1999</w:t>
      </w:r>
      <w:r>
        <w:rPr>
          <w:rFonts w:hint="eastAsia"/>
        </w:rPr>
        <w:t>年</w:t>
      </w:r>
      <w:r>
        <w:rPr>
          <w:rFonts w:hint="eastAsia"/>
        </w:rPr>
        <w:t>5</w:t>
      </w:r>
      <w:r>
        <w:rPr>
          <w:rFonts w:hint="eastAsia"/>
        </w:rPr>
        <w:t>月</w:t>
      </w:r>
      <w:r>
        <w:rPr>
          <w:rFonts w:hint="eastAsia"/>
        </w:rPr>
        <w:t>13</w:t>
      </w:r>
      <w:r>
        <w:rPr>
          <w:rFonts w:hint="eastAsia"/>
        </w:rPr>
        <w:t>日开始生效。另一项裁决</w:t>
      </w:r>
      <w:r>
        <w:rPr>
          <w:rFonts w:hint="eastAsia"/>
        </w:rPr>
        <w:t>(</w:t>
      </w:r>
      <w:r>
        <w:rPr>
          <w:rFonts w:hint="eastAsia"/>
        </w:rPr>
        <w:t>第</w:t>
      </w:r>
      <w:r>
        <w:rPr>
          <w:rFonts w:hint="eastAsia"/>
        </w:rPr>
        <w:t xml:space="preserve">159/1998 </w:t>
      </w:r>
      <w:r>
        <w:t>Coll</w:t>
      </w:r>
      <w:r>
        <w:rPr>
          <w:rFonts w:hint="eastAsia"/>
        </w:rPr>
        <w:t>.</w:t>
      </w:r>
      <w:r>
        <w:rPr>
          <w:rFonts w:hint="eastAsia"/>
        </w:rPr>
        <w:t>号决定</w:t>
      </w:r>
      <w:r>
        <w:rPr>
          <w:rFonts w:hint="eastAsia"/>
        </w:rPr>
        <w:t>)</w:t>
      </w:r>
      <w:r>
        <w:rPr>
          <w:rFonts w:hint="eastAsia"/>
        </w:rPr>
        <w:t>涉及废止在这一项</w:t>
      </w:r>
      <w:r>
        <w:rPr>
          <w:rFonts w:hint="eastAsia"/>
        </w:rPr>
        <w:t>(</w:t>
      </w:r>
      <w:r>
        <w:rPr>
          <w:rFonts w:hint="eastAsia"/>
        </w:rPr>
        <w:t>未具体说明的</w:t>
      </w:r>
      <w:r>
        <w:rPr>
          <w:rFonts w:hint="eastAsia"/>
        </w:rPr>
        <w:t>)</w:t>
      </w:r>
      <w:r>
        <w:rPr>
          <w:rFonts w:hint="eastAsia"/>
        </w:rPr>
        <w:t>义务是由具有普遍约束力的法规规定的情况下作出的逗留禁令，以及承认针对逗留禁令提出的上诉的延缓效力。</w:t>
      </w:r>
    </w:p>
    <w:p w:rsidR="00000000" w:rsidRDefault="00000000">
      <w:pPr>
        <w:rPr>
          <w:rFonts w:hint="eastAsia"/>
        </w:rPr>
      </w:pPr>
      <w:r>
        <w:rPr>
          <w:rFonts w:hint="eastAsia"/>
        </w:rPr>
        <w:tab/>
        <w:t xml:space="preserve">115.  </w:t>
      </w:r>
      <w:r>
        <w:rPr>
          <w:rFonts w:hint="eastAsia"/>
        </w:rPr>
        <w:t>鉴于上述《外国人法》不再符合不断变化的形势的实际需要，政府提出了一项新的《外国人在捷克共和国居留法》草案。新的《外国人居留法》经过批准并于</w:t>
      </w:r>
      <w:r>
        <w:rPr>
          <w:rFonts w:hint="eastAsia"/>
        </w:rPr>
        <w:t>2000</w:t>
      </w:r>
      <w:r>
        <w:rPr>
          <w:rFonts w:hint="eastAsia"/>
        </w:rPr>
        <w:t>年</w:t>
      </w:r>
      <w:r>
        <w:rPr>
          <w:rFonts w:hint="eastAsia"/>
        </w:rPr>
        <w:t>1</w:t>
      </w:r>
      <w:r>
        <w:rPr>
          <w:rFonts w:hint="eastAsia"/>
        </w:rPr>
        <w:t>月</w:t>
      </w:r>
      <w:r>
        <w:rPr>
          <w:rFonts w:hint="eastAsia"/>
        </w:rPr>
        <w:t>1</w:t>
      </w:r>
      <w:r>
        <w:rPr>
          <w:rFonts w:hint="eastAsia"/>
        </w:rPr>
        <w:t>日生效。</w:t>
      </w:r>
      <w:r>
        <w:rPr>
          <w:rStyle w:val="EndnoteReference"/>
        </w:rPr>
        <w:endnoteReference w:id="63"/>
      </w:r>
      <w:r>
        <w:rPr>
          <w:rFonts w:hint="eastAsia"/>
        </w:rPr>
        <w:t xml:space="preserve"> </w:t>
      </w:r>
    </w:p>
    <w:p w:rsidR="00000000" w:rsidRDefault="00000000">
      <w:pPr>
        <w:rPr>
          <w:rFonts w:hint="eastAsia"/>
        </w:rPr>
      </w:pPr>
      <w:r>
        <w:rPr>
          <w:rFonts w:hint="eastAsia"/>
        </w:rPr>
        <w:tab/>
        <w:t xml:space="preserve">116.  </w:t>
      </w:r>
      <w:r>
        <w:rPr>
          <w:rFonts w:hint="eastAsia"/>
        </w:rPr>
        <w:t>难民和难民地位申请人是外国人当中的一个特殊类别。《宪章》第</w:t>
      </w:r>
      <w:r>
        <w:rPr>
          <w:rFonts w:hint="eastAsia"/>
        </w:rPr>
        <w:t>43</w:t>
      </w:r>
      <w:r>
        <w:rPr>
          <w:rFonts w:hint="eastAsia"/>
        </w:rPr>
        <w:t>条规定，捷克共和国给予因行使政治权利和自由而受到迫害的外国人以庇护。对有违反基本人权和自由行为的人可以拒绝提供庇护。关于难民地位的另一项法律规定是《关于难民地位的公约》</w:t>
      </w:r>
      <w:r>
        <w:rPr>
          <w:rStyle w:val="EndnoteReference"/>
        </w:rPr>
        <w:endnoteReference w:id="64"/>
      </w:r>
      <w:r>
        <w:rPr>
          <w:rFonts w:hint="eastAsia"/>
        </w:rPr>
        <w:t>。在报告期间，生效的国内法有《难民法》</w:t>
      </w:r>
      <w:r>
        <w:rPr>
          <w:rStyle w:val="EndnoteReference"/>
        </w:rPr>
        <w:endnoteReference w:id="65"/>
      </w:r>
      <w:r>
        <w:rPr>
          <w:rFonts w:hint="eastAsia"/>
        </w:rPr>
        <w:t>。该法不仅对难民法律地位的程序作出了规定，而且对其实际地位作出了规定。</w:t>
      </w:r>
    </w:p>
    <w:p w:rsidR="00000000" w:rsidRDefault="00000000">
      <w:pPr>
        <w:rPr>
          <w:rFonts w:hint="eastAsia"/>
        </w:rPr>
      </w:pPr>
      <w:r>
        <w:rPr>
          <w:rFonts w:hint="eastAsia"/>
        </w:rPr>
        <w:tab/>
        <w:t xml:space="preserve">117.  </w:t>
      </w:r>
      <w:r>
        <w:rPr>
          <w:rFonts w:hint="eastAsia"/>
        </w:rPr>
        <w:t>在报告期间，被给予难民地位的人</w:t>
      </w:r>
      <w:r>
        <w:rPr>
          <w:rFonts w:hint="eastAsia"/>
        </w:rPr>
        <w:t>(</w:t>
      </w:r>
      <w:r>
        <w:rPr>
          <w:rFonts w:hint="eastAsia"/>
        </w:rPr>
        <w:t>“难民”</w:t>
      </w:r>
      <w:r>
        <w:rPr>
          <w:rFonts w:hint="eastAsia"/>
        </w:rPr>
        <w:t>)</w:t>
      </w:r>
      <w:r>
        <w:rPr>
          <w:rFonts w:hint="eastAsia"/>
        </w:rPr>
        <w:t>的法律地位的依据是《难民法》。该法保障难民与捷克共和国公民有同等的地位，但他们没有投票权，不须服兵役，并且只能根据关于外国人的特别条例规定的条件取得不动产并从事有偿的工作。不过，根据《就业法》，和拥有永久居留地位的外国人一样，他们在就业机会方面与捷克共和国的公民享有同等的权利。他们不需要就业许可证。</w:t>
      </w:r>
    </w:p>
    <w:p w:rsidR="00000000" w:rsidRDefault="00000000">
      <w:pPr>
        <w:rPr>
          <w:rFonts w:hint="eastAsia"/>
        </w:rPr>
      </w:pPr>
      <w:r>
        <w:rPr>
          <w:rFonts w:hint="eastAsia"/>
        </w:rPr>
        <w:tab/>
        <w:t xml:space="preserve">118.  </w:t>
      </w:r>
      <w:r>
        <w:rPr>
          <w:rFonts w:hint="eastAsia"/>
        </w:rPr>
        <w:t>就健康保险和社会保障以及取得和失去《取得和丧失国籍法》</w:t>
      </w:r>
      <w:r>
        <w:rPr>
          <w:rStyle w:val="EndnoteReference"/>
        </w:rPr>
        <w:endnoteReference w:id="66"/>
      </w:r>
      <w:r>
        <w:rPr>
          <w:rFonts w:hint="eastAsia"/>
        </w:rPr>
        <w:t xml:space="preserve"> </w:t>
      </w:r>
      <w:r>
        <w:rPr>
          <w:rFonts w:hint="eastAsia"/>
        </w:rPr>
        <w:t>规定的捷克共和国国籍而言，难民也被视为具有永久居留地位的外国人。和其他外国人不一样，享有难民地位的人不必提交关于丧失其原国籍的文件，而且他们还可以获得例外，不必满足在提出申请前居留五年的要求。</w:t>
      </w:r>
    </w:p>
    <w:p w:rsidR="00000000" w:rsidRDefault="00000000">
      <w:pPr>
        <w:rPr>
          <w:rFonts w:hint="eastAsia"/>
        </w:rPr>
      </w:pPr>
      <w:r>
        <w:rPr>
          <w:rFonts w:hint="eastAsia"/>
        </w:rPr>
        <w:tab/>
        <w:t xml:space="preserve">119.  </w:t>
      </w:r>
      <w:r>
        <w:rPr>
          <w:rFonts w:hint="eastAsia"/>
        </w:rPr>
        <w:t>在</w:t>
      </w:r>
      <w:r>
        <w:rPr>
          <w:rFonts w:hint="eastAsia"/>
        </w:rPr>
        <w:t>1999</w:t>
      </w:r>
      <w:r>
        <w:rPr>
          <w:rFonts w:hint="eastAsia"/>
        </w:rPr>
        <w:t>年</w:t>
      </w:r>
      <w:r>
        <w:rPr>
          <w:rFonts w:hint="eastAsia"/>
        </w:rPr>
        <w:t>12</w:t>
      </w:r>
      <w:r>
        <w:rPr>
          <w:rFonts w:hint="eastAsia"/>
        </w:rPr>
        <w:t>月</w:t>
      </w:r>
      <w:r>
        <w:rPr>
          <w:rFonts w:hint="eastAsia"/>
        </w:rPr>
        <w:t>31</w:t>
      </w:r>
      <w:r>
        <w:rPr>
          <w:rFonts w:hint="eastAsia"/>
        </w:rPr>
        <w:t>日之前，《难民法》还支配着难民地位申请人的地位。在报告期间，难民地位申请人在庇护程序进行期间必须留在指定的难民营中。只有经过作出决定的行政机关的同意难民营管理部门才能作出例外规定。难民地位申请人有权得到收容、免费进餐和零用钱，并且享受免费基本保健服务。如果申请人获得例外并且获得私人住房，收容他们的人还必须承诺向他们提供物资保障。在报告期间，根据该法第</w:t>
      </w:r>
      <w:r>
        <w:rPr>
          <w:rFonts w:hint="eastAsia"/>
        </w:rPr>
        <w:t>7</w:t>
      </w:r>
      <w:r>
        <w:rPr>
          <w:rFonts w:hint="eastAsia"/>
        </w:rPr>
        <w:t>条的规定，申请人在庇护程序中有权得到免费提供的翻译，而且还免于承担与庇护程序有关的所有的费用。</w:t>
      </w:r>
    </w:p>
    <w:p w:rsidR="00000000" w:rsidRDefault="00000000">
      <w:pPr>
        <w:spacing w:after="320"/>
        <w:rPr>
          <w:rFonts w:hint="eastAsia"/>
        </w:rPr>
      </w:pPr>
      <w:r>
        <w:rPr>
          <w:rFonts w:hint="eastAsia"/>
        </w:rPr>
        <w:tab/>
        <w:t xml:space="preserve">120.  </w:t>
      </w:r>
      <w:r>
        <w:rPr>
          <w:rFonts w:hint="eastAsia"/>
        </w:rPr>
        <w:t>新的庇护法于</w:t>
      </w:r>
      <w:r>
        <w:rPr>
          <w:rFonts w:hint="eastAsia"/>
        </w:rPr>
        <w:t>1999</w:t>
      </w:r>
      <w:r>
        <w:rPr>
          <w:rFonts w:hint="eastAsia"/>
        </w:rPr>
        <w:t>年</w:t>
      </w:r>
      <w:r>
        <w:rPr>
          <w:rFonts w:hint="eastAsia"/>
        </w:rPr>
        <w:t>12</w:t>
      </w:r>
      <w:r>
        <w:rPr>
          <w:rFonts w:hint="eastAsia"/>
        </w:rPr>
        <w:t>月得到批准。新的《庇护法》</w:t>
      </w:r>
      <w:r>
        <w:rPr>
          <w:rStyle w:val="EndnoteReference"/>
        </w:rPr>
        <w:endnoteReference w:id="67"/>
      </w:r>
      <w:r>
        <w:rPr>
          <w:rFonts w:hint="eastAsia"/>
        </w:rPr>
        <w:t xml:space="preserve"> </w:t>
      </w:r>
      <w:r>
        <w:rPr>
          <w:rFonts w:hint="eastAsia"/>
        </w:rPr>
        <w:t>符合关于难民和人权保护的有效的国际规定，并于</w:t>
      </w:r>
      <w:r>
        <w:rPr>
          <w:rFonts w:hint="eastAsia"/>
        </w:rPr>
        <w:t>2000</w:t>
      </w:r>
      <w:r>
        <w:rPr>
          <w:rFonts w:hint="eastAsia"/>
        </w:rPr>
        <w:t>年</w:t>
      </w:r>
      <w:r>
        <w:rPr>
          <w:rFonts w:hint="eastAsia"/>
        </w:rPr>
        <w:t>1</w:t>
      </w:r>
      <w:r>
        <w:rPr>
          <w:rFonts w:hint="eastAsia"/>
        </w:rPr>
        <w:t>月</w:t>
      </w:r>
      <w:r>
        <w:rPr>
          <w:rFonts w:hint="eastAsia"/>
        </w:rPr>
        <w:t>1</w:t>
      </w:r>
      <w:r>
        <w:rPr>
          <w:rFonts w:hint="eastAsia"/>
        </w:rPr>
        <w:t>日开始生效。</w:t>
      </w:r>
    </w:p>
    <w:p w:rsidR="00000000" w:rsidRDefault="00000000">
      <w:pPr>
        <w:pStyle w:val="Heading4"/>
        <w:rPr>
          <w:rFonts w:hint="eastAsia"/>
        </w:rPr>
      </w:pPr>
      <w:r>
        <w:rPr>
          <w:rFonts w:hint="eastAsia"/>
        </w:rPr>
        <w:t>斯洛伐克国民的地位</w:t>
      </w:r>
      <w:r>
        <w:rPr>
          <w:rFonts w:hint="eastAsia"/>
          <w:spacing w:val="-50"/>
        </w:rPr>
        <w:t>―</w:t>
      </w:r>
      <w:r>
        <w:rPr>
          <w:rFonts w:hint="eastAsia"/>
        </w:rPr>
        <w:t>―前捷克斯洛伐克联邦共和国的公民</w:t>
      </w:r>
    </w:p>
    <w:p w:rsidR="00000000" w:rsidRDefault="00000000">
      <w:pPr>
        <w:rPr>
          <w:rFonts w:hint="eastAsia"/>
        </w:rPr>
      </w:pPr>
      <w:r>
        <w:rPr>
          <w:rFonts w:hint="eastAsia"/>
        </w:rPr>
        <w:tab/>
        <w:t xml:space="preserve">121.  </w:t>
      </w:r>
      <w:r>
        <w:rPr>
          <w:rFonts w:hint="eastAsia"/>
        </w:rPr>
        <w:t>从</w:t>
      </w:r>
      <w:r>
        <w:rPr>
          <w:rFonts w:hint="eastAsia"/>
        </w:rPr>
        <w:t>1993</w:t>
      </w:r>
      <w:r>
        <w:rPr>
          <w:rFonts w:hint="eastAsia"/>
        </w:rPr>
        <w:t>年到</w:t>
      </w:r>
      <w:r>
        <w:rPr>
          <w:rFonts w:hint="eastAsia"/>
        </w:rPr>
        <w:t>1999</w:t>
      </w:r>
      <w:r>
        <w:rPr>
          <w:rFonts w:hint="eastAsia"/>
        </w:rPr>
        <w:t>年，有一种特别类型的外国人</w:t>
      </w:r>
      <w:r>
        <w:rPr>
          <w:rFonts w:hint="eastAsia"/>
          <w:spacing w:val="-50"/>
        </w:rPr>
        <w:t>―</w:t>
      </w:r>
      <w:r>
        <w:rPr>
          <w:rFonts w:hint="eastAsia"/>
        </w:rPr>
        <w:t>―从</w:t>
      </w:r>
      <w:r>
        <w:rPr>
          <w:rFonts w:hint="eastAsia"/>
        </w:rPr>
        <w:t>1993</w:t>
      </w:r>
      <w:r>
        <w:rPr>
          <w:rFonts w:hint="eastAsia"/>
        </w:rPr>
        <w:t>年</w:t>
      </w:r>
      <w:r>
        <w:rPr>
          <w:rFonts w:hint="eastAsia"/>
        </w:rPr>
        <w:t>1</w:t>
      </w:r>
      <w:r>
        <w:rPr>
          <w:rFonts w:hint="eastAsia"/>
        </w:rPr>
        <w:t>月</w:t>
      </w:r>
      <w:r>
        <w:rPr>
          <w:rFonts w:hint="eastAsia"/>
        </w:rPr>
        <w:t>1</w:t>
      </w:r>
      <w:r>
        <w:rPr>
          <w:rFonts w:hint="eastAsia"/>
        </w:rPr>
        <w:t>日起成为斯洛伐克共和国公民的前捷克斯洛伐克联邦共和国公民，尽管他们在捷克共和国拥有永久居留地位或者长期居住在捷克共和国。《取得和丧失国籍法》最初解决的是取得继承国</w:t>
      </w:r>
      <w:r>
        <w:rPr>
          <w:rFonts w:hint="eastAsia"/>
          <w:spacing w:val="-50"/>
        </w:rPr>
        <w:t>―</w:t>
      </w:r>
      <w:r>
        <w:rPr>
          <w:rFonts w:hint="eastAsia"/>
        </w:rPr>
        <w:t>―捷克共和国</w:t>
      </w:r>
      <w:r>
        <w:rPr>
          <w:rFonts w:hint="eastAsia"/>
          <w:spacing w:val="-50"/>
        </w:rPr>
        <w:t>―</w:t>
      </w:r>
      <w:r>
        <w:rPr>
          <w:rFonts w:hint="eastAsia"/>
        </w:rPr>
        <w:t>―国籍的问题，而未考虑到曾经是捷克斯洛伐克联邦共和国公民并且在捷克共和国拥有永久居留地位的个人的意愿。</w:t>
      </w:r>
      <w:r>
        <w:rPr>
          <w:rStyle w:val="EndnoteReference"/>
        </w:rPr>
        <w:endnoteReference w:id="68"/>
      </w:r>
      <w:r>
        <w:rPr>
          <w:rFonts w:hint="eastAsia"/>
        </w:rPr>
        <w:t xml:space="preserve"> </w:t>
      </w:r>
    </w:p>
    <w:p w:rsidR="00000000" w:rsidRDefault="00000000">
      <w:pPr>
        <w:rPr>
          <w:rFonts w:hint="eastAsia"/>
          <w:lang w:val="fr-CH"/>
        </w:rPr>
      </w:pPr>
      <w:r>
        <w:rPr>
          <w:rFonts w:hint="eastAsia"/>
        </w:rPr>
        <w:tab/>
        <w:t xml:space="preserve">122.  </w:t>
      </w:r>
      <w:r>
        <w:rPr>
          <w:rFonts w:hint="eastAsia"/>
        </w:rPr>
        <w:t>这些前捷克斯洛伐克联邦共和国的公民中有许多人由于各种原因都未能在</w:t>
      </w:r>
      <w:r>
        <w:rPr>
          <w:rFonts w:hint="eastAsia"/>
        </w:rPr>
        <w:t>1994</w:t>
      </w:r>
      <w:r>
        <w:rPr>
          <w:rFonts w:hint="eastAsia"/>
        </w:rPr>
        <w:t>年</w:t>
      </w:r>
      <w:r>
        <w:rPr>
          <w:rFonts w:hint="eastAsia"/>
        </w:rPr>
        <w:t>6</w:t>
      </w:r>
      <w:r>
        <w:rPr>
          <w:rFonts w:hint="eastAsia"/>
        </w:rPr>
        <w:t>月</w:t>
      </w:r>
      <w:r>
        <w:rPr>
          <w:rFonts w:hint="eastAsia"/>
        </w:rPr>
        <w:t>30</w:t>
      </w:r>
      <w:r>
        <w:rPr>
          <w:rFonts w:hint="eastAsia"/>
        </w:rPr>
        <w:t>日的截止日期前仅按照该法第</w:t>
      </w:r>
      <w:r>
        <w:rPr>
          <w:rFonts w:hint="eastAsia"/>
        </w:rPr>
        <w:t>18</w:t>
      </w:r>
      <w:r>
        <w:rPr>
          <w:rFonts w:hint="eastAsia"/>
        </w:rPr>
        <w:t>条规定的条件选择捷克共和国国籍。根据该法第</w:t>
      </w:r>
      <w:r>
        <w:rPr>
          <w:rFonts w:hint="eastAsia"/>
        </w:rPr>
        <w:t>7</w:t>
      </w:r>
      <w:r>
        <w:rPr>
          <w:rFonts w:hint="eastAsia"/>
        </w:rPr>
        <w:t>条第</w:t>
      </w:r>
      <w:r>
        <w:rPr>
          <w:rFonts w:hint="eastAsia"/>
        </w:rPr>
        <w:t>1(</w:t>
      </w:r>
      <w:r>
        <w:t>c)</w:t>
      </w:r>
      <w:r>
        <w:rPr>
          <w:rFonts w:hint="eastAsia"/>
          <w:lang w:val="fr-CH"/>
        </w:rPr>
        <w:t>款规定的条件，只有前五年未被判故意犯罪的人才能作出这种选择。对根据申请授予国籍也规定了同样的条件</w:t>
      </w:r>
      <w:r>
        <w:rPr>
          <w:rFonts w:hint="eastAsia"/>
          <w:lang w:val="fr-CH"/>
        </w:rPr>
        <w:t>(</w:t>
      </w:r>
      <w:r>
        <w:rPr>
          <w:rFonts w:hint="eastAsia"/>
          <w:lang w:val="fr-CH"/>
        </w:rPr>
        <w:t>但在捷克共和国必要的居留时间在选择期结束之后从两年延长为五年</w:t>
      </w:r>
      <w:r>
        <w:rPr>
          <w:rFonts w:hint="eastAsia"/>
          <w:lang w:val="fr-CH"/>
        </w:rPr>
        <w:t>)</w:t>
      </w:r>
      <w:r>
        <w:rPr>
          <w:rFonts w:hint="eastAsia"/>
          <w:lang w:val="fr-CH"/>
        </w:rPr>
        <w:t>。满足申请国籍的条件的过程本身无论从财务上还是从行政上看要求都很高。对于受教育程度较低的许多申请者来说，尤其对罗姆人来说，这是一个严重的障碍。</w:t>
      </w:r>
    </w:p>
    <w:p w:rsidR="00000000" w:rsidRDefault="00000000">
      <w:pPr>
        <w:rPr>
          <w:rFonts w:hint="eastAsia"/>
          <w:lang w:val="fr-CH"/>
        </w:rPr>
      </w:pPr>
      <w:r>
        <w:rPr>
          <w:rFonts w:hint="eastAsia"/>
          <w:lang w:val="fr-CH"/>
        </w:rPr>
        <w:tab/>
        <w:t xml:space="preserve">123.  </w:t>
      </w:r>
      <w:r>
        <w:rPr>
          <w:rFonts w:hint="eastAsia"/>
          <w:lang w:val="fr-CH"/>
        </w:rPr>
        <w:t>无论是国际组织还是在捷克共和国监督人权的非政府组织都对该法提出了批评，结果，该法得到了逐步的修订。</w:t>
      </w:r>
      <w:r>
        <w:rPr>
          <w:rStyle w:val="EndnoteReference"/>
          <w:lang w:val="fr-CH"/>
        </w:rPr>
        <w:endnoteReference w:id="69"/>
      </w:r>
      <w:r>
        <w:rPr>
          <w:rFonts w:hint="eastAsia"/>
          <w:lang w:val="fr-CH"/>
        </w:rPr>
        <w:t xml:space="preserve"> </w:t>
      </w:r>
      <w:r>
        <w:rPr>
          <w:rFonts w:hint="eastAsia"/>
          <w:lang w:val="fr-CH"/>
        </w:rPr>
        <w:t>这一问题直到《取得和丧失国籍法》的修正案</w:t>
      </w:r>
      <w:r>
        <w:rPr>
          <w:rFonts w:hint="eastAsia"/>
          <w:lang w:val="fr-CH"/>
        </w:rPr>
        <w:t xml:space="preserve"> </w:t>
      </w:r>
      <w:r>
        <w:rPr>
          <w:rStyle w:val="EndnoteReference"/>
          <w:lang w:val="fr-CH"/>
        </w:rPr>
        <w:endnoteReference w:id="70"/>
      </w:r>
      <w:r>
        <w:rPr>
          <w:rFonts w:hint="eastAsia"/>
          <w:lang w:val="fr-CH"/>
        </w:rPr>
        <w:t xml:space="preserve"> </w:t>
      </w:r>
      <w:r>
        <w:rPr>
          <w:rFonts w:hint="eastAsia"/>
          <w:lang w:val="fr-CH"/>
        </w:rPr>
        <w:t>于</w:t>
      </w:r>
      <w:r>
        <w:rPr>
          <w:rFonts w:hint="eastAsia"/>
          <w:lang w:val="fr-CH"/>
        </w:rPr>
        <w:t>1999</w:t>
      </w:r>
      <w:r>
        <w:rPr>
          <w:rFonts w:hint="eastAsia"/>
          <w:lang w:val="fr-CH"/>
        </w:rPr>
        <w:t>年</w:t>
      </w:r>
      <w:r>
        <w:rPr>
          <w:rFonts w:hint="eastAsia"/>
          <w:lang w:val="fr-CH"/>
        </w:rPr>
        <w:t>9</w:t>
      </w:r>
      <w:r>
        <w:rPr>
          <w:rFonts w:hint="eastAsia"/>
          <w:lang w:val="fr-CH"/>
        </w:rPr>
        <w:t>月</w:t>
      </w:r>
      <w:r>
        <w:rPr>
          <w:rFonts w:hint="eastAsia"/>
          <w:lang w:val="fr-CH"/>
        </w:rPr>
        <w:t>2</w:t>
      </w:r>
      <w:r>
        <w:rPr>
          <w:rFonts w:hint="eastAsia"/>
          <w:lang w:val="fr-CH"/>
        </w:rPr>
        <w:t>日生效之后才彻底得到解决。该修正案极大地简化了某些斯洛伐克共和国公民取得国籍的程序。根据该法第</w:t>
      </w:r>
      <w:r>
        <w:rPr>
          <w:rFonts w:hint="eastAsia"/>
          <w:lang w:val="fr-CH"/>
        </w:rPr>
        <w:t>18</w:t>
      </w:r>
      <w:r>
        <w:rPr>
          <w:rFonts w:hint="eastAsia"/>
          <w:lang w:val="fr-CH"/>
        </w:rPr>
        <w:t>条的规定，在</w:t>
      </w:r>
      <w:r>
        <w:rPr>
          <w:rFonts w:hint="eastAsia"/>
          <w:lang w:val="fr-CH"/>
        </w:rPr>
        <w:t>1992</w:t>
      </w:r>
      <w:r>
        <w:rPr>
          <w:rFonts w:hint="eastAsia"/>
          <w:spacing w:val="8"/>
          <w:lang w:val="fr-CH"/>
        </w:rPr>
        <w:t>年</w:t>
      </w:r>
      <w:r>
        <w:rPr>
          <w:rFonts w:hint="eastAsia"/>
          <w:spacing w:val="8"/>
          <w:lang w:val="fr-CH"/>
        </w:rPr>
        <w:t>12</w:t>
      </w:r>
      <w:r>
        <w:rPr>
          <w:rFonts w:hint="eastAsia"/>
          <w:spacing w:val="8"/>
          <w:lang w:val="fr-CH"/>
        </w:rPr>
        <w:t>月</w:t>
      </w:r>
      <w:r>
        <w:rPr>
          <w:rFonts w:hint="eastAsia"/>
          <w:spacing w:val="8"/>
          <w:lang w:val="fr-CH"/>
        </w:rPr>
        <w:t>31</w:t>
      </w:r>
      <w:r>
        <w:rPr>
          <w:rFonts w:hint="eastAsia"/>
          <w:spacing w:val="8"/>
          <w:lang w:val="fr-CH"/>
        </w:rPr>
        <w:t>日为捷克斯洛伐克联邦共和国公民而且登记或实际居所在捷克共和国且仍然居住在捷克共和国的自然人可以通过声明取得捷克共和国国籍。此种人不必提交放弃原国籍的文件，并且可因此据有双重国籍</w:t>
      </w:r>
      <w:r>
        <w:rPr>
          <w:rFonts w:hint="eastAsia"/>
          <w:spacing w:val="8"/>
          <w:lang w:val="fr-CH"/>
        </w:rPr>
        <w:t>(</w:t>
      </w:r>
      <w:r>
        <w:rPr>
          <w:rFonts w:hint="eastAsia"/>
          <w:spacing w:val="8"/>
          <w:lang w:val="fr-CH"/>
        </w:rPr>
        <w:t>捷克国籍和斯洛伐克国籍</w:t>
      </w:r>
      <w:r>
        <w:rPr>
          <w:rFonts w:hint="eastAsia"/>
          <w:spacing w:val="8"/>
          <w:lang w:val="fr-CH"/>
        </w:rPr>
        <w:t>)</w:t>
      </w:r>
      <w:r>
        <w:rPr>
          <w:rFonts w:hint="eastAsia"/>
          <w:spacing w:val="8"/>
          <w:lang w:val="fr-CH"/>
        </w:rPr>
        <w:t>。这种人也不必提交刑事登记记录。这种人从国籍证书签发之日取得捷克共和国国籍</w:t>
      </w:r>
      <w:r>
        <w:rPr>
          <w:rFonts w:hint="eastAsia"/>
          <w:lang w:val="fr-CH"/>
        </w:rPr>
        <w:t>。</w:t>
      </w:r>
    </w:p>
    <w:p w:rsidR="00000000" w:rsidRDefault="00000000">
      <w:pPr>
        <w:spacing w:after="320"/>
        <w:rPr>
          <w:rFonts w:hint="eastAsia"/>
          <w:lang w:val="fr-CH"/>
        </w:rPr>
      </w:pPr>
      <w:r>
        <w:rPr>
          <w:rFonts w:hint="eastAsia"/>
          <w:lang w:val="fr-CH"/>
        </w:rPr>
        <w:tab/>
        <w:t xml:space="preserve">124.  </w:t>
      </w:r>
      <w:r>
        <w:rPr>
          <w:rFonts w:hint="eastAsia"/>
          <w:lang w:val="fr-CH"/>
        </w:rPr>
        <w:t>该法的修正案还确认了在《斯洛伐克国籍法》</w:t>
      </w:r>
      <w:r>
        <w:rPr>
          <w:rStyle w:val="EndnoteReference"/>
          <w:lang w:val="fr-CH"/>
        </w:rPr>
        <w:endnoteReference w:id="71"/>
      </w:r>
      <w:r>
        <w:rPr>
          <w:rFonts w:hint="eastAsia"/>
          <w:lang w:val="fr-CH"/>
        </w:rPr>
        <w:t xml:space="preserve"> </w:t>
      </w:r>
      <w:r>
        <w:rPr>
          <w:rFonts w:hint="eastAsia"/>
          <w:lang w:val="fr-CH"/>
        </w:rPr>
        <w:t>规定的期间选择斯洛伐克共和国国籍的捷克公民的国籍。该法因此确认了宪法法院原来的立场，即在</w:t>
      </w:r>
      <w:r>
        <w:rPr>
          <w:rFonts w:hint="eastAsia"/>
          <w:lang w:val="fr-CH"/>
        </w:rPr>
        <w:t>1993</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为捷克公民并在国家分裂后选择斯洛伐克国籍的人并不因为作出这种选择而丧失捷克国籍。由于斯洛伐克政府表示愿意根据斯洛伐克的法律续延在联邦解体之时为取得捷克国籍而放弃其国籍的原斯洛伐克公民的斯洛伐克国籍，这样就为在捷克斯洛伐克联邦共和国时期为斯洛伐克公民</w:t>
      </w:r>
      <w:r>
        <w:rPr>
          <w:rFonts w:hint="eastAsia"/>
          <w:lang w:val="fr-CH"/>
        </w:rPr>
        <w:t>(</w:t>
      </w:r>
      <w:r>
        <w:rPr>
          <w:rFonts w:hint="eastAsia"/>
          <w:lang w:val="fr-CH"/>
        </w:rPr>
        <w:t>常常只是形式上</w:t>
      </w:r>
      <w:r>
        <w:rPr>
          <w:rFonts w:hint="eastAsia"/>
          <w:lang w:val="fr-CH"/>
        </w:rPr>
        <w:t>)</w:t>
      </w:r>
      <w:r>
        <w:rPr>
          <w:rFonts w:hint="eastAsia"/>
          <w:lang w:val="fr-CH"/>
        </w:rPr>
        <w:t>但长期生活在捷克共和国的约</w:t>
      </w:r>
      <w:r>
        <w:rPr>
          <w:rFonts w:hint="eastAsia"/>
          <w:lang w:val="fr-CH"/>
        </w:rPr>
        <w:t>30</w:t>
      </w:r>
      <w:r>
        <w:rPr>
          <w:rFonts w:hint="eastAsia"/>
          <w:lang w:val="fr-CH"/>
        </w:rPr>
        <w:t>万捷克公民也提供了获得斯洛伐克和捷克双重国籍的机会。如果这些公民被批准获得斯洛伐克共和国国籍，他们不会失去捷克共和</w:t>
      </w:r>
      <w:r>
        <w:rPr>
          <w:rFonts w:hint="eastAsia"/>
          <w:spacing w:val="6"/>
          <w:lang w:val="fr-CH"/>
        </w:rPr>
        <w:t>国国籍。同样，生活在斯洛伐克的捷克公民</w:t>
      </w:r>
      <w:r>
        <w:rPr>
          <w:rFonts w:hint="eastAsia"/>
          <w:spacing w:val="6"/>
          <w:lang w:val="fr-CH"/>
        </w:rPr>
        <w:t>(4,000-5,000</w:t>
      </w:r>
      <w:r>
        <w:rPr>
          <w:rFonts w:hint="eastAsia"/>
          <w:spacing w:val="6"/>
          <w:lang w:val="fr-CH"/>
        </w:rPr>
        <w:t>人</w:t>
      </w:r>
      <w:r>
        <w:rPr>
          <w:rFonts w:hint="eastAsia"/>
          <w:spacing w:val="6"/>
          <w:lang w:val="fr-CH"/>
        </w:rPr>
        <w:t>)</w:t>
      </w:r>
      <w:r>
        <w:rPr>
          <w:rFonts w:hint="eastAsia"/>
          <w:spacing w:val="6"/>
          <w:lang w:val="fr-CH"/>
        </w:rPr>
        <w:t>如果被批准获得斯洛伐克国籍也不会失去捷克共和国国籍。一项小的修订</w:t>
      </w:r>
      <w:r>
        <w:rPr>
          <w:rFonts w:hint="eastAsia"/>
          <w:spacing w:val="-40"/>
        </w:rPr>
        <w:t>——</w:t>
      </w:r>
      <w:r>
        <w:rPr>
          <w:spacing w:val="8"/>
        </w:rPr>
        <w:t xml:space="preserve"> </w:t>
      </w:r>
      <w:r>
        <w:rPr>
          <w:rFonts w:hint="eastAsia"/>
          <w:spacing w:val="6"/>
          <w:lang w:val="fr-CH"/>
        </w:rPr>
        <w:t>在捷克共和国生活了</w:t>
      </w:r>
      <w:r>
        <w:rPr>
          <w:rFonts w:hint="eastAsia"/>
          <w:spacing w:val="6"/>
          <w:lang w:val="fr-CH"/>
        </w:rPr>
        <w:t>20</w:t>
      </w:r>
      <w:r>
        <w:rPr>
          <w:rFonts w:hint="eastAsia"/>
          <w:spacing w:val="6"/>
          <w:lang w:val="fr-CH"/>
        </w:rPr>
        <w:t>年以上的人不提交证明放弃原国籍的文件的资格方面</w:t>
      </w:r>
      <w:r>
        <w:rPr>
          <w:rFonts w:hint="eastAsia"/>
          <w:spacing w:val="-40"/>
        </w:rPr>
        <w:t>——</w:t>
      </w:r>
      <w:r>
        <w:rPr>
          <w:spacing w:val="8"/>
        </w:rPr>
        <w:t xml:space="preserve"> </w:t>
      </w:r>
      <w:r>
        <w:rPr>
          <w:rFonts w:hint="eastAsia"/>
          <w:spacing w:val="6"/>
          <w:lang w:val="fr-CH"/>
        </w:rPr>
        <w:t>尤其适用于波兰和保加利亚公民。</w:t>
      </w:r>
    </w:p>
    <w:p w:rsidR="00000000" w:rsidRDefault="00000000">
      <w:pPr>
        <w:pStyle w:val="Heading3"/>
        <w:rPr>
          <w:rFonts w:hint="eastAsia"/>
          <w:lang w:val="fr-CH"/>
        </w:rPr>
      </w:pPr>
      <w:r>
        <w:rPr>
          <w:rFonts w:hint="eastAsia"/>
          <w:lang w:val="fr-CH"/>
        </w:rPr>
        <w:t>第</w:t>
      </w:r>
      <w:r>
        <w:rPr>
          <w:rFonts w:hint="eastAsia"/>
          <w:lang w:val="fr-CH"/>
        </w:rPr>
        <w:t xml:space="preserve"> 3 </w:t>
      </w:r>
      <w:r>
        <w:rPr>
          <w:rFonts w:hint="eastAsia"/>
          <w:lang w:val="fr-CH"/>
        </w:rPr>
        <w:t>条</w:t>
      </w:r>
    </w:p>
    <w:p w:rsidR="00000000" w:rsidRDefault="00000000">
      <w:pPr>
        <w:rPr>
          <w:rFonts w:hint="eastAsia"/>
          <w:lang w:val="fr-CH"/>
        </w:rPr>
      </w:pPr>
      <w:r>
        <w:rPr>
          <w:rFonts w:hint="eastAsia"/>
          <w:lang w:val="fr-CH"/>
        </w:rPr>
        <w:tab/>
        <w:t xml:space="preserve">125.  </w:t>
      </w:r>
      <w:r>
        <w:rPr>
          <w:rFonts w:hint="eastAsia"/>
          <w:lang w:val="fr-CH"/>
        </w:rPr>
        <w:t>男女平等的原则载于《捷克共和国宪法》和《基本权利和自由宪章》。《宪章》第</w:t>
      </w:r>
      <w:r>
        <w:rPr>
          <w:rFonts w:hint="eastAsia"/>
          <w:lang w:val="fr-CH"/>
        </w:rPr>
        <w:t>3</w:t>
      </w:r>
      <w:r>
        <w:rPr>
          <w:rFonts w:hint="eastAsia"/>
          <w:lang w:val="fr-CH"/>
        </w:rPr>
        <w:t>条第</w:t>
      </w:r>
      <w:r>
        <w:rPr>
          <w:rFonts w:hint="eastAsia"/>
          <w:lang w:val="fr-CH"/>
        </w:rPr>
        <w:t>1</w:t>
      </w:r>
      <w:r>
        <w:rPr>
          <w:rFonts w:hint="eastAsia"/>
          <w:lang w:val="fr-CH"/>
        </w:rPr>
        <w:t>款规定</w:t>
      </w:r>
      <w:r>
        <w:rPr>
          <w:rFonts w:hint="eastAsia"/>
          <w:lang w:val="fr-CH"/>
        </w:rPr>
        <w:t> </w:t>
      </w:r>
      <w:r>
        <w:rPr>
          <w:rFonts w:hint="eastAsia"/>
          <w:lang w:val="fr-CH"/>
        </w:rPr>
        <w:t>：“保障所有人不分性别均享有基本权利和自由。”这一原则也载于《民法》</w:t>
      </w:r>
      <w:r>
        <w:rPr>
          <w:rFonts w:hint="eastAsia"/>
          <w:vertAlign w:val="superscript"/>
          <w:lang w:val="fr-CH"/>
        </w:rPr>
        <w:t>23</w:t>
      </w:r>
      <w:r>
        <w:rPr>
          <w:rFonts w:hint="eastAsia"/>
          <w:lang w:val="fr-CH"/>
        </w:rPr>
        <w:t xml:space="preserve"> </w:t>
      </w:r>
      <w:r>
        <w:rPr>
          <w:rFonts w:hint="eastAsia"/>
          <w:lang w:val="fr-CH"/>
        </w:rPr>
        <w:t>和《民事诉讼法》</w:t>
      </w:r>
      <w:r>
        <w:rPr>
          <w:rFonts w:hint="eastAsia"/>
          <w:vertAlign w:val="superscript"/>
          <w:lang w:val="fr-CH"/>
        </w:rPr>
        <w:t>20</w:t>
      </w:r>
      <w:r>
        <w:rPr>
          <w:rFonts w:hint="eastAsia"/>
          <w:lang w:val="fr-CH"/>
        </w:rPr>
        <w:t>、《刑法》</w:t>
      </w:r>
      <w:r>
        <w:rPr>
          <w:rFonts w:hint="eastAsia"/>
          <w:vertAlign w:val="superscript"/>
          <w:lang w:val="fr-CH"/>
        </w:rPr>
        <w:t>17</w:t>
      </w:r>
      <w:r>
        <w:rPr>
          <w:rFonts w:hint="eastAsia"/>
          <w:lang w:val="fr-CH"/>
        </w:rPr>
        <w:t xml:space="preserve"> </w:t>
      </w:r>
      <w:r>
        <w:rPr>
          <w:rFonts w:hint="eastAsia"/>
          <w:lang w:val="fr-CH"/>
        </w:rPr>
        <w:t>和《刑事诉讼法》</w:t>
      </w:r>
      <w:r>
        <w:rPr>
          <w:rFonts w:hint="eastAsia"/>
          <w:vertAlign w:val="superscript"/>
          <w:lang w:val="fr-CH"/>
        </w:rPr>
        <w:t>19</w:t>
      </w:r>
      <w:r>
        <w:rPr>
          <w:rFonts w:hint="eastAsia"/>
          <w:lang w:val="fr-CH"/>
        </w:rPr>
        <w:t>、《行政诉讼法》</w:t>
      </w:r>
      <w:r>
        <w:rPr>
          <w:rFonts w:hint="eastAsia"/>
          <w:vertAlign w:val="superscript"/>
          <w:lang w:val="fr-CH"/>
        </w:rPr>
        <w:t>23</w:t>
      </w:r>
      <w:r>
        <w:rPr>
          <w:rFonts w:hint="eastAsia"/>
          <w:lang w:val="fr-CH"/>
        </w:rPr>
        <w:t>、《劳动法》和《就业法》</w:t>
      </w:r>
      <w:r>
        <w:rPr>
          <w:rStyle w:val="EndnoteReference"/>
          <w:lang w:val="fr-CH"/>
        </w:rPr>
        <w:endnoteReference w:id="72"/>
      </w:r>
      <w:r>
        <w:rPr>
          <w:rFonts w:hint="eastAsia"/>
          <w:lang w:val="fr-CH"/>
        </w:rPr>
        <w:t>、《国家社会照顾资助法》</w:t>
      </w:r>
      <w:r>
        <w:rPr>
          <w:rStyle w:val="EndnoteReference"/>
          <w:lang w:val="fr-CH"/>
        </w:rPr>
        <w:endnoteReference w:id="73"/>
      </w:r>
      <w:r>
        <w:rPr>
          <w:rFonts w:hint="eastAsia"/>
          <w:lang w:val="fr-CH"/>
        </w:rPr>
        <w:t>、《家庭法》</w:t>
      </w:r>
      <w:r>
        <w:rPr>
          <w:rStyle w:val="EndnoteReference"/>
          <w:lang w:val="fr-CH"/>
        </w:rPr>
        <w:endnoteReference w:id="74"/>
      </w:r>
      <w:r>
        <w:rPr>
          <w:rFonts w:hint="eastAsia"/>
          <w:lang w:val="fr-CH"/>
        </w:rPr>
        <w:t xml:space="preserve"> </w:t>
      </w:r>
      <w:r>
        <w:rPr>
          <w:rFonts w:hint="eastAsia"/>
          <w:lang w:val="fr-CH"/>
        </w:rPr>
        <w:t>和其他法律的规定之中。</w:t>
      </w:r>
    </w:p>
    <w:p w:rsidR="00000000" w:rsidRDefault="00000000">
      <w:pPr>
        <w:rPr>
          <w:rFonts w:hint="eastAsia"/>
          <w:lang w:val="fr-CH"/>
        </w:rPr>
      </w:pPr>
      <w:r>
        <w:rPr>
          <w:rFonts w:hint="eastAsia"/>
          <w:lang w:val="fr-CH"/>
        </w:rPr>
        <w:tab/>
        <w:t xml:space="preserve">126.  </w:t>
      </w:r>
      <w:r>
        <w:rPr>
          <w:rFonts w:hint="eastAsia"/>
          <w:lang w:val="fr-CH"/>
        </w:rPr>
        <w:t>《宪章》和其他法律保护男女个人的权利，并从形式上确保两性都能平等地行使《公约》所保障的权利。因此，大多数的法律规定都以中性化的方式系统地表述权利和义务。然而，根据《宪章》第</w:t>
      </w:r>
      <w:r>
        <w:rPr>
          <w:rFonts w:hint="eastAsia"/>
          <w:lang w:val="fr-CH"/>
        </w:rPr>
        <w:t>29</w:t>
      </w:r>
      <w:r>
        <w:rPr>
          <w:rFonts w:hint="eastAsia"/>
          <w:lang w:val="fr-CH"/>
        </w:rPr>
        <w:t>条的规定</w:t>
      </w:r>
      <w:r>
        <w:rPr>
          <w:rFonts w:hint="eastAsia"/>
          <w:lang w:val="fr-CH"/>
        </w:rPr>
        <w:t> </w:t>
      </w:r>
      <w:r>
        <w:rPr>
          <w:rFonts w:hint="eastAsia"/>
          <w:lang w:val="fr-CH"/>
        </w:rPr>
        <w:t>：“妇女、青少年和有健康问题的人有权要求在工作场合增加对其健康的保护并获得特别的工作条件。”</w:t>
      </w:r>
    </w:p>
    <w:p w:rsidR="00000000" w:rsidRDefault="00000000">
      <w:pPr>
        <w:rPr>
          <w:rFonts w:hint="eastAsia"/>
          <w:lang w:val="fr-CH"/>
        </w:rPr>
      </w:pPr>
      <w:r>
        <w:rPr>
          <w:rFonts w:hint="eastAsia"/>
          <w:lang w:val="fr-CH"/>
        </w:rPr>
        <w:tab/>
        <w:t xml:space="preserve">127.  </w:t>
      </w:r>
      <w:r>
        <w:rPr>
          <w:rFonts w:hint="eastAsia"/>
          <w:lang w:val="fr-CH"/>
        </w:rPr>
        <w:t>《公约》保护的个人权利包括</w:t>
      </w:r>
      <w:r>
        <w:rPr>
          <w:rFonts w:hint="eastAsia"/>
          <w:lang w:val="fr-CH"/>
        </w:rPr>
        <w:t> </w:t>
      </w:r>
      <w:r>
        <w:rPr>
          <w:rFonts w:hint="eastAsia"/>
          <w:lang w:val="fr-CH"/>
        </w:rPr>
        <w:t>：</w:t>
      </w:r>
    </w:p>
    <w:p w:rsidR="00000000" w:rsidRDefault="00000000">
      <w:pPr>
        <w:numPr>
          <w:ilvl w:val="0"/>
          <w:numId w:val="60"/>
        </w:numPr>
        <w:rPr>
          <w:rFonts w:hint="eastAsia"/>
          <w:lang w:val="fr-CH"/>
        </w:rPr>
      </w:pPr>
      <w:r>
        <w:rPr>
          <w:rFonts w:hint="eastAsia"/>
          <w:lang w:val="fr-CH"/>
        </w:rPr>
        <w:t>工作、受教育和接受工作培训的权利</w:t>
      </w:r>
      <w:r>
        <w:rPr>
          <w:rFonts w:hint="eastAsia"/>
          <w:lang w:val="fr-CH"/>
        </w:rPr>
        <w:t>(</w:t>
      </w:r>
      <w:r>
        <w:rPr>
          <w:rFonts w:hint="eastAsia"/>
          <w:lang w:val="fr-CH"/>
        </w:rPr>
        <w:t>见《公约》第</w:t>
      </w:r>
      <w:r>
        <w:rPr>
          <w:rFonts w:hint="eastAsia"/>
          <w:lang w:val="fr-CH"/>
        </w:rPr>
        <w:t>6</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60"/>
        </w:numPr>
        <w:rPr>
          <w:rFonts w:hint="eastAsia"/>
          <w:lang w:val="fr-CH"/>
        </w:rPr>
      </w:pPr>
      <w:r>
        <w:rPr>
          <w:rFonts w:hint="eastAsia"/>
          <w:lang w:val="fr-CH"/>
        </w:rPr>
        <w:t>获得公正和良好的工作条件、工作安全、提升的权利以及休息的权利</w:t>
      </w:r>
      <w:r>
        <w:rPr>
          <w:rFonts w:hint="eastAsia"/>
          <w:lang w:val="fr-CH"/>
        </w:rPr>
        <w:t>(</w:t>
      </w:r>
      <w:r>
        <w:rPr>
          <w:rFonts w:hint="eastAsia"/>
          <w:lang w:val="fr-CH"/>
        </w:rPr>
        <w:t>见《公约》第</w:t>
      </w:r>
      <w:r>
        <w:rPr>
          <w:rFonts w:hint="eastAsia"/>
          <w:lang w:val="fr-CH"/>
        </w:rPr>
        <w:t>7</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60"/>
        </w:numPr>
        <w:rPr>
          <w:rFonts w:hint="eastAsia"/>
          <w:lang w:val="fr-CH"/>
        </w:rPr>
      </w:pPr>
      <w:r>
        <w:rPr>
          <w:rFonts w:hint="eastAsia"/>
          <w:lang w:val="fr-CH"/>
        </w:rPr>
        <w:t>组织工会的权利</w:t>
      </w:r>
      <w:r>
        <w:rPr>
          <w:rFonts w:hint="eastAsia"/>
          <w:lang w:val="fr-CH"/>
        </w:rPr>
        <w:t>(</w:t>
      </w:r>
      <w:r>
        <w:rPr>
          <w:rFonts w:hint="eastAsia"/>
          <w:lang w:val="fr-CH"/>
        </w:rPr>
        <w:t>见《公约》第</w:t>
      </w:r>
      <w:r>
        <w:rPr>
          <w:rFonts w:hint="eastAsia"/>
          <w:lang w:val="fr-CH"/>
        </w:rPr>
        <w:t>8</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60"/>
        </w:numPr>
        <w:rPr>
          <w:rFonts w:hint="eastAsia"/>
          <w:lang w:val="fr-CH"/>
        </w:rPr>
      </w:pPr>
      <w:r>
        <w:rPr>
          <w:rFonts w:hint="eastAsia"/>
          <w:lang w:val="fr-CH"/>
        </w:rPr>
        <w:t>获得社会保障的权利</w:t>
      </w:r>
      <w:r>
        <w:rPr>
          <w:rFonts w:hint="eastAsia"/>
          <w:lang w:val="fr-CH"/>
        </w:rPr>
        <w:t>(</w:t>
      </w:r>
      <w:r>
        <w:rPr>
          <w:rFonts w:hint="eastAsia"/>
          <w:lang w:val="fr-CH"/>
        </w:rPr>
        <w:t>见《公约》第</w:t>
      </w:r>
      <w:r>
        <w:rPr>
          <w:rFonts w:hint="eastAsia"/>
          <w:lang w:val="fr-CH"/>
        </w:rPr>
        <w:t>9</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60"/>
        </w:numPr>
        <w:rPr>
          <w:rFonts w:hint="eastAsia"/>
          <w:lang w:val="fr-CH"/>
        </w:rPr>
      </w:pPr>
      <w:r>
        <w:rPr>
          <w:rFonts w:hint="eastAsia"/>
          <w:lang w:val="fr-CH"/>
        </w:rPr>
        <w:t>公民及其家人获得相当的生活水准的权利</w:t>
      </w:r>
      <w:r>
        <w:rPr>
          <w:rFonts w:hint="eastAsia"/>
          <w:lang w:val="fr-CH"/>
        </w:rPr>
        <w:t>(</w:t>
      </w:r>
      <w:r>
        <w:rPr>
          <w:rFonts w:hint="eastAsia"/>
          <w:lang w:val="fr-CH"/>
        </w:rPr>
        <w:t>见《公约》第</w:t>
      </w:r>
      <w:r>
        <w:rPr>
          <w:rFonts w:hint="eastAsia"/>
          <w:lang w:val="fr-CH"/>
        </w:rPr>
        <w:t>11</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60"/>
        </w:numPr>
        <w:rPr>
          <w:rFonts w:hint="eastAsia"/>
          <w:lang w:val="fr-CH"/>
        </w:rPr>
      </w:pPr>
      <w:r>
        <w:rPr>
          <w:rFonts w:hint="eastAsia"/>
          <w:lang w:val="fr-CH"/>
        </w:rPr>
        <w:t>获得可达到的最高身心健康标准的权利</w:t>
      </w:r>
      <w:r>
        <w:rPr>
          <w:rFonts w:hint="eastAsia"/>
          <w:lang w:val="fr-CH"/>
        </w:rPr>
        <w:t>(</w:t>
      </w:r>
      <w:r>
        <w:rPr>
          <w:rFonts w:hint="eastAsia"/>
          <w:lang w:val="fr-CH"/>
        </w:rPr>
        <w:t>见《公约》第</w:t>
      </w:r>
      <w:r>
        <w:rPr>
          <w:rFonts w:hint="eastAsia"/>
          <w:lang w:val="fr-CH"/>
        </w:rPr>
        <w:t>12</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60"/>
        </w:numPr>
        <w:rPr>
          <w:rFonts w:hint="eastAsia"/>
          <w:lang w:val="fr-CH"/>
        </w:rPr>
      </w:pPr>
      <w:r>
        <w:rPr>
          <w:rFonts w:hint="eastAsia"/>
          <w:lang w:val="fr-CH"/>
        </w:rPr>
        <w:t>受教育的权利</w:t>
      </w:r>
      <w:r>
        <w:rPr>
          <w:rFonts w:hint="eastAsia"/>
          <w:lang w:val="fr-CH"/>
        </w:rPr>
        <w:t>(</w:t>
      </w:r>
      <w:r>
        <w:rPr>
          <w:rFonts w:hint="eastAsia"/>
          <w:lang w:val="fr-CH"/>
        </w:rPr>
        <w:t>见《公约》第</w:t>
      </w:r>
      <w:r>
        <w:rPr>
          <w:rFonts w:hint="eastAsia"/>
          <w:lang w:val="fr-CH"/>
        </w:rPr>
        <w:t>13</w:t>
      </w:r>
      <w:r>
        <w:rPr>
          <w:rFonts w:hint="eastAsia"/>
          <w:lang w:val="fr-CH"/>
        </w:rPr>
        <w:t>条</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128.  </w:t>
      </w:r>
      <w:r>
        <w:rPr>
          <w:rFonts w:hint="eastAsia"/>
          <w:lang w:val="fr-CH"/>
        </w:rPr>
        <w:t>以下简要概述个人权利及其在性别方面的规定</w:t>
      </w:r>
      <w:r>
        <w:rPr>
          <w:rFonts w:hint="eastAsia"/>
          <w:lang w:val="fr-CH"/>
        </w:rPr>
        <w:t>(</w:t>
      </w:r>
      <w:r>
        <w:rPr>
          <w:rFonts w:hint="eastAsia"/>
          <w:lang w:val="fr-CH"/>
        </w:rPr>
        <w:t>包括援引法律在内的更详细的资料载于与《公约》相应条款有关的文字</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129.  </w:t>
      </w:r>
      <w:r>
        <w:rPr>
          <w:rFonts w:hint="eastAsia"/>
          <w:lang w:val="fr-CH"/>
        </w:rPr>
        <w:t>工作权以中性化的方式系统地加以表述，在获取和履行工作方面任何人都不得因性别而受到歧视。进行就业预备和接受培训的权利也以中性化的方式系统地加以表述。妇女由于健康原因被排除在某些类型的工作之外</w:t>
      </w:r>
      <w:r>
        <w:rPr>
          <w:rFonts w:hint="eastAsia"/>
          <w:lang w:val="fr-CH"/>
        </w:rPr>
        <w:t> </w:t>
      </w:r>
      <w:r>
        <w:rPr>
          <w:rFonts w:hint="eastAsia"/>
          <w:lang w:val="fr-CH"/>
        </w:rPr>
        <w:t>；其中尤其有地下工作和可能危及他们担任母亲角色的工作。</w:t>
      </w:r>
    </w:p>
    <w:p w:rsidR="00000000" w:rsidRDefault="00000000">
      <w:pPr>
        <w:rPr>
          <w:rFonts w:hint="eastAsia"/>
          <w:lang w:val="fr-CH"/>
        </w:rPr>
      </w:pPr>
      <w:r>
        <w:rPr>
          <w:rFonts w:hint="eastAsia"/>
          <w:lang w:val="fr-CH"/>
        </w:rPr>
        <w:tab/>
        <w:t xml:space="preserve">130.  </w:t>
      </w:r>
      <w:r>
        <w:rPr>
          <w:rFonts w:hint="eastAsia"/>
          <w:lang w:val="fr-CH"/>
        </w:rPr>
        <w:t>妇女工作的数量从传统上看一直较高</w:t>
      </w:r>
      <w:r>
        <w:rPr>
          <w:rFonts w:hint="eastAsia"/>
          <w:spacing w:val="-50"/>
          <w:lang w:val="fr-CH"/>
        </w:rPr>
        <w:t>―</w:t>
      </w:r>
      <w:r>
        <w:rPr>
          <w:rFonts w:hint="eastAsia"/>
          <w:lang w:val="fr-CH"/>
        </w:rPr>
        <w:t>―劳动年龄妇女</w:t>
      </w:r>
      <w:r>
        <w:rPr>
          <w:rFonts w:hint="eastAsia"/>
          <w:lang w:val="fr-CH"/>
        </w:rPr>
        <w:t>90%</w:t>
      </w:r>
      <w:r>
        <w:rPr>
          <w:rFonts w:hint="eastAsia"/>
          <w:lang w:val="fr-CH"/>
        </w:rPr>
        <w:t>以上都工作或者在寻找工作。妇女约占国民经济劳动力总数的</w:t>
      </w:r>
      <w:r>
        <w:rPr>
          <w:rFonts w:hint="eastAsia"/>
          <w:lang w:val="fr-CH"/>
        </w:rPr>
        <w:t>45%</w:t>
      </w:r>
      <w:r>
        <w:rPr>
          <w:rFonts w:hint="eastAsia"/>
          <w:lang w:val="fr-CH"/>
        </w:rPr>
        <w:t>。通过劳工办事处寻找工作的妇女的人数超过</w:t>
      </w:r>
      <w:r>
        <w:rPr>
          <w:rFonts w:hint="eastAsia"/>
          <w:lang w:val="fr-CH"/>
        </w:rPr>
        <w:t>50%</w:t>
      </w:r>
      <w:r>
        <w:rPr>
          <w:rFonts w:hint="eastAsia"/>
          <w:lang w:val="fr-CH"/>
        </w:rPr>
        <w:t>。</w:t>
      </w:r>
    </w:p>
    <w:p w:rsidR="00000000" w:rsidRDefault="00000000">
      <w:pPr>
        <w:rPr>
          <w:rFonts w:hint="eastAsia"/>
        </w:rPr>
      </w:pPr>
      <w:r>
        <w:rPr>
          <w:rFonts w:hint="eastAsia"/>
        </w:rPr>
        <w:tab/>
        <w:t xml:space="preserve">131.  </w:t>
      </w:r>
      <w:r>
        <w:rPr>
          <w:rFonts w:hint="eastAsia"/>
        </w:rPr>
        <w:t>获得公正和良好的工作条件和工作安全的权利也以中性化的方式作了系统表述。此外，获得良好工作条件的权利还包括了一项对妇女尤其是对孕妇或哺乳的妇女以及幼儿的母亲进行特别保护的要求。这一要求证明妇女有理由享受各种休假</w:t>
      </w:r>
      <w:r>
        <w:rPr>
          <w:rFonts w:hint="eastAsia"/>
        </w:rPr>
        <w:t>(</w:t>
      </w:r>
      <w:r>
        <w:rPr>
          <w:rFonts w:hint="eastAsia"/>
        </w:rPr>
        <w:t>如产假、额外的产假</w:t>
      </w:r>
      <w:r>
        <w:rPr>
          <w:rFonts w:hint="eastAsia"/>
        </w:rPr>
        <w:t>)</w:t>
      </w:r>
      <w:r>
        <w:rPr>
          <w:rFonts w:hint="eastAsia"/>
        </w:rPr>
        <w:t>的权利，以及雇主有义务给予妇女不同于男子的待遇</w:t>
      </w:r>
      <w:r>
        <w:rPr>
          <w:rFonts w:hint="eastAsia"/>
        </w:rPr>
        <w:t>(</w:t>
      </w:r>
      <w:r>
        <w:rPr>
          <w:rFonts w:hint="eastAsia"/>
        </w:rPr>
        <w:t>如在怀孕期间，只在经她们同意的情况下派她们从事不同的工作或者派她们出差</w:t>
      </w:r>
      <w:r>
        <w:rPr>
          <w:rFonts w:hint="eastAsia"/>
        </w:rPr>
        <w:t>)</w:t>
      </w:r>
      <w:r>
        <w:rPr>
          <w:rFonts w:hint="eastAsia"/>
        </w:rPr>
        <w:t>，或者不对她们实施某些行为</w:t>
      </w:r>
      <w:r>
        <w:rPr>
          <w:rFonts w:hint="eastAsia"/>
        </w:rPr>
        <w:t>(</w:t>
      </w:r>
      <w:r>
        <w:rPr>
          <w:rFonts w:hint="eastAsia"/>
        </w:rPr>
        <w:t>如不在她们怀孕期间解雇她们</w:t>
      </w:r>
      <w:r>
        <w:rPr>
          <w:rFonts w:hint="eastAsia"/>
        </w:rPr>
        <w:t>)</w:t>
      </w:r>
      <w:r>
        <w:rPr>
          <w:rFonts w:hint="eastAsia"/>
        </w:rPr>
        <w:t>。目前的法律制度中在男女雇员法律地位方面存在着某些不平等的因素，这些因素从平等待遇原则的角度来讲是无法解释的，如在根据对幼儿的照料所享有的权利方面，就规定男子必须是单亲。所谓的额外产假</w:t>
      </w:r>
      <w:r>
        <w:rPr>
          <w:rFonts w:hint="eastAsia"/>
        </w:rPr>
        <w:t>(</w:t>
      </w:r>
      <w:r>
        <w:rPr>
          <w:rFonts w:hint="eastAsia"/>
        </w:rPr>
        <w:t>即育儿假，直到小孩满三岁为止</w:t>
      </w:r>
      <w:r>
        <w:rPr>
          <w:rFonts w:hint="eastAsia"/>
        </w:rPr>
        <w:t>)</w:t>
      </w:r>
      <w:r>
        <w:rPr>
          <w:rFonts w:hint="eastAsia"/>
        </w:rPr>
        <w:t>基本只涉及到幼儿的母亲，只在例外的情况下才会涉及到父亲，这也是没有道理的。因此，对《劳动法》的修订在雇用关系中采用了男女平等待遇原则，从而与欧洲联盟的法律保持一致。</w:t>
      </w:r>
    </w:p>
    <w:p w:rsidR="00000000" w:rsidRDefault="00000000">
      <w:pPr>
        <w:rPr>
          <w:rFonts w:hint="eastAsia"/>
        </w:rPr>
      </w:pPr>
      <w:r>
        <w:rPr>
          <w:rFonts w:hint="eastAsia"/>
        </w:rPr>
        <w:tab/>
        <w:t xml:space="preserve">132.  </w:t>
      </w:r>
      <w:r>
        <w:rPr>
          <w:rFonts w:hint="eastAsia"/>
        </w:rPr>
        <w:t>孕妇及母亲工作时的安全和健康保护问题在相对较高的欧洲一级作出了规定：象产假、调任不同工种、可以拒绝夜班、在怀孕和照料幼儿期间受到不被解雇的保护等机制正在发挥作用，并且已在雇主的头脑中根深蒂固并得到遵守。在工作中得到提升的权利和休息的权利也以中性化的方式得到系统表述。</w:t>
      </w:r>
    </w:p>
    <w:p w:rsidR="00000000" w:rsidRDefault="00000000">
      <w:pPr>
        <w:rPr>
          <w:rFonts w:hint="eastAsia"/>
        </w:rPr>
      </w:pPr>
      <w:r>
        <w:rPr>
          <w:rFonts w:hint="eastAsia"/>
        </w:rPr>
        <w:tab/>
        <w:t xml:space="preserve">133.  </w:t>
      </w:r>
      <w:r>
        <w:rPr>
          <w:rFonts w:hint="eastAsia"/>
        </w:rPr>
        <w:t>组成工会的权利以中性化的方式得到了系统表述。女人比男人更多地在工会中组织起来。</w:t>
      </w:r>
    </w:p>
    <w:p w:rsidR="00000000" w:rsidRDefault="00000000">
      <w:pPr>
        <w:rPr>
          <w:rFonts w:hint="eastAsia"/>
        </w:rPr>
      </w:pPr>
      <w:r>
        <w:rPr>
          <w:rFonts w:hint="eastAsia"/>
        </w:rPr>
        <w:tab/>
        <w:t xml:space="preserve">134.  </w:t>
      </w:r>
      <w:r>
        <w:rPr>
          <w:rFonts w:hint="eastAsia"/>
        </w:rPr>
        <w:t>享受社会保障的权利平等地属于妇女和男子。法律规定不含有任何不平等的因素，只是对退休规定了不同年龄要求</w:t>
      </w:r>
      <w:r>
        <w:rPr>
          <w:rFonts w:hint="eastAsia"/>
        </w:rPr>
        <w:t>(</w:t>
      </w:r>
      <w:r>
        <w:rPr>
          <w:rFonts w:hint="eastAsia"/>
        </w:rPr>
        <w:t>妇女的退休年龄较低，取决于育儿的数量</w:t>
      </w:r>
      <w:r>
        <w:rPr>
          <w:rFonts w:hint="eastAsia"/>
        </w:rPr>
        <w:t>)</w:t>
      </w:r>
      <w:r>
        <w:rPr>
          <w:rFonts w:hint="eastAsia"/>
        </w:rPr>
        <w:t>。不过，这一差距也在逐渐扯平；</w:t>
      </w:r>
      <w:r>
        <w:rPr>
          <w:rFonts w:hint="eastAsia"/>
        </w:rPr>
        <w:t>1995</w:t>
      </w:r>
      <w:r>
        <w:rPr>
          <w:rFonts w:hint="eastAsia"/>
        </w:rPr>
        <w:t>年新的《养恤金保险法》与以前的法律相比将这一差距缩小了两岁。</w:t>
      </w:r>
    </w:p>
    <w:p w:rsidR="00000000" w:rsidRDefault="00000000">
      <w:pPr>
        <w:rPr>
          <w:rFonts w:hint="eastAsia"/>
        </w:rPr>
      </w:pPr>
      <w:r>
        <w:rPr>
          <w:rFonts w:hint="eastAsia"/>
        </w:rPr>
        <w:tab/>
        <w:t xml:space="preserve">135.  </w:t>
      </w:r>
      <w:r>
        <w:rPr>
          <w:rFonts w:hint="eastAsia"/>
        </w:rPr>
        <w:t>公民及其家人享受相当的生活水平的权利和享受可以达到的最高身心健康水平的权利也以中性化的方式得到了表述。提供福利金</w:t>
      </w:r>
      <w:r>
        <w:rPr>
          <w:rFonts w:hint="eastAsia"/>
        </w:rPr>
        <w:t>(</w:t>
      </w:r>
      <w:r>
        <w:rPr>
          <w:rFonts w:hint="eastAsia"/>
        </w:rPr>
        <w:t>国家福利资助、社会照顾和失业救济</w:t>
      </w:r>
      <w:r>
        <w:rPr>
          <w:rFonts w:hint="eastAsia"/>
        </w:rPr>
        <w:t>)</w:t>
      </w:r>
      <w:r>
        <w:rPr>
          <w:rFonts w:hint="eastAsia"/>
        </w:rPr>
        <w:t>的条件并未按性别加以区分；享受保健的条件也未作区分。</w:t>
      </w:r>
    </w:p>
    <w:p w:rsidR="00000000" w:rsidRDefault="00000000">
      <w:pPr>
        <w:rPr>
          <w:rFonts w:hint="eastAsia"/>
        </w:rPr>
      </w:pPr>
      <w:r>
        <w:rPr>
          <w:rFonts w:hint="eastAsia"/>
        </w:rPr>
        <w:tab/>
        <w:t xml:space="preserve">136.  </w:t>
      </w:r>
      <w:r>
        <w:rPr>
          <w:rFonts w:hint="eastAsia"/>
        </w:rPr>
        <w:t>受教育权。尽管一贯以来都是以中性化的方式表述，但仍然有一些女孩事实上没有机会参加或者相反主要为女孩教育服务的个别教育领域。消除对妇女歧视委员会</w:t>
      </w:r>
      <w:r>
        <w:rPr>
          <w:rFonts w:hint="eastAsia"/>
        </w:rPr>
        <w:t xml:space="preserve"> </w:t>
      </w:r>
      <w:r>
        <w:rPr>
          <w:rStyle w:val="EndnoteReference"/>
        </w:rPr>
        <w:endnoteReference w:id="75"/>
      </w:r>
      <w:r>
        <w:rPr>
          <w:rFonts w:hint="eastAsia"/>
        </w:rPr>
        <w:t xml:space="preserve">  </w:t>
      </w:r>
      <w:r>
        <w:rPr>
          <w:rFonts w:hint="eastAsia"/>
        </w:rPr>
        <w:t>在讨论《消除对妇女一切形式歧视公约》规定义务履行情况的初次报告时批评了这一现象。该委员会还批评政府未指导女孩选择技术研究领域。目前正在审查妨碍女孩接受有关教育活动的理由，而且正准备在“教育、青年和体育部关于中等学校的政令”</w:t>
      </w:r>
      <w:r>
        <w:rPr>
          <w:rStyle w:val="EndnoteReference"/>
        </w:rPr>
        <w:endnoteReference w:id="76"/>
      </w:r>
      <w:r>
        <w:rPr>
          <w:rFonts w:hint="eastAsia"/>
        </w:rPr>
        <w:t xml:space="preserve"> </w:t>
      </w:r>
      <w:r>
        <w:rPr>
          <w:rFonts w:hint="eastAsia"/>
        </w:rPr>
        <w:t>的附录中对指出存在问题的领域进行修改。修改的目的是使立法不与欧共体委员会第</w:t>
      </w:r>
      <w:r>
        <w:rPr>
          <w:rFonts w:hint="eastAsia"/>
        </w:rPr>
        <w:t>76/207/EEC</w:t>
      </w:r>
      <w:r>
        <w:rPr>
          <w:rFonts w:hint="eastAsia"/>
        </w:rPr>
        <w:t>号指令产生冲突。委员会还指出，成员国把工人的性别作为决定性因素的工种包括专门为男女准备的工种从男女平等待遇中排除出去，这不会对成员国产生不利影响。</w:t>
      </w:r>
    </w:p>
    <w:p w:rsidR="00000000" w:rsidRDefault="00000000">
      <w:pPr>
        <w:rPr>
          <w:rFonts w:hint="eastAsia"/>
        </w:rPr>
      </w:pPr>
      <w:r>
        <w:rPr>
          <w:rFonts w:hint="eastAsia"/>
        </w:rPr>
        <w:tab/>
        <w:t xml:space="preserve">137.  </w:t>
      </w:r>
      <w:r>
        <w:rPr>
          <w:rFonts w:hint="eastAsia"/>
        </w:rPr>
        <w:t>妇女投身武装部队比接受教育更为困难。军校接受女孩并随后给她们安排军职的做法违反《消除对妇女一切形式歧视公约》第</w:t>
      </w:r>
      <w:r>
        <w:rPr>
          <w:rFonts w:hint="eastAsia"/>
        </w:rPr>
        <w:t>10</w:t>
      </w:r>
      <w:r>
        <w:rPr>
          <w:rFonts w:hint="eastAsia"/>
        </w:rPr>
        <w:t>条的规定。根据《公约》第</w:t>
      </w:r>
      <w:r>
        <w:rPr>
          <w:rFonts w:hint="eastAsia"/>
        </w:rPr>
        <w:t>3</w:t>
      </w:r>
      <w:r>
        <w:rPr>
          <w:rFonts w:hint="eastAsia"/>
        </w:rPr>
        <w:t>条和第</w:t>
      </w:r>
      <w:r>
        <w:rPr>
          <w:rFonts w:hint="eastAsia"/>
        </w:rPr>
        <w:t>6</w:t>
      </w:r>
      <w:r>
        <w:rPr>
          <w:rFonts w:hint="eastAsia"/>
        </w:rPr>
        <w:t>条的规定，缔约国承诺采取措施，确保在选择就业和职业方面以及男女获得各种专门知识的学习和培训方面提供平等的条件。一般来讲，捷克共和国的军队中不存在妇女不能从事的任何职业，但某些工种</w:t>
      </w:r>
      <w:r>
        <w:rPr>
          <w:rFonts w:hint="eastAsia"/>
        </w:rPr>
        <w:t>(</w:t>
      </w:r>
      <w:r>
        <w:rPr>
          <w:rFonts w:hint="eastAsia"/>
        </w:rPr>
        <w:t>如飞行员工种</w:t>
      </w:r>
      <w:r>
        <w:rPr>
          <w:rFonts w:hint="eastAsia"/>
        </w:rPr>
        <w:t>)</w:t>
      </w:r>
      <w:r>
        <w:rPr>
          <w:rFonts w:hint="eastAsia"/>
        </w:rPr>
        <w:t>由于对体力要求很高，不太适合于妇女，到军校就学的女性申请人都得到了这方面的解释。军事院校录取女生取决于军队填补向女生保证的职位的需要。国防部试图把军事组织的需要和利益与女生对非传统军职越来越大的兴趣协调起来。国防部在</w:t>
      </w:r>
      <w:r>
        <w:rPr>
          <w:rFonts w:hint="eastAsia"/>
        </w:rPr>
        <w:t>1999/2000</w:t>
      </w:r>
      <w:r>
        <w:rPr>
          <w:rFonts w:hint="eastAsia"/>
        </w:rPr>
        <w:t>学年开始进行了部分校正，取消了军事院校录取女生的比例。</w:t>
      </w:r>
    </w:p>
    <w:p w:rsidR="00000000" w:rsidRDefault="00000000">
      <w:pPr>
        <w:rPr>
          <w:rFonts w:hint="eastAsia"/>
          <w:spacing w:val="4"/>
        </w:rPr>
      </w:pPr>
      <w:r>
        <w:rPr>
          <w:rFonts w:hint="eastAsia"/>
        </w:rPr>
        <w:tab/>
        <w:t xml:space="preserve">138.  </w:t>
      </w:r>
      <w:r>
        <w:rPr>
          <w:rFonts w:hint="eastAsia"/>
          <w:spacing w:val="4"/>
        </w:rPr>
        <w:t>男女在婚姻和家庭事务上的平等在《家庭法》中得到表述。</w:t>
      </w:r>
      <w:r>
        <w:rPr>
          <w:rFonts w:hint="eastAsia"/>
          <w:spacing w:val="4"/>
        </w:rPr>
        <w:t>1998</w:t>
      </w:r>
      <w:r>
        <w:rPr>
          <w:rFonts w:hint="eastAsia"/>
          <w:spacing w:val="4"/>
        </w:rPr>
        <w:t>年，通过了一项重要的修正案。</w:t>
      </w:r>
      <w:r>
        <w:rPr>
          <w:rStyle w:val="EndnoteReference"/>
          <w:spacing w:val="4"/>
        </w:rPr>
        <w:endnoteReference w:id="77"/>
      </w:r>
      <w:r>
        <w:rPr>
          <w:rFonts w:hint="eastAsia"/>
          <w:spacing w:val="4"/>
        </w:rPr>
        <w:t xml:space="preserve">  </w:t>
      </w:r>
      <w:r>
        <w:rPr>
          <w:rFonts w:hint="eastAsia"/>
          <w:spacing w:val="4"/>
        </w:rPr>
        <w:t>关于《家庭法》的更多详情，见《公约》第</w:t>
      </w:r>
      <w:r>
        <w:rPr>
          <w:rFonts w:hint="eastAsia"/>
          <w:spacing w:val="4"/>
        </w:rPr>
        <w:t>10</w:t>
      </w:r>
      <w:r>
        <w:rPr>
          <w:rFonts w:hint="eastAsia"/>
          <w:spacing w:val="4"/>
        </w:rPr>
        <w:t>条第</w:t>
      </w:r>
      <w:r>
        <w:rPr>
          <w:rFonts w:hint="eastAsia"/>
          <w:spacing w:val="4"/>
        </w:rPr>
        <w:t>1</w:t>
      </w:r>
      <w:r>
        <w:rPr>
          <w:rFonts w:hint="eastAsia"/>
          <w:spacing w:val="4"/>
        </w:rPr>
        <w:t>款。</w:t>
      </w:r>
    </w:p>
    <w:p w:rsidR="00000000" w:rsidRDefault="00000000">
      <w:pPr>
        <w:rPr>
          <w:rFonts w:hint="eastAsia"/>
        </w:rPr>
      </w:pPr>
      <w:r>
        <w:rPr>
          <w:rFonts w:hint="eastAsia"/>
        </w:rPr>
        <w:tab/>
        <w:t xml:space="preserve">139.  </w:t>
      </w:r>
      <w:r>
        <w:rPr>
          <w:rFonts w:hint="eastAsia"/>
        </w:rPr>
        <w:t>促进男女地位平等</w:t>
      </w:r>
      <w:r>
        <w:rPr>
          <w:rFonts w:hint="eastAsia"/>
        </w:rPr>
        <w:t>(</w:t>
      </w:r>
      <w:r>
        <w:rPr>
          <w:rFonts w:hint="eastAsia"/>
        </w:rPr>
        <w:t>平等待遇</w:t>
      </w:r>
      <w:r>
        <w:rPr>
          <w:rFonts w:hint="eastAsia"/>
        </w:rPr>
        <w:t>)</w:t>
      </w:r>
      <w:r>
        <w:rPr>
          <w:rFonts w:hint="eastAsia"/>
        </w:rPr>
        <w:t>的权利。人人都有权以违反无论性别一律平等的原则向法院起诉。</w:t>
      </w:r>
      <w:r>
        <w:rPr>
          <w:rFonts w:hint="eastAsia"/>
        </w:rPr>
        <w:t>1999</w:t>
      </w:r>
      <w:r>
        <w:rPr>
          <w:rFonts w:hint="eastAsia"/>
        </w:rPr>
        <w:t>年，这类案件是在民事诉讼程序中加以处理的。为了便利这一权利的落实，政府在《民事诉讼法》的一项修正案</w:t>
      </w:r>
      <w:r>
        <w:rPr>
          <w:rFonts w:hint="eastAsia"/>
        </w:rPr>
        <w:t xml:space="preserve"> </w:t>
      </w:r>
      <w:r>
        <w:rPr>
          <w:rStyle w:val="EndnoteReference"/>
        </w:rPr>
        <w:endnoteReference w:id="78"/>
      </w:r>
      <w:r>
        <w:rPr>
          <w:rFonts w:hint="eastAsia"/>
        </w:rPr>
        <w:t xml:space="preserve">  </w:t>
      </w:r>
      <w:r>
        <w:rPr>
          <w:rFonts w:hint="eastAsia"/>
        </w:rPr>
        <w:t>中建议把举证责任从原告转移到被告。该修正案草案的第</w:t>
      </w:r>
      <w:r>
        <w:rPr>
          <w:rFonts w:hint="eastAsia"/>
        </w:rPr>
        <w:t xml:space="preserve">133 </w:t>
      </w:r>
      <w:r>
        <w:t>a</w:t>
      </w:r>
      <w:r>
        <w:rPr>
          <w:rFonts w:hint="eastAsia"/>
        </w:rPr>
        <w:t xml:space="preserve"> </w:t>
      </w:r>
      <w:r>
        <w:rPr>
          <w:rFonts w:hint="eastAsia"/>
        </w:rPr>
        <w:t>条</w:t>
      </w:r>
      <w:r>
        <w:rPr>
          <w:rFonts w:hint="eastAsia"/>
        </w:rPr>
        <w:t xml:space="preserve"> </w:t>
      </w:r>
      <w:r>
        <w:rPr>
          <w:rStyle w:val="EndnoteReference"/>
        </w:rPr>
        <w:endnoteReference w:id="79"/>
      </w:r>
      <w:r>
        <w:rPr>
          <w:rFonts w:hint="eastAsia"/>
        </w:rPr>
        <w:t xml:space="preserve">  </w:t>
      </w:r>
      <w:r>
        <w:rPr>
          <w:rFonts w:hint="eastAsia"/>
        </w:rPr>
        <w:t>规定：“在劳动事项上，除非在诉讼过程中表明了相反的情形，法庭应当认为关于直接或间接受到基于性别的歧视的当事方指称的事实已经得到证明。”</w:t>
      </w:r>
    </w:p>
    <w:p w:rsidR="00000000" w:rsidRDefault="00000000">
      <w:pPr>
        <w:rPr>
          <w:rFonts w:hint="eastAsia"/>
        </w:rPr>
      </w:pPr>
      <w:r>
        <w:rPr>
          <w:rFonts w:hint="eastAsia"/>
        </w:rPr>
        <w:tab/>
        <w:t xml:space="preserve">140.  </w:t>
      </w:r>
      <w:r>
        <w:rPr>
          <w:rFonts w:hint="eastAsia"/>
        </w:rPr>
        <w:t>在就业方面男女平等待遇原则的遵守情况由就业检查机构</w:t>
      </w:r>
      <w:r>
        <w:rPr>
          <w:rFonts w:hint="eastAsia"/>
        </w:rPr>
        <w:t>(</w:t>
      </w:r>
      <w:r>
        <w:rPr>
          <w:rFonts w:hint="eastAsia"/>
        </w:rPr>
        <w:t>劳动办事处和劳动和社会事务部</w:t>
      </w:r>
      <w:r>
        <w:rPr>
          <w:rFonts w:hint="eastAsia"/>
        </w:rPr>
        <w:t>)</w:t>
      </w:r>
      <w:r>
        <w:rPr>
          <w:rFonts w:hint="eastAsia"/>
        </w:rPr>
        <w:t>进行监督，由这些机构在它们认为有违反情形时对雇主处以行政罚款。捷克共和国加入《消除对妇女一切形式歧视公约任择议定书》极大地加强了保护公民个人不受基于性别的歧视的机制，因为该议定书采用了个人报告违反权利情况的制度。该议定书载有允许个人向消除对妇女歧视委员会提出违反《消除对妇女一切形式歧视公约》所保障的权利的投诉的条款。政府于</w:t>
      </w:r>
      <w:r>
        <w:rPr>
          <w:rFonts w:hint="eastAsia"/>
        </w:rPr>
        <w:t>1999</w:t>
      </w:r>
      <w:r>
        <w:rPr>
          <w:rFonts w:hint="eastAsia"/>
        </w:rPr>
        <w:t>年</w:t>
      </w:r>
      <w:r>
        <w:rPr>
          <w:rFonts w:hint="eastAsia"/>
        </w:rPr>
        <w:t>11</w:t>
      </w:r>
      <w:r>
        <w:rPr>
          <w:rFonts w:hint="eastAsia"/>
        </w:rPr>
        <w:t>月批准了关于批准任择议定书的建议</w:t>
      </w:r>
      <w:r>
        <w:rPr>
          <w:rFonts w:hint="eastAsia"/>
        </w:rPr>
        <w:t xml:space="preserve"> </w:t>
      </w:r>
      <w:r>
        <w:rPr>
          <w:rStyle w:val="EndnoteReference"/>
        </w:rPr>
        <w:endnoteReference w:id="80"/>
      </w:r>
      <w:r>
        <w:rPr>
          <w:rFonts w:hint="eastAsia"/>
        </w:rPr>
        <w:t xml:space="preserve">  </w:t>
      </w:r>
      <w:r>
        <w:rPr>
          <w:rFonts w:hint="eastAsia"/>
        </w:rPr>
        <w:t>并提交议会批准。</w:t>
      </w:r>
    </w:p>
    <w:p w:rsidR="00000000" w:rsidRDefault="00000000">
      <w:pPr>
        <w:rPr>
          <w:rFonts w:hint="eastAsia"/>
        </w:rPr>
      </w:pPr>
      <w:r>
        <w:rPr>
          <w:rFonts w:hint="eastAsia"/>
        </w:rPr>
        <w:tab/>
        <w:t xml:space="preserve">141.  </w:t>
      </w:r>
      <w:r>
        <w:rPr>
          <w:rFonts w:hint="eastAsia"/>
        </w:rPr>
        <w:t>《消除对妇女一切形式歧视公约》是于</w:t>
      </w:r>
      <w:r>
        <w:rPr>
          <w:rFonts w:hint="eastAsia"/>
        </w:rPr>
        <w:t>1980</w:t>
      </w:r>
      <w:r>
        <w:rPr>
          <w:rFonts w:hint="eastAsia"/>
        </w:rPr>
        <w:t>年</w:t>
      </w:r>
      <w:r>
        <w:rPr>
          <w:rFonts w:hint="eastAsia"/>
        </w:rPr>
        <w:t>7</w:t>
      </w:r>
      <w:r>
        <w:rPr>
          <w:rFonts w:hint="eastAsia"/>
        </w:rPr>
        <w:t>月</w:t>
      </w:r>
      <w:r>
        <w:rPr>
          <w:rFonts w:hint="eastAsia"/>
        </w:rPr>
        <w:t>17</w:t>
      </w:r>
      <w:r>
        <w:rPr>
          <w:rFonts w:hint="eastAsia"/>
        </w:rPr>
        <w:t>日在哥本哈根以捷克斯洛伐克社会主义共和国的名义签署的</w:t>
      </w:r>
      <w:r>
        <w:rPr>
          <w:rFonts w:hint="eastAsia"/>
        </w:rPr>
        <w:t>(</w:t>
      </w:r>
      <w:r>
        <w:rPr>
          <w:rFonts w:hint="eastAsia"/>
        </w:rPr>
        <w:t>在以下关于《公约》第</w:t>
      </w:r>
      <w:r>
        <w:rPr>
          <w:rFonts w:hint="eastAsia"/>
        </w:rPr>
        <w:t>3</w:t>
      </w:r>
      <w:r>
        <w:rPr>
          <w:rFonts w:hint="eastAsia"/>
        </w:rPr>
        <w:t>条的报告文字中称作《歧视公约》</w:t>
      </w:r>
      <w:r>
        <w:rPr>
          <w:rFonts w:hint="eastAsia"/>
        </w:rPr>
        <w:t>)</w:t>
      </w:r>
      <w:r>
        <w:rPr>
          <w:rFonts w:hint="eastAsia"/>
        </w:rPr>
        <w:t>，于</w:t>
      </w:r>
      <w:r>
        <w:rPr>
          <w:rFonts w:hint="eastAsia"/>
        </w:rPr>
        <w:t>1982</w:t>
      </w:r>
      <w:r>
        <w:rPr>
          <w:rFonts w:hint="eastAsia"/>
        </w:rPr>
        <w:t>年</w:t>
      </w:r>
      <w:r>
        <w:rPr>
          <w:rFonts w:hint="eastAsia"/>
        </w:rPr>
        <w:t>3</w:t>
      </w:r>
      <w:r>
        <w:rPr>
          <w:rFonts w:hint="eastAsia"/>
        </w:rPr>
        <w:t>月</w:t>
      </w:r>
      <w:r>
        <w:rPr>
          <w:rFonts w:hint="eastAsia"/>
        </w:rPr>
        <w:t>18</w:t>
      </w:r>
      <w:r>
        <w:rPr>
          <w:rFonts w:hint="eastAsia"/>
        </w:rPr>
        <w:t>日对捷克斯洛伐克社会主义共和国生效</w:t>
      </w:r>
      <w:r>
        <w:rPr>
          <w:rFonts w:hint="eastAsia"/>
        </w:rPr>
        <w:t xml:space="preserve"> </w:t>
      </w:r>
      <w:r>
        <w:rPr>
          <w:rStyle w:val="EndnoteReference"/>
        </w:rPr>
        <w:endnoteReference w:id="81"/>
      </w:r>
      <w:r>
        <w:rPr>
          <w:rFonts w:hint="eastAsia"/>
        </w:rPr>
        <w:t xml:space="preserve"> </w:t>
      </w:r>
      <w:r>
        <w:rPr>
          <w:rFonts w:hint="eastAsia"/>
        </w:rPr>
        <w:t>，并成为捷克共和国法律体系的一部分。根据《歧视公约》第</w:t>
      </w:r>
      <w:r>
        <w:rPr>
          <w:rFonts w:hint="eastAsia"/>
        </w:rPr>
        <w:t>18</w:t>
      </w:r>
      <w:r>
        <w:rPr>
          <w:rFonts w:hint="eastAsia"/>
        </w:rPr>
        <w:t>条第</w:t>
      </w:r>
      <w:r>
        <w:rPr>
          <w:rFonts w:hint="eastAsia"/>
        </w:rPr>
        <w:t>1</w:t>
      </w:r>
      <w:r>
        <w:rPr>
          <w:rFonts w:hint="eastAsia"/>
        </w:rPr>
        <w:t>款规定，捷克共和国于</w:t>
      </w:r>
      <w:r>
        <w:rPr>
          <w:rFonts w:hint="eastAsia"/>
        </w:rPr>
        <w:t>1994</w:t>
      </w:r>
      <w:r>
        <w:rPr>
          <w:rFonts w:hint="eastAsia"/>
        </w:rPr>
        <w:t>年向消除对妇女歧视委员会</w:t>
      </w:r>
      <w:r>
        <w:rPr>
          <w:rFonts w:hint="eastAsia"/>
        </w:rPr>
        <w:t xml:space="preserve"> </w:t>
      </w:r>
      <w:r>
        <w:rPr>
          <w:rStyle w:val="EndnoteReference"/>
        </w:rPr>
        <w:endnoteReference w:id="82"/>
      </w:r>
      <w:r>
        <w:rPr>
          <w:rFonts w:hint="eastAsia"/>
        </w:rPr>
        <w:t xml:space="preserve"> (</w:t>
      </w:r>
      <w:r>
        <w:rPr>
          <w:rFonts w:hint="eastAsia"/>
        </w:rPr>
        <w:t>“委员会”</w:t>
      </w:r>
      <w:r>
        <w:rPr>
          <w:rFonts w:hint="eastAsia"/>
        </w:rPr>
        <w:t>)</w:t>
      </w:r>
      <w:r>
        <w:rPr>
          <w:rFonts w:hint="eastAsia"/>
        </w:rPr>
        <w:t>提交了一份内容广泛的、关于公约</w:t>
      </w:r>
      <w:r>
        <w:rPr>
          <w:rFonts w:hint="eastAsia"/>
        </w:rPr>
        <w:t>1993-1994</w:t>
      </w:r>
      <w:r>
        <w:rPr>
          <w:rFonts w:hint="eastAsia"/>
        </w:rPr>
        <w:t>年执行情况的初次报告。委员会直到</w:t>
      </w:r>
      <w:r>
        <w:rPr>
          <w:rFonts w:hint="eastAsia"/>
        </w:rPr>
        <w:t>1997</w:t>
      </w:r>
      <w:r>
        <w:rPr>
          <w:rFonts w:hint="eastAsia"/>
        </w:rPr>
        <w:t>年年底才开始准备讨论这一报告。因此，在委员会</w:t>
      </w:r>
      <w:r>
        <w:rPr>
          <w:rFonts w:hint="eastAsia"/>
        </w:rPr>
        <w:t>1998</w:t>
      </w:r>
      <w:r>
        <w:rPr>
          <w:rFonts w:hint="eastAsia"/>
        </w:rPr>
        <w:t>年</w:t>
      </w:r>
      <w:r>
        <w:rPr>
          <w:rFonts w:hint="eastAsia"/>
        </w:rPr>
        <w:t>1</w:t>
      </w:r>
      <w:r>
        <w:rPr>
          <w:rFonts w:hint="eastAsia"/>
        </w:rPr>
        <w:t>月</w:t>
      </w:r>
      <w:r>
        <w:rPr>
          <w:rFonts w:hint="eastAsia"/>
        </w:rPr>
        <w:t>30</w:t>
      </w:r>
      <w:r>
        <w:rPr>
          <w:rFonts w:hint="eastAsia"/>
        </w:rPr>
        <w:t>日讨论初次报告时，捷克共和国补充了</w:t>
      </w:r>
      <w:r>
        <w:rPr>
          <w:rFonts w:hint="eastAsia"/>
        </w:rPr>
        <w:t>1994-1997</w:t>
      </w:r>
      <w:r>
        <w:rPr>
          <w:rFonts w:hint="eastAsia"/>
        </w:rPr>
        <w:t>年发展情况的资料。</w:t>
      </w:r>
    </w:p>
    <w:p w:rsidR="00000000" w:rsidRDefault="00000000">
      <w:pPr>
        <w:rPr>
          <w:rFonts w:hint="eastAsia"/>
        </w:rPr>
      </w:pPr>
      <w:r>
        <w:rPr>
          <w:rFonts w:hint="eastAsia"/>
        </w:rPr>
        <w:tab/>
        <w:t>142.  1999</w:t>
      </w:r>
      <w:r>
        <w:rPr>
          <w:rFonts w:hint="eastAsia"/>
        </w:rPr>
        <w:t>年，捷克共和国向委员会提交了第二份定期报告，其中主要叙述了自编写初次报告以来即</w:t>
      </w:r>
      <w:r>
        <w:rPr>
          <w:rFonts w:hint="eastAsia"/>
        </w:rPr>
        <w:t>1995</w:t>
      </w:r>
      <w:r>
        <w:rPr>
          <w:rFonts w:hint="eastAsia"/>
        </w:rPr>
        <w:t>年</w:t>
      </w:r>
      <w:r>
        <w:rPr>
          <w:rFonts w:hint="eastAsia"/>
        </w:rPr>
        <w:t>1</w:t>
      </w:r>
      <w:r>
        <w:rPr>
          <w:rFonts w:hint="eastAsia"/>
        </w:rPr>
        <w:t>月</w:t>
      </w:r>
      <w:r>
        <w:rPr>
          <w:rFonts w:hint="eastAsia"/>
        </w:rPr>
        <w:t>1</w:t>
      </w:r>
      <w:r>
        <w:rPr>
          <w:rFonts w:hint="eastAsia"/>
        </w:rPr>
        <w:t>日至</w:t>
      </w:r>
      <w:r>
        <w:rPr>
          <w:rFonts w:hint="eastAsia"/>
        </w:rPr>
        <w:t>1999</w:t>
      </w:r>
      <w:r>
        <w:rPr>
          <w:rFonts w:hint="eastAsia"/>
        </w:rPr>
        <w:t>年</w:t>
      </w:r>
      <w:r>
        <w:rPr>
          <w:rFonts w:hint="eastAsia"/>
        </w:rPr>
        <w:t>6</w:t>
      </w:r>
      <w:r>
        <w:rPr>
          <w:rFonts w:hint="eastAsia"/>
        </w:rPr>
        <w:t>月</w:t>
      </w:r>
      <w:r>
        <w:rPr>
          <w:rFonts w:hint="eastAsia"/>
        </w:rPr>
        <w:t>30</w:t>
      </w:r>
      <w:r>
        <w:rPr>
          <w:rFonts w:hint="eastAsia"/>
        </w:rPr>
        <w:t>日期间发生的重要变化。就上一次报告而言，第二次定期报告阐述了所采取的法律措施和其他措施，实事求是地叙述了在消除对妇女歧视方面所取得的进展、在妇女地位和平等权利方面发生的重大变化，以及导致消除让妇女参与政治、社会、经济和文化生活方面剩下的障碍并克服在讨论捷克共和国关于《歧视公约》履行情况的初次报告之后所指出的问题的步骤。</w:t>
      </w:r>
    </w:p>
    <w:p w:rsidR="00000000" w:rsidRDefault="00000000">
      <w:pPr>
        <w:rPr>
          <w:rFonts w:hint="eastAsia"/>
        </w:rPr>
      </w:pPr>
      <w:r>
        <w:rPr>
          <w:rFonts w:hint="eastAsia"/>
        </w:rPr>
        <w:tab/>
        <w:t xml:space="preserve">143.  </w:t>
      </w:r>
      <w:r>
        <w:rPr>
          <w:rFonts w:hint="eastAsia"/>
        </w:rPr>
        <w:t>该报告还详细援引了捷克共和国政府批准的关于男女平等的官方内部文件。这些文件有：</w:t>
      </w:r>
    </w:p>
    <w:p w:rsidR="00000000" w:rsidRDefault="00000000">
      <w:pPr>
        <w:numPr>
          <w:ilvl w:val="0"/>
          <w:numId w:val="61"/>
        </w:numPr>
        <w:rPr>
          <w:rFonts w:hint="eastAsia"/>
        </w:rPr>
      </w:pPr>
      <w:r>
        <w:rPr>
          <w:rFonts w:hint="eastAsia"/>
        </w:rPr>
        <w:t>政府在促进男女平等方面的优先次序和程序</w:t>
      </w:r>
      <w:r>
        <w:rPr>
          <w:rFonts w:hint="eastAsia"/>
        </w:rPr>
        <w:t xml:space="preserve"> </w:t>
      </w:r>
      <w:r>
        <w:rPr>
          <w:rStyle w:val="EndnoteReference"/>
        </w:rPr>
        <w:endnoteReference w:id="83"/>
      </w:r>
      <w:r>
        <w:rPr>
          <w:rFonts w:hint="eastAsia"/>
        </w:rPr>
        <w:t xml:space="preserve"> (</w:t>
      </w:r>
      <w:r>
        <w:rPr>
          <w:rFonts w:hint="eastAsia"/>
        </w:rPr>
        <w:t>“优先次序”</w:t>
      </w:r>
      <w:r>
        <w:rPr>
          <w:rFonts w:hint="eastAsia"/>
        </w:rPr>
        <w:t>)</w:t>
      </w:r>
      <w:r>
        <w:rPr>
          <w:rFonts w:hint="eastAsia"/>
        </w:rPr>
        <w:t>，该文件由劳动和社会事务部拟订并经过政府批准。政府通过决议责成各部部长承认和执行促进事实上实现男女平等权利的措施。该文件把政府的优先次序按照重要性划分成不同的领域。为了实现文件规定的目的，政府提出了具体的措施</w:t>
      </w:r>
      <w:r>
        <w:rPr>
          <w:rFonts w:hint="eastAsia"/>
        </w:rPr>
        <w:t>(</w:t>
      </w:r>
      <w:r>
        <w:rPr>
          <w:rFonts w:hint="eastAsia"/>
        </w:rPr>
        <w:t>步骤</w:t>
      </w:r>
      <w:r>
        <w:rPr>
          <w:rFonts w:hint="eastAsia"/>
        </w:rPr>
        <w:t>)</w:t>
      </w:r>
      <w:r>
        <w:rPr>
          <w:rFonts w:hint="eastAsia"/>
        </w:rPr>
        <w:t>、落实这些措施的最后时间以及负责人。政府每年对这些措施的落实情况进行评价。根据评价的结果，政府补充新的措施或者改变原有的措施。因此，这是一个开放性的文件，其内容可以随着当前的需要加以改变。共同编写、评价和更新文件的不仅有对男女平等形式和事实上的状况直接负责的各部和下级国家行政机关，而且还有感兴趣的公众，尤其是妇女问题非政府组织和社会合作伙伴</w:t>
      </w:r>
      <w:r>
        <w:rPr>
          <w:rFonts w:hint="eastAsia"/>
        </w:rPr>
        <w:t>(</w:t>
      </w:r>
      <w:r>
        <w:rPr>
          <w:rFonts w:hint="eastAsia"/>
        </w:rPr>
        <w:t>即工会和雇主组织</w:t>
      </w:r>
      <w:r>
        <w:rPr>
          <w:rFonts w:hint="eastAsia"/>
        </w:rPr>
        <w:t>)</w:t>
      </w:r>
      <w:r>
        <w:rPr>
          <w:rFonts w:hint="eastAsia"/>
        </w:rPr>
        <w:t>；</w:t>
      </w:r>
    </w:p>
    <w:p w:rsidR="00000000" w:rsidRDefault="00000000">
      <w:pPr>
        <w:numPr>
          <w:ilvl w:val="0"/>
          <w:numId w:val="61"/>
        </w:numPr>
        <w:rPr>
          <w:rFonts w:hint="eastAsia"/>
        </w:rPr>
      </w:pPr>
      <w:r>
        <w:rPr>
          <w:rFonts w:hint="eastAsia"/>
        </w:rPr>
        <w:t>优先次序履行情况的摘要报告。</w:t>
      </w:r>
      <w:r>
        <w:rPr>
          <w:rStyle w:val="EndnoteReference"/>
        </w:rPr>
        <w:endnoteReference w:id="84"/>
      </w:r>
      <w:r>
        <w:rPr>
          <w:rFonts w:hint="eastAsia"/>
        </w:rPr>
        <w:t xml:space="preserve">  </w:t>
      </w:r>
      <w:r>
        <w:rPr>
          <w:rFonts w:hint="eastAsia"/>
        </w:rPr>
        <w:t>评价还包括就原有措施的新的提法、原有措施的补充以及废止一项已经完成的措施提出建议。</w:t>
      </w:r>
    </w:p>
    <w:p w:rsidR="00000000" w:rsidRDefault="00000000">
      <w:pPr>
        <w:rPr>
          <w:rFonts w:hint="eastAsia"/>
        </w:rPr>
      </w:pPr>
      <w:r>
        <w:rPr>
          <w:rFonts w:hint="eastAsia"/>
        </w:rPr>
        <w:tab/>
        <w:t>144.  1999</w:t>
      </w:r>
      <w:r>
        <w:rPr>
          <w:rFonts w:hint="eastAsia"/>
        </w:rPr>
        <w:t>年</w:t>
      </w:r>
      <w:r>
        <w:rPr>
          <w:rFonts w:hint="eastAsia"/>
        </w:rPr>
        <w:t>4</w:t>
      </w:r>
      <w:r>
        <w:rPr>
          <w:rFonts w:hint="eastAsia"/>
        </w:rPr>
        <w:t>月，捷克共和国向联合国大会提出了一份评价其对北京会议结论履行情况的报告。该报告由劳动和社会事务部编写。</w:t>
      </w:r>
    </w:p>
    <w:p w:rsidR="00000000" w:rsidRDefault="00000000">
      <w:pPr>
        <w:rPr>
          <w:rFonts w:hint="eastAsia"/>
        </w:rPr>
      </w:pPr>
      <w:r>
        <w:rPr>
          <w:rFonts w:hint="eastAsia"/>
        </w:rPr>
        <w:tab/>
        <w:t>145.  1993</w:t>
      </w:r>
      <w:r>
        <w:rPr>
          <w:rFonts w:hint="eastAsia"/>
        </w:rPr>
        <w:t>年</w:t>
      </w:r>
      <w:r>
        <w:rPr>
          <w:rFonts w:hint="eastAsia"/>
        </w:rPr>
        <w:t>10</w:t>
      </w:r>
      <w:r>
        <w:rPr>
          <w:rFonts w:hint="eastAsia"/>
        </w:rPr>
        <w:t>月</w:t>
      </w:r>
      <w:r>
        <w:rPr>
          <w:rFonts w:hint="eastAsia"/>
        </w:rPr>
        <w:t>4</w:t>
      </w:r>
      <w:r>
        <w:rPr>
          <w:rFonts w:hint="eastAsia"/>
        </w:rPr>
        <w:t>日签订的《关于欧洲共同体及其成员国与捷克共和国之间建立联盟的欧洲协定》规定捷克共和国有义务逐步改变其现有和今后的法律规定，使之与欧盟的条例协调一致。这还意味着在所有雇用关系和社会保障领域采用男女平等待遇原则。结果，捷克共和国承诺从形式上确保首先在就业、接受职业教育、从事独立的行业和社会保障等方面提供应用和在实践中落实男女同工同酬原则和男女平等待遇原则的法律条件。</w:t>
      </w:r>
    </w:p>
    <w:p w:rsidR="00000000" w:rsidRDefault="00000000">
      <w:pPr>
        <w:rPr>
          <w:rFonts w:hint="eastAsia"/>
        </w:rPr>
      </w:pPr>
      <w:r>
        <w:rPr>
          <w:rFonts w:hint="eastAsia"/>
        </w:rPr>
        <w:tab/>
        <w:t xml:space="preserve">146.  </w:t>
      </w:r>
      <w:r>
        <w:rPr>
          <w:rFonts w:hint="eastAsia"/>
        </w:rPr>
        <w:t>政府使它通过的所有措施都要服从男女同等机会原则，因为政府认为适用这一原则是实现真正平等的有效办法。适用这一原则的前提是要提高人们对男女平等的认识。各部部长必须“在行政办事处雇员教育方案中增加人权教育，同时重视适用男女同等机会原则”</w:t>
      </w:r>
      <w:r>
        <w:rPr>
          <w:rFonts w:hint="eastAsia"/>
        </w:rPr>
        <w:t>(</w:t>
      </w:r>
      <w:r>
        <w:rPr>
          <w:rFonts w:hint="eastAsia"/>
        </w:rPr>
        <w:t>见“优先次序”</w:t>
      </w:r>
      <w:r>
        <w:rPr>
          <w:rFonts w:hint="eastAsia"/>
        </w:rPr>
        <w:t>)</w:t>
      </w:r>
      <w:r>
        <w:rPr>
          <w:rFonts w:hint="eastAsia"/>
        </w:rPr>
        <w:t>。</w:t>
      </w:r>
    </w:p>
    <w:p w:rsidR="00000000" w:rsidRDefault="00000000">
      <w:pPr>
        <w:rPr>
          <w:rFonts w:hint="eastAsia"/>
        </w:rPr>
      </w:pPr>
      <w:r>
        <w:rPr>
          <w:rFonts w:hint="eastAsia"/>
        </w:rPr>
        <w:tab/>
        <w:t xml:space="preserve">147.  </w:t>
      </w:r>
      <w:r>
        <w:rPr>
          <w:rFonts w:hint="eastAsia"/>
        </w:rPr>
        <w:t>政府于</w:t>
      </w:r>
      <w:r>
        <w:rPr>
          <w:rFonts w:hint="eastAsia"/>
        </w:rPr>
        <w:t>1999</w:t>
      </w:r>
      <w:r>
        <w:rPr>
          <w:rFonts w:hint="eastAsia"/>
        </w:rPr>
        <w:t>年</w:t>
      </w:r>
      <w:r>
        <w:rPr>
          <w:rFonts w:hint="eastAsia"/>
        </w:rPr>
        <w:t>5</w:t>
      </w:r>
      <w:r>
        <w:rPr>
          <w:rFonts w:hint="eastAsia"/>
        </w:rPr>
        <w:t>月在这一基本文件之外通过了一项被称之为“国家就业计划”</w:t>
      </w:r>
      <w:r>
        <w:rPr>
          <w:rStyle w:val="EndnoteReference"/>
        </w:rPr>
        <w:endnoteReference w:id="85"/>
      </w:r>
      <w:r>
        <w:rPr>
          <w:rFonts w:hint="eastAsia"/>
        </w:rPr>
        <w:t xml:space="preserve"> </w:t>
      </w:r>
      <w:r>
        <w:rPr>
          <w:rFonts w:hint="eastAsia"/>
        </w:rPr>
        <w:t>的新的就业政策。该计划包括了旨在在劳动力市场上创造男女同等的就业机会的措施。这项计划的制定实际上查明了各工作场所是否以及如何准备优先实施同等机会原则。根据所取得的经验，政府就这一方法所产生的结果责成各部部长，要求他们在持续的基础上使各部在其所有的筹备和执行阶段的计划、决策和评价程序都要遵守男女同等机会原则。这是政府对执行一项主流化政策的明确承诺。</w:t>
      </w:r>
    </w:p>
    <w:p w:rsidR="00000000" w:rsidRDefault="00000000">
      <w:pPr>
        <w:rPr>
          <w:rFonts w:hint="eastAsia"/>
        </w:rPr>
      </w:pPr>
      <w:r>
        <w:rPr>
          <w:rFonts w:hint="eastAsia"/>
        </w:rPr>
        <w:tab/>
        <w:t xml:space="preserve">148.  </w:t>
      </w:r>
      <w:r>
        <w:rPr>
          <w:rFonts w:hint="eastAsia"/>
        </w:rPr>
        <w:t>为此，《就业法》的一项修正案于</w:t>
      </w:r>
      <w:r>
        <w:rPr>
          <w:rFonts w:hint="eastAsia"/>
        </w:rPr>
        <w:t>1999</w:t>
      </w:r>
      <w:r>
        <w:rPr>
          <w:rFonts w:hint="eastAsia"/>
        </w:rPr>
        <w:t>年</w:t>
      </w:r>
      <w:r>
        <w:rPr>
          <w:rFonts w:hint="eastAsia"/>
        </w:rPr>
        <w:t>10</w:t>
      </w:r>
      <w:r>
        <w:rPr>
          <w:rFonts w:hint="eastAsia"/>
        </w:rPr>
        <w:t>月</w:t>
      </w:r>
      <w:r>
        <w:rPr>
          <w:rFonts w:hint="eastAsia"/>
        </w:rPr>
        <w:t>1</w:t>
      </w:r>
      <w:r>
        <w:rPr>
          <w:rFonts w:hint="eastAsia"/>
        </w:rPr>
        <w:t>日生效。</w:t>
      </w:r>
      <w:r>
        <w:rPr>
          <w:rStyle w:val="EndnoteReference"/>
        </w:rPr>
        <w:endnoteReference w:id="86"/>
      </w:r>
      <w:r>
        <w:rPr>
          <w:rFonts w:hint="eastAsia"/>
        </w:rPr>
        <w:t xml:space="preserve">  1999</w:t>
      </w:r>
      <w:r>
        <w:rPr>
          <w:rFonts w:hint="eastAsia"/>
        </w:rPr>
        <w:t>年</w:t>
      </w:r>
      <w:r>
        <w:rPr>
          <w:rFonts w:hint="eastAsia"/>
        </w:rPr>
        <w:t>11</w:t>
      </w:r>
      <w:r>
        <w:rPr>
          <w:rFonts w:hint="eastAsia"/>
        </w:rPr>
        <w:t>月，劳动和社会事务部部长提出了对其他有关劳动法关系的重要法律的修正案。这些修正案将于</w:t>
      </w:r>
      <w:r>
        <w:rPr>
          <w:rFonts w:hint="eastAsia"/>
        </w:rPr>
        <w:t>2000</w:t>
      </w:r>
      <w:r>
        <w:rPr>
          <w:rFonts w:hint="eastAsia"/>
        </w:rPr>
        <w:t>年</w:t>
      </w:r>
      <w:r>
        <w:rPr>
          <w:rFonts w:hint="eastAsia"/>
        </w:rPr>
        <w:t>7</w:t>
      </w:r>
      <w:r>
        <w:rPr>
          <w:rFonts w:hint="eastAsia"/>
        </w:rPr>
        <w:t>月生效。这些修正案分别修正的是《劳动法》、《待命工作的工资和报酬及平均收入法》</w:t>
      </w:r>
      <w:r>
        <w:rPr>
          <w:rStyle w:val="EndnoteReference"/>
        </w:rPr>
        <w:endnoteReference w:id="87"/>
      </w:r>
      <w:r>
        <w:rPr>
          <w:rFonts w:hint="eastAsia"/>
        </w:rPr>
        <w:t xml:space="preserve">  </w:t>
      </w:r>
      <w:r>
        <w:rPr>
          <w:rFonts w:hint="eastAsia"/>
        </w:rPr>
        <w:t>以及《预算资助的组织和某些其他组织和机构中待命工作的工资和报酬法》</w:t>
      </w:r>
      <w:r>
        <w:rPr>
          <w:rStyle w:val="EndnoteReference"/>
        </w:rPr>
        <w:endnoteReference w:id="88"/>
      </w:r>
      <w:r>
        <w:rPr>
          <w:rFonts w:hint="eastAsia"/>
        </w:rPr>
        <w:t xml:space="preserve"> </w:t>
      </w:r>
      <w:r>
        <w:rPr>
          <w:rFonts w:hint="eastAsia"/>
        </w:rPr>
        <w:t>。</w:t>
      </w:r>
    </w:p>
    <w:p w:rsidR="00000000" w:rsidRDefault="00000000">
      <w:pPr>
        <w:rPr>
          <w:rFonts w:hint="eastAsia"/>
        </w:rPr>
      </w:pPr>
      <w:r>
        <w:rPr>
          <w:rFonts w:hint="eastAsia"/>
        </w:rPr>
        <w:tab/>
      </w:r>
      <w:r>
        <w:rPr>
          <w:rFonts w:hint="eastAsia"/>
        </w:rPr>
        <w:t>修正案草案包括以下修改内容：</w:t>
      </w:r>
    </w:p>
    <w:p w:rsidR="00000000" w:rsidRDefault="00000000">
      <w:pPr>
        <w:pStyle w:val="a5"/>
        <w:rPr>
          <w:rFonts w:hint="eastAsia"/>
          <w:bCs/>
        </w:rPr>
      </w:pPr>
      <w:r>
        <w:t>(a)</w:t>
      </w:r>
      <w:r>
        <w:rPr>
          <w:rFonts w:hint="eastAsia"/>
        </w:rPr>
        <w:tab/>
      </w:r>
      <w:r>
        <w:rPr>
          <w:rFonts w:hint="eastAsia"/>
        </w:rPr>
        <w:t>《劳动法》修正案草案：规定了所有雇员在就业</w:t>
      </w:r>
      <w:r>
        <w:rPr>
          <w:rFonts w:hint="eastAsia"/>
        </w:rPr>
        <w:t>(</w:t>
      </w:r>
      <w:r>
        <w:rPr>
          <w:rFonts w:hint="eastAsia"/>
        </w:rPr>
        <w:t>接受职业教育、提升较高级职位或工作中的其他提升机会、提供工作条件、报酬</w:t>
      </w:r>
      <w:r>
        <w:rPr>
          <w:rFonts w:hint="eastAsia"/>
        </w:rPr>
        <w:t>)</w:t>
      </w:r>
      <w:r>
        <w:rPr>
          <w:rFonts w:hint="eastAsia"/>
        </w:rPr>
        <w:t>方面实行平等待遇原则；禁止基于性别、婚姻状况或家庭地位或家庭义务在劳动法关系方面进行歧视，其中包括禁止间接歧视、禁止性骚扰、禁止对依法寻求落实劳动法关系所产生的权利</w:t>
      </w:r>
      <w:r>
        <w:rPr>
          <w:rFonts w:hint="eastAsia"/>
        </w:rPr>
        <w:t>(</w:t>
      </w:r>
      <w:r>
        <w:rPr>
          <w:rFonts w:hint="eastAsia"/>
        </w:rPr>
        <w:t>其中包括男女在就业方面的平等待遇权利</w:t>
      </w:r>
      <w:r>
        <w:rPr>
          <w:rFonts w:hint="eastAsia"/>
        </w:rPr>
        <w:t>)</w:t>
      </w:r>
      <w:r>
        <w:rPr>
          <w:rFonts w:hint="eastAsia"/>
        </w:rPr>
        <w:t>的雇员采取报复行动</w:t>
      </w:r>
      <w:r>
        <w:rPr>
          <w:rFonts w:hint="eastAsia"/>
        </w:rPr>
        <w:t>(</w:t>
      </w:r>
      <w:r>
        <w:rPr>
          <w:rFonts w:hint="eastAsia"/>
        </w:rPr>
        <w:t>惩罚、不利措施</w:t>
      </w:r>
      <w:r>
        <w:rPr>
          <w:rFonts w:hint="eastAsia"/>
        </w:rPr>
        <w:t>)</w:t>
      </w:r>
      <w:r>
        <w:rPr>
          <w:rFonts w:hint="eastAsia"/>
        </w:rPr>
        <w:t>；指导雇员就违反有关男女平等待遇的权利和义务的案件或者工作场所不受欢迎的行为提出的投诉；</w:t>
      </w:r>
      <w:r>
        <w:rPr>
          <w:rFonts w:hint="eastAsia"/>
          <w:bCs/>
        </w:rPr>
        <w:t>增加了所谓的育幼儿假</w:t>
      </w:r>
      <w:r>
        <w:rPr>
          <w:rFonts w:hint="eastAsia"/>
          <w:bCs/>
        </w:rPr>
        <w:t>(</w:t>
      </w:r>
      <w:r>
        <w:rPr>
          <w:rFonts w:hint="eastAsia"/>
          <w:bCs/>
        </w:rPr>
        <w:t>由目前的“额外”产假转化而来</w:t>
      </w:r>
      <w:r>
        <w:rPr>
          <w:rFonts w:hint="eastAsia"/>
          <w:bCs/>
        </w:rPr>
        <w:t>)</w:t>
      </w:r>
      <w:r>
        <w:rPr>
          <w:rFonts w:hint="eastAsia"/>
          <w:bCs/>
        </w:rPr>
        <w:t>，而且在照料儿童的雇员所适用的其它条件方面采用了两性平等待遇原则；将规定雇主有义务告知雇员保护不受不平等待遇的所有法律规定；规定雇主有义务告知正在怀孕、哺乳或刚刚生产的妇女有关工作中的安全和健康保护情况；</w:t>
      </w:r>
    </w:p>
    <w:p w:rsidR="00000000" w:rsidRDefault="00000000">
      <w:pPr>
        <w:pStyle w:val="a5"/>
        <w:rPr>
          <w:rFonts w:hint="eastAsia"/>
        </w:rPr>
      </w:pPr>
      <w:r>
        <w:t>(b)</w:t>
      </w:r>
      <w:r>
        <w:rPr>
          <w:rFonts w:hint="eastAsia"/>
        </w:rPr>
        <w:tab/>
      </w:r>
      <w:r>
        <w:rPr>
          <w:rFonts w:hint="eastAsia"/>
        </w:rPr>
        <w:t>《待命工作的工资和报酬及平均收入法》的修正案草案和《预算资助的组织和某些其他组织和机构中待命工作的工资和报酬法》修正案：将采用开办企业的雇主对工种进行编目和评价的制度；将更加系统准确地表述无论性别同工同酬原则，即“同工同酬和同值工作同酬”。</w:t>
      </w:r>
    </w:p>
    <w:p w:rsidR="00000000" w:rsidRDefault="00000000">
      <w:pPr>
        <w:rPr>
          <w:rFonts w:hint="eastAsia"/>
          <w:bCs/>
        </w:rPr>
      </w:pPr>
      <w:r>
        <w:rPr>
          <w:rFonts w:hint="eastAsia"/>
          <w:bCs/>
        </w:rPr>
        <w:tab/>
        <w:t xml:space="preserve">149.  </w:t>
      </w:r>
      <w:r>
        <w:rPr>
          <w:rFonts w:hint="eastAsia"/>
          <w:bCs/>
        </w:rPr>
        <w:t>与上述法律一起，还对《捷克共和国警官服务关系法》</w:t>
      </w:r>
      <w:r>
        <w:rPr>
          <w:rFonts w:hint="eastAsia"/>
          <w:bCs/>
        </w:rPr>
        <w:t xml:space="preserve"> </w:t>
      </w:r>
      <w:r>
        <w:rPr>
          <w:rStyle w:val="EndnoteReference"/>
          <w:bCs/>
        </w:rPr>
        <w:endnoteReference w:id="89"/>
      </w:r>
      <w:r>
        <w:rPr>
          <w:rFonts w:hint="eastAsia"/>
          <w:bCs/>
        </w:rPr>
        <w:t xml:space="preserve"> </w:t>
      </w:r>
      <w:r>
        <w:rPr>
          <w:rFonts w:hint="eastAsia"/>
          <w:bCs/>
        </w:rPr>
        <w:t>、《安全信息服务法》</w:t>
      </w:r>
      <w:r>
        <w:rPr>
          <w:rFonts w:hint="eastAsia"/>
          <w:bCs/>
        </w:rPr>
        <w:t xml:space="preserve"> </w:t>
      </w:r>
      <w:r>
        <w:rPr>
          <w:rStyle w:val="EndnoteReference"/>
          <w:bCs/>
        </w:rPr>
        <w:endnoteReference w:id="90"/>
      </w:r>
      <w:r>
        <w:rPr>
          <w:rFonts w:hint="eastAsia"/>
          <w:bCs/>
        </w:rPr>
        <w:t xml:space="preserve"> </w:t>
      </w:r>
      <w:r>
        <w:rPr>
          <w:rFonts w:hint="eastAsia"/>
          <w:bCs/>
        </w:rPr>
        <w:t>和《职业军人法》</w:t>
      </w:r>
      <w:r>
        <w:rPr>
          <w:rFonts w:hint="eastAsia"/>
          <w:bCs/>
        </w:rPr>
        <w:t xml:space="preserve"> </w:t>
      </w:r>
      <w:r>
        <w:rPr>
          <w:rStyle w:val="EndnoteReference"/>
          <w:bCs/>
        </w:rPr>
        <w:endnoteReference w:id="91"/>
      </w:r>
      <w:r>
        <w:rPr>
          <w:rFonts w:hint="eastAsia"/>
          <w:bCs/>
        </w:rPr>
        <w:t xml:space="preserve"> </w:t>
      </w:r>
      <w:r>
        <w:rPr>
          <w:rFonts w:hint="eastAsia"/>
          <w:bCs/>
        </w:rPr>
        <w:t>作了修改</w:t>
      </w:r>
      <w:r>
        <w:rPr>
          <w:rFonts w:hint="eastAsia"/>
          <w:bCs/>
        </w:rPr>
        <w:t>(</w:t>
      </w:r>
      <w:r>
        <w:rPr>
          <w:rFonts w:hint="eastAsia"/>
          <w:bCs/>
        </w:rPr>
        <w:t>间接修改，通过修订《劳动法》和其它法律的方式</w:t>
      </w:r>
      <w:r>
        <w:rPr>
          <w:rFonts w:hint="eastAsia"/>
          <w:bCs/>
        </w:rPr>
        <w:t>)</w:t>
      </w:r>
      <w:r>
        <w:rPr>
          <w:rFonts w:hint="eastAsia"/>
          <w:bCs/>
        </w:rPr>
        <w:t>。男女平等待遇原则还在各种服务关系中作了与《劳动法》同样程度的规定</w:t>
      </w:r>
      <w:r>
        <w:rPr>
          <w:rFonts w:hint="eastAsia"/>
          <w:bCs/>
        </w:rPr>
        <w:t>(</w:t>
      </w:r>
      <w:r>
        <w:rPr>
          <w:rFonts w:hint="eastAsia"/>
          <w:bCs/>
        </w:rPr>
        <w:t>包括使照料幼儿的男女官员享有同等地位</w:t>
      </w:r>
      <w:r>
        <w:rPr>
          <w:rFonts w:hint="eastAsia"/>
          <w:bCs/>
        </w:rPr>
        <w:t>)</w:t>
      </w:r>
      <w:r>
        <w:rPr>
          <w:rFonts w:hint="eastAsia"/>
          <w:bCs/>
        </w:rPr>
        <w:t>。</w:t>
      </w:r>
    </w:p>
    <w:p w:rsidR="00000000" w:rsidRDefault="00000000">
      <w:pPr>
        <w:rPr>
          <w:rFonts w:hint="eastAsia"/>
          <w:bCs/>
        </w:rPr>
      </w:pPr>
      <w:r>
        <w:rPr>
          <w:rFonts w:hint="eastAsia"/>
          <w:bCs/>
        </w:rPr>
        <w:tab/>
        <w:t xml:space="preserve">150.  </w:t>
      </w:r>
      <w:r>
        <w:rPr>
          <w:rFonts w:hint="eastAsia"/>
          <w:bCs/>
        </w:rPr>
        <w:t>欧共体委员会关于在提供就业机会、职业预备、促进就业和工作条件方面执行男女平等待遇原则的第</w:t>
      </w:r>
      <w:r>
        <w:rPr>
          <w:rFonts w:hint="eastAsia"/>
          <w:bCs/>
        </w:rPr>
        <w:t xml:space="preserve">76/207/EEC </w:t>
      </w:r>
      <w:r>
        <w:rPr>
          <w:rFonts w:hint="eastAsia"/>
          <w:bCs/>
        </w:rPr>
        <w:t>号指令第</w:t>
      </w:r>
      <w:r>
        <w:rPr>
          <w:rFonts w:hint="eastAsia"/>
          <w:bCs/>
        </w:rPr>
        <w:t>2</w:t>
      </w:r>
      <w:r>
        <w:rPr>
          <w:rFonts w:hint="eastAsia"/>
          <w:bCs/>
        </w:rPr>
        <w:t>条中规定，“本指令应当无损于成员国把由于其性质或从事的环境的原因致使工人的性别构成决定性因素的职业活动以及适当时把与其有关的培训从本指令的适用范围中排除出去的权利。”卫生部关于《劳动法》的实施令也涉及到了这一点。</w:t>
      </w:r>
      <w:r>
        <w:rPr>
          <w:rStyle w:val="EndnoteReference"/>
          <w:bCs/>
        </w:rPr>
        <w:endnoteReference w:id="92"/>
      </w:r>
      <w:r>
        <w:rPr>
          <w:rFonts w:hint="eastAsia"/>
          <w:bCs/>
        </w:rPr>
        <w:t xml:space="preserve"> </w:t>
      </w:r>
      <w:r>
        <w:rPr>
          <w:rFonts w:hint="eastAsia"/>
          <w:bCs/>
        </w:rPr>
        <w:t>在该实施令第</w:t>
      </w:r>
      <w:r>
        <w:rPr>
          <w:rFonts w:hint="eastAsia"/>
          <w:bCs/>
        </w:rPr>
        <w:t>1</w:t>
      </w:r>
      <w:r>
        <w:rPr>
          <w:rFonts w:hint="eastAsia"/>
          <w:bCs/>
        </w:rPr>
        <w:t>至</w:t>
      </w:r>
      <w:r>
        <w:rPr>
          <w:rFonts w:hint="eastAsia"/>
          <w:bCs/>
        </w:rPr>
        <w:t>3</w:t>
      </w:r>
      <w:r>
        <w:rPr>
          <w:rFonts w:hint="eastAsia"/>
          <w:bCs/>
        </w:rPr>
        <w:t>条的广泛规定中，包含了上述各种工作和工作场所的定义。</w:t>
      </w:r>
    </w:p>
    <w:p w:rsidR="00000000" w:rsidRDefault="00000000">
      <w:pPr>
        <w:rPr>
          <w:rFonts w:hint="eastAsia"/>
          <w:bCs/>
        </w:rPr>
      </w:pPr>
      <w:r>
        <w:rPr>
          <w:rFonts w:hint="eastAsia"/>
          <w:bCs/>
        </w:rPr>
        <w:tab/>
        <w:t xml:space="preserve">151.  </w:t>
      </w:r>
      <w:r>
        <w:rPr>
          <w:rFonts w:hint="eastAsia"/>
          <w:bCs/>
        </w:rPr>
        <w:t>男女在报酬方面继续存在着差异也因此成为政府和中央国家行政机构长期关注的焦点。因此，在捷克共和国，按性别划分的收入在有关工资的抽样统计调查中是作为最重要的分类标准之一进行跟踪的。这项研究最近是在</w:t>
      </w:r>
      <w:r>
        <w:rPr>
          <w:rFonts w:hint="eastAsia"/>
          <w:bCs/>
        </w:rPr>
        <w:t>1996</w:t>
      </w:r>
      <w:r>
        <w:rPr>
          <w:rFonts w:hint="eastAsia"/>
          <w:bCs/>
        </w:rPr>
        <w:t>年和</w:t>
      </w:r>
      <w:r>
        <w:rPr>
          <w:rFonts w:hint="eastAsia"/>
          <w:bCs/>
        </w:rPr>
        <w:t>1997</w:t>
      </w:r>
      <w:r>
        <w:rPr>
          <w:rFonts w:hint="eastAsia"/>
          <w:bCs/>
        </w:rPr>
        <w:t>年进行的。</w:t>
      </w:r>
    </w:p>
    <w:p w:rsidR="00000000" w:rsidRDefault="00000000">
      <w:pPr>
        <w:rPr>
          <w:rFonts w:hint="eastAsia"/>
          <w:bCs/>
        </w:rPr>
      </w:pPr>
      <w:r>
        <w:rPr>
          <w:rFonts w:hint="eastAsia"/>
          <w:bCs/>
        </w:rPr>
        <w:tab/>
        <w:t xml:space="preserve">152.  </w:t>
      </w:r>
      <w:r>
        <w:rPr>
          <w:rFonts w:hint="eastAsia"/>
          <w:bCs/>
        </w:rPr>
        <w:t>如果我们要谈论妇女的工资差异，就必须对妇女在劳动市场的状况有一个总体的了解。妇女的工种结构和男子的工种结构是不同的，而且这一因素对平均收入有着很大的影响。其它突出的因素有：经济活动的分支部门和企业类型</w:t>
      </w:r>
      <w:r>
        <w:rPr>
          <w:rFonts w:hint="eastAsia"/>
          <w:bCs/>
        </w:rPr>
        <w:t>(</w:t>
      </w:r>
      <w:r>
        <w:rPr>
          <w:rFonts w:hint="eastAsia"/>
          <w:bCs/>
        </w:rPr>
        <w:t>所有制部门</w:t>
      </w:r>
      <w:r>
        <w:rPr>
          <w:rFonts w:hint="eastAsia"/>
          <w:bCs/>
        </w:rPr>
        <w:t>)</w:t>
      </w:r>
      <w:r>
        <w:rPr>
          <w:rFonts w:hint="eastAsia"/>
          <w:bCs/>
        </w:rPr>
        <w:t>、雇员资格要求</w:t>
      </w:r>
      <w:r>
        <w:rPr>
          <w:rFonts w:hint="eastAsia"/>
          <w:bCs/>
        </w:rPr>
        <w:t>(</w:t>
      </w:r>
      <w:r>
        <w:rPr>
          <w:rFonts w:hint="eastAsia"/>
          <w:bCs/>
        </w:rPr>
        <w:t>教育、工资等级</w:t>
      </w:r>
      <w:r>
        <w:rPr>
          <w:rFonts w:hint="eastAsia"/>
          <w:bCs/>
        </w:rPr>
        <w:t>)</w:t>
      </w:r>
      <w:r>
        <w:rPr>
          <w:rFonts w:hint="eastAsia"/>
          <w:bCs/>
        </w:rPr>
        <w:t>以及与男女职业生涯有关的年龄。平均工资还受到许多确切的因素</w:t>
      </w:r>
      <w:r>
        <w:rPr>
          <w:rFonts w:hint="eastAsia"/>
          <w:bCs/>
          <w:spacing w:val="-50"/>
        </w:rPr>
        <w:t>―</w:t>
      </w:r>
      <w:r>
        <w:rPr>
          <w:rFonts w:hint="eastAsia"/>
          <w:bCs/>
        </w:rPr>
        <w:t>―尤其是雇员的工作时间和工种</w:t>
      </w:r>
      <w:r>
        <w:rPr>
          <w:rFonts w:hint="eastAsia"/>
          <w:bCs/>
        </w:rPr>
        <w:t>(</w:t>
      </w:r>
      <w:r>
        <w:rPr>
          <w:rFonts w:hint="eastAsia"/>
          <w:bCs/>
        </w:rPr>
        <w:t>所从事的工作</w:t>
      </w:r>
      <w:r>
        <w:rPr>
          <w:rFonts w:hint="eastAsia"/>
          <w:bCs/>
        </w:rPr>
        <w:t>)</w:t>
      </w:r>
      <w:r>
        <w:rPr>
          <w:rFonts w:hint="eastAsia"/>
          <w:bCs/>
          <w:spacing w:val="-50"/>
        </w:rPr>
        <w:t>―</w:t>
      </w:r>
      <w:r>
        <w:rPr>
          <w:rFonts w:hint="eastAsia"/>
          <w:bCs/>
        </w:rPr>
        <w:t>―的影响。有鉴于此，不能说在男女平均工资方面发现的差异就是性别歧视的明显标志。</w:t>
      </w:r>
    </w:p>
    <w:p w:rsidR="00000000" w:rsidRDefault="00000000">
      <w:pPr>
        <w:pStyle w:val="Heading3"/>
        <w:rPr>
          <w:rFonts w:hint="eastAsia"/>
        </w:rPr>
      </w:pPr>
      <w:r>
        <w:rPr>
          <w:rFonts w:hint="eastAsia"/>
        </w:rPr>
        <w:t>雇员月平均工资总额</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000000">
        <w:tblPrEx>
          <w:tblCellMar>
            <w:top w:w="0" w:type="dxa"/>
            <w:bottom w:w="0" w:type="dxa"/>
          </w:tblCellMar>
        </w:tblPrEx>
        <w:tc>
          <w:tcPr>
            <w:tcW w:w="1914" w:type="dxa"/>
          </w:tcPr>
          <w:p w:rsidR="00000000" w:rsidRDefault="00000000">
            <w:pPr>
              <w:pStyle w:val="aa"/>
              <w:jc w:val="center"/>
              <w:rPr>
                <w:rFonts w:hint="eastAsia"/>
              </w:rPr>
            </w:pPr>
            <w:r>
              <w:rPr>
                <w:rFonts w:hint="eastAsia"/>
              </w:rPr>
              <w:t>年</w:t>
            </w:r>
            <w:r>
              <w:t xml:space="preserve">  </w:t>
            </w:r>
            <w:r>
              <w:rPr>
                <w:rFonts w:hint="eastAsia"/>
              </w:rPr>
              <w:t>份</w:t>
            </w:r>
          </w:p>
        </w:tc>
        <w:tc>
          <w:tcPr>
            <w:tcW w:w="1914" w:type="dxa"/>
          </w:tcPr>
          <w:p w:rsidR="00000000" w:rsidRDefault="00000000">
            <w:pPr>
              <w:pStyle w:val="aa"/>
              <w:jc w:val="center"/>
              <w:rPr>
                <w:rFonts w:hint="eastAsia"/>
              </w:rPr>
            </w:pPr>
            <w:r>
              <w:rPr>
                <w:rFonts w:hint="eastAsia"/>
              </w:rPr>
              <w:t>雇员总数</w:t>
            </w:r>
          </w:p>
        </w:tc>
        <w:tc>
          <w:tcPr>
            <w:tcW w:w="1914" w:type="dxa"/>
          </w:tcPr>
          <w:p w:rsidR="00000000" w:rsidRDefault="00000000">
            <w:pPr>
              <w:pStyle w:val="aa"/>
              <w:jc w:val="center"/>
            </w:pPr>
            <w:r>
              <w:rPr>
                <w:rFonts w:hint="eastAsia"/>
              </w:rPr>
              <w:t>男</w:t>
            </w:r>
            <w:r>
              <w:t xml:space="preserve">  </w:t>
            </w:r>
            <w:r>
              <w:rPr>
                <w:rFonts w:hint="eastAsia"/>
              </w:rPr>
              <w:t>子</w:t>
            </w:r>
          </w:p>
        </w:tc>
        <w:tc>
          <w:tcPr>
            <w:tcW w:w="1914" w:type="dxa"/>
          </w:tcPr>
          <w:p w:rsidR="00000000" w:rsidRDefault="00000000">
            <w:pPr>
              <w:pStyle w:val="aa"/>
              <w:jc w:val="center"/>
              <w:rPr>
                <w:rFonts w:hint="eastAsia"/>
              </w:rPr>
            </w:pPr>
            <w:r>
              <w:rPr>
                <w:rFonts w:hint="eastAsia"/>
              </w:rPr>
              <w:t>妇</w:t>
            </w:r>
            <w:r>
              <w:t xml:space="preserve">  </w:t>
            </w:r>
            <w:r>
              <w:rPr>
                <w:rFonts w:hint="eastAsia"/>
              </w:rPr>
              <w:t>女</w:t>
            </w:r>
          </w:p>
        </w:tc>
        <w:tc>
          <w:tcPr>
            <w:tcW w:w="1915" w:type="dxa"/>
          </w:tcPr>
          <w:p w:rsidR="00000000" w:rsidRDefault="00000000">
            <w:pPr>
              <w:pStyle w:val="aa"/>
              <w:jc w:val="center"/>
              <w:rPr>
                <w:rFonts w:hint="eastAsia"/>
              </w:rPr>
            </w:pPr>
            <w:r>
              <w:t xml:space="preserve">  </w:t>
            </w:r>
            <w:r>
              <w:rPr>
                <w:rFonts w:hint="eastAsia"/>
              </w:rPr>
              <w:t>对应率</w:t>
            </w:r>
            <w:r>
              <w:rPr>
                <w:rFonts w:hint="eastAsia"/>
              </w:rPr>
              <w:t xml:space="preserve"> </w:t>
            </w:r>
            <w:r>
              <w:rPr>
                <w:u w:val="single"/>
              </w:rPr>
              <w:t>a</w:t>
            </w:r>
            <w:r>
              <w:t>/</w:t>
            </w:r>
          </w:p>
        </w:tc>
      </w:tr>
      <w:tr w:rsidR="00000000">
        <w:tblPrEx>
          <w:tblCellMar>
            <w:top w:w="0" w:type="dxa"/>
            <w:bottom w:w="0" w:type="dxa"/>
          </w:tblCellMar>
        </w:tblPrEx>
        <w:tc>
          <w:tcPr>
            <w:tcW w:w="1914" w:type="dxa"/>
          </w:tcPr>
          <w:p w:rsidR="00000000" w:rsidRDefault="00000000">
            <w:pPr>
              <w:pStyle w:val="aa"/>
              <w:jc w:val="center"/>
              <w:rPr>
                <w:rFonts w:hint="eastAsia"/>
              </w:rPr>
            </w:pPr>
            <w:r>
              <w:rPr>
                <w:rFonts w:hint="eastAsia"/>
              </w:rPr>
              <w:t>1996</w:t>
            </w:r>
          </w:p>
        </w:tc>
        <w:tc>
          <w:tcPr>
            <w:tcW w:w="1914" w:type="dxa"/>
          </w:tcPr>
          <w:p w:rsidR="00000000" w:rsidRDefault="00000000">
            <w:pPr>
              <w:pStyle w:val="aa"/>
              <w:jc w:val="center"/>
              <w:rPr>
                <w:rFonts w:hint="eastAsia"/>
              </w:rPr>
            </w:pPr>
            <w:r>
              <w:t xml:space="preserve"> </w:t>
            </w:r>
            <w:r>
              <w:rPr>
                <w:rFonts w:hint="eastAsia"/>
              </w:rPr>
              <w:t>9,610</w:t>
            </w:r>
          </w:p>
        </w:tc>
        <w:tc>
          <w:tcPr>
            <w:tcW w:w="1914" w:type="dxa"/>
          </w:tcPr>
          <w:p w:rsidR="00000000" w:rsidRDefault="00000000">
            <w:pPr>
              <w:pStyle w:val="aa"/>
              <w:jc w:val="center"/>
              <w:rPr>
                <w:rFonts w:hint="eastAsia"/>
              </w:rPr>
            </w:pPr>
            <w:r>
              <w:rPr>
                <w:rFonts w:hint="eastAsia"/>
              </w:rPr>
              <w:t>10,874</w:t>
            </w:r>
          </w:p>
        </w:tc>
        <w:tc>
          <w:tcPr>
            <w:tcW w:w="1914" w:type="dxa"/>
          </w:tcPr>
          <w:p w:rsidR="00000000" w:rsidRDefault="00000000">
            <w:pPr>
              <w:pStyle w:val="aa"/>
              <w:jc w:val="center"/>
              <w:rPr>
                <w:rFonts w:hint="eastAsia"/>
              </w:rPr>
            </w:pPr>
            <w:r>
              <w:rPr>
                <w:rFonts w:hint="eastAsia"/>
              </w:rPr>
              <w:t>8,026</w:t>
            </w:r>
          </w:p>
        </w:tc>
        <w:tc>
          <w:tcPr>
            <w:tcW w:w="1915" w:type="dxa"/>
          </w:tcPr>
          <w:p w:rsidR="00000000" w:rsidRDefault="00000000">
            <w:pPr>
              <w:pStyle w:val="aa"/>
              <w:jc w:val="center"/>
            </w:pPr>
            <w:r>
              <w:rPr>
                <w:rFonts w:hint="eastAsia"/>
              </w:rPr>
              <w:t>73.8</w:t>
            </w:r>
          </w:p>
        </w:tc>
      </w:tr>
      <w:tr w:rsidR="00000000">
        <w:tblPrEx>
          <w:tblCellMar>
            <w:top w:w="0" w:type="dxa"/>
            <w:bottom w:w="0" w:type="dxa"/>
          </w:tblCellMar>
        </w:tblPrEx>
        <w:tc>
          <w:tcPr>
            <w:tcW w:w="1914" w:type="dxa"/>
          </w:tcPr>
          <w:p w:rsidR="00000000" w:rsidRDefault="00000000">
            <w:pPr>
              <w:pStyle w:val="aa"/>
              <w:jc w:val="center"/>
              <w:rPr>
                <w:rFonts w:hint="eastAsia"/>
              </w:rPr>
            </w:pPr>
            <w:r>
              <w:rPr>
                <w:rFonts w:hint="eastAsia"/>
              </w:rPr>
              <w:t>1997</w:t>
            </w:r>
          </w:p>
        </w:tc>
        <w:tc>
          <w:tcPr>
            <w:tcW w:w="1914" w:type="dxa"/>
          </w:tcPr>
          <w:p w:rsidR="00000000" w:rsidRDefault="00000000">
            <w:pPr>
              <w:pStyle w:val="aa"/>
              <w:jc w:val="center"/>
            </w:pPr>
            <w:r>
              <w:t>11,017</w:t>
            </w:r>
          </w:p>
        </w:tc>
        <w:tc>
          <w:tcPr>
            <w:tcW w:w="1914" w:type="dxa"/>
          </w:tcPr>
          <w:p w:rsidR="00000000" w:rsidRDefault="00000000">
            <w:pPr>
              <w:pStyle w:val="aa"/>
              <w:jc w:val="center"/>
            </w:pPr>
            <w:r>
              <w:t>12,632</w:t>
            </w:r>
          </w:p>
        </w:tc>
        <w:tc>
          <w:tcPr>
            <w:tcW w:w="1914" w:type="dxa"/>
          </w:tcPr>
          <w:p w:rsidR="00000000" w:rsidRDefault="00000000">
            <w:pPr>
              <w:pStyle w:val="aa"/>
              <w:jc w:val="center"/>
            </w:pPr>
            <w:r>
              <w:t>9,275</w:t>
            </w:r>
          </w:p>
        </w:tc>
        <w:tc>
          <w:tcPr>
            <w:tcW w:w="1915" w:type="dxa"/>
          </w:tcPr>
          <w:p w:rsidR="00000000" w:rsidRDefault="00000000">
            <w:pPr>
              <w:pStyle w:val="aa"/>
              <w:jc w:val="center"/>
            </w:pPr>
            <w:r>
              <w:t>73.4</w:t>
            </w:r>
          </w:p>
        </w:tc>
      </w:tr>
    </w:tbl>
    <w:p w:rsidR="00000000" w:rsidRDefault="00000000">
      <w:pPr>
        <w:pStyle w:val="FootnoteText"/>
        <w:spacing w:before="160"/>
        <w:rPr>
          <w:rFonts w:hint="eastAsia"/>
        </w:rPr>
      </w:pPr>
      <w:r>
        <w:rPr>
          <w:u w:val="single"/>
        </w:rPr>
        <w:t>a</w:t>
      </w:r>
      <w:r>
        <w:t>/</w:t>
      </w:r>
      <w:r>
        <w:tab/>
      </w:r>
      <w:r>
        <w:rPr>
          <w:rFonts w:hint="eastAsia"/>
        </w:rPr>
        <w:t>对应率按妇女工资与男子工资的百分比例表示。</w:t>
      </w:r>
    </w:p>
    <w:p w:rsidR="00000000" w:rsidRDefault="00000000">
      <w:pPr>
        <w:spacing w:before="240"/>
        <w:rPr>
          <w:rFonts w:hint="eastAsia"/>
        </w:rPr>
      </w:pPr>
      <w:r>
        <w:rPr>
          <w:rFonts w:hint="eastAsia"/>
        </w:rPr>
        <w:tab/>
        <w:t xml:space="preserve">153.  </w:t>
      </w:r>
      <w:r>
        <w:rPr>
          <w:rFonts w:hint="eastAsia"/>
        </w:rPr>
        <w:t>对国民经济所有部门雇员工资的调查所作的分析</w:t>
      </w:r>
      <w:r>
        <w:rPr>
          <w:rFonts w:hint="eastAsia"/>
        </w:rPr>
        <w:t xml:space="preserve"> </w:t>
      </w:r>
      <w:r>
        <w:rPr>
          <w:rStyle w:val="EndnoteReference"/>
        </w:rPr>
        <w:endnoteReference w:id="93"/>
      </w:r>
      <w:r>
        <w:rPr>
          <w:rFonts w:hint="eastAsia"/>
        </w:rPr>
        <w:t xml:space="preserve"> </w:t>
      </w:r>
      <w:r>
        <w:rPr>
          <w:rFonts w:hint="eastAsia"/>
        </w:rPr>
        <w:t>得出以下结论：</w:t>
      </w:r>
    </w:p>
    <w:p w:rsidR="00000000" w:rsidRDefault="00000000">
      <w:pPr>
        <w:numPr>
          <w:ilvl w:val="0"/>
          <w:numId w:val="63"/>
        </w:numPr>
        <w:rPr>
          <w:rFonts w:hint="eastAsia"/>
        </w:rPr>
      </w:pPr>
      <w:r>
        <w:rPr>
          <w:rFonts w:hint="eastAsia"/>
        </w:rPr>
        <w:t>工作时间极大地影响平均工资的对应率；在</w:t>
      </w:r>
      <w:r>
        <w:rPr>
          <w:rFonts w:hint="eastAsia"/>
        </w:rPr>
        <w:t>1997</w:t>
      </w:r>
      <w:r>
        <w:rPr>
          <w:rFonts w:hint="eastAsia"/>
        </w:rPr>
        <w:t>年，只有</w:t>
      </w:r>
      <w:r>
        <w:t>2.7%</w:t>
      </w:r>
      <w:r>
        <w:rPr>
          <w:rFonts w:hint="eastAsia"/>
        </w:rPr>
        <w:t>的男子未出全勤，但妇女却有</w:t>
      </w:r>
      <w:r>
        <w:t>8.5%</w:t>
      </w:r>
      <w:r>
        <w:rPr>
          <w:rFonts w:hint="eastAsia"/>
        </w:rPr>
        <w:t>未出全勤；男子的加班时数更多；</w:t>
      </w:r>
    </w:p>
    <w:p w:rsidR="00000000" w:rsidRDefault="00000000">
      <w:pPr>
        <w:numPr>
          <w:ilvl w:val="0"/>
          <w:numId w:val="63"/>
        </w:numPr>
        <w:rPr>
          <w:rFonts w:hint="eastAsia"/>
        </w:rPr>
      </w:pPr>
      <w:r>
        <w:rPr>
          <w:rFonts w:hint="eastAsia"/>
        </w:rPr>
        <w:t>妇女接受教育的水平一般比男子高，而且主要在要求完成中等教育的工作类别中占据主导地位。在大专教育和科学培训这两个最高的级别，男子比女子更多；</w:t>
      </w:r>
    </w:p>
    <w:p w:rsidR="00000000" w:rsidRDefault="00000000">
      <w:pPr>
        <w:numPr>
          <w:ilvl w:val="0"/>
          <w:numId w:val="63"/>
        </w:numPr>
        <w:rPr>
          <w:rFonts w:hint="eastAsia"/>
        </w:rPr>
      </w:pPr>
      <w:r>
        <w:rPr>
          <w:rFonts w:hint="eastAsia"/>
        </w:rPr>
        <w:t>妇女一方面在非手工操作的工种占主导地位</w:t>
      </w:r>
      <w:r>
        <w:rPr>
          <w:rFonts w:hint="eastAsia"/>
        </w:rPr>
        <w:t>(</w:t>
      </w:r>
      <w:r>
        <w:rPr>
          <w:rFonts w:hint="eastAsia"/>
        </w:rPr>
        <w:t>但管理和监督人员除外</w:t>
      </w:r>
      <w:r>
        <w:rPr>
          <w:rFonts w:hint="eastAsia"/>
        </w:rPr>
        <w:t>)</w:t>
      </w:r>
      <w:r>
        <w:rPr>
          <w:rFonts w:hint="eastAsia"/>
        </w:rPr>
        <w:t>，而另一方面也占无资格劳动者的绝大多数；相比之下，男子在有资格劳动者职业中占支配地位。男子比女子更多地担任着管理职务</w:t>
      </w:r>
      <w:r>
        <w:rPr>
          <w:rFonts w:hint="eastAsia"/>
        </w:rPr>
        <w:t>(56%)</w:t>
      </w:r>
      <w:r>
        <w:rPr>
          <w:rFonts w:hint="eastAsia"/>
        </w:rPr>
        <w:t>；</w:t>
      </w:r>
    </w:p>
    <w:p w:rsidR="00000000" w:rsidRDefault="00000000">
      <w:pPr>
        <w:numPr>
          <w:ilvl w:val="0"/>
          <w:numId w:val="63"/>
        </w:numPr>
        <w:rPr>
          <w:rFonts w:hint="eastAsia"/>
        </w:rPr>
      </w:pPr>
      <w:r>
        <w:rPr>
          <w:rFonts w:hint="eastAsia"/>
        </w:rPr>
        <w:t>在纳税或工资级别</w:t>
      </w:r>
      <w:r>
        <w:rPr>
          <w:rFonts w:hint="eastAsia"/>
        </w:rPr>
        <w:t>(</w:t>
      </w:r>
      <w:r>
        <w:rPr>
          <w:rFonts w:hint="eastAsia"/>
        </w:rPr>
        <w:t>表明了雇员的资格</w:t>
      </w:r>
      <w:r>
        <w:rPr>
          <w:rFonts w:hint="eastAsia"/>
        </w:rPr>
        <w:t>)</w:t>
      </w:r>
      <w:r>
        <w:rPr>
          <w:rFonts w:hint="eastAsia"/>
        </w:rPr>
        <w:t>所作的划分中，妇女在较低级别中占了绝大多数，而男子则占了较高级别的绝大多数。这与上述分类是一致的。男子越来越多地在最高的三级中占主导地位；最高一级只有</w:t>
      </w:r>
      <w:r>
        <w:rPr>
          <w:rFonts w:hint="eastAsia"/>
        </w:rPr>
        <w:t>12%</w:t>
      </w:r>
      <w:r>
        <w:rPr>
          <w:rFonts w:hint="eastAsia"/>
        </w:rPr>
        <w:t>的妇女；</w:t>
      </w:r>
    </w:p>
    <w:p w:rsidR="00000000" w:rsidRDefault="00000000">
      <w:pPr>
        <w:numPr>
          <w:ilvl w:val="0"/>
          <w:numId w:val="63"/>
        </w:numPr>
        <w:rPr>
          <w:rFonts w:hint="eastAsia"/>
        </w:rPr>
      </w:pPr>
      <w:r>
        <w:rPr>
          <w:rFonts w:hint="eastAsia"/>
        </w:rPr>
        <w:t>从时间上看，妇女的职业生涯与男子不同</w:t>
      </w:r>
      <w:r>
        <w:rPr>
          <w:rFonts w:hint="eastAsia"/>
        </w:rPr>
        <w:t>(</w:t>
      </w:r>
      <w:r>
        <w:rPr>
          <w:rFonts w:hint="eastAsia"/>
        </w:rPr>
        <w:t>被产假中断，有时是反复被中断</w:t>
      </w:r>
      <w:r>
        <w:rPr>
          <w:rFonts w:hint="eastAsia"/>
        </w:rPr>
        <w:t>)</w:t>
      </w:r>
      <w:r>
        <w:rPr>
          <w:rFonts w:hint="eastAsia"/>
        </w:rPr>
        <w:t>。一般来讲，雇员的平均工资在职业生涯结束时最高；考虑到提前退休，妇女达到平均最高工资的年龄在</w:t>
      </w:r>
      <w:r>
        <w:rPr>
          <w:rFonts w:hint="eastAsia"/>
        </w:rPr>
        <w:t>55</w:t>
      </w:r>
      <w:r>
        <w:rPr>
          <w:rFonts w:hint="eastAsia"/>
        </w:rPr>
        <w:t>至</w:t>
      </w:r>
      <w:r>
        <w:rPr>
          <w:rFonts w:hint="eastAsia"/>
        </w:rPr>
        <w:t>59</w:t>
      </w:r>
      <w:r>
        <w:rPr>
          <w:rFonts w:hint="eastAsia"/>
        </w:rPr>
        <w:t>岁</w:t>
      </w:r>
      <w:r>
        <w:rPr>
          <w:rFonts w:hint="eastAsia"/>
        </w:rPr>
        <w:t>(</w:t>
      </w:r>
      <w:r>
        <w:rPr>
          <w:rFonts w:hint="eastAsia"/>
        </w:rPr>
        <w:t>从职业生涯开始起工资增长率低于</w:t>
      </w:r>
      <w:r>
        <w:rPr>
          <w:rFonts w:hint="eastAsia"/>
        </w:rPr>
        <w:t>33%)</w:t>
      </w:r>
      <w:r>
        <w:rPr>
          <w:rFonts w:hint="eastAsia"/>
        </w:rPr>
        <w:t>，而男子则在</w:t>
      </w:r>
      <w:r>
        <w:rPr>
          <w:rFonts w:hint="eastAsia"/>
        </w:rPr>
        <w:t>60</w:t>
      </w:r>
      <w:r>
        <w:rPr>
          <w:rFonts w:hint="eastAsia"/>
        </w:rPr>
        <w:t>岁以后</w:t>
      </w:r>
      <w:r>
        <w:rPr>
          <w:rFonts w:hint="eastAsia"/>
        </w:rPr>
        <w:t>(</w:t>
      </w:r>
      <w:r>
        <w:rPr>
          <w:rFonts w:hint="eastAsia"/>
        </w:rPr>
        <w:t>工资增长率为</w:t>
      </w:r>
      <w:r>
        <w:rPr>
          <w:rFonts w:hint="eastAsia"/>
        </w:rPr>
        <w:t>39%)</w:t>
      </w:r>
      <w:r>
        <w:rPr>
          <w:rFonts w:hint="eastAsia"/>
        </w:rPr>
        <w:t>；</w:t>
      </w:r>
    </w:p>
    <w:p w:rsidR="00000000" w:rsidRDefault="00000000">
      <w:pPr>
        <w:numPr>
          <w:ilvl w:val="0"/>
          <w:numId w:val="63"/>
        </w:numPr>
        <w:rPr>
          <w:rFonts w:hint="eastAsia"/>
        </w:rPr>
      </w:pPr>
      <w:r>
        <w:rPr>
          <w:rFonts w:hint="eastAsia"/>
        </w:rPr>
        <w:t>国民经济各分支部门之间的对应率有着显著的区别。贸易、汽车修理和消费产品部门</w:t>
      </w:r>
      <w:r>
        <w:rPr>
          <w:rFonts w:hint="eastAsia"/>
        </w:rPr>
        <w:t>(62.</w:t>
      </w:r>
      <w:r>
        <w:t>3%)</w:t>
      </w:r>
      <w:r>
        <w:rPr>
          <w:rFonts w:hint="eastAsia"/>
        </w:rPr>
        <w:t>比保健</w:t>
      </w:r>
      <w:r>
        <w:rPr>
          <w:rFonts w:hint="eastAsia"/>
        </w:rPr>
        <w:t>(</w:t>
      </w:r>
      <w:r>
        <w:t>62.2%</w:t>
      </w:r>
      <w:r>
        <w:rPr>
          <w:rFonts w:hint="eastAsia"/>
        </w:rPr>
        <w:t>)</w:t>
      </w:r>
      <w:r>
        <w:rPr>
          <w:rFonts w:hint="eastAsia"/>
        </w:rPr>
        <w:t>、金融和保险</w:t>
      </w:r>
      <w:r>
        <w:rPr>
          <w:rFonts w:hint="eastAsia"/>
        </w:rPr>
        <w:t>(6</w:t>
      </w:r>
      <w:r>
        <w:t>6.6%)</w:t>
      </w:r>
      <w:r>
        <w:rPr>
          <w:rFonts w:hint="eastAsia"/>
        </w:rPr>
        <w:t>低。对应率最高的是运输、仓储、邮政服务和电信、其它公共、社会和个人服务</w:t>
      </w:r>
      <w:r>
        <w:rPr>
          <w:rFonts w:hint="eastAsia"/>
        </w:rPr>
        <w:t>(82%)</w:t>
      </w:r>
      <w:r>
        <w:rPr>
          <w:rFonts w:hint="eastAsia"/>
        </w:rPr>
        <w:t>以及建筑部门。与男子相比，妇女在人数最少的领域获得的报酬最高，但教育部门除外</w:t>
      </w:r>
      <w:r>
        <w:rPr>
          <w:rFonts w:hint="eastAsia"/>
        </w:rPr>
        <w:t>(</w:t>
      </w:r>
      <w:r>
        <w:rPr>
          <w:rFonts w:hint="eastAsia"/>
        </w:rPr>
        <w:t>为男子平均工资的</w:t>
      </w:r>
      <w:r>
        <w:rPr>
          <w:rFonts w:hint="eastAsia"/>
        </w:rPr>
        <w:t>78.</w:t>
      </w:r>
      <w:r>
        <w:t>3%)</w:t>
      </w:r>
      <w:r>
        <w:rPr>
          <w:rFonts w:hint="eastAsia"/>
        </w:rPr>
        <w:t>。然而，妇女的就业结构比男子更为有利</w:t>
      </w:r>
      <w:r>
        <w:rPr>
          <w:rFonts w:hint="eastAsia"/>
        </w:rPr>
        <w:t>(</w:t>
      </w:r>
      <w:r>
        <w:rPr>
          <w:rFonts w:hint="eastAsia"/>
        </w:rPr>
        <w:t>在金融部门工作的妇女所得报酬超过了妇女的平均工资</w:t>
      </w:r>
      <w:r>
        <w:rPr>
          <w:rFonts w:hint="eastAsia"/>
        </w:rPr>
        <w:t>)</w:t>
      </w:r>
      <w:r>
        <w:rPr>
          <w:rFonts w:hint="eastAsia"/>
        </w:rPr>
        <w:t>。与男子按部门划分处于同样就业结构的妇女只能得到男子工资的</w:t>
      </w:r>
      <w:r>
        <w:rPr>
          <w:rFonts w:hint="eastAsia"/>
        </w:rPr>
        <w:t>7</w:t>
      </w:r>
      <w:r>
        <w:t>2.12%</w:t>
      </w:r>
      <w:r>
        <w:rPr>
          <w:rFonts w:hint="eastAsia"/>
        </w:rPr>
        <w:t>；</w:t>
      </w:r>
    </w:p>
    <w:p w:rsidR="00000000" w:rsidRDefault="00000000">
      <w:pPr>
        <w:numPr>
          <w:ilvl w:val="0"/>
          <w:numId w:val="63"/>
        </w:numPr>
        <w:rPr>
          <w:rFonts w:hint="eastAsia"/>
        </w:rPr>
      </w:pPr>
      <w:r>
        <w:rPr>
          <w:rFonts w:hint="eastAsia"/>
        </w:rPr>
        <w:t>妇女在工资上的不平等根据工种的不同有所差异：在一些领域，这种差异最小</w:t>
      </w:r>
      <w:r>
        <w:rPr>
          <w:rFonts w:hint="eastAsia"/>
        </w:rPr>
        <w:t>(</w:t>
      </w:r>
      <w:r>
        <w:rPr>
          <w:rFonts w:hint="eastAsia"/>
        </w:rPr>
        <w:t>如小学教师</w:t>
      </w:r>
      <w:r>
        <w:rPr>
          <w:rFonts w:hint="eastAsia"/>
        </w:rPr>
        <w:t>)</w:t>
      </w:r>
      <w:r>
        <w:rPr>
          <w:rFonts w:hint="eastAsia"/>
        </w:rPr>
        <w:t>，在另外一些领域，妇女得到的相当少</w:t>
      </w:r>
      <w:r>
        <w:rPr>
          <w:rFonts w:hint="eastAsia"/>
        </w:rPr>
        <w:t>(</w:t>
      </w:r>
      <w:r>
        <w:rPr>
          <w:rFonts w:hint="eastAsia"/>
        </w:rPr>
        <w:t>如印刷工和排版工</w:t>
      </w:r>
      <w:r>
        <w:rPr>
          <w:rFonts w:hint="eastAsia"/>
          <w:spacing w:val="-50"/>
        </w:rPr>
        <w:t>―</w:t>
      </w:r>
      <w:r>
        <w:rPr>
          <w:rFonts w:hint="eastAsia"/>
        </w:rPr>
        <w:t>―同样的资历只拿到男子工资的</w:t>
      </w:r>
      <w:r>
        <w:rPr>
          <w:rFonts w:hint="eastAsia"/>
        </w:rPr>
        <w:t>58%)</w:t>
      </w:r>
      <w:r>
        <w:rPr>
          <w:rFonts w:hint="eastAsia"/>
        </w:rPr>
        <w:t>。</w:t>
      </w:r>
    </w:p>
    <w:p w:rsidR="00000000" w:rsidRDefault="00000000">
      <w:pPr>
        <w:pStyle w:val="Heading3"/>
        <w:spacing w:before="320" w:after="160"/>
        <w:rPr>
          <w:rFonts w:hint="eastAsia"/>
          <w:sz w:val="22"/>
          <w:u w:val="none"/>
        </w:rPr>
      </w:pPr>
      <w:r>
        <w:rPr>
          <w:rFonts w:hint="eastAsia"/>
          <w:sz w:val="22"/>
        </w:rPr>
        <w:t>按教育程度和年龄划分妇女平均工资占男子平均工资的比例</w:t>
      </w:r>
      <w:r>
        <w:rPr>
          <w:sz w:val="22"/>
        </w:rPr>
        <w:br/>
      </w:r>
      <w:r>
        <w:rPr>
          <w:rFonts w:hint="eastAsia"/>
          <w:sz w:val="22"/>
          <w:u w:val="none"/>
        </w:rPr>
        <w:t>(</w:t>
      </w:r>
      <w:r>
        <w:rPr>
          <w:rFonts w:hint="eastAsia"/>
          <w:sz w:val="22"/>
          <w:u w:val="none"/>
        </w:rPr>
        <w:t>以百分比计算</w:t>
      </w:r>
      <w:r>
        <w:rPr>
          <w:rFonts w:hint="eastAsia"/>
          <w:sz w:val="22"/>
          <w:u w:val="none"/>
        </w:rPr>
        <w:t>)</w:t>
      </w:r>
    </w:p>
    <w:tbl>
      <w:tblPr>
        <w:tblW w:w="0" w:type="auto"/>
        <w:tblLook w:val="0000" w:firstRow="0" w:lastRow="0" w:firstColumn="0" w:lastColumn="0" w:noHBand="0" w:noVBand="0"/>
      </w:tblPr>
      <w:tblGrid>
        <w:gridCol w:w="1308"/>
        <w:gridCol w:w="3477"/>
        <w:gridCol w:w="2393"/>
        <w:gridCol w:w="2393"/>
      </w:tblGrid>
      <w:tr w:rsidR="00000000">
        <w:tblPrEx>
          <w:tblCellMar>
            <w:top w:w="0" w:type="dxa"/>
            <w:bottom w:w="0" w:type="dxa"/>
          </w:tblCellMar>
        </w:tblPrEx>
        <w:tc>
          <w:tcPr>
            <w:tcW w:w="1308" w:type="dxa"/>
            <w:tcBorders>
              <w:top w:val="single" w:sz="4" w:space="0" w:color="auto"/>
              <w:bottom w:val="single" w:sz="4" w:space="0" w:color="auto"/>
            </w:tcBorders>
          </w:tcPr>
          <w:p w:rsidR="00000000" w:rsidRDefault="00000000">
            <w:pPr>
              <w:pStyle w:val="aa"/>
              <w:jc w:val="center"/>
              <w:rPr>
                <w:rFonts w:hint="eastAsia"/>
              </w:rPr>
            </w:pPr>
          </w:p>
        </w:tc>
        <w:tc>
          <w:tcPr>
            <w:tcW w:w="3477" w:type="dxa"/>
            <w:tcBorders>
              <w:top w:val="single" w:sz="4" w:space="0" w:color="auto"/>
              <w:bottom w:val="single" w:sz="4" w:space="0" w:color="auto"/>
            </w:tcBorders>
          </w:tcPr>
          <w:p w:rsidR="00000000" w:rsidRDefault="00000000">
            <w:pPr>
              <w:pStyle w:val="aa"/>
              <w:jc w:val="center"/>
              <w:rPr>
                <w:rFonts w:hint="eastAsia"/>
              </w:rPr>
            </w:pPr>
          </w:p>
        </w:tc>
        <w:tc>
          <w:tcPr>
            <w:tcW w:w="2393" w:type="dxa"/>
            <w:tcBorders>
              <w:top w:val="single" w:sz="4" w:space="0" w:color="auto"/>
              <w:bottom w:val="single" w:sz="4" w:space="0" w:color="auto"/>
            </w:tcBorders>
          </w:tcPr>
          <w:p w:rsidR="00000000" w:rsidRDefault="00000000">
            <w:pPr>
              <w:pStyle w:val="aa"/>
              <w:jc w:val="center"/>
              <w:rPr>
                <w:rFonts w:hint="eastAsia"/>
              </w:rPr>
            </w:pPr>
            <w:r>
              <w:rPr>
                <w:rFonts w:hint="eastAsia"/>
              </w:rPr>
              <w:t>1997</w:t>
            </w:r>
            <w:r>
              <w:rPr>
                <w:rFonts w:hint="eastAsia"/>
              </w:rPr>
              <w:t>年</w:t>
            </w:r>
          </w:p>
        </w:tc>
        <w:tc>
          <w:tcPr>
            <w:tcW w:w="2393" w:type="dxa"/>
            <w:tcBorders>
              <w:top w:val="single" w:sz="4" w:space="0" w:color="auto"/>
              <w:bottom w:val="single" w:sz="4" w:space="0" w:color="auto"/>
            </w:tcBorders>
          </w:tcPr>
          <w:p w:rsidR="00000000" w:rsidRDefault="00000000">
            <w:pPr>
              <w:pStyle w:val="aa"/>
              <w:jc w:val="center"/>
              <w:rPr>
                <w:rFonts w:hint="eastAsia"/>
              </w:rPr>
            </w:pPr>
            <w:r>
              <w:rPr>
                <w:rFonts w:hint="eastAsia"/>
              </w:rPr>
              <w:t>1998</w:t>
            </w:r>
            <w:r>
              <w:rPr>
                <w:rFonts w:hint="eastAsia"/>
              </w:rPr>
              <w:t>年</w:t>
            </w:r>
          </w:p>
        </w:tc>
      </w:tr>
      <w:tr w:rsidR="00000000">
        <w:tblPrEx>
          <w:tblCellMar>
            <w:top w:w="0" w:type="dxa"/>
            <w:bottom w:w="0" w:type="dxa"/>
          </w:tblCellMar>
        </w:tblPrEx>
        <w:tc>
          <w:tcPr>
            <w:tcW w:w="1308" w:type="dxa"/>
            <w:tcBorders>
              <w:top w:val="single" w:sz="4" w:space="0" w:color="auto"/>
            </w:tcBorders>
          </w:tcPr>
          <w:p w:rsidR="00000000" w:rsidRDefault="00000000">
            <w:pPr>
              <w:pStyle w:val="aa"/>
              <w:rPr>
                <w:rFonts w:hint="eastAsia"/>
              </w:rPr>
            </w:pPr>
            <w:r>
              <w:rPr>
                <w:rFonts w:hint="eastAsia"/>
              </w:rPr>
              <w:t>教育程度：</w:t>
            </w:r>
          </w:p>
        </w:tc>
        <w:tc>
          <w:tcPr>
            <w:tcW w:w="3477" w:type="dxa"/>
            <w:tcBorders>
              <w:top w:val="single" w:sz="4" w:space="0" w:color="auto"/>
            </w:tcBorders>
          </w:tcPr>
          <w:p w:rsidR="00000000" w:rsidRDefault="00000000">
            <w:pPr>
              <w:pStyle w:val="aa"/>
              <w:rPr>
                <w:rFonts w:hint="eastAsia"/>
              </w:rPr>
            </w:pPr>
            <w:r>
              <w:rPr>
                <w:rFonts w:hint="eastAsia"/>
              </w:rPr>
              <w:t>小学</w:t>
            </w:r>
          </w:p>
        </w:tc>
        <w:tc>
          <w:tcPr>
            <w:tcW w:w="2393" w:type="dxa"/>
            <w:tcBorders>
              <w:top w:val="single" w:sz="4" w:space="0" w:color="auto"/>
            </w:tcBorders>
          </w:tcPr>
          <w:p w:rsidR="00000000" w:rsidRDefault="00000000">
            <w:pPr>
              <w:pStyle w:val="aa"/>
              <w:jc w:val="center"/>
              <w:rPr>
                <w:rFonts w:hint="eastAsia"/>
              </w:rPr>
            </w:pPr>
            <w:r>
              <w:rPr>
                <w:rFonts w:hint="eastAsia"/>
              </w:rPr>
              <w:t>74.9</w:t>
            </w:r>
          </w:p>
        </w:tc>
        <w:tc>
          <w:tcPr>
            <w:tcW w:w="2393" w:type="dxa"/>
            <w:tcBorders>
              <w:top w:val="single" w:sz="4" w:space="0" w:color="auto"/>
            </w:tcBorders>
          </w:tcPr>
          <w:p w:rsidR="00000000" w:rsidRDefault="00000000">
            <w:pPr>
              <w:pStyle w:val="aa"/>
              <w:jc w:val="center"/>
            </w:pPr>
            <w:r>
              <w:t>74.6</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rPr>
                <w:rFonts w:hint="eastAsia"/>
              </w:rPr>
            </w:pPr>
            <w:r>
              <w:rPr>
                <w:rFonts w:hint="eastAsia"/>
              </w:rPr>
              <w:t>学徒和中等教育肄业</w:t>
            </w:r>
          </w:p>
        </w:tc>
        <w:tc>
          <w:tcPr>
            <w:tcW w:w="2393" w:type="dxa"/>
          </w:tcPr>
          <w:p w:rsidR="00000000" w:rsidRDefault="00000000">
            <w:pPr>
              <w:pStyle w:val="aa"/>
              <w:jc w:val="center"/>
            </w:pPr>
            <w:r>
              <w:t>69.1</w:t>
            </w:r>
          </w:p>
        </w:tc>
        <w:tc>
          <w:tcPr>
            <w:tcW w:w="2393" w:type="dxa"/>
          </w:tcPr>
          <w:p w:rsidR="00000000" w:rsidRDefault="00000000">
            <w:pPr>
              <w:pStyle w:val="aa"/>
              <w:jc w:val="center"/>
            </w:pPr>
            <w:r>
              <w:t>71.6</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rPr>
                <w:rFonts w:hint="eastAsia"/>
              </w:rPr>
            </w:pPr>
            <w:r>
              <w:rPr>
                <w:rFonts w:hint="eastAsia"/>
              </w:rPr>
              <w:t>完成中等教育并持有毕业证</w:t>
            </w:r>
          </w:p>
        </w:tc>
        <w:tc>
          <w:tcPr>
            <w:tcW w:w="2393" w:type="dxa"/>
          </w:tcPr>
          <w:p w:rsidR="00000000" w:rsidRDefault="00000000">
            <w:pPr>
              <w:pStyle w:val="aa"/>
              <w:jc w:val="center"/>
            </w:pPr>
            <w:r>
              <w:t>75.5</w:t>
            </w:r>
          </w:p>
        </w:tc>
        <w:tc>
          <w:tcPr>
            <w:tcW w:w="2393" w:type="dxa"/>
          </w:tcPr>
          <w:p w:rsidR="00000000" w:rsidRDefault="00000000">
            <w:pPr>
              <w:pStyle w:val="aa"/>
              <w:jc w:val="center"/>
            </w:pPr>
            <w:r>
              <w:t>72.9</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rPr>
                <w:rFonts w:hint="eastAsia"/>
              </w:rPr>
            </w:pPr>
            <w:r>
              <w:rPr>
                <w:rFonts w:hint="eastAsia"/>
              </w:rPr>
              <w:t>大专</w:t>
            </w:r>
          </w:p>
        </w:tc>
        <w:tc>
          <w:tcPr>
            <w:tcW w:w="2393" w:type="dxa"/>
          </w:tcPr>
          <w:p w:rsidR="00000000" w:rsidRDefault="00000000">
            <w:pPr>
              <w:pStyle w:val="aa"/>
              <w:jc w:val="center"/>
            </w:pPr>
            <w:r>
              <w:t>68.9</w:t>
            </w:r>
          </w:p>
        </w:tc>
        <w:tc>
          <w:tcPr>
            <w:tcW w:w="2393" w:type="dxa"/>
          </w:tcPr>
          <w:p w:rsidR="00000000" w:rsidRDefault="00000000">
            <w:pPr>
              <w:pStyle w:val="aa"/>
              <w:jc w:val="center"/>
            </w:pPr>
            <w:r>
              <w:t>64.9</w:t>
            </w:r>
          </w:p>
        </w:tc>
      </w:tr>
      <w:tr w:rsidR="00000000">
        <w:tblPrEx>
          <w:tblCellMar>
            <w:top w:w="0" w:type="dxa"/>
            <w:bottom w:w="0" w:type="dxa"/>
          </w:tblCellMar>
        </w:tblPrEx>
        <w:tc>
          <w:tcPr>
            <w:tcW w:w="1308" w:type="dxa"/>
          </w:tcPr>
          <w:p w:rsidR="00000000" w:rsidRDefault="00000000">
            <w:pPr>
              <w:pStyle w:val="aa"/>
              <w:rPr>
                <w:rFonts w:hint="eastAsia"/>
              </w:rPr>
            </w:pPr>
            <w:r>
              <w:rPr>
                <w:rFonts w:hint="eastAsia"/>
              </w:rPr>
              <w:t>年</w:t>
            </w:r>
            <w:r>
              <w:rPr>
                <w:rFonts w:hint="eastAsia"/>
              </w:rPr>
              <w:t xml:space="preserve">  </w:t>
            </w:r>
            <w:r>
              <w:rPr>
                <w:rFonts w:hint="eastAsia"/>
              </w:rPr>
              <w:t>龄</w:t>
            </w:r>
          </w:p>
        </w:tc>
        <w:tc>
          <w:tcPr>
            <w:tcW w:w="3477" w:type="dxa"/>
          </w:tcPr>
          <w:p w:rsidR="00000000" w:rsidRDefault="00000000">
            <w:pPr>
              <w:pStyle w:val="aa"/>
              <w:rPr>
                <w:rFonts w:hint="eastAsia"/>
              </w:rPr>
            </w:pPr>
            <w:r>
              <w:rPr>
                <w:rFonts w:hint="eastAsia"/>
              </w:rPr>
              <w:t>19</w:t>
            </w:r>
            <w:r>
              <w:rPr>
                <w:rFonts w:hint="eastAsia"/>
              </w:rPr>
              <w:t>岁以下</w:t>
            </w:r>
          </w:p>
        </w:tc>
        <w:tc>
          <w:tcPr>
            <w:tcW w:w="2393" w:type="dxa"/>
          </w:tcPr>
          <w:p w:rsidR="00000000" w:rsidRDefault="00000000">
            <w:pPr>
              <w:pStyle w:val="aa"/>
              <w:jc w:val="center"/>
            </w:pPr>
            <w:r>
              <w:t>91.4</w:t>
            </w:r>
          </w:p>
        </w:tc>
        <w:tc>
          <w:tcPr>
            <w:tcW w:w="2393" w:type="dxa"/>
          </w:tcPr>
          <w:p w:rsidR="00000000" w:rsidRDefault="00000000">
            <w:pPr>
              <w:pStyle w:val="aa"/>
              <w:jc w:val="center"/>
            </w:pPr>
            <w:r>
              <w:t>84.6</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rPr>
                <w:rFonts w:hint="eastAsia"/>
              </w:rPr>
              <w:t>20</w:t>
            </w:r>
            <w:r>
              <w:t>-24</w:t>
            </w:r>
          </w:p>
        </w:tc>
        <w:tc>
          <w:tcPr>
            <w:tcW w:w="2393" w:type="dxa"/>
          </w:tcPr>
          <w:p w:rsidR="00000000" w:rsidRDefault="00000000">
            <w:pPr>
              <w:pStyle w:val="aa"/>
              <w:jc w:val="center"/>
            </w:pPr>
            <w:r>
              <w:t>85.0</w:t>
            </w:r>
          </w:p>
        </w:tc>
        <w:tc>
          <w:tcPr>
            <w:tcW w:w="2393" w:type="dxa"/>
          </w:tcPr>
          <w:p w:rsidR="00000000" w:rsidRDefault="00000000">
            <w:pPr>
              <w:pStyle w:val="aa"/>
              <w:jc w:val="center"/>
            </w:pPr>
            <w:r>
              <w:t>82.6</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t>25-29</w:t>
            </w:r>
          </w:p>
        </w:tc>
        <w:tc>
          <w:tcPr>
            <w:tcW w:w="2393" w:type="dxa"/>
          </w:tcPr>
          <w:p w:rsidR="00000000" w:rsidRDefault="00000000">
            <w:pPr>
              <w:pStyle w:val="aa"/>
              <w:jc w:val="center"/>
            </w:pPr>
            <w:r>
              <w:t>76.3</w:t>
            </w:r>
          </w:p>
        </w:tc>
        <w:tc>
          <w:tcPr>
            <w:tcW w:w="2393" w:type="dxa"/>
          </w:tcPr>
          <w:p w:rsidR="00000000" w:rsidRDefault="00000000">
            <w:pPr>
              <w:pStyle w:val="aa"/>
              <w:jc w:val="center"/>
            </w:pPr>
            <w:r>
              <w:t>73.4</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t>30-34</w:t>
            </w:r>
          </w:p>
        </w:tc>
        <w:tc>
          <w:tcPr>
            <w:tcW w:w="2393" w:type="dxa"/>
          </w:tcPr>
          <w:p w:rsidR="00000000" w:rsidRDefault="00000000">
            <w:pPr>
              <w:pStyle w:val="aa"/>
              <w:jc w:val="center"/>
            </w:pPr>
            <w:r>
              <w:t>70.5</w:t>
            </w:r>
          </w:p>
        </w:tc>
        <w:tc>
          <w:tcPr>
            <w:tcW w:w="2393" w:type="dxa"/>
          </w:tcPr>
          <w:p w:rsidR="00000000" w:rsidRDefault="00000000">
            <w:pPr>
              <w:pStyle w:val="aa"/>
              <w:jc w:val="center"/>
            </w:pPr>
            <w:r>
              <w:t>67.1</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t>35-39</w:t>
            </w:r>
          </w:p>
        </w:tc>
        <w:tc>
          <w:tcPr>
            <w:tcW w:w="2393" w:type="dxa"/>
          </w:tcPr>
          <w:p w:rsidR="00000000" w:rsidRDefault="00000000">
            <w:pPr>
              <w:pStyle w:val="aa"/>
              <w:jc w:val="center"/>
            </w:pPr>
            <w:r>
              <w:t>72.6</w:t>
            </w:r>
          </w:p>
        </w:tc>
        <w:tc>
          <w:tcPr>
            <w:tcW w:w="2393" w:type="dxa"/>
          </w:tcPr>
          <w:p w:rsidR="00000000" w:rsidRDefault="00000000">
            <w:pPr>
              <w:pStyle w:val="aa"/>
              <w:jc w:val="center"/>
            </w:pPr>
            <w:r>
              <w:t>68.4</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t>40-44</w:t>
            </w:r>
          </w:p>
        </w:tc>
        <w:tc>
          <w:tcPr>
            <w:tcW w:w="2393" w:type="dxa"/>
          </w:tcPr>
          <w:p w:rsidR="00000000" w:rsidRDefault="00000000">
            <w:pPr>
              <w:pStyle w:val="aa"/>
              <w:jc w:val="center"/>
            </w:pPr>
            <w:r>
              <w:t>73.0</w:t>
            </w:r>
          </w:p>
        </w:tc>
        <w:tc>
          <w:tcPr>
            <w:tcW w:w="2393" w:type="dxa"/>
          </w:tcPr>
          <w:p w:rsidR="00000000" w:rsidRDefault="00000000">
            <w:pPr>
              <w:pStyle w:val="aa"/>
              <w:jc w:val="center"/>
            </w:pPr>
            <w:r>
              <w:t>69.4</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t>45-49</w:t>
            </w:r>
          </w:p>
        </w:tc>
        <w:tc>
          <w:tcPr>
            <w:tcW w:w="2393" w:type="dxa"/>
          </w:tcPr>
          <w:p w:rsidR="00000000" w:rsidRDefault="00000000">
            <w:pPr>
              <w:pStyle w:val="aa"/>
              <w:jc w:val="center"/>
            </w:pPr>
            <w:r>
              <w:t>74.4</w:t>
            </w:r>
          </w:p>
        </w:tc>
        <w:tc>
          <w:tcPr>
            <w:tcW w:w="2393" w:type="dxa"/>
          </w:tcPr>
          <w:p w:rsidR="00000000" w:rsidRDefault="00000000">
            <w:pPr>
              <w:pStyle w:val="aa"/>
              <w:jc w:val="center"/>
            </w:pPr>
            <w:r>
              <w:t>70.6</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t>50-54</w:t>
            </w:r>
          </w:p>
        </w:tc>
        <w:tc>
          <w:tcPr>
            <w:tcW w:w="2393" w:type="dxa"/>
          </w:tcPr>
          <w:p w:rsidR="00000000" w:rsidRDefault="00000000">
            <w:pPr>
              <w:pStyle w:val="aa"/>
              <w:jc w:val="center"/>
            </w:pPr>
            <w:r>
              <w:t>76.8</w:t>
            </w:r>
          </w:p>
        </w:tc>
        <w:tc>
          <w:tcPr>
            <w:tcW w:w="2393" w:type="dxa"/>
          </w:tcPr>
          <w:p w:rsidR="00000000" w:rsidRDefault="00000000">
            <w:pPr>
              <w:pStyle w:val="aa"/>
              <w:jc w:val="center"/>
            </w:pPr>
            <w:r>
              <w:t>74.1</w:t>
            </w:r>
          </w:p>
        </w:tc>
      </w:tr>
      <w:tr w:rsidR="00000000">
        <w:tblPrEx>
          <w:tblCellMar>
            <w:top w:w="0" w:type="dxa"/>
            <w:bottom w:w="0" w:type="dxa"/>
          </w:tblCellMar>
        </w:tblPrEx>
        <w:tc>
          <w:tcPr>
            <w:tcW w:w="1308" w:type="dxa"/>
          </w:tcPr>
          <w:p w:rsidR="00000000" w:rsidRDefault="00000000">
            <w:pPr>
              <w:pStyle w:val="aa"/>
              <w:rPr>
                <w:rFonts w:hint="eastAsia"/>
              </w:rPr>
            </w:pPr>
          </w:p>
        </w:tc>
        <w:tc>
          <w:tcPr>
            <w:tcW w:w="3477" w:type="dxa"/>
          </w:tcPr>
          <w:p w:rsidR="00000000" w:rsidRDefault="00000000">
            <w:pPr>
              <w:pStyle w:val="aa"/>
            </w:pPr>
            <w:r>
              <w:t>55-59</w:t>
            </w:r>
          </w:p>
        </w:tc>
        <w:tc>
          <w:tcPr>
            <w:tcW w:w="2393" w:type="dxa"/>
          </w:tcPr>
          <w:p w:rsidR="00000000" w:rsidRDefault="00000000">
            <w:pPr>
              <w:pStyle w:val="aa"/>
              <w:jc w:val="center"/>
            </w:pPr>
            <w:r>
              <w:t>84.9</w:t>
            </w:r>
          </w:p>
        </w:tc>
        <w:tc>
          <w:tcPr>
            <w:tcW w:w="2393" w:type="dxa"/>
          </w:tcPr>
          <w:p w:rsidR="00000000" w:rsidRDefault="00000000">
            <w:pPr>
              <w:pStyle w:val="aa"/>
              <w:jc w:val="center"/>
            </w:pPr>
            <w:r>
              <w:t>77.4</w:t>
            </w:r>
          </w:p>
        </w:tc>
      </w:tr>
      <w:tr w:rsidR="00000000">
        <w:tblPrEx>
          <w:tblCellMar>
            <w:top w:w="0" w:type="dxa"/>
            <w:bottom w:w="0" w:type="dxa"/>
          </w:tblCellMar>
        </w:tblPrEx>
        <w:tc>
          <w:tcPr>
            <w:tcW w:w="1308" w:type="dxa"/>
            <w:tcBorders>
              <w:bottom w:val="single" w:sz="4" w:space="0" w:color="auto"/>
            </w:tcBorders>
          </w:tcPr>
          <w:p w:rsidR="00000000" w:rsidRDefault="00000000">
            <w:pPr>
              <w:pStyle w:val="aa"/>
              <w:rPr>
                <w:rFonts w:hint="eastAsia"/>
              </w:rPr>
            </w:pPr>
          </w:p>
        </w:tc>
        <w:tc>
          <w:tcPr>
            <w:tcW w:w="3477" w:type="dxa"/>
            <w:tcBorders>
              <w:bottom w:val="single" w:sz="4" w:space="0" w:color="auto"/>
            </w:tcBorders>
          </w:tcPr>
          <w:p w:rsidR="00000000" w:rsidRDefault="00000000">
            <w:pPr>
              <w:pStyle w:val="aa"/>
              <w:rPr>
                <w:rFonts w:hint="eastAsia"/>
              </w:rPr>
            </w:pPr>
            <w:r>
              <w:t>60</w:t>
            </w:r>
            <w:r>
              <w:rPr>
                <w:rFonts w:hint="eastAsia"/>
              </w:rPr>
              <w:t>岁和</w:t>
            </w:r>
            <w:r>
              <w:rPr>
                <w:rFonts w:hint="eastAsia"/>
              </w:rPr>
              <w:t>60</w:t>
            </w:r>
            <w:r>
              <w:rPr>
                <w:rFonts w:hint="eastAsia"/>
              </w:rPr>
              <w:t>岁以上</w:t>
            </w:r>
          </w:p>
        </w:tc>
        <w:tc>
          <w:tcPr>
            <w:tcW w:w="2393" w:type="dxa"/>
            <w:tcBorders>
              <w:bottom w:val="single" w:sz="4" w:space="0" w:color="auto"/>
            </w:tcBorders>
          </w:tcPr>
          <w:p w:rsidR="00000000" w:rsidRDefault="00000000">
            <w:pPr>
              <w:pStyle w:val="aa"/>
              <w:jc w:val="center"/>
            </w:pPr>
            <w:r>
              <w:t>68.0</w:t>
            </w:r>
          </w:p>
        </w:tc>
        <w:tc>
          <w:tcPr>
            <w:tcW w:w="2393" w:type="dxa"/>
            <w:tcBorders>
              <w:bottom w:val="single" w:sz="4" w:space="0" w:color="auto"/>
            </w:tcBorders>
          </w:tcPr>
          <w:p w:rsidR="00000000" w:rsidRDefault="00000000">
            <w:pPr>
              <w:pStyle w:val="aa"/>
              <w:jc w:val="center"/>
            </w:pPr>
            <w:r>
              <w:t>65.5</w:t>
            </w:r>
          </w:p>
        </w:tc>
      </w:tr>
    </w:tbl>
    <w:p w:rsidR="00000000" w:rsidRDefault="00000000">
      <w:pPr>
        <w:pStyle w:val="FootnoteText"/>
        <w:spacing w:before="160" w:after="320"/>
        <w:ind w:left="1587" w:hanging="1077"/>
        <w:rPr>
          <w:rFonts w:hint="eastAsia"/>
          <w:sz w:val="21"/>
        </w:rPr>
      </w:pPr>
      <w:r>
        <w:rPr>
          <w:rFonts w:hint="eastAsia"/>
          <w:sz w:val="21"/>
        </w:rPr>
        <w:t>资料来源：捷克统计局，关于雇员工资的调查。</w:t>
      </w:r>
    </w:p>
    <w:p w:rsidR="00000000" w:rsidRDefault="00000000">
      <w:pPr>
        <w:rPr>
          <w:rFonts w:hint="eastAsia"/>
        </w:rPr>
      </w:pPr>
      <w:r>
        <w:rPr>
          <w:rFonts w:hint="eastAsia"/>
        </w:rPr>
        <w:tab/>
        <w:t xml:space="preserve">154.  </w:t>
      </w:r>
      <w:r>
        <w:rPr>
          <w:rFonts w:hint="eastAsia"/>
        </w:rPr>
        <w:t>结论概述：妇女一般在具有较低工资级别的分支部门占支配地位。她们更好地具备进入劳动力市场的初级资格。然而，就工作场所的具体岗位而言，她们没有结构优势。女性化的分支部门的工资普遍较低。</w:t>
      </w:r>
    </w:p>
    <w:p w:rsidR="00000000" w:rsidRDefault="00000000">
      <w:pPr>
        <w:pStyle w:val="Heading3"/>
        <w:spacing w:before="320"/>
        <w:rPr>
          <w:rFonts w:hint="eastAsia"/>
        </w:rPr>
      </w:pPr>
      <w:r>
        <w:rPr>
          <w:rFonts w:hint="eastAsia"/>
        </w:rPr>
        <w:t>第</w:t>
      </w:r>
      <w:r>
        <w:rPr>
          <w:rFonts w:hint="eastAsia"/>
        </w:rPr>
        <w:t xml:space="preserve"> 4 </w:t>
      </w:r>
      <w:r>
        <w:rPr>
          <w:rFonts w:hint="eastAsia"/>
        </w:rPr>
        <w:t>条</w:t>
      </w:r>
    </w:p>
    <w:p w:rsidR="00000000" w:rsidRDefault="00000000">
      <w:pPr>
        <w:rPr>
          <w:rFonts w:hint="eastAsia"/>
        </w:rPr>
      </w:pPr>
      <w:r>
        <w:rPr>
          <w:rFonts w:hint="eastAsia"/>
        </w:rPr>
        <w:tab/>
        <w:t xml:space="preserve">155.  </w:t>
      </w:r>
      <w:r>
        <w:rPr>
          <w:rFonts w:hint="eastAsia"/>
        </w:rPr>
        <w:t>《基本权利和自由宪章》第</w:t>
      </w:r>
      <w:r>
        <w:rPr>
          <w:rFonts w:hint="eastAsia"/>
        </w:rPr>
        <w:t>2</w:t>
      </w:r>
      <w:r>
        <w:rPr>
          <w:rFonts w:hint="eastAsia"/>
        </w:rPr>
        <w:t>条第</w:t>
      </w:r>
      <w:r>
        <w:rPr>
          <w:rFonts w:hint="eastAsia"/>
        </w:rPr>
        <w:t>2</w:t>
      </w:r>
      <w:r>
        <w:rPr>
          <w:rFonts w:hint="eastAsia"/>
        </w:rPr>
        <w:t>款规定：“国家的权力只能在法律规定的情况下并在法律规定的范围内以法律规定的方式得到维护。”第</w:t>
      </w:r>
      <w:r>
        <w:rPr>
          <w:rFonts w:hint="eastAsia"/>
        </w:rPr>
        <w:t>3</w:t>
      </w:r>
      <w:r>
        <w:rPr>
          <w:rFonts w:hint="eastAsia"/>
        </w:rPr>
        <w:t>款规定：“人人都可以做法律不禁止的事情，任何人不得被迫做法律未规定他必须做的事情。”</w:t>
      </w:r>
    </w:p>
    <w:p w:rsidR="00000000" w:rsidRDefault="00000000">
      <w:pPr>
        <w:rPr>
          <w:rFonts w:hint="eastAsia"/>
        </w:rPr>
      </w:pPr>
      <w:r>
        <w:rPr>
          <w:rFonts w:hint="eastAsia"/>
        </w:rPr>
        <w:tab/>
        <w:t xml:space="preserve">156.  </w:t>
      </w:r>
      <w:r>
        <w:rPr>
          <w:rFonts w:hint="eastAsia"/>
        </w:rPr>
        <w:t>《宪章》第</w:t>
      </w:r>
      <w:r>
        <w:rPr>
          <w:rFonts w:hint="eastAsia"/>
        </w:rPr>
        <w:t>4</w:t>
      </w:r>
      <w:r>
        <w:rPr>
          <w:rFonts w:hint="eastAsia"/>
        </w:rPr>
        <w:t>条规定：</w:t>
      </w:r>
    </w:p>
    <w:p w:rsidR="00000000" w:rsidRDefault="00000000">
      <w:pPr>
        <w:ind w:left="1530" w:hanging="780"/>
        <w:rPr>
          <w:rFonts w:hint="eastAsia"/>
        </w:rPr>
      </w:pPr>
      <w:r>
        <w:rPr>
          <w:rFonts w:hint="eastAsia"/>
        </w:rPr>
        <w:t>“</w:t>
      </w:r>
      <w:r>
        <w:rPr>
          <w:rFonts w:hint="eastAsia"/>
        </w:rPr>
        <w:t>(1)</w:t>
      </w:r>
      <w:r>
        <w:rPr>
          <w:rFonts w:hint="eastAsia"/>
        </w:rPr>
        <w:tab/>
      </w:r>
      <w:r>
        <w:rPr>
          <w:rFonts w:hint="eastAsia"/>
        </w:rPr>
        <w:t>只有根据法律并在法律规定的范围内在同时尊重个人的基本权利和自由的情况下才可以给人施加义务。</w:t>
      </w:r>
    </w:p>
    <w:p w:rsidR="00000000" w:rsidRDefault="00000000">
      <w:pPr>
        <w:ind w:left="1530" w:hanging="780"/>
        <w:rPr>
          <w:rFonts w:hint="eastAsia"/>
        </w:rPr>
      </w:pPr>
      <w:r>
        <w:rPr>
          <w:rFonts w:hint="eastAsia"/>
        </w:rPr>
        <w:t>“</w:t>
      </w:r>
      <w:r>
        <w:t>(2)</w:t>
      </w:r>
      <w:r>
        <w:rPr>
          <w:rFonts w:hint="eastAsia"/>
        </w:rPr>
        <w:tab/>
      </w:r>
      <w:r>
        <w:rPr>
          <w:rFonts w:hint="eastAsia"/>
        </w:rPr>
        <w:t>只有依法并在《基本权利和义务宪章》规定的条件下才能对基本权利和自由施加限制。</w:t>
      </w:r>
    </w:p>
    <w:p w:rsidR="00000000" w:rsidRDefault="00000000">
      <w:pPr>
        <w:ind w:left="1530" w:hanging="780"/>
        <w:rPr>
          <w:rFonts w:hint="eastAsia"/>
        </w:rPr>
      </w:pPr>
      <w:r>
        <w:rPr>
          <w:rFonts w:hint="eastAsia"/>
        </w:rPr>
        <w:t>“</w:t>
      </w:r>
      <w:r>
        <w:t>(3)</w:t>
      </w:r>
      <w:r>
        <w:rPr>
          <w:rFonts w:hint="eastAsia"/>
        </w:rPr>
        <w:tab/>
      </w:r>
      <w:r>
        <w:rPr>
          <w:rFonts w:hint="eastAsia"/>
        </w:rPr>
        <w:t>对基本权利和自由的任何法定限制都必须一视同仁地适用于符合规定条件的所有情形。</w:t>
      </w:r>
    </w:p>
    <w:p w:rsidR="00000000" w:rsidRDefault="00000000">
      <w:pPr>
        <w:ind w:left="1530" w:hanging="780"/>
        <w:rPr>
          <w:rFonts w:hint="eastAsia"/>
          <w:bCs/>
        </w:rPr>
      </w:pPr>
      <w:r>
        <w:rPr>
          <w:rFonts w:hint="eastAsia"/>
        </w:rPr>
        <w:t>“</w:t>
      </w:r>
      <w:r>
        <w:t>(4)</w:t>
      </w:r>
      <w:r>
        <w:rPr>
          <w:rFonts w:hint="eastAsia"/>
        </w:rPr>
        <w:tab/>
      </w:r>
      <w:r>
        <w:rPr>
          <w:rFonts w:hint="eastAsia"/>
        </w:rPr>
        <w:t>在利用</w:t>
      </w:r>
      <w:r>
        <w:rPr>
          <w:rFonts w:hint="eastAsia"/>
          <w:bCs/>
        </w:rPr>
        <w:t>有关对基本权利和自由进行限制的条款时，这些权利和自由的精髓和重要性都必须得到维护。这种限制不得滥用于它们规定以外的目的。”</w:t>
      </w:r>
    </w:p>
    <w:p w:rsidR="00000000" w:rsidRDefault="00000000">
      <w:pPr>
        <w:rPr>
          <w:rFonts w:hint="eastAsia"/>
          <w:bCs/>
        </w:rPr>
      </w:pPr>
      <w:r>
        <w:rPr>
          <w:rFonts w:hint="eastAsia"/>
          <w:bCs/>
        </w:rPr>
        <w:tab/>
        <w:t xml:space="preserve">157.  </w:t>
      </w:r>
      <w:r>
        <w:rPr>
          <w:rFonts w:hint="eastAsia"/>
          <w:bCs/>
        </w:rPr>
        <w:t>此外，《宪法》第</w:t>
      </w:r>
      <w:r>
        <w:rPr>
          <w:rFonts w:hint="eastAsia"/>
          <w:bCs/>
        </w:rPr>
        <w:t>9</w:t>
      </w:r>
      <w:r>
        <w:rPr>
          <w:rFonts w:hint="eastAsia"/>
          <w:bCs/>
        </w:rPr>
        <w:t>条规定，“对依法治国的民主国家的基本要求的任何修改都是不能容许的。”它还进一步规定，“对法律规范所作的解释不得授权任何人放弃或危害国家的民主基础。”</w:t>
      </w:r>
    </w:p>
    <w:p w:rsidR="00000000" w:rsidRDefault="00000000">
      <w:pPr>
        <w:rPr>
          <w:rFonts w:hint="eastAsia"/>
          <w:bCs/>
        </w:rPr>
      </w:pPr>
      <w:r>
        <w:rPr>
          <w:rFonts w:hint="eastAsia"/>
          <w:bCs/>
        </w:rPr>
        <w:tab/>
        <w:t xml:space="preserve">158.  </w:t>
      </w:r>
      <w:r>
        <w:rPr>
          <w:rFonts w:hint="eastAsia"/>
          <w:bCs/>
        </w:rPr>
        <w:t>《宪章》关于强迫劳动的第</w:t>
      </w:r>
      <w:r>
        <w:rPr>
          <w:rFonts w:hint="eastAsia"/>
          <w:bCs/>
        </w:rPr>
        <w:t>9</w:t>
      </w:r>
      <w:r>
        <w:rPr>
          <w:rFonts w:hint="eastAsia"/>
          <w:bCs/>
        </w:rPr>
        <w:t>条第</w:t>
      </w:r>
      <w:r>
        <w:rPr>
          <w:rFonts w:hint="eastAsia"/>
          <w:bCs/>
        </w:rPr>
        <w:t>2</w:t>
      </w:r>
      <w:r>
        <w:rPr>
          <w:bCs/>
        </w:rPr>
        <w:t>(c)</w:t>
      </w:r>
      <w:r>
        <w:rPr>
          <w:rFonts w:hint="eastAsia"/>
          <w:bCs/>
        </w:rPr>
        <w:t>和</w:t>
      </w:r>
      <w:r>
        <w:rPr>
          <w:bCs/>
        </w:rPr>
        <w:t>(d)</w:t>
      </w:r>
      <w:r>
        <w:rPr>
          <w:rFonts w:hint="eastAsia"/>
          <w:bCs/>
        </w:rPr>
        <w:t>款还允许在出现自然灾害、事故或其它威胁人民生命、健康或重大财产的其它危险的情况下依法提供所必需的服务，以及采取法律规定为保护其他人的生命、健康或权利所必需采取的行动。</w:t>
      </w:r>
    </w:p>
    <w:p w:rsidR="00000000" w:rsidRDefault="00000000">
      <w:pPr>
        <w:rPr>
          <w:rFonts w:hint="eastAsia"/>
          <w:bCs/>
        </w:rPr>
      </w:pPr>
      <w:r>
        <w:rPr>
          <w:rFonts w:hint="eastAsia"/>
          <w:bCs/>
        </w:rPr>
        <w:tab/>
        <w:t xml:space="preserve">159.  </w:t>
      </w:r>
      <w:r>
        <w:rPr>
          <w:rFonts w:hint="eastAsia"/>
          <w:bCs/>
        </w:rPr>
        <w:t>《宪章》第</w:t>
      </w:r>
      <w:r>
        <w:rPr>
          <w:rFonts w:hint="eastAsia"/>
          <w:bCs/>
        </w:rPr>
        <w:t>11</w:t>
      </w:r>
      <w:r>
        <w:rPr>
          <w:rFonts w:hint="eastAsia"/>
          <w:bCs/>
        </w:rPr>
        <w:t>条第</w:t>
      </w:r>
      <w:r>
        <w:rPr>
          <w:rFonts w:hint="eastAsia"/>
          <w:bCs/>
        </w:rPr>
        <w:t>4</w:t>
      </w:r>
      <w:r>
        <w:rPr>
          <w:rFonts w:hint="eastAsia"/>
          <w:bCs/>
        </w:rPr>
        <w:t>款允许为了公共利益依法并以补偿为代价进行征用或对财产权利作出某些其它的强制性限制。第</w:t>
      </w:r>
      <w:r>
        <w:rPr>
          <w:rFonts w:hint="eastAsia"/>
          <w:bCs/>
        </w:rPr>
        <w:t>13</w:t>
      </w:r>
      <w:r>
        <w:rPr>
          <w:rFonts w:hint="eastAsia"/>
          <w:bCs/>
        </w:rPr>
        <w:t>条第</w:t>
      </w:r>
      <w:r>
        <w:rPr>
          <w:rFonts w:hint="eastAsia"/>
          <w:bCs/>
        </w:rPr>
        <w:t>3</w:t>
      </w:r>
      <w:r>
        <w:rPr>
          <w:rFonts w:hint="eastAsia"/>
          <w:bCs/>
        </w:rPr>
        <w:t>款规定，只有在民主社会为保护个人的生命或健康、其他人的权利和自由或为了避免对公共安全和秩序造成严重威胁所必需的情况下，才能依法允许对住宅的不可侵犯性</w:t>
      </w:r>
      <w:r>
        <w:rPr>
          <w:rFonts w:hint="eastAsia"/>
          <w:bCs/>
        </w:rPr>
        <w:t>(</w:t>
      </w:r>
      <w:r>
        <w:rPr>
          <w:rFonts w:hint="eastAsia"/>
          <w:bCs/>
        </w:rPr>
        <w:t>为刑事诉讼目的搜查房屋除外</w:t>
      </w:r>
      <w:r>
        <w:rPr>
          <w:rFonts w:hint="eastAsia"/>
          <w:bCs/>
        </w:rPr>
        <w:t>)</w:t>
      </w:r>
      <w:r>
        <w:rPr>
          <w:rFonts w:hint="eastAsia"/>
          <w:bCs/>
        </w:rPr>
        <w:t>所作的其它侵犯。</w:t>
      </w:r>
    </w:p>
    <w:p w:rsidR="00000000" w:rsidRDefault="00000000">
      <w:pPr>
        <w:rPr>
          <w:rFonts w:hint="eastAsia"/>
          <w:bCs/>
        </w:rPr>
      </w:pPr>
      <w:r>
        <w:rPr>
          <w:rFonts w:hint="eastAsia"/>
          <w:bCs/>
        </w:rPr>
        <w:tab/>
        <w:t xml:space="preserve">160.  </w:t>
      </w:r>
      <w:r>
        <w:rPr>
          <w:rFonts w:hint="eastAsia"/>
          <w:bCs/>
        </w:rPr>
        <w:t>《宪章》第</w:t>
      </w:r>
      <w:r>
        <w:rPr>
          <w:rFonts w:hint="eastAsia"/>
          <w:bCs/>
        </w:rPr>
        <w:t>14</w:t>
      </w:r>
      <w:r>
        <w:rPr>
          <w:rFonts w:hint="eastAsia"/>
          <w:bCs/>
        </w:rPr>
        <w:t>条第</w:t>
      </w:r>
      <w:r>
        <w:rPr>
          <w:rFonts w:hint="eastAsia"/>
          <w:bCs/>
        </w:rPr>
        <w:t>3</w:t>
      </w:r>
      <w:r>
        <w:rPr>
          <w:rFonts w:hint="eastAsia"/>
          <w:bCs/>
        </w:rPr>
        <w:t>款还容许在为了国家安全、维护公共秩序等不可避免的情况下依法对迁徙和居所自由进行限制。关于宗教自由的第</w:t>
      </w:r>
      <w:r>
        <w:rPr>
          <w:rFonts w:hint="eastAsia"/>
          <w:bCs/>
        </w:rPr>
        <w:t>16</w:t>
      </w:r>
      <w:r>
        <w:rPr>
          <w:rFonts w:hint="eastAsia"/>
          <w:bCs/>
        </w:rPr>
        <w:t>条第</w:t>
      </w:r>
      <w:r>
        <w:rPr>
          <w:rFonts w:hint="eastAsia"/>
          <w:bCs/>
        </w:rPr>
        <w:t>4</w:t>
      </w:r>
      <w:r>
        <w:rPr>
          <w:rFonts w:hint="eastAsia"/>
          <w:bCs/>
        </w:rPr>
        <w:t>款还含有对基本权利和自由所作的类似限制。</w:t>
      </w:r>
    </w:p>
    <w:p w:rsidR="00000000" w:rsidRDefault="00000000">
      <w:pPr>
        <w:rPr>
          <w:rFonts w:hint="eastAsia"/>
          <w:bCs/>
        </w:rPr>
      </w:pPr>
      <w:r>
        <w:rPr>
          <w:rFonts w:hint="eastAsia"/>
          <w:bCs/>
        </w:rPr>
        <w:tab/>
        <w:t xml:space="preserve">161.  </w:t>
      </w:r>
      <w:r>
        <w:rPr>
          <w:rFonts w:hint="eastAsia"/>
          <w:bCs/>
        </w:rPr>
        <w:t>《关于捷克共和国安全的宪法法令》</w:t>
      </w:r>
      <w:r>
        <w:rPr>
          <w:rFonts w:hint="eastAsia"/>
          <w:bCs/>
        </w:rPr>
        <w:t xml:space="preserve"> </w:t>
      </w:r>
      <w:r>
        <w:rPr>
          <w:rStyle w:val="EndnoteReference"/>
          <w:bCs/>
        </w:rPr>
        <w:endnoteReference w:id="94"/>
      </w:r>
      <w:r>
        <w:rPr>
          <w:rFonts w:hint="eastAsia"/>
          <w:bCs/>
        </w:rPr>
        <w:t xml:space="preserve"> </w:t>
      </w:r>
      <w:r>
        <w:rPr>
          <w:rFonts w:hint="eastAsia"/>
          <w:bCs/>
        </w:rPr>
        <w:t>规定在出现紧急状态、危急状态或战争状态的情况下对某些权利和自由进行限制</w:t>
      </w:r>
      <w:r>
        <w:rPr>
          <w:rFonts w:hint="eastAsia"/>
          <w:bCs/>
        </w:rPr>
        <w:t>(</w:t>
      </w:r>
      <w:r>
        <w:rPr>
          <w:rFonts w:hint="eastAsia"/>
          <w:bCs/>
        </w:rPr>
        <w:t>并施加某些义务</w:t>
      </w:r>
      <w:r>
        <w:rPr>
          <w:rFonts w:hint="eastAsia"/>
          <w:bCs/>
        </w:rPr>
        <w:t>)</w:t>
      </w:r>
      <w:r>
        <w:rPr>
          <w:rFonts w:hint="eastAsia"/>
          <w:bCs/>
        </w:rPr>
        <w:t>。在出现自然灾害或生态或工业故障或事故极大地危及到生命、健康、财产或国内秩序和安全的情况下，政府</w:t>
      </w:r>
      <w:r>
        <w:rPr>
          <w:rFonts w:hint="eastAsia"/>
          <w:bCs/>
        </w:rPr>
        <w:t>(</w:t>
      </w:r>
      <w:r>
        <w:rPr>
          <w:rFonts w:hint="eastAsia"/>
          <w:bCs/>
        </w:rPr>
        <w:t>在出现延误危险的情况下，总理</w:t>
      </w:r>
      <w:r>
        <w:rPr>
          <w:rFonts w:hint="eastAsia"/>
          <w:bCs/>
        </w:rPr>
        <w:t>)</w:t>
      </w:r>
      <w:r>
        <w:rPr>
          <w:rFonts w:hint="eastAsia"/>
          <w:bCs/>
        </w:rPr>
        <w:t>可以宣布不超过</w:t>
      </w:r>
      <w:r>
        <w:rPr>
          <w:rFonts w:hint="eastAsia"/>
          <w:bCs/>
        </w:rPr>
        <w:t>30</w:t>
      </w:r>
      <w:r>
        <w:rPr>
          <w:rFonts w:hint="eastAsia"/>
          <w:bCs/>
        </w:rPr>
        <w:t>天的紧急状态。政府应立即向众议院报告宣布紧急状态的情况，后者可以废止或延长宣布的这种状况。</w:t>
      </w:r>
    </w:p>
    <w:p w:rsidR="00000000" w:rsidRDefault="00000000">
      <w:pPr>
        <w:rPr>
          <w:rFonts w:hint="eastAsia"/>
          <w:bCs/>
        </w:rPr>
      </w:pPr>
      <w:r>
        <w:rPr>
          <w:rFonts w:hint="eastAsia"/>
          <w:bCs/>
        </w:rPr>
        <w:tab/>
        <w:t xml:space="preserve">162.  </w:t>
      </w:r>
      <w:r>
        <w:rPr>
          <w:rFonts w:hint="eastAsia"/>
          <w:bCs/>
        </w:rPr>
        <w:t>国家危急状态不仅在国家主权或领土完整受到威胁时出现，而且在国家民主基础受到威胁时也会出现。宣布国家危急状态的决定由参、众两院决定。</w:t>
      </w:r>
      <w:r>
        <w:rPr>
          <w:rStyle w:val="EndnoteReference"/>
          <w:bCs/>
        </w:rPr>
        <w:endnoteReference w:id="95"/>
      </w:r>
      <w:r>
        <w:rPr>
          <w:rFonts w:hint="eastAsia"/>
          <w:bCs/>
        </w:rPr>
        <w:t xml:space="preserve"> </w:t>
      </w:r>
      <w:r>
        <w:rPr>
          <w:rFonts w:hint="eastAsia"/>
          <w:bCs/>
        </w:rPr>
        <w:t>如果众议员、参议员、共和国总统或代表机构的任期在国家危急状态或战争状态期间结束，可以延长</w:t>
      </w:r>
      <w:r>
        <w:rPr>
          <w:rFonts w:hint="eastAsia"/>
          <w:bCs/>
        </w:rPr>
        <w:t>6</w:t>
      </w:r>
      <w:r>
        <w:rPr>
          <w:rFonts w:hint="eastAsia"/>
          <w:bCs/>
        </w:rPr>
        <w:t>个月。</w:t>
      </w:r>
    </w:p>
    <w:p w:rsidR="00000000" w:rsidRDefault="00000000">
      <w:pPr>
        <w:rPr>
          <w:rFonts w:hint="eastAsia"/>
          <w:bCs/>
        </w:rPr>
      </w:pPr>
      <w:r>
        <w:rPr>
          <w:rFonts w:hint="eastAsia"/>
          <w:bCs/>
        </w:rPr>
        <w:tab/>
        <w:t xml:space="preserve">163.  </w:t>
      </w:r>
      <w:r>
        <w:rPr>
          <w:rFonts w:hint="eastAsia"/>
          <w:bCs/>
        </w:rPr>
        <w:t>上述宪法法令由于在所述情况下对基本权利和自由限制过广，最初遭到了公众的批评，因为在法令通过之时，法令尚未以详细具体规定限制某些权利和对法人和自然人施加具体义务的范围和方式的法律形式加以具体化。这样的法律于</w:t>
      </w:r>
      <w:r>
        <w:rPr>
          <w:rFonts w:hint="eastAsia"/>
          <w:bCs/>
        </w:rPr>
        <w:t>1999</w:t>
      </w:r>
      <w:r>
        <w:rPr>
          <w:rFonts w:hint="eastAsia"/>
          <w:bCs/>
        </w:rPr>
        <w:t>年</w:t>
      </w:r>
      <w:r>
        <w:rPr>
          <w:rFonts w:hint="eastAsia"/>
          <w:bCs/>
        </w:rPr>
        <w:t>12</w:t>
      </w:r>
      <w:r>
        <w:rPr>
          <w:rFonts w:hint="eastAsia"/>
          <w:bCs/>
        </w:rPr>
        <w:t>月</w:t>
      </w:r>
      <w:r>
        <w:rPr>
          <w:rFonts w:hint="eastAsia"/>
          <w:bCs/>
        </w:rPr>
        <w:t>1</w:t>
      </w:r>
      <w:r>
        <w:rPr>
          <w:rFonts w:hint="eastAsia"/>
          <w:bCs/>
        </w:rPr>
        <w:t>日通过并开始生效。</w:t>
      </w:r>
    </w:p>
    <w:p w:rsidR="00000000" w:rsidRDefault="00000000">
      <w:pPr>
        <w:rPr>
          <w:rFonts w:hint="eastAsia"/>
          <w:bCs/>
        </w:rPr>
      </w:pPr>
      <w:r>
        <w:rPr>
          <w:rFonts w:hint="eastAsia"/>
          <w:bCs/>
        </w:rPr>
        <w:tab/>
        <w:t xml:space="preserve">164.  </w:t>
      </w:r>
      <w:r>
        <w:rPr>
          <w:rFonts w:hint="eastAsia"/>
          <w:bCs/>
        </w:rPr>
        <w:t>《宪章》第</w:t>
      </w:r>
      <w:r>
        <w:rPr>
          <w:rFonts w:hint="eastAsia"/>
          <w:bCs/>
        </w:rPr>
        <w:t>44</w:t>
      </w:r>
      <w:r>
        <w:rPr>
          <w:rFonts w:hint="eastAsia"/>
          <w:bCs/>
        </w:rPr>
        <w:t>条同时允许依法限制武装部队成员的某些权利：集会权、请愿权和组织工会的权利，如果涉及到履行其职责的话。在采取民主社会的国家安全所必需的措施的情况下，该条还允许对某些其它权利作出法定限制。根据上述规定，《职业军人法》</w:t>
      </w:r>
      <w:r>
        <w:rPr>
          <w:rStyle w:val="EndnoteReference"/>
          <w:bCs/>
        </w:rPr>
        <w:endnoteReference w:id="96"/>
      </w:r>
      <w:r>
        <w:rPr>
          <w:rFonts w:hint="eastAsia"/>
          <w:bCs/>
        </w:rPr>
        <w:t xml:space="preserve"> </w:t>
      </w:r>
      <w:r>
        <w:rPr>
          <w:rFonts w:hint="eastAsia"/>
          <w:bCs/>
        </w:rPr>
        <w:t>载有对集会权</w:t>
      </w:r>
      <w:r>
        <w:rPr>
          <w:rFonts w:hint="eastAsia"/>
          <w:bCs/>
        </w:rPr>
        <w:t>(</w:t>
      </w:r>
      <w:r>
        <w:rPr>
          <w:rFonts w:hint="eastAsia"/>
          <w:bCs/>
        </w:rPr>
        <w:t>第</w:t>
      </w:r>
      <w:r>
        <w:rPr>
          <w:rFonts w:hint="eastAsia"/>
          <w:bCs/>
        </w:rPr>
        <w:t>44</w:t>
      </w:r>
      <w:r>
        <w:rPr>
          <w:rFonts w:hint="eastAsia"/>
          <w:bCs/>
        </w:rPr>
        <w:t>条</w:t>
      </w:r>
      <w:r>
        <w:rPr>
          <w:rFonts w:hint="eastAsia"/>
          <w:bCs/>
        </w:rPr>
        <w:t>)</w:t>
      </w:r>
      <w:r>
        <w:rPr>
          <w:rFonts w:hint="eastAsia"/>
          <w:bCs/>
        </w:rPr>
        <w:t>、结社权</w:t>
      </w:r>
      <w:r>
        <w:rPr>
          <w:rFonts w:hint="eastAsia"/>
          <w:bCs/>
        </w:rPr>
        <w:t>(</w:t>
      </w:r>
      <w:r>
        <w:rPr>
          <w:rFonts w:hint="eastAsia"/>
          <w:bCs/>
        </w:rPr>
        <w:t>第</w:t>
      </w:r>
      <w:r>
        <w:rPr>
          <w:rFonts w:hint="eastAsia"/>
          <w:bCs/>
        </w:rPr>
        <w:t>45</w:t>
      </w:r>
      <w:r>
        <w:rPr>
          <w:rFonts w:hint="eastAsia"/>
          <w:bCs/>
        </w:rPr>
        <w:t>条</w:t>
      </w:r>
      <w:r>
        <w:rPr>
          <w:rFonts w:hint="eastAsia"/>
          <w:bCs/>
        </w:rPr>
        <w:t>)</w:t>
      </w:r>
      <w:r>
        <w:rPr>
          <w:rFonts w:hint="eastAsia"/>
          <w:bCs/>
        </w:rPr>
        <w:t>和自由表示宗教或信仰的权利</w:t>
      </w:r>
      <w:r>
        <w:rPr>
          <w:rFonts w:hint="eastAsia"/>
          <w:bCs/>
        </w:rPr>
        <w:t>(</w:t>
      </w:r>
      <w:r>
        <w:rPr>
          <w:rFonts w:hint="eastAsia"/>
          <w:bCs/>
        </w:rPr>
        <w:t>第</w:t>
      </w:r>
      <w:r>
        <w:rPr>
          <w:rFonts w:hint="eastAsia"/>
          <w:bCs/>
        </w:rPr>
        <w:t>46</w:t>
      </w:r>
      <w:r>
        <w:rPr>
          <w:rFonts w:hint="eastAsia"/>
          <w:bCs/>
        </w:rPr>
        <w:t>条</w:t>
      </w:r>
      <w:r>
        <w:rPr>
          <w:rFonts w:hint="eastAsia"/>
          <w:bCs/>
        </w:rPr>
        <w:t>)</w:t>
      </w:r>
      <w:r>
        <w:rPr>
          <w:rFonts w:hint="eastAsia"/>
          <w:bCs/>
        </w:rPr>
        <w:t>的限制性规定。</w:t>
      </w:r>
    </w:p>
    <w:p w:rsidR="00000000" w:rsidRDefault="00000000">
      <w:pPr>
        <w:rPr>
          <w:rFonts w:hint="eastAsia"/>
          <w:bCs/>
        </w:rPr>
      </w:pPr>
      <w:r>
        <w:rPr>
          <w:rFonts w:hint="eastAsia"/>
          <w:bCs/>
        </w:rPr>
        <w:tab/>
        <w:t xml:space="preserve">165.  </w:t>
      </w:r>
      <w:r>
        <w:rPr>
          <w:rFonts w:hint="eastAsia"/>
          <w:bCs/>
        </w:rPr>
        <w:t>根据</w:t>
      </w:r>
      <w:r>
        <w:rPr>
          <w:rFonts w:hint="eastAsia"/>
          <w:bCs/>
        </w:rPr>
        <w:t>1999</w:t>
      </w:r>
      <w:r>
        <w:rPr>
          <w:rFonts w:hint="eastAsia"/>
          <w:bCs/>
        </w:rPr>
        <w:t>年</w:t>
      </w:r>
      <w:r>
        <w:rPr>
          <w:rFonts w:hint="eastAsia"/>
          <w:bCs/>
        </w:rPr>
        <w:t>12</w:t>
      </w:r>
      <w:r>
        <w:rPr>
          <w:rFonts w:hint="eastAsia"/>
          <w:bCs/>
        </w:rPr>
        <w:t>月</w:t>
      </w:r>
      <w:r>
        <w:rPr>
          <w:rFonts w:hint="eastAsia"/>
          <w:bCs/>
        </w:rPr>
        <w:t>1</w:t>
      </w:r>
      <w:r>
        <w:rPr>
          <w:rFonts w:hint="eastAsia"/>
          <w:bCs/>
        </w:rPr>
        <w:t>日生效的新的《确保捷克共和国防卫安全法》</w:t>
      </w:r>
      <w:r>
        <w:rPr>
          <w:rStyle w:val="EndnoteReference"/>
          <w:bCs/>
        </w:rPr>
        <w:endnoteReference w:id="97"/>
      </w:r>
      <w:r>
        <w:rPr>
          <w:rFonts w:hint="eastAsia"/>
          <w:bCs/>
        </w:rPr>
        <w:t xml:space="preserve"> </w:t>
      </w:r>
      <w:r>
        <w:rPr>
          <w:rFonts w:hint="eastAsia"/>
          <w:bCs/>
        </w:rPr>
        <w:t>，在首要的任务是保护国家的完整，从而也保护每个公民的健全的国家危急状态和战争状态的情况下，可以根据《公约》第</w:t>
      </w:r>
      <w:r>
        <w:rPr>
          <w:rFonts w:hint="eastAsia"/>
          <w:bCs/>
        </w:rPr>
        <w:t>4</w:t>
      </w:r>
      <w:r>
        <w:rPr>
          <w:rFonts w:hint="eastAsia"/>
          <w:bCs/>
        </w:rPr>
        <w:t>条和《宪章》第</w:t>
      </w:r>
      <w:r>
        <w:rPr>
          <w:rFonts w:hint="eastAsia"/>
          <w:bCs/>
        </w:rPr>
        <w:t>4</w:t>
      </w:r>
      <w:r>
        <w:rPr>
          <w:rFonts w:hint="eastAsia"/>
          <w:bCs/>
        </w:rPr>
        <w:t>、第</w:t>
      </w:r>
      <w:r>
        <w:rPr>
          <w:rFonts w:hint="eastAsia"/>
          <w:bCs/>
        </w:rPr>
        <w:t>19</w:t>
      </w:r>
      <w:r>
        <w:rPr>
          <w:rFonts w:hint="eastAsia"/>
          <w:bCs/>
        </w:rPr>
        <w:t>、第</w:t>
      </w:r>
      <w:r>
        <w:rPr>
          <w:rFonts w:hint="eastAsia"/>
          <w:bCs/>
        </w:rPr>
        <w:t>20</w:t>
      </w:r>
      <w:r>
        <w:rPr>
          <w:rFonts w:hint="eastAsia"/>
          <w:bCs/>
        </w:rPr>
        <w:t>和第</w:t>
      </w:r>
      <w:r>
        <w:rPr>
          <w:rFonts w:hint="eastAsia"/>
          <w:bCs/>
        </w:rPr>
        <w:t>35</w:t>
      </w:r>
      <w:r>
        <w:rPr>
          <w:rFonts w:hint="eastAsia"/>
          <w:bCs/>
        </w:rPr>
        <w:t>条的规定，限制某些基本权利和自由。</w:t>
      </w:r>
    </w:p>
    <w:p w:rsidR="00000000" w:rsidRDefault="00000000">
      <w:pPr>
        <w:rPr>
          <w:rFonts w:hint="eastAsia"/>
          <w:bCs/>
        </w:rPr>
      </w:pPr>
      <w:r>
        <w:rPr>
          <w:rFonts w:hint="eastAsia"/>
          <w:bCs/>
        </w:rPr>
        <w:tab/>
        <w:t>166</w:t>
      </w:r>
      <w:r>
        <w:rPr>
          <w:bCs/>
        </w:rPr>
        <w:t>.</w:t>
      </w:r>
      <w:r>
        <w:rPr>
          <w:rFonts w:hint="eastAsia"/>
          <w:bCs/>
        </w:rPr>
        <w:t xml:space="preserve">  </w:t>
      </w:r>
      <w:r>
        <w:rPr>
          <w:rFonts w:hint="eastAsia"/>
          <w:bCs/>
        </w:rPr>
        <w:t>该法第</w:t>
      </w:r>
      <w:r>
        <w:rPr>
          <w:rFonts w:hint="eastAsia"/>
          <w:bCs/>
        </w:rPr>
        <w:t>53</w:t>
      </w:r>
      <w:r>
        <w:rPr>
          <w:rFonts w:hint="eastAsia"/>
          <w:bCs/>
        </w:rPr>
        <w:t>条不仅规定了在国家危急和战争状态情况下为了实现国家的有效防御可以限制的权利和自由清单，而且还规定了限制的基本内容。鉴于无法预测基本权利和自由的限制范围，建议政府以该法规定的政令方式作出决定。</w:t>
      </w:r>
    </w:p>
    <w:p w:rsidR="00000000" w:rsidRDefault="00000000">
      <w:pPr>
        <w:pStyle w:val="Heading3"/>
        <w:spacing w:before="320" w:after="240"/>
        <w:rPr>
          <w:rFonts w:hint="eastAsia"/>
        </w:rPr>
      </w:pPr>
      <w:r>
        <w:rPr>
          <w:rFonts w:hint="eastAsia"/>
        </w:rPr>
        <w:t>第</w:t>
      </w:r>
      <w:r>
        <w:rPr>
          <w:rFonts w:hint="eastAsia"/>
        </w:rPr>
        <w:t xml:space="preserve"> 5 </w:t>
      </w:r>
      <w:r>
        <w:rPr>
          <w:rFonts w:hint="eastAsia"/>
        </w:rPr>
        <w:t>条</w:t>
      </w:r>
    </w:p>
    <w:p w:rsidR="00000000" w:rsidRDefault="00000000">
      <w:pPr>
        <w:rPr>
          <w:rFonts w:hint="eastAsia"/>
          <w:bCs/>
        </w:rPr>
      </w:pPr>
      <w:r>
        <w:rPr>
          <w:rFonts w:hint="eastAsia"/>
          <w:bCs/>
        </w:rPr>
        <w:tab/>
        <w:t xml:space="preserve">167.  </w:t>
      </w:r>
      <w:r>
        <w:rPr>
          <w:rFonts w:hint="eastAsia"/>
          <w:bCs/>
        </w:rPr>
        <w:t>《公约》条款的解释规则在捷克共和国得到了全面遵守。捷克法律体系所保障的权利并未由于《公约》未明确规定保护这些权利或者保护的范围比有关法律窄而受到限制。这一点尤其适合于《宪章》所保障的权利，它对一些权利提供的保障比《公约》的范围还要广泛。</w:t>
      </w:r>
    </w:p>
    <w:p w:rsidR="00000000" w:rsidRDefault="00000000">
      <w:pPr>
        <w:rPr>
          <w:rFonts w:hint="eastAsia"/>
          <w:bCs/>
        </w:rPr>
      </w:pPr>
      <w:r>
        <w:rPr>
          <w:rFonts w:hint="eastAsia"/>
          <w:bCs/>
        </w:rPr>
        <w:tab/>
        <w:t xml:space="preserve">168.  </w:t>
      </w:r>
      <w:r>
        <w:rPr>
          <w:rFonts w:hint="eastAsia"/>
          <w:bCs/>
        </w:rPr>
        <w:t>禁止压制《公约》所产生的任何权利涉及履行《公民权利和政治权利国际公约》</w:t>
      </w:r>
      <w:r>
        <w:rPr>
          <w:rStyle w:val="EndnoteReference"/>
          <w:bCs/>
        </w:rPr>
        <w:endnoteReference w:id="98"/>
      </w:r>
      <w:r>
        <w:rPr>
          <w:rFonts w:hint="eastAsia"/>
          <w:bCs/>
        </w:rPr>
        <w:t xml:space="preserve"> </w:t>
      </w:r>
      <w:r>
        <w:rPr>
          <w:rFonts w:hint="eastAsia"/>
          <w:bCs/>
        </w:rPr>
        <w:t>第</w:t>
      </w:r>
      <w:r>
        <w:rPr>
          <w:rFonts w:hint="eastAsia"/>
          <w:bCs/>
        </w:rPr>
        <w:t>5</w:t>
      </w:r>
      <w:r>
        <w:rPr>
          <w:rFonts w:hint="eastAsia"/>
          <w:bCs/>
        </w:rPr>
        <w:t>条和《欧洲保护人权和基本自由公约》</w:t>
      </w:r>
      <w:r>
        <w:rPr>
          <w:rStyle w:val="EndnoteReference"/>
          <w:bCs/>
        </w:rPr>
        <w:endnoteReference w:id="99"/>
      </w:r>
      <w:r>
        <w:rPr>
          <w:rFonts w:hint="eastAsia"/>
          <w:bCs/>
        </w:rPr>
        <w:t xml:space="preserve"> </w:t>
      </w:r>
      <w:r>
        <w:rPr>
          <w:rFonts w:hint="eastAsia"/>
          <w:bCs/>
        </w:rPr>
        <w:t>第</w:t>
      </w:r>
      <w:r>
        <w:rPr>
          <w:rFonts w:hint="eastAsia"/>
          <w:bCs/>
        </w:rPr>
        <w:t>17</w:t>
      </w:r>
      <w:r>
        <w:rPr>
          <w:rFonts w:hint="eastAsia"/>
          <w:bCs/>
        </w:rPr>
        <w:t>条所载的义务。这些条款禁止个人、团体和政府权力机关限制或压制得到承认的任何权利。在捷克的法律体系中，这一原则还载于《民法》</w:t>
      </w:r>
      <w:r>
        <w:rPr>
          <w:rStyle w:val="EndnoteReference"/>
          <w:bCs/>
        </w:rPr>
        <w:endnoteReference w:id="100"/>
      </w:r>
      <w:r>
        <w:rPr>
          <w:rFonts w:hint="eastAsia"/>
          <w:bCs/>
        </w:rPr>
        <w:t xml:space="preserve"> </w:t>
      </w:r>
      <w:r>
        <w:rPr>
          <w:rFonts w:hint="eastAsia"/>
          <w:bCs/>
        </w:rPr>
        <w:t>第</w:t>
      </w:r>
      <w:r>
        <w:rPr>
          <w:rFonts w:hint="eastAsia"/>
          <w:bCs/>
        </w:rPr>
        <w:t>3</w:t>
      </w:r>
      <w:r>
        <w:rPr>
          <w:rFonts w:hint="eastAsia"/>
          <w:bCs/>
        </w:rPr>
        <w:t>条：“行使民法关系所产生的权利和履行其所产生的职责</w:t>
      </w:r>
      <w:r>
        <w:rPr>
          <w:rFonts w:hint="eastAsia"/>
          <w:bCs/>
        </w:rPr>
        <w:t>(</w:t>
      </w:r>
      <w:r>
        <w:rPr>
          <w:rFonts w:hint="eastAsia"/>
          <w:bCs/>
        </w:rPr>
        <w:t>义务</w:t>
      </w:r>
      <w:r>
        <w:rPr>
          <w:rFonts w:hint="eastAsia"/>
          <w:bCs/>
        </w:rPr>
        <w:t>)</w:t>
      </w:r>
      <w:r>
        <w:rPr>
          <w:rFonts w:hint="eastAsia"/>
          <w:bCs/>
        </w:rPr>
        <w:t>不得在毫无法律根据的情况下干涉他人的权利和正当利益，也不得违背道德高尚的原则。个人和法律实体、国家机关</w:t>
      </w:r>
      <w:r>
        <w:rPr>
          <w:rFonts w:hint="eastAsia"/>
          <w:bCs/>
        </w:rPr>
        <w:t>(</w:t>
      </w:r>
      <w:r>
        <w:rPr>
          <w:rFonts w:hint="eastAsia"/>
          <w:bCs/>
        </w:rPr>
        <w:t>机构</w:t>
      </w:r>
      <w:r>
        <w:rPr>
          <w:rFonts w:hint="eastAsia"/>
          <w:bCs/>
        </w:rPr>
        <w:t>)</w:t>
      </w:r>
      <w:r>
        <w:rPr>
          <w:rFonts w:hint="eastAsia"/>
          <w:bCs/>
        </w:rPr>
        <w:t>都应当注意不危害或违反民法关系所产生的权利，当事方之间可能出现的任何争议均应首先通过协议加以解决。《民法》第</w:t>
      </w:r>
      <w:r>
        <w:rPr>
          <w:rFonts w:hint="eastAsia"/>
          <w:bCs/>
        </w:rPr>
        <w:t>7</w:t>
      </w:r>
      <w:r>
        <w:rPr>
          <w:rFonts w:hint="eastAsia"/>
          <w:bCs/>
        </w:rPr>
        <w:t>条规定，个人</w:t>
      </w:r>
      <w:r>
        <w:rPr>
          <w:rFonts w:hint="eastAsia"/>
          <w:bCs/>
        </w:rPr>
        <w:t>(</w:t>
      </w:r>
      <w:r>
        <w:rPr>
          <w:rFonts w:hint="eastAsia"/>
          <w:bCs/>
        </w:rPr>
        <w:t>自然人</w:t>
      </w:r>
      <w:r>
        <w:rPr>
          <w:rFonts w:hint="eastAsia"/>
          <w:bCs/>
        </w:rPr>
        <w:t>)</w:t>
      </w:r>
      <w:r>
        <w:rPr>
          <w:rFonts w:hint="eastAsia"/>
          <w:bCs/>
        </w:rPr>
        <w:t>在出生时取得享有权利和承担义务的能力。胎儿</w:t>
      </w:r>
      <w:r>
        <w:rPr>
          <w:rFonts w:hint="eastAsia"/>
          <w:bCs/>
        </w:rPr>
        <w:t>(</w:t>
      </w:r>
      <w:r>
        <w:rPr>
          <w:rFonts w:hint="eastAsia"/>
          <w:bCs/>
        </w:rPr>
        <w:t>如果活体出生</w:t>
      </w:r>
      <w:r>
        <w:rPr>
          <w:rFonts w:hint="eastAsia"/>
          <w:bCs/>
        </w:rPr>
        <w:t>)</w:t>
      </w:r>
      <w:r>
        <w:rPr>
          <w:rFonts w:hint="eastAsia"/>
          <w:bCs/>
        </w:rPr>
        <w:t>也具备这一能力。”</w:t>
      </w:r>
    </w:p>
    <w:p w:rsidR="00000000" w:rsidRDefault="00000000">
      <w:pPr>
        <w:rPr>
          <w:rFonts w:hint="eastAsia"/>
          <w:bCs/>
        </w:rPr>
      </w:pPr>
      <w:r>
        <w:rPr>
          <w:rFonts w:hint="eastAsia"/>
          <w:bCs/>
        </w:rPr>
        <w:tab/>
        <w:t xml:space="preserve">169.  </w:t>
      </w:r>
      <w:r>
        <w:rPr>
          <w:rFonts w:hint="eastAsia"/>
          <w:bCs/>
        </w:rPr>
        <w:t>《宪章》第</w:t>
      </w:r>
      <w:r>
        <w:rPr>
          <w:rFonts w:hint="eastAsia"/>
          <w:bCs/>
        </w:rPr>
        <w:t>36</w:t>
      </w:r>
      <w:r>
        <w:rPr>
          <w:rFonts w:hint="eastAsia"/>
          <w:bCs/>
        </w:rPr>
        <w:t>条还对获得司法保护和其它法律保护的权利作了一般性规定：</w:t>
      </w:r>
    </w:p>
    <w:p w:rsidR="00000000" w:rsidRDefault="00000000">
      <w:pPr>
        <w:ind w:left="1040"/>
        <w:rPr>
          <w:rFonts w:hint="eastAsia"/>
          <w:bCs/>
        </w:rPr>
      </w:pPr>
      <w:r>
        <w:rPr>
          <w:rFonts w:hint="eastAsia"/>
          <w:bCs/>
        </w:rPr>
        <w:tab/>
      </w:r>
      <w:r>
        <w:rPr>
          <w:rFonts w:hint="eastAsia"/>
          <w:bCs/>
        </w:rPr>
        <w:t>“人人都可以通过法律规定的程序向独立公正的法庭以及在具体的情况下向另一个机构主张权利。除非法律另有规定，否则，认为政府行政机关的决定剥夺了他的权利的人可以要求法院对该决定的合法性进行审查。然而，对影响本《宪章》所列基本权利和自由的决定进行司法审查不得从法院的管辖权中取消。”</w:t>
      </w:r>
    </w:p>
    <w:p w:rsidR="00000000" w:rsidRDefault="00000000">
      <w:pPr>
        <w:rPr>
          <w:rFonts w:hint="eastAsia"/>
        </w:rPr>
      </w:pPr>
      <w:r>
        <w:rPr>
          <w:rFonts w:hint="eastAsia"/>
        </w:rPr>
        <w:t>上条第</w:t>
      </w:r>
      <w:r>
        <w:rPr>
          <w:rFonts w:hint="eastAsia"/>
        </w:rPr>
        <w:t>4</w:t>
      </w:r>
      <w:r>
        <w:rPr>
          <w:rFonts w:hint="eastAsia"/>
        </w:rPr>
        <w:t>款还规定，有关的条件及其详细规定应当由法律作出。</w:t>
      </w:r>
    </w:p>
    <w:p w:rsidR="00000000" w:rsidRDefault="00000000">
      <w:pPr>
        <w:rPr>
          <w:rFonts w:hint="eastAsia"/>
          <w:bCs/>
        </w:rPr>
      </w:pPr>
      <w:r>
        <w:rPr>
          <w:rFonts w:hint="eastAsia"/>
          <w:bCs/>
        </w:rPr>
        <w:tab/>
        <w:t xml:space="preserve">170.  </w:t>
      </w:r>
      <w:r>
        <w:rPr>
          <w:rFonts w:hint="eastAsia"/>
          <w:bCs/>
        </w:rPr>
        <w:t>任何基本权利或自由均不得排除在司法保护之外。审判程序的依据是被称为“公平审判”的原则。《宪法》和《宪章》对公平审判的原则规定如下：</w:t>
      </w:r>
    </w:p>
    <w:p w:rsidR="00000000" w:rsidRDefault="00000000">
      <w:pPr>
        <w:ind w:left="1040"/>
        <w:rPr>
          <w:rFonts w:hint="eastAsia"/>
          <w:bCs/>
        </w:rPr>
      </w:pPr>
      <w:r>
        <w:rPr>
          <w:rFonts w:hint="eastAsia"/>
          <w:bCs/>
        </w:rPr>
        <w:tab/>
      </w:r>
      <w:r>
        <w:rPr>
          <w:rFonts w:hint="eastAsia"/>
          <w:bCs/>
        </w:rPr>
        <w:t>所有当事方在法庭面前享有平等权利；</w:t>
      </w:r>
    </w:p>
    <w:p w:rsidR="00000000" w:rsidRDefault="00000000">
      <w:pPr>
        <w:ind w:left="1040"/>
        <w:rPr>
          <w:rFonts w:hint="eastAsia"/>
          <w:bCs/>
        </w:rPr>
      </w:pPr>
      <w:r>
        <w:rPr>
          <w:rFonts w:hint="eastAsia"/>
          <w:bCs/>
        </w:rPr>
        <w:tab/>
      </w:r>
      <w:r>
        <w:rPr>
          <w:rFonts w:hint="eastAsia"/>
          <w:bCs/>
        </w:rPr>
        <w:t>除法律另有规定外，法庭应采取口头和公开的程序进行；</w:t>
      </w:r>
    </w:p>
    <w:p w:rsidR="00000000" w:rsidRDefault="00000000">
      <w:pPr>
        <w:ind w:left="1040"/>
        <w:rPr>
          <w:rFonts w:hint="eastAsia"/>
          <w:bCs/>
        </w:rPr>
      </w:pPr>
      <w:r>
        <w:rPr>
          <w:rFonts w:hint="eastAsia"/>
          <w:bCs/>
        </w:rPr>
        <w:tab/>
      </w:r>
      <w:r>
        <w:rPr>
          <w:rFonts w:hint="eastAsia"/>
          <w:bCs/>
        </w:rPr>
        <w:t>判决始终公开宣布；</w:t>
      </w:r>
    </w:p>
    <w:p w:rsidR="00000000" w:rsidRDefault="00000000">
      <w:pPr>
        <w:ind w:left="1040"/>
        <w:rPr>
          <w:rFonts w:hint="eastAsia"/>
          <w:bCs/>
        </w:rPr>
      </w:pPr>
      <w:r>
        <w:rPr>
          <w:rFonts w:hint="eastAsia"/>
          <w:bCs/>
        </w:rPr>
        <w:tab/>
      </w:r>
      <w:r>
        <w:rPr>
          <w:rFonts w:hint="eastAsia"/>
          <w:bCs/>
        </w:rPr>
        <w:t>人人有权拒绝作证，如果因此使自己或亲近的人受到连累；</w:t>
      </w:r>
    </w:p>
    <w:p w:rsidR="00000000" w:rsidRDefault="00000000">
      <w:pPr>
        <w:ind w:left="1040"/>
        <w:rPr>
          <w:rFonts w:hint="eastAsia"/>
          <w:bCs/>
        </w:rPr>
      </w:pPr>
      <w:r>
        <w:rPr>
          <w:rFonts w:hint="eastAsia"/>
          <w:bCs/>
        </w:rPr>
        <w:tab/>
      </w:r>
      <w:r>
        <w:rPr>
          <w:rFonts w:hint="eastAsia"/>
          <w:bCs/>
        </w:rPr>
        <w:t>人人有权在法庭、其它国家机构或政府行政机关的程序中从一开始就获得援助；</w:t>
      </w:r>
    </w:p>
    <w:p w:rsidR="00000000" w:rsidRDefault="00000000">
      <w:pPr>
        <w:ind w:left="1040"/>
        <w:rPr>
          <w:rFonts w:hint="eastAsia"/>
          <w:bCs/>
        </w:rPr>
      </w:pPr>
      <w:r>
        <w:rPr>
          <w:rFonts w:hint="eastAsia"/>
          <w:bCs/>
        </w:rPr>
        <w:tab/>
      </w:r>
      <w:r>
        <w:rPr>
          <w:rFonts w:hint="eastAsia"/>
          <w:bCs/>
        </w:rPr>
        <w:t>宣称不懂程序进行中所采用的语言的人有权得到翻译；</w:t>
      </w:r>
    </w:p>
    <w:p w:rsidR="00000000" w:rsidRDefault="00000000">
      <w:pPr>
        <w:ind w:left="1040"/>
        <w:rPr>
          <w:rFonts w:hint="eastAsia"/>
          <w:bCs/>
        </w:rPr>
      </w:pPr>
      <w:r>
        <w:rPr>
          <w:rFonts w:hint="eastAsia"/>
          <w:bCs/>
        </w:rPr>
        <w:tab/>
      </w:r>
      <w:r>
        <w:rPr>
          <w:rFonts w:hint="eastAsia"/>
          <w:bCs/>
        </w:rPr>
        <w:t>人人都有权使自己的案件在不产生不必要拖延而且自己到场的情况下得到公开的复审，并且可以对所提出的所有证据提出答辩意见；</w:t>
      </w:r>
    </w:p>
    <w:p w:rsidR="00000000" w:rsidRDefault="00000000">
      <w:pPr>
        <w:ind w:left="1040"/>
        <w:rPr>
          <w:rFonts w:hint="eastAsia"/>
          <w:bCs/>
        </w:rPr>
      </w:pPr>
      <w:r>
        <w:rPr>
          <w:rFonts w:hint="eastAsia"/>
          <w:bCs/>
        </w:rPr>
        <w:tab/>
      </w:r>
      <w:r>
        <w:rPr>
          <w:rFonts w:hint="eastAsia"/>
          <w:bCs/>
        </w:rPr>
        <w:t>在刑法中，实行法无明文不为罪、推定无罪和禁止追溯既往的原则；</w:t>
      </w:r>
    </w:p>
    <w:p w:rsidR="00000000" w:rsidRDefault="00000000">
      <w:pPr>
        <w:ind w:left="1040"/>
        <w:rPr>
          <w:rFonts w:hint="eastAsia"/>
          <w:bCs/>
        </w:rPr>
      </w:pPr>
      <w:r>
        <w:rPr>
          <w:rFonts w:hint="eastAsia"/>
          <w:bCs/>
        </w:rPr>
        <w:tab/>
      </w:r>
      <w:r>
        <w:rPr>
          <w:rFonts w:hint="eastAsia"/>
          <w:bCs/>
        </w:rPr>
        <w:t>在刑事诉讼程序中，被告有权获得时间和机会准备答辩、自己答辩或由律师答辩；</w:t>
      </w:r>
    </w:p>
    <w:p w:rsidR="00000000" w:rsidRDefault="00000000">
      <w:pPr>
        <w:ind w:left="1040"/>
        <w:rPr>
          <w:rFonts w:hint="eastAsia"/>
          <w:bCs/>
        </w:rPr>
      </w:pPr>
      <w:r>
        <w:rPr>
          <w:rFonts w:hint="eastAsia"/>
          <w:bCs/>
        </w:rPr>
        <w:tab/>
      </w:r>
      <w:r>
        <w:rPr>
          <w:rFonts w:hint="eastAsia"/>
          <w:bCs/>
        </w:rPr>
        <w:t>被告必须依法拥有一名律师，但如果他不选择律师，则为他免费指定一名律师；</w:t>
      </w:r>
    </w:p>
    <w:p w:rsidR="00000000" w:rsidRDefault="00000000">
      <w:pPr>
        <w:ind w:left="1040"/>
        <w:rPr>
          <w:rFonts w:hint="eastAsia"/>
          <w:bCs/>
        </w:rPr>
      </w:pPr>
      <w:r>
        <w:rPr>
          <w:rFonts w:hint="eastAsia"/>
          <w:bCs/>
        </w:rPr>
        <w:tab/>
      </w:r>
      <w:r>
        <w:rPr>
          <w:rFonts w:hint="eastAsia"/>
          <w:bCs/>
        </w:rPr>
        <w:t>被告有权拒绝作证，并且不得以任何方式剥夺这一权利。</w:t>
      </w:r>
    </w:p>
    <w:p w:rsidR="00000000" w:rsidRDefault="00000000">
      <w:pPr>
        <w:rPr>
          <w:rFonts w:hint="eastAsia"/>
          <w:bCs/>
        </w:rPr>
      </w:pPr>
      <w:r>
        <w:rPr>
          <w:rFonts w:hint="eastAsia"/>
          <w:bCs/>
        </w:rPr>
        <w:tab/>
        <w:t>171</w:t>
      </w:r>
      <w:r>
        <w:rPr>
          <w:bCs/>
        </w:rPr>
        <w:t>.</w:t>
      </w:r>
      <w:r>
        <w:rPr>
          <w:rFonts w:hint="eastAsia"/>
          <w:bCs/>
        </w:rPr>
        <w:t xml:space="preserve">  </w:t>
      </w:r>
      <w:r>
        <w:rPr>
          <w:rFonts w:hint="eastAsia"/>
          <w:bCs/>
        </w:rPr>
        <w:t>捷克共和国的法律体系中没有一项法律与《公约》第</w:t>
      </w:r>
      <w:r>
        <w:rPr>
          <w:rFonts w:hint="eastAsia"/>
          <w:bCs/>
        </w:rPr>
        <w:t>5</w:t>
      </w:r>
      <w:r>
        <w:rPr>
          <w:rFonts w:hint="eastAsia"/>
          <w:bCs/>
        </w:rPr>
        <w:t>条的规定相抵触。这一点以及《宪法》第</w:t>
      </w:r>
      <w:r>
        <w:rPr>
          <w:rFonts w:hint="eastAsia"/>
          <w:bCs/>
        </w:rPr>
        <w:t>10</w:t>
      </w:r>
      <w:r>
        <w:rPr>
          <w:rFonts w:hint="eastAsia"/>
          <w:bCs/>
        </w:rPr>
        <w:t>条保证直接适用国际条约及其优先于制订法的事实使得可以直接适用《公约》第</w:t>
      </w:r>
      <w:r>
        <w:rPr>
          <w:rFonts w:hint="eastAsia"/>
          <w:bCs/>
        </w:rPr>
        <w:t>5</w:t>
      </w:r>
      <w:r>
        <w:rPr>
          <w:rFonts w:hint="eastAsia"/>
          <w:bCs/>
        </w:rPr>
        <w:t>条的规定。在劳动法律关系方面，有关禁止滥用的规定直接规定在《劳动法》</w:t>
      </w:r>
      <w:r>
        <w:rPr>
          <w:rStyle w:val="EndnoteReference"/>
          <w:bCs/>
        </w:rPr>
        <w:endnoteReference w:id="101"/>
      </w:r>
      <w:r>
        <w:rPr>
          <w:rFonts w:hint="eastAsia"/>
          <w:bCs/>
        </w:rPr>
        <w:t xml:space="preserve"> </w:t>
      </w:r>
      <w:r>
        <w:rPr>
          <w:rFonts w:hint="eastAsia"/>
          <w:bCs/>
        </w:rPr>
        <w:t>第</w:t>
      </w:r>
      <w:r>
        <w:rPr>
          <w:rFonts w:hint="eastAsia"/>
          <w:bCs/>
        </w:rPr>
        <w:t>7</w:t>
      </w:r>
      <w:r>
        <w:rPr>
          <w:rFonts w:hint="eastAsia"/>
          <w:bCs/>
        </w:rPr>
        <w:t>条第</w:t>
      </w:r>
      <w:r>
        <w:rPr>
          <w:rFonts w:hint="eastAsia"/>
          <w:bCs/>
        </w:rPr>
        <w:t>2</w:t>
      </w:r>
      <w:r>
        <w:rPr>
          <w:rFonts w:hint="eastAsia"/>
          <w:bCs/>
        </w:rPr>
        <w:t>款之中：“不允许任何一方在行使劳动法关系所产生的权利或履行其所产生的义务时对劳动法关系的另一方造成损害”。</w:t>
      </w:r>
    </w:p>
    <w:p w:rsidR="00000000" w:rsidRDefault="00000000">
      <w:pPr>
        <w:rPr>
          <w:rFonts w:hint="eastAsia"/>
          <w:spacing w:val="8"/>
        </w:rPr>
      </w:pPr>
      <w:r>
        <w:rPr>
          <w:rFonts w:hint="eastAsia"/>
        </w:rPr>
        <w:tab/>
        <w:t xml:space="preserve">172.  </w:t>
      </w:r>
      <w:r>
        <w:rPr>
          <w:rFonts w:hint="eastAsia"/>
        </w:rPr>
        <w:t>对个人权利进行司法保护是捷克法律体系中的基本程序之一。人人都可以通过规定的程序寻求独立于行政权力并且公正的法院执行其权利。法律还可以</w:t>
      </w:r>
      <w:r>
        <w:rPr>
          <w:rFonts w:hint="eastAsia"/>
          <w:spacing w:val="8"/>
        </w:rPr>
        <w:t>规定另一项程序对政府的行政决定的合法性进行审查，但只有法院有权审查有关《宪章》所保障的权利和自由的决定。不过，个人必须知道他们有哪些权利是受《公约》保障的，而且司法和行政机关必须了解捷克共和国作为《公约》的缔约国所承担的义务，这些对于法律保护来说具有根本的重要性。如前所述，所有宪法法令、法律和在捷克共和国生效的具有普遍约束力的法规，其中包括已批准的国际条约，都在《法律汇编》中颁布，重要的法律规范还出版援引了判例法的注释本。</w:t>
      </w:r>
    </w:p>
    <w:p w:rsidR="00000000" w:rsidRDefault="00000000">
      <w:pPr>
        <w:rPr>
          <w:rFonts w:hint="eastAsia"/>
        </w:rPr>
      </w:pPr>
      <w:r>
        <w:rPr>
          <w:rFonts w:hint="eastAsia"/>
        </w:rPr>
        <w:tab/>
        <w:t xml:space="preserve">173.  </w:t>
      </w:r>
      <w:r>
        <w:rPr>
          <w:rFonts w:hint="eastAsia"/>
        </w:rPr>
        <w:t>《宪章》第</w:t>
      </w:r>
      <w:r>
        <w:rPr>
          <w:rFonts w:hint="eastAsia"/>
        </w:rPr>
        <w:t>36</w:t>
      </w:r>
      <w:r>
        <w:rPr>
          <w:rFonts w:hint="eastAsia"/>
        </w:rPr>
        <w:t>条第</w:t>
      </w:r>
      <w:r>
        <w:rPr>
          <w:rFonts w:hint="eastAsia"/>
        </w:rPr>
        <w:t>3</w:t>
      </w:r>
      <w:r>
        <w:rPr>
          <w:rFonts w:hint="eastAsia"/>
        </w:rPr>
        <w:t>款规定：“人人有权就法院、其他国家机构或政府行政机关的非法裁决或者由于错误的公务程序给他造成的损害提出赔偿。”</w:t>
      </w:r>
    </w:p>
    <w:p w:rsidR="00000000" w:rsidRDefault="00000000">
      <w:pPr>
        <w:rPr>
          <w:rFonts w:hint="eastAsia"/>
        </w:rPr>
      </w:pPr>
      <w:r>
        <w:rPr>
          <w:rFonts w:hint="eastAsia"/>
        </w:rPr>
        <w:tab/>
        <w:t xml:space="preserve">174.  </w:t>
      </w:r>
      <w:r>
        <w:rPr>
          <w:rFonts w:hint="eastAsia"/>
        </w:rPr>
        <w:t>国家对其机构的裁决或错误的程序造成的损害承担赔偿责任的问题目前由《行使公共权力过程中由于裁决或错误的公务程序造成损害赔偿责任法》</w:t>
      </w:r>
      <w:r>
        <w:rPr>
          <w:rStyle w:val="EndnoteReference"/>
        </w:rPr>
        <w:endnoteReference w:id="102"/>
      </w:r>
      <w:r>
        <w:rPr>
          <w:rFonts w:hint="eastAsia"/>
        </w:rPr>
        <w:t xml:space="preserve"> </w:t>
      </w:r>
      <w:r>
        <w:rPr>
          <w:rFonts w:hint="eastAsia"/>
        </w:rPr>
        <w:t>作出规定。该法规定，国家负责赔偿由于民事诉讼程序、行政诉讼程序或刑事诉讼程序、或错误的行政程序中作出的裁决所造成的损害</w:t>
      </w:r>
      <w:r>
        <w:rPr>
          <w:rFonts w:hint="eastAsia"/>
        </w:rPr>
        <w:t>(</w:t>
      </w:r>
      <w:r>
        <w:rPr>
          <w:rFonts w:hint="eastAsia"/>
        </w:rPr>
        <w:t>该法第</w:t>
      </w:r>
      <w:r>
        <w:rPr>
          <w:rFonts w:hint="eastAsia"/>
        </w:rPr>
        <w:t>5</w:t>
      </w:r>
      <w:r>
        <w:rPr>
          <w:rFonts w:hint="eastAsia"/>
        </w:rPr>
        <w:t>条</w:t>
      </w:r>
      <w:r>
        <w:rPr>
          <w:rFonts w:hint="eastAsia"/>
        </w:rPr>
        <w:t>)</w:t>
      </w:r>
      <w:r>
        <w:rPr>
          <w:rFonts w:hint="eastAsia"/>
        </w:rPr>
        <w:t>。领土自治单位有义务根据该法规定的条件赔偿在行使法律赋予它们的独立管辖机构的权力的过程中所造成的损害。</w:t>
      </w:r>
    </w:p>
    <w:p w:rsidR="00000000" w:rsidRDefault="00000000">
      <w:pPr>
        <w:rPr>
          <w:rFonts w:hint="eastAsia"/>
        </w:rPr>
      </w:pPr>
      <w:r>
        <w:rPr>
          <w:rFonts w:hint="eastAsia"/>
        </w:rPr>
        <w:tab/>
        <w:t xml:space="preserve">175.  </w:t>
      </w:r>
      <w:r>
        <w:rPr>
          <w:rFonts w:hint="eastAsia"/>
        </w:rPr>
        <w:t>国家作为该法规定的损害赔偿义务主体的定义导致需要确定表面上以国家名义负责的各部或其他的中央办事处的责任。这些办事处不代表国家，但依法代表国家行事，不仅在受害方根据该法第</w:t>
      </w:r>
      <w:r>
        <w:rPr>
          <w:rFonts w:hint="eastAsia"/>
        </w:rPr>
        <w:t>14</w:t>
      </w:r>
      <w:r>
        <w:rPr>
          <w:rFonts w:hint="eastAsia"/>
        </w:rPr>
        <w:t>条的规定向其提出损害赔偿要求的情况下，而且在就损害赔偿以该法提起的任何法律程序中代表国家行事。</w:t>
      </w:r>
    </w:p>
    <w:p w:rsidR="00000000" w:rsidRDefault="00000000">
      <w:pPr>
        <w:rPr>
          <w:rFonts w:hint="eastAsia"/>
        </w:rPr>
      </w:pPr>
      <w:r>
        <w:rPr>
          <w:rFonts w:hint="eastAsia"/>
        </w:rPr>
        <w:tab/>
        <w:t xml:space="preserve">176.  </w:t>
      </w:r>
      <w:r>
        <w:rPr>
          <w:rFonts w:hint="eastAsia"/>
        </w:rPr>
        <w:t>该法对“由于有关拘留、处罚或保护性措施的裁决”所引起的赔偿责任作了区分；还对根据程序规定作出的“非法裁决</w:t>
      </w:r>
      <w:r>
        <w:rPr>
          <w:rFonts w:hint="eastAsia"/>
        </w:rPr>
        <w:t>(</w:t>
      </w:r>
      <w:r>
        <w:rPr>
          <w:rFonts w:hint="eastAsia"/>
        </w:rPr>
        <w:t>可以是个别事项上的任何其他裁决</w:t>
      </w:r>
      <w:r>
        <w:rPr>
          <w:rFonts w:hint="eastAsia"/>
        </w:rPr>
        <w:t>)</w:t>
      </w:r>
      <w:r>
        <w:rPr>
          <w:rFonts w:hint="eastAsia"/>
        </w:rPr>
        <w:t>所引起的赔偿责任”与“错误的行政程序所造成的损害赔偿责任”作了区分。选择作这种区分是由于造成损害的拘留裁决不必总是非法的，还由于另外两种刑事裁决也都有其独特之处。</w:t>
      </w:r>
    </w:p>
    <w:p w:rsidR="00000000" w:rsidRDefault="00000000">
      <w:pPr>
        <w:rPr>
          <w:rFonts w:hint="eastAsia"/>
        </w:rPr>
      </w:pPr>
      <w:r>
        <w:rPr>
          <w:rFonts w:hint="eastAsia"/>
        </w:rPr>
        <w:tab/>
        <w:t xml:space="preserve">177.  </w:t>
      </w:r>
      <w:r>
        <w:rPr>
          <w:rFonts w:hint="eastAsia"/>
        </w:rPr>
        <w:t>《国家赔偿责任法》以各种方式界定了有权获得损害赔偿的人</w:t>
      </w:r>
      <w:r>
        <w:rPr>
          <w:rFonts w:hint="eastAsia"/>
          <w:spacing w:val="-40"/>
        </w:rPr>
        <w:t>——</w:t>
      </w:r>
      <w:r>
        <w:t xml:space="preserve"> </w:t>
      </w:r>
      <w:r>
        <w:rPr>
          <w:rFonts w:hint="eastAsia"/>
        </w:rPr>
        <w:t>取决于导致造成损害的是何种法律事实。在出现由于有关拘留和处罚的裁决造成损害赔偿的情况下，被拘留或处罚的人才有权获得赔偿。在损害是由非法裁决引起的情况下，作出造成损害的非法裁决的诉讼程序的当事方有权获得赔偿。</w:t>
      </w:r>
      <w:r>
        <w:rPr>
          <w:rStyle w:val="EndnoteReference"/>
        </w:rPr>
        <w:endnoteReference w:id="103"/>
      </w:r>
      <w:r>
        <w:rPr>
          <w:rFonts w:hint="eastAsia"/>
        </w:rPr>
        <w:t xml:space="preserve"> </w:t>
      </w:r>
      <w:r>
        <w:rPr>
          <w:rFonts w:hint="eastAsia"/>
        </w:rPr>
        <w:t>该法明确规定，虽然应当是但未被作为诉讼程序的当事一方对待的人也有权对非法裁决所造成的损害提出赔偿。在这一方面，诉讼程序的当事方必须理解为指被有关程序规定确定为当事方的人，而不是在具体的诉讼程序中被承认作为当事方的人。</w:t>
      </w:r>
    </w:p>
    <w:p w:rsidR="00000000" w:rsidRDefault="00000000">
      <w:pPr>
        <w:rPr>
          <w:rFonts w:hint="eastAsia"/>
        </w:rPr>
      </w:pPr>
      <w:r>
        <w:rPr>
          <w:rFonts w:hint="eastAsia"/>
        </w:rPr>
        <w:tab/>
        <w:t xml:space="preserve">178.  </w:t>
      </w:r>
      <w:r>
        <w:rPr>
          <w:rFonts w:hint="eastAsia"/>
        </w:rPr>
        <w:t>在对由于非法裁决所造成的损害提出赔偿请求时，首要的条件是非法裁决必须已经生效。然而，法律也考虑到了不生效即可执行的裁决的情况。撤消或变更已发生法律效力的裁决必须基于它是非法裁决的理由；这种撤消或变更由授权的机构根据有关程序规则作出</w:t>
      </w:r>
      <w:r>
        <w:rPr>
          <w:rFonts w:hint="eastAsia"/>
        </w:rPr>
        <w:t>(</w:t>
      </w:r>
      <w:r>
        <w:rPr>
          <w:rFonts w:hint="eastAsia"/>
        </w:rPr>
        <w:t>一般按特别上诉程序或者按宪法法院的程序</w:t>
      </w:r>
      <w:r>
        <w:rPr>
          <w:rFonts w:hint="eastAsia"/>
        </w:rPr>
        <w:t>)</w:t>
      </w:r>
      <w:r>
        <w:rPr>
          <w:rFonts w:hint="eastAsia"/>
        </w:rPr>
        <w:t>。因此，对裁决是否非法的判定只有等到提起损害赔偿诉讼之时才能进行。对由于不考虑是否已发生法律效力即可执行的裁决所造成的损害提出赔偿请求也可以在按普通上诉程序撤消或变更该裁决之时进行，因为这种裁决甚至在产生法律效力之前就可能造成损害。</w:t>
      </w:r>
    </w:p>
    <w:p w:rsidR="00000000" w:rsidRDefault="00000000">
      <w:pPr>
        <w:rPr>
          <w:rFonts w:hint="eastAsia"/>
        </w:rPr>
      </w:pPr>
      <w:r>
        <w:rPr>
          <w:rFonts w:hint="eastAsia"/>
        </w:rPr>
        <w:tab/>
        <w:t xml:space="preserve">179.  </w:t>
      </w:r>
      <w:r>
        <w:rPr>
          <w:rFonts w:hint="eastAsia"/>
        </w:rPr>
        <w:t>允许提出损害赔偿请求的条款只能用于针对尚未发生法律效力的裁决；这一规定的目的在于限制所提起的损害赔偿案件的数量。这就是诉讼程序的当事方完全可以利用的上诉手段，因此，不利用它们可能对这些当事方造成不利的影响。</w:t>
      </w:r>
      <w:r>
        <w:rPr>
          <w:rStyle w:val="EndnoteReference"/>
        </w:rPr>
        <w:endnoteReference w:id="104"/>
      </w:r>
      <w:r>
        <w:rPr>
          <w:rFonts w:hint="eastAsia"/>
        </w:rPr>
        <w:t xml:space="preserve"> </w:t>
      </w:r>
      <w:r>
        <w:rPr>
          <w:rFonts w:hint="eastAsia"/>
        </w:rPr>
        <w:t>这些上诉手段因此不包括对刑事诉讼程序中的违法行为提出起诉。</w:t>
      </w:r>
    </w:p>
    <w:p w:rsidR="00000000" w:rsidRDefault="00000000">
      <w:r>
        <w:rPr>
          <w:rFonts w:hint="eastAsia"/>
        </w:rPr>
        <w:tab/>
        <w:t xml:space="preserve">180.  </w:t>
      </w:r>
      <w:r>
        <w:rPr>
          <w:rFonts w:hint="eastAsia"/>
        </w:rPr>
        <w:t>如果由于受害方</w:t>
      </w:r>
      <w:r>
        <w:rPr>
          <w:rFonts w:hint="eastAsia"/>
        </w:rPr>
        <w:t>(</w:t>
      </w:r>
      <w:r>
        <w:rPr>
          <w:rFonts w:hint="eastAsia"/>
        </w:rPr>
        <w:t>根据《刑事诉讼法》</w:t>
      </w:r>
      <w:r>
        <w:rPr>
          <w:rFonts w:hint="eastAsia"/>
        </w:rPr>
        <w:t>)</w:t>
      </w:r>
      <w:r>
        <w:rPr>
          <w:rFonts w:hint="eastAsia"/>
        </w:rPr>
        <w:t>撤回其对开始或继续刑事检控的同意致使程序无法继续进行，也就不可能就有关拘留、处罚或保护性措施的裁决作出损害赔偿</w:t>
      </w:r>
      <w:r>
        <w:rPr>
          <w:rFonts w:hint="eastAsia"/>
        </w:rPr>
        <w:t>(</w:t>
      </w:r>
      <w:r>
        <w:rPr>
          <w:rFonts w:hint="eastAsia"/>
        </w:rPr>
        <w:t>《刑事诉讼法》第</w:t>
      </w:r>
      <w:r>
        <w:rPr>
          <w:rFonts w:hint="eastAsia"/>
        </w:rPr>
        <w:t>163</w:t>
      </w:r>
      <w:r>
        <w:t>a</w:t>
      </w:r>
      <w:r>
        <w:rPr>
          <w:rFonts w:hint="eastAsia"/>
        </w:rPr>
        <w:t>条</w:t>
      </w:r>
      <w:r>
        <w:rPr>
          <w:rFonts w:hint="eastAsia"/>
        </w:rPr>
        <w:t>)</w:t>
      </w:r>
      <w:r>
        <w:rPr>
          <w:rFonts w:hint="eastAsia"/>
        </w:rPr>
        <w:t>。如果刑事检控由于有关清算的决定有条件中止，或者如果刑事检控的中止是由于诉讼程序可能给予的处罚由于被告因另一项罪名已经得到的处罚或者预计他会得到的处罚</w:t>
      </w:r>
      <w:r>
        <w:rPr>
          <w:rStyle w:val="EndnoteReference"/>
        </w:rPr>
        <w:endnoteReference w:id="105"/>
      </w:r>
      <w:r>
        <w:rPr>
          <w:rFonts w:hint="eastAsia"/>
        </w:rPr>
        <w:t xml:space="preserve"> </w:t>
      </w:r>
      <w:r>
        <w:rPr>
          <w:rFonts w:hint="eastAsia"/>
        </w:rPr>
        <w:t>而变得毫无意义，或者由于被告的行为已由另一机构作出惩戒性或刑罚性的裁决，或者已由外国的法院或行政机关作出裁决，这种情况也不可能作出赔偿。</w:t>
      </w:r>
    </w:p>
    <w:p w:rsidR="00000000" w:rsidRDefault="00000000">
      <w:pPr>
        <w:rPr>
          <w:rFonts w:hint="eastAsia"/>
        </w:rPr>
      </w:pPr>
      <w:r>
        <w:rPr>
          <w:rFonts w:hint="eastAsia"/>
        </w:rPr>
        <w:tab/>
        <w:t xml:space="preserve">181.  </w:t>
      </w:r>
      <w:r>
        <w:rPr>
          <w:rFonts w:hint="eastAsia"/>
        </w:rPr>
        <w:t>除非法裁决之外，错误的行政程序也会造成损害：目前的法律尚未作出较为细致的规定；仅仅举了作为可能的错误裁决类型的一个例子。对错误的行政程序作出定义十分困难。每一个这样的定义都可能存在以偏概全的危险。这种程序可以由行使公共权力的有关实体的作为和不作为组成。它既包括违反法律，也包括违反较低一级的法律规章，即个别机构的内部指示。</w:t>
      </w:r>
    </w:p>
    <w:p w:rsidR="00000000" w:rsidRDefault="00000000">
      <w:pPr>
        <w:rPr>
          <w:rFonts w:hint="eastAsia"/>
        </w:rPr>
      </w:pPr>
      <w:r>
        <w:rPr>
          <w:rFonts w:hint="eastAsia"/>
        </w:rPr>
        <w:tab/>
        <w:t xml:space="preserve">182.  </w:t>
      </w:r>
      <w:r>
        <w:rPr>
          <w:rFonts w:hint="eastAsia"/>
        </w:rPr>
        <w:t>从该法的规定来看，“错误的行政程序”显然还包括违反法律规定的关于在最后期限之前采取行动或作出决定的义务的情况。如果必须依法对某一事项作出决定的机构不遵守法律规定的关于作出该决定的最后期限或关于作出书面决定的最后期限，或者如果它违背要求它及时并且不得不适当地拖延处理作为诉讼事由的事项的一般程序规定，这就可以构成错误的行政程序。</w:t>
      </w:r>
    </w:p>
    <w:p w:rsidR="00000000" w:rsidRDefault="00000000">
      <w:pPr>
        <w:rPr>
          <w:rFonts w:hint="eastAsia"/>
        </w:rPr>
      </w:pPr>
      <w:r>
        <w:rPr>
          <w:rFonts w:hint="eastAsia"/>
        </w:rPr>
        <w:tab/>
        <w:t xml:space="preserve">183.  </w:t>
      </w:r>
      <w:r>
        <w:rPr>
          <w:rFonts w:hint="eastAsia"/>
        </w:rPr>
        <w:t>国家可以通过所谓的“回归”付款方式将损害赔偿责任转移到由于非法裁决或其他错误行政程序对个人造成直接伤害的法律实体或其雇员身上。只有在损害赔偿向受害方支付时，才可以要求回归付款。回归付款的法律规定是按等级体系制订的：大致说来，支付损害赔偿的人</w:t>
      </w:r>
      <w:r>
        <w:rPr>
          <w:rFonts w:hint="eastAsia"/>
        </w:rPr>
        <w:t>(</w:t>
      </w:r>
      <w:r>
        <w:rPr>
          <w:rFonts w:hint="eastAsia"/>
        </w:rPr>
        <w:t>国家</w:t>
      </w:r>
      <w:r>
        <w:rPr>
          <w:rFonts w:hint="eastAsia"/>
        </w:rPr>
        <w:t>)</w:t>
      </w:r>
      <w:r>
        <w:rPr>
          <w:rFonts w:hint="eastAsia"/>
        </w:rPr>
        <w:t>可以要求造成损害的实体回归支付赔偿</w:t>
      </w:r>
      <w:r>
        <w:rPr>
          <w:rFonts w:hint="eastAsia"/>
        </w:rPr>
        <w:t>(</w:t>
      </w:r>
      <w:r>
        <w:rPr>
          <w:rFonts w:hint="eastAsia"/>
        </w:rPr>
        <w:t>有一些例外</w:t>
      </w:r>
      <w:r>
        <w:rPr>
          <w:rFonts w:hint="eastAsia"/>
        </w:rPr>
        <w:t>)</w:t>
      </w:r>
      <w:r>
        <w:rPr>
          <w:rFonts w:hint="eastAsia"/>
        </w:rPr>
        <w:t>，而这些实体可以要求犯错的雇员支付赔偿。</w:t>
      </w:r>
    </w:p>
    <w:p w:rsidR="00000000" w:rsidRDefault="00000000">
      <w:pPr>
        <w:rPr>
          <w:rFonts w:hint="eastAsia"/>
        </w:rPr>
      </w:pPr>
      <w:r>
        <w:rPr>
          <w:rFonts w:hint="eastAsia"/>
        </w:rPr>
        <w:tab/>
        <w:t xml:space="preserve">184.  </w:t>
      </w:r>
      <w:r>
        <w:rPr>
          <w:rFonts w:hint="eastAsia"/>
        </w:rPr>
        <w:t>国家负责赔偿国家权力行使过程中所造成的损害。国家权力必须按照《宪法》第</w:t>
      </w:r>
      <w:r>
        <w:rPr>
          <w:rFonts w:hint="eastAsia"/>
        </w:rPr>
        <w:t>3</w:t>
      </w:r>
      <w:r>
        <w:rPr>
          <w:rFonts w:hint="eastAsia"/>
        </w:rPr>
        <w:t>条第</w:t>
      </w:r>
      <w:r>
        <w:rPr>
          <w:rFonts w:hint="eastAsia"/>
        </w:rPr>
        <w:t>1</w:t>
      </w:r>
      <w:r>
        <w:rPr>
          <w:rFonts w:hint="eastAsia"/>
        </w:rPr>
        <w:t>款的规定理解为立法、行政和司法权力。《损害责任赔偿法》规定的目的在于，只有在该法规定的情况下由行政的和司法的权力造成的损害赔偿责任才能够依据它得到落实。国家负责根据该法规定的条件赔偿该法明确规定的事实即一项裁决或错误的行政程序所造成的损害，而且该法并未规定任何免责理由。</w:t>
      </w:r>
      <w:r>
        <w:rPr>
          <w:rStyle w:val="EndnoteReference"/>
        </w:rPr>
        <w:endnoteReference w:id="106"/>
      </w:r>
      <w:r>
        <w:rPr>
          <w:rFonts w:hint="eastAsia"/>
        </w:rPr>
        <w:t xml:space="preserve"> </w:t>
      </w:r>
      <w:r>
        <w:rPr>
          <w:rFonts w:hint="eastAsia"/>
        </w:rPr>
        <w:t>然而，根据该法的规定，国家不负责赔偿立法行为所造成的损害。立法权力所造成的损害和所谓的次级法规所造成的损害不能依据该法提出赔偿。</w:t>
      </w:r>
    </w:p>
    <w:p w:rsidR="00000000" w:rsidRDefault="00000000">
      <w:pPr>
        <w:rPr>
          <w:rFonts w:hint="eastAsia"/>
        </w:rPr>
      </w:pPr>
      <w:r>
        <w:rPr>
          <w:rFonts w:hint="eastAsia"/>
        </w:rPr>
        <w:tab/>
        <w:t xml:space="preserve">185.  </w:t>
      </w:r>
      <w:r>
        <w:rPr>
          <w:rFonts w:hint="eastAsia"/>
        </w:rPr>
        <w:t>《宪章》第</w:t>
      </w:r>
      <w:r>
        <w:rPr>
          <w:rFonts w:hint="eastAsia"/>
        </w:rPr>
        <w:t>37</w:t>
      </w:r>
      <w:r>
        <w:rPr>
          <w:rFonts w:hint="eastAsia"/>
        </w:rPr>
        <w:t>条第</w:t>
      </w:r>
      <w:r>
        <w:rPr>
          <w:rFonts w:hint="eastAsia"/>
        </w:rPr>
        <w:t>2</w:t>
      </w:r>
      <w:r>
        <w:rPr>
          <w:rFonts w:hint="eastAsia"/>
        </w:rPr>
        <w:t>款也规定：“在法庭、其他国家机构或政府行政机关的程序中，每个人都有权从程序一开始就获得律师的帮助。”从小处来讲，法律援助可以理解为律师提供的合格的援助。被告根据《刑事诉讼法》享有这一权利的保障。在刑事诉讼程序中向其他当事人如受害者提供合格的法律援助可能成为一个问题，因为他们可以通过有关法定代理人或委托代理人获得法律援助，从而行使其权利，但他们无权获得免费的法律援助。</w:t>
      </w:r>
    </w:p>
    <w:p w:rsidR="00000000" w:rsidRDefault="00000000">
      <w:r>
        <w:rPr>
          <w:rFonts w:hint="eastAsia"/>
        </w:rPr>
        <w:tab/>
        <w:t xml:space="preserve">186.  </w:t>
      </w:r>
      <w:r>
        <w:rPr>
          <w:rFonts w:hint="eastAsia"/>
        </w:rPr>
        <w:t>今后的法律需要纠正的一个不足之处是，根据《民事诉讼法》，法院无权审查行政机构在决策方面的不作为或不适当的拖延行为。在实践中，这一规定使得让问题得到毫不迟延的审查的权利的实施变得复杂起来。</w:t>
      </w:r>
    </w:p>
    <w:p w:rsidR="00000000" w:rsidRDefault="00000000">
      <w:pPr>
        <w:pStyle w:val="Heading3"/>
        <w:spacing w:before="320"/>
      </w:pPr>
      <w:r>
        <w:rPr>
          <w:rFonts w:hint="eastAsia"/>
        </w:rPr>
        <w:t>第</w:t>
      </w:r>
      <w:r>
        <w:t xml:space="preserve"> </w:t>
      </w:r>
      <w:r>
        <w:rPr>
          <w:bCs/>
        </w:rPr>
        <w:t>6</w:t>
      </w:r>
      <w:r>
        <w:t xml:space="preserve"> </w:t>
      </w:r>
      <w:r>
        <w:rPr>
          <w:rFonts w:hint="eastAsia"/>
        </w:rPr>
        <w:t>条</w:t>
      </w:r>
    </w:p>
    <w:p w:rsidR="00000000" w:rsidRDefault="00000000">
      <w:pPr>
        <w:pStyle w:val="Heading4"/>
      </w:pPr>
      <w:r>
        <w:rPr>
          <w:rFonts w:hint="eastAsia"/>
        </w:rPr>
        <w:t>第</w:t>
      </w:r>
      <w:r>
        <w:rPr>
          <w:rFonts w:hint="eastAsia"/>
        </w:rPr>
        <w:t xml:space="preserve"> </w:t>
      </w:r>
      <w:r>
        <w:rPr>
          <w:bCs/>
        </w:rPr>
        <w:t>1</w:t>
      </w:r>
      <w:r>
        <w:rPr>
          <w:rFonts w:hint="eastAsia"/>
          <w:b/>
        </w:rPr>
        <w:t xml:space="preserve"> </w:t>
      </w:r>
      <w:r>
        <w:rPr>
          <w:rFonts w:hint="eastAsia"/>
        </w:rPr>
        <w:t>款</w:t>
      </w:r>
    </w:p>
    <w:p w:rsidR="00000000" w:rsidRDefault="00000000">
      <w:pPr>
        <w:rPr>
          <w:snapToGrid/>
        </w:rPr>
      </w:pPr>
      <w:r>
        <w:rPr>
          <w:snapToGrid/>
        </w:rPr>
        <w:tab/>
        <w:t xml:space="preserve">187.  </w:t>
      </w:r>
      <w:r>
        <w:rPr>
          <w:rFonts w:hint="eastAsia"/>
          <w:snapToGrid/>
        </w:rPr>
        <w:t>《基本权利和自由宪章》第</w:t>
      </w:r>
      <w:r>
        <w:rPr>
          <w:snapToGrid/>
        </w:rPr>
        <w:t>26</w:t>
      </w:r>
      <w:r>
        <w:rPr>
          <w:rFonts w:hint="eastAsia"/>
          <w:snapToGrid/>
        </w:rPr>
        <w:t>条全面保证了捷克共和国法律规定的工作权和自由选择职业权</w:t>
      </w:r>
      <w:r>
        <w:rPr>
          <w:snapToGrid/>
        </w:rPr>
        <w:t>：</w:t>
      </w:r>
    </w:p>
    <w:p w:rsidR="00000000" w:rsidRDefault="00000000">
      <w:pPr>
        <w:pStyle w:val="a5"/>
        <w:ind w:left="1820" w:hanging="799"/>
        <w:rPr>
          <w:snapToGrid/>
        </w:rPr>
      </w:pPr>
      <w:r>
        <w:rPr>
          <w:rFonts w:hint="eastAsia"/>
          <w:snapToGrid/>
        </w:rPr>
        <w:t>“</w:t>
      </w:r>
      <w:r>
        <w:rPr>
          <w:snapToGrid/>
        </w:rPr>
        <w:t>(1)</w:t>
      </w:r>
      <w:r>
        <w:rPr>
          <w:snapToGrid/>
        </w:rPr>
        <w:tab/>
      </w:r>
      <w:r>
        <w:rPr>
          <w:rFonts w:hint="eastAsia"/>
          <w:snapToGrid/>
        </w:rPr>
        <w:t>人人有权自由选择他</w:t>
      </w:r>
      <w:r>
        <w:rPr>
          <w:snapToGrid/>
        </w:rPr>
        <w:t>/</w:t>
      </w:r>
      <w:r>
        <w:rPr>
          <w:rFonts w:hint="eastAsia"/>
          <w:snapToGrid/>
        </w:rPr>
        <w:t>她的职业</w:t>
      </w:r>
      <w:r>
        <w:rPr>
          <w:snapToGrid/>
        </w:rPr>
        <w:t>，</w:t>
      </w:r>
      <w:r>
        <w:rPr>
          <w:rFonts w:hint="eastAsia"/>
          <w:snapToGrid/>
        </w:rPr>
        <w:t>有权获得从事该职业的培训以及参与商业和经济活动</w:t>
      </w:r>
      <w:r>
        <w:rPr>
          <w:snapToGrid/>
        </w:rPr>
        <w:t>：</w:t>
      </w:r>
    </w:p>
    <w:p w:rsidR="00000000" w:rsidRDefault="00000000">
      <w:pPr>
        <w:pStyle w:val="a5"/>
        <w:ind w:left="1820" w:hanging="799"/>
        <w:rPr>
          <w:snapToGrid/>
        </w:rPr>
      </w:pPr>
      <w:r>
        <w:rPr>
          <w:rFonts w:hint="eastAsia"/>
          <w:snapToGrid/>
        </w:rPr>
        <w:t>“</w:t>
      </w:r>
      <w:r>
        <w:rPr>
          <w:snapToGrid/>
        </w:rPr>
        <w:t>(2)</w:t>
      </w:r>
      <w:r>
        <w:rPr>
          <w:snapToGrid/>
        </w:rPr>
        <w:tab/>
      </w:r>
      <w:r>
        <w:rPr>
          <w:rFonts w:hint="eastAsia"/>
          <w:snapToGrid/>
        </w:rPr>
        <w:t>可依法对从事某些职业或活动施加条件和限制</w:t>
      </w:r>
      <w:r>
        <w:rPr>
          <w:snapToGrid/>
        </w:rPr>
        <w:t>：</w:t>
      </w:r>
    </w:p>
    <w:p w:rsidR="00000000" w:rsidRDefault="00000000">
      <w:pPr>
        <w:pStyle w:val="a5"/>
        <w:ind w:left="1820" w:hanging="799"/>
        <w:rPr>
          <w:snapToGrid/>
        </w:rPr>
      </w:pPr>
      <w:r>
        <w:rPr>
          <w:rFonts w:hint="eastAsia"/>
          <w:snapToGrid/>
        </w:rPr>
        <w:t>“</w:t>
      </w:r>
      <w:r>
        <w:rPr>
          <w:snapToGrid/>
        </w:rPr>
        <w:t>(3)</w:t>
      </w:r>
      <w:r>
        <w:rPr>
          <w:snapToGrid/>
        </w:rPr>
        <w:tab/>
      </w:r>
      <w:r>
        <w:rPr>
          <w:rFonts w:hint="eastAsia"/>
          <w:snapToGrid/>
        </w:rPr>
        <w:t>人人有权通过劳动获得生计。国家应该对非出于自己过错而无法行使这一权利的人提供适足水准的物质保障</w:t>
      </w:r>
      <w:r>
        <w:rPr>
          <w:snapToGrid/>
        </w:rPr>
        <w:t>：</w:t>
      </w:r>
      <w:r>
        <w:rPr>
          <w:rFonts w:hint="eastAsia"/>
          <w:snapToGrid/>
        </w:rPr>
        <w:t>应依法规定具体条件。</w:t>
      </w:r>
    </w:p>
    <w:p w:rsidR="00000000" w:rsidRDefault="00000000">
      <w:pPr>
        <w:pStyle w:val="a5"/>
        <w:ind w:left="1820" w:hanging="799"/>
        <w:rPr>
          <w:snapToGrid/>
        </w:rPr>
      </w:pPr>
      <w:r>
        <w:rPr>
          <w:rFonts w:hint="eastAsia"/>
          <w:snapToGrid/>
        </w:rPr>
        <w:t>“</w:t>
      </w:r>
      <w:r>
        <w:rPr>
          <w:snapToGrid/>
        </w:rPr>
        <w:t>(4)</w:t>
      </w:r>
      <w:r>
        <w:rPr>
          <w:snapToGrid/>
        </w:rPr>
        <w:tab/>
      </w:r>
      <w:r>
        <w:rPr>
          <w:rFonts w:hint="eastAsia"/>
          <w:snapToGrid/>
        </w:rPr>
        <w:t>对外国人可以适用不同的法律规章。”</w:t>
      </w:r>
    </w:p>
    <w:p w:rsidR="00000000" w:rsidRDefault="00000000">
      <w:pPr>
        <w:rPr>
          <w:rFonts w:hint="eastAsia"/>
          <w:snapToGrid/>
        </w:rPr>
      </w:pPr>
      <w:r>
        <w:rPr>
          <w:rFonts w:hint="eastAsia"/>
          <w:snapToGrid/>
        </w:rPr>
        <w:tab/>
      </w:r>
      <w:r>
        <w:rPr>
          <w:snapToGrid/>
        </w:rPr>
        <w:t xml:space="preserve">188.  </w:t>
      </w:r>
      <w:r>
        <w:rPr>
          <w:rFonts w:hint="eastAsia"/>
          <w:snapToGrid/>
        </w:rPr>
        <w:t>捷克共和国加入了保证人人平等就业的国际公约</w:t>
      </w:r>
      <w:r>
        <w:rPr>
          <w:snapToGrid/>
        </w:rPr>
        <w:t>，</w:t>
      </w:r>
      <w:r>
        <w:rPr>
          <w:rFonts w:hint="eastAsia"/>
          <w:snapToGrid/>
        </w:rPr>
        <w:t>如《消除一切形式种族歧视国际公约》、《消除对妇女一切形式歧视公约》和各项国际劳工组织公约。</w:t>
      </w:r>
      <w:r>
        <w:rPr>
          <w:rStyle w:val="EndnoteReference"/>
          <w:snapToGrid/>
        </w:rPr>
        <w:endnoteReference w:id="107"/>
      </w:r>
      <w:r>
        <w:rPr>
          <w:rFonts w:hint="eastAsia"/>
          <w:snapToGrid/>
          <w:vertAlign w:val="superscript"/>
        </w:rPr>
        <w:t xml:space="preserve"> </w:t>
      </w:r>
    </w:p>
    <w:p w:rsidR="00000000" w:rsidRDefault="00000000">
      <w:pPr>
        <w:rPr>
          <w:rFonts w:hint="eastAsia"/>
          <w:snapToGrid/>
        </w:rPr>
      </w:pPr>
      <w:r>
        <w:rPr>
          <w:rFonts w:hint="eastAsia"/>
          <w:snapToGrid/>
        </w:rPr>
        <w:tab/>
      </w:r>
      <w:r>
        <w:rPr>
          <w:snapToGrid/>
        </w:rPr>
        <w:t xml:space="preserve">189.  </w:t>
      </w:r>
      <w:r>
        <w:rPr>
          <w:rFonts w:hint="eastAsia"/>
          <w:snapToGrid/>
        </w:rPr>
        <w:t>《就业法》载述了详细的定义。</w:t>
      </w:r>
      <w:r>
        <w:rPr>
          <w:rFonts w:hint="eastAsia"/>
          <w:snapToGrid/>
          <w:vertAlign w:val="superscript"/>
        </w:rPr>
        <w:t xml:space="preserve"> </w:t>
      </w:r>
      <w:r>
        <w:rPr>
          <w:rStyle w:val="EndnoteReference"/>
          <w:snapToGrid/>
        </w:rPr>
        <w:endnoteReference w:id="108"/>
      </w:r>
      <w:r>
        <w:rPr>
          <w:rFonts w:hint="eastAsia"/>
          <w:snapToGrid/>
        </w:rPr>
        <w:t xml:space="preserve">  </w:t>
      </w:r>
      <w:r>
        <w:rPr>
          <w:rFonts w:hint="eastAsia"/>
          <w:snapToGrid/>
        </w:rPr>
        <w:t>第</w:t>
      </w:r>
      <w:r>
        <w:rPr>
          <w:snapToGrid/>
        </w:rPr>
        <w:t>1</w:t>
      </w:r>
      <w:r>
        <w:rPr>
          <w:rFonts w:hint="eastAsia"/>
          <w:snapToGrid/>
        </w:rPr>
        <w:t>条第</w:t>
      </w:r>
      <w:r>
        <w:rPr>
          <w:snapToGrid/>
        </w:rPr>
        <w:t>3</w:t>
      </w:r>
      <w:r>
        <w:rPr>
          <w:rFonts w:hint="eastAsia"/>
          <w:snapToGrid/>
        </w:rPr>
        <w:t>款称就业权为</w:t>
      </w:r>
      <w:r>
        <w:rPr>
          <w:snapToGrid/>
        </w:rPr>
        <w:t>，</w:t>
      </w:r>
      <w:r>
        <w:rPr>
          <w:snapToGrid/>
        </w:rPr>
        <w:t>"</w:t>
      </w:r>
      <w:r>
        <w:rPr>
          <w:rFonts w:hint="eastAsia"/>
          <w:snapToGrid/>
        </w:rPr>
        <w:t>就业权应被理解为每个愿意和能够劳动并真心寻找工作的公民应享受的以下权利</w:t>
      </w:r>
      <w:r>
        <w:rPr>
          <w:snapToGrid/>
        </w:rPr>
        <w:t>：</w:t>
      </w:r>
      <w:r>
        <w:rPr>
          <w:rFonts w:hint="eastAsia"/>
          <w:snapToGrid/>
        </w:rPr>
        <w:t>在寻找适当工作时得到协助</w:t>
      </w:r>
      <w:r>
        <w:rPr>
          <w:snapToGrid/>
        </w:rPr>
        <w:t>：</w:t>
      </w:r>
      <w:r>
        <w:rPr>
          <w:rFonts w:hint="eastAsia"/>
          <w:snapToGrid/>
        </w:rPr>
        <w:t>接受对寻找工作十分必要的培训</w:t>
      </w:r>
      <w:r>
        <w:rPr>
          <w:snapToGrid/>
        </w:rPr>
        <w:t>：</w:t>
      </w:r>
      <w:r>
        <w:rPr>
          <w:rFonts w:hint="eastAsia"/>
          <w:snapToGrid/>
        </w:rPr>
        <w:t>就业前或失业后</w:t>
      </w:r>
      <w:r>
        <w:rPr>
          <w:snapToGrid/>
        </w:rPr>
        <w:t>，</w:t>
      </w:r>
      <w:r>
        <w:rPr>
          <w:rFonts w:hint="eastAsia"/>
          <w:snapToGrid/>
        </w:rPr>
        <w:t>得到补助。</w:t>
      </w:r>
      <w:r>
        <w:rPr>
          <w:snapToGrid/>
        </w:rPr>
        <w:t>”</w:t>
      </w:r>
    </w:p>
    <w:p w:rsidR="00000000" w:rsidRDefault="00000000">
      <w:pPr>
        <w:rPr>
          <w:snapToGrid/>
        </w:rPr>
      </w:pPr>
      <w:r>
        <w:rPr>
          <w:rFonts w:hint="eastAsia"/>
          <w:snapToGrid/>
        </w:rPr>
        <w:tab/>
      </w:r>
      <w:r>
        <w:rPr>
          <w:snapToGrid/>
        </w:rPr>
        <w:t xml:space="preserve">190.  </w:t>
      </w:r>
      <w:r>
        <w:rPr>
          <w:rFonts w:hint="eastAsia"/>
          <w:snapToGrid/>
        </w:rPr>
        <w:t>根据《就业法》第</w:t>
      </w:r>
      <w:r>
        <w:rPr>
          <w:snapToGrid/>
        </w:rPr>
        <w:t>1</w:t>
      </w:r>
      <w:r>
        <w:rPr>
          <w:rFonts w:hint="eastAsia"/>
          <w:snapToGrid/>
        </w:rPr>
        <w:t>条第</w:t>
      </w:r>
      <w:r>
        <w:rPr>
          <w:snapToGrid/>
        </w:rPr>
        <w:t>4</w:t>
      </w:r>
      <w:r>
        <w:rPr>
          <w:rFonts w:hint="eastAsia"/>
          <w:snapToGrid/>
        </w:rPr>
        <w:t>款</w:t>
      </w:r>
      <w:r>
        <w:rPr>
          <w:snapToGrid/>
        </w:rPr>
        <w:t>，</w:t>
      </w:r>
      <w:r>
        <w:rPr>
          <w:rFonts w:hint="eastAsia"/>
          <w:snapToGrid/>
        </w:rPr>
        <w:t>安排的工作必须适合有关人员</w:t>
      </w:r>
      <w:r>
        <w:rPr>
          <w:snapToGrid/>
        </w:rPr>
        <w:t>，</w:t>
      </w:r>
      <w:r>
        <w:rPr>
          <w:rFonts w:hint="eastAsia"/>
          <w:snapToGrid/>
        </w:rPr>
        <w:t>即必须适合他</w:t>
      </w:r>
      <w:r>
        <w:rPr>
          <w:snapToGrid/>
        </w:rPr>
        <w:t>/</w:t>
      </w:r>
      <w:r>
        <w:rPr>
          <w:rFonts w:hint="eastAsia"/>
          <w:snapToGrid/>
        </w:rPr>
        <w:t>她的健康状况</w:t>
      </w:r>
      <w:r>
        <w:rPr>
          <w:snapToGrid/>
        </w:rPr>
        <w:t>，</w:t>
      </w:r>
      <w:r>
        <w:rPr>
          <w:rFonts w:hint="eastAsia"/>
          <w:snapToGrid/>
        </w:rPr>
        <w:t>必须考虑到有关人员的年龄、资格和能力、以前就业时间的长短以及住房机会等。</w:t>
      </w:r>
    </w:p>
    <w:p w:rsidR="00000000" w:rsidRDefault="00000000">
      <w:pPr>
        <w:rPr>
          <w:snapToGrid/>
        </w:rPr>
      </w:pPr>
      <w:r>
        <w:rPr>
          <w:rFonts w:hint="eastAsia"/>
          <w:snapToGrid/>
        </w:rPr>
        <w:tab/>
      </w:r>
      <w:r>
        <w:rPr>
          <w:snapToGrid/>
        </w:rPr>
        <w:t xml:space="preserve">191.  </w:t>
      </w:r>
      <w:r>
        <w:rPr>
          <w:rFonts w:hint="eastAsia"/>
          <w:snapToGrid/>
        </w:rPr>
        <w:t>安排适合的工作主要是劳动局的任务。</w:t>
      </w:r>
      <w:r>
        <w:rPr>
          <w:rFonts w:hint="eastAsia"/>
          <w:snapToGrid/>
          <w:vertAlign w:val="superscript"/>
        </w:rPr>
        <w:t xml:space="preserve"> </w:t>
      </w:r>
      <w:r>
        <w:rPr>
          <w:rStyle w:val="EndnoteReference"/>
          <w:snapToGrid/>
        </w:rPr>
        <w:endnoteReference w:id="109"/>
      </w:r>
      <w:r>
        <w:rPr>
          <w:snapToGrid/>
          <w:vertAlign w:val="superscript"/>
        </w:rPr>
        <w:t xml:space="preserve"> </w:t>
      </w:r>
      <w:r>
        <w:rPr>
          <w:rFonts w:hint="eastAsia"/>
          <w:snapToGrid/>
        </w:rPr>
        <w:t>劳动局是劳动和社会事务部通过就业服务局设立、管理并从其预算中调拨经费的政府机构。劳动局的管辖对象和领域与区政府相同。劳动局向求职者提供免费服务。除此之外</w:t>
      </w:r>
      <w:r>
        <w:rPr>
          <w:snapToGrid/>
        </w:rPr>
        <w:t>，</w:t>
      </w:r>
      <w:r>
        <w:rPr>
          <w:rFonts w:hint="eastAsia"/>
          <w:snapToGrid/>
        </w:rPr>
        <w:t>截至</w:t>
      </w:r>
      <w:r>
        <w:rPr>
          <w:snapToGrid/>
        </w:rPr>
        <w:t>1999</w:t>
      </w:r>
      <w:r>
        <w:rPr>
          <w:rFonts w:hint="eastAsia"/>
          <w:snapToGrid/>
        </w:rPr>
        <w:t>年</w:t>
      </w:r>
      <w:r>
        <w:rPr>
          <w:snapToGrid/>
        </w:rPr>
        <w:t>10</w:t>
      </w:r>
      <w:r>
        <w:rPr>
          <w:rFonts w:hint="eastAsia"/>
          <w:snapToGrid/>
        </w:rPr>
        <w:t>月</w:t>
      </w:r>
      <w:r>
        <w:rPr>
          <w:snapToGrid/>
        </w:rPr>
        <w:t>，</w:t>
      </w:r>
      <w:r>
        <w:rPr>
          <w:rFonts w:hint="eastAsia"/>
          <w:snapToGrid/>
        </w:rPr>
        <w:t>捷克共和国还有</w:t>
      </w:r>
      <w:r>
        <w:rPr>
          <w:snapToGrid/>
        </w:rPr>
        <w:t>170</w:t>
      </w:r>
      <w:r>
        <w:rPr>
          <w:rFonts w:hint="eastAsia"/>
          <w:snapToGrid/>
        </w:rPr>
        <w:t>家私营职业介绍机构</w:t>
      </w:r>
      <w:r>
        <w:rPr>
          <w:snapToGrid/>
        </w:rPr>
        <w:t>，</w:t>
      </w:r>
      <w:r>
        <w:rPr>
          <w:rFonts w:hint="eastAsia"/>
          <w:snapToGrid/>
        </w:rPr>
        <w:t>它们的活动得到了劳动和社会事务部的允许</w:t>
      </w:r>
      <w:r>
        <w:rPr>
          <w:snapToGrid/>
        </w:rPr>
        <w:t>，</w:t>
      </w:r>
      <w:r>
        <w:rPr>
          <w:rFonts w:hint="eastAsia"/>
          <w:snapToGrid/>
        </w:rPr>
        <w:t>提供收费职业介绍服务</w:t>
      </w:r>
      <w:r>
        <w:rPr>
          <w:snapToGrid/>
        </w:rPr>
        <w:t>，</w:t>
      </w:r>
      <w:r>
        <w:rPr>
          <w:rFonts w:hint="eastAsia"/>
          <w:snapToGrid/>
        </w:rPr>
        <w:t>收费数额由劳动和社会事务部依据《劳动法》和《捷克共和国就业部门机构管辖权法》确定。禁止为安排工作预留工资的做法。</w:t>
      </w:r>
    </w:p>
    <w:p w:rsidR="00000000" w:rsidRDefault="00000000">
      <w:pPr>
        <w:rPr>
          <w:snapToGrid/>
          <w:szCs w:val="24"/>
        </w:rPr>
      </w:pPr>
      <w:r>
        <w:rPr>
          <w:rFonts w:hint="eastAsia"/>
          <w:snapToGrid/>
          <w:szCs w:val="24"/>
        </w:rPr>
        <w:tab/>
      </w:r>
      <w:r>
        <w:rPr>
          <w:snapToGrid/>
          <w:szCs w:val="24"/>
        </w:rPr>
        <w:t xml:space="preserve">192.  </w:t>
      </w:r>
      <w:r>
        <w:rPr>
          <w:rFonts w:hint="eastAsia"/>
          <w:snapToGrid/>
          <w:szCs w:val="24"/>
        </w:rPr>
        <w:t>保障自由选择就业权是指在就业前</w:t>
      </w:r>
      <w:r>
        <w:rPr>
          <w:snapToGrid/>
          <w:szCs w:val="24"/>
        </w:rPr>
        <w:t>，</w:t>
      </w:r>
      <w:r>
        <w:rPr>
          <w:rFonts w:hint="eastAsia"/>
          <w:snapToGrid/>
          <w:szCs w:val="24"/>
        </w:rPr>
        <w:t>有权得到就业机会方面的专门咨询服务</w:t>
      </w:r>
      <w:r>
        <w:rPr>
          <w:snapToGrid/>
          <w:szCs w:val="24"/>
        </w:rPr>
        <w:t>，</w:t>
      </w:r>
      <w:r>
        <w:rPr>
          <w:rFonts w:hint="eastAsia"/>
          <w:snapToGrid/>
          <w:szCs w:val="24"/>
        </w:rPr>
        <w:t>通常由学校与职业介绍部门的国家机构即劳动局合作，通过个人和集体咨询、讲座、讨论会等形式进行。</w:t>
      </w:r>
    </w:p>
    <w:p w:rsidR="00000000" w:rsidRDefault="00000000">
      <w:pPr>
        <w:rPr>
          <w:snapToGrid/>
          <w:szCs w:val="24"/>
        </w:rPr>
      </w:pPr>
      <w:r>
        <w:rPr>
          <w:rFonts w:hint="eastAsia"/>
          <w:snapToGrid/>
          <w:szCs w:val="24"/>
        </w:rPr>
        <w:tab/>
      </w:r>
      <w:r>
        <w:rPr>
          <w:snapToGrid/>
          <w:szCs w:val="24"/>
        </w:rPr>
        <w:t xml:space="preserve">193.  </w:t>
      </w:r>
      <w:r>
        <w:rPr>
          <w:rFonts w:hint="eastAsia"/>
          <w:snapToGrid/>
          <w:szCs w:val="24"/>
        </w:rPr>
        <w:t>劳动局设有信息和咨询中心。这些中心提供免费信息</w:t>
      </w:r>
      <w:r>
        <w:rPr>
          <w:snapToGrid/>
          <w:szCs w:val="24"/>
        </w:rPr>
        <w:t>，</w:t>
      </w:r>
      <w:r>
        <w:rPr>
          <w:rFonts w:hint="eastAsia"/>
          <w:snapToGrid/>
          <w:szCs w:val="24"/>
        </w:rPr>
        <w:t>协助职业学校、中学和中学后毕业生选择职业</w:t>
      </w:r>
      <w:r>
        <w:rPr>
          <w:snapToGrid/>
          <w:szCs w:val="24"/>
        </w:rPr>
        <w:t>，</w:t>
      </w:r>
      <w:r>
        <w:rPr>
          <w:rFonts w:hint="eastAsia"/>
          <w:snapToGrid/>
          <w:szCs w:val="24"/>
        </w:rPr>
        <w:t>还向初级学校和专门学校的学生和家长提供有关劳动力市场和寻找各领域工作机会的信息、再培训机会信息、区和全国新职位最新清单</w:t>
      </w:r>
      <w:r>
        <w:rPr>
          <w:snapToGrid/>
          <w:szCs w:val="24"/>
        </w:rPr>
        <w:t>，</w:t>
      </w:r>
      <w:r>
        <w:rPr>
          <w:rFonts w:hint="eastAsia"/>
          <w:snapToGrid/>
          <w:szCs w:val="24"/>
        </w:rPr>
        <w:t>以及其他服务。</w:t>
      </w:r>
    </w:p>
    <w:p w:rsidR="00000000" w:rsidRDefault="00000000">
      <w:pPr>
        <w:rPr>
          <w:snapToGrid/>
          <w:szCs w:val="24"/>
        </w:rPr>
      </w:pPr>
      <w:r>
        <w:rPr>
          <w:rFonts w:hint="eastAsia"/>
          <w:snapToGrid/>
          <w:szCs w:val="24"/>
        </w:rPr>
        <w:tab/>
      </w:r>
      <w:r>
        <w:rPr>
          <w:snapToGrid/>
          <w:szCs w:val="24"/>
        </w:rPr>
        <w:t xml:space="preserve">194.  </w:t>
      </w:r>
      <w:r>
        <w:rPr>
          <w:rFonts w:hint="eastAsia"/>
          <w:snapToGrid/>
          <w:szCs w:val="24"/>
        </w:rPr>
        <w:t>《劳动法》第</w:t>
      </w:r>
      <w:r>
        <w:rPr>
          <w:snapToGrid/>
          <w:szCs w:val="24"/>
        </w:rPr>
        <w:t>27</w:t>
      </w:r>
      <w:r>
        <w:rPr>
          <w:rFonts w:hint="eastAsia"/>
          <w:snapToGrid/>
          <w:szCs w:val="24"/>
        </w:rPr>
        <w:t>条也规定了自由选择职业权利</w:t>
      </w:r>
      <w:r>
        <w:rPr>
          <w:snapToGrid/>
          <w:szCs w:val="24"/>
        </w:rPr>
        <w:t>：</w:t>
      </w:r>
      <w:r>
        <w:rPr>
          <w:rFonts w:hint="eastAsia"/>
          <w:snapToGrid/>
          <w:vertAlign w:val="superscript"/>
        </w:rPr>
        <w:t xml:space="preserve"> </w:t>
      </w:r>
      <w:r>
        <w:rPr>
          <w:rStyle w:val="EndnoteReference"/>
          <w:snapToGrid/>
        </w:rPr>
        <w:endnoteReference w:id="110"/>
      </w:r>
      <w:r>
        <w:rPr>
          <w:rFonts w:hint="eastAsia"/>
          <w:snapToGrid/>
          <w:szCs w:val="24"/>
          <w:vertAlign w:val="superscript"/>
        </w:rPr>
        <w:t xml:space="preserve">  </w:t>
      </w:r>
      <w:r>
        <w:rPr>
          <w:snapToGrid/>
          <w:szCs w:val="24"/>
        </w:rPr>
        <w:t>“</w:t>
      </w:r>
      <w:r>
        <w:rPr>
          <w:rFonts w:hint="eastAsia"/>
          <w:snapToGrid/>
          <w:szCs w:val="24"/>
        </w:rPr>
        <w:t>雇主和雇员依合同建立就业关系</w:t>
      </w:r>
      <w:r>
        <w:rPr>
          <w:snapToGrid/>
          <w:szCs w:val="24"/>
        </w:rPr>
        <w:t>，</w:t>
      </w:r>
      <w:r>
        <w:rPr>
          <w:snapToGrid/>
          <w:szCs w:val="24"/>
        </w:rPr>
        <w:t>"</w:t>
      </w:r>
      <w:r>
        <w:rPr>
          <w:rFonts w:hint="eastAsia"/>
          <w:snapToGrid/>
          <w:szCs w:val="24"/>
        </w:rPr>
        <w:t>即双方表示同意建立此种关系。这一意愿必须是自由的</w:t>
      </w:r>
      <w:r>
        <w:rPr>
          <w:snapToGrid/>
          <w:szCs w:val="24"/>
        </w:rPr>
        <w:t>，</w:t>
      </w:r>
      <w:r>
        <w:rPr>
          <w:rFonts w:hint="eastAsia"/>
          <w:snapToGrid/>
          <w:szCs w:val="24"/>
        </w:rPr>
        <w:t>严肃的</w:t>
      </w:r>
      <w:r>
        <w:rPr>
          <w:snapToGrid/>
          <w:szCs w:val="24"/>
        </w:rPr>
        <w:t>，</w:t>
      </w:r>
      <w:r>
        <w:rPr>
          <w:rFonts w:hint="eastAsia"/>
          <w:snapToGrid/>
          <w:szCs w:val="24"/>
        </w:rPr>
        <w:t>明确和可以理解的。同样</w:t>
      </w:r>
      <w:r>
        <w:rPr>
          <w:snapToGrid/>
          <w:szCs w:val="24"/>
        </w:rPr>
        <w:t>，</w:t>
      </w:r>
      <w:r>
        <w:rPr>
          <w:rFonts w:hint="eastAsia"/>
          <w:snapToGrid/>
          <w:szCs w:val="24"/>
        </w:rPr>
        <w:t>其他劳动法律关系</w:t>
      </w:r>
      <w:r>
        <w:rPr>
          <w:snapToGrid/>
          <w:szCs w:val="24"/>
        </w:rPr>
        <w:t>，</w:t>
      </w:r>
      <w:r>
        <w:rPr>
          <w:rFonts w:hint="eastAsia"/>
          <w:snapToGrid/>
          <w:szCs w:val="24"/>
        </w:rPr>
        <w:t>即通过任命和选择建立的关系</w:t>
      </w:r>
      <w:r>
        <w:rPr>
          <w:snapToGrid/>
          <w:szCs w:val="24"/>
        </w:rPr>
        <w:t>，</w:t>
      </w:r>
      <w:r>
        <w:rPr>
          <w:rFonts w:hint="eastAsia"/>
          <w:snapToGrid/>
          <w:szCs w:val="24"/>
        </w:rPr>
        <w:t>除非得到本人同意</w:t>
      </w:r>
      <w:r>
        <w:rPr>
          <w:snapToGrid/>
          <w:szCs w:val="24"/>
        </w:rPr>
        <w:t>，</w:t>
      </w:r>
      <w:r>
        <w:rPr>
          <w:rFonts w:hint="eastAsia"/>
          <w:snapToGrid/>
          <w:szCs w:val="24"/>
        </w:rPr>
        <w:t>否则不能确立。</w:t>
      </w:r>
    </w:p>
    <w:p w:rsidR="00000000" w:rsidRDefault="00000000">
      <w:pPr>
        <w:rPr>
          <w:snapToGrid/>
          <w:szCs w:val="24"/>
        </w:rPr>
      </w:pPr>
      <w:r>
        <w:rPr>
          <w:rFonts w:hint="eastAsia"/>
          <w:snapToGrid/>
          <w:szCs w:val="24"/>
        </w:rPr>
        <w:tab/>
      </w:r>
      <w:r>
        <w:rPr>
          <w:snapToGrid/>
          <w:szCs w:val="24"/>
        </w:rPr>
        <w:t xml:space="preserve">195.  </w:t>
      </w:r>
      <w:r>
        <w:rPr>
          <w:rFonts w:hint="eastAsia"/>
          <w:snapToGrid/>
          <w:szCs w:val="24"/>
        </w:rPr>
        <w:t>申请进入中等学校学习</w:t>
      </w:r>
      <w:r>
        <w:rPr>
          <w:snapToGrid/>
          <w:szCs w:val="24"/>
        </w:rPr>
        <w:t>，</w:t>
      </w:r>
      <w:r>
        <w:rPr>
          <w:rFonts w:hint="eastAsia"/>
          <w:snapToGrid/>
          <w:szCs w:val="24"/>
        </w:rPr>
        <w:t>或申请在中等专门职业学校接受体力劳动职业培训</w:t>
      </w:r>
      <w:r>
        <w:rPr>
          <w:snapToGrid/>
          <w:szCs w:val="24"/>
        </w:rPr>
        <w:t>，</w:t>
      </w:r>
      <w:r>
        <w:rPr>
          <w:rFonts w:hint="eastAsia"/>
          <w:snapToGrid/>
          <w:szCs w:val="24"/>
        </w:rPr>
        <w:t>在自愿申请的基础上</w:t>
      </w:r>
      <w:r>
        <w:rPr>
          <w:snapToGrid/>
          <w:szCs w:val="24"/>
        </w:rPr>
        <w:t>，</w:t>
      </w:r>
      <w:r>
        <w:rPr>
          <w:rFonts w:hint="eastAsia"/>
          <w:snapToGrid/>
          <w:szCs w:val="24"/>
        </w:rPr>
        <w:t>并考虑申请人的能力、知识</w:t>
      </w:r>
      <w:r>
        <w:rPr>
          <w:rFonts w:hint="eastAsia"/>
          <w:snapToGrid/>
          <w:spacing w:val="-40"/>
          <w:sz w:val="22"/>
          <w:szCs w:val="24"/>
        </w:rPr>
        <w:t>——</w:t>
      </w:r>
      <w:r>
        <w:rPr>
          <w:snapToGrid/>
          <w:sz w:val="22"/>
          <w:szCs w:val="24"/>
        </w:rPr>
        <w:t xml:space="preserve"> </w:t>
      </w:r>
      <w:r>
        <w:rPr>
          <w:rFonts w:hint="eastAsia"/>
          <w:snapToGrid/>
          <w:szCs w:val="24"/>
        </w:rPr>
        <w:t>通常在录取程序中核查、兴趣和健康状况后</w:t>
      </w:r>
      <w:r>
        <w:rPr>
          <w:snapToGrid/>
          <w:szCs w:val="24"/>
        </w:rPr>
        <w:t>，</w:t>
      </w:r>
      <w:r>
        <w:rPr>
          <w:rFonts w:hint="eastAsia"/>
          <w:snapToGrid/>
          <w:szCs w:val="24"/>
        </w:rPr>
        <w:t>进行录取。</w:t>
      </w:r>
    </w:p>
    <w:p w:rsidR="00000000" w:rsidRDefault="00000000">
      <w:pPr>
        <w:rPr>
          <w:snapToGrid/>
          <w:szCs w:val="24"/>
        </w:rPr>
      </w:pPr>
      <w:r>
        <w:rPr>
          <w:rFonts w:hint="eastAsia"/>
          <w:snapToGrid/>
          <w:szCs w:val="24"/>
        </w:rPr>
        <w:tab/>
      </w:r>
      <w:r>
        <w:rPr>
          <w:snapToGrid/>
          <w:szCs w:val="24"/>
        </w:rPr>
        <w:t xml:space="preserve">196.  </w:t>
      </w:r>
      <w:r>
        <w:rPr>
          <w:rFonts w:hint="eastAsia"/>
          <w:snapToGrid/>
          <w:szCs w:val="24"/>
        </w:rPr>
        <w:t>未经本人同意</w:t>
      </w:r>
      <w:r>
        <w:rPr>
          <w:snapToGrid/>
          <w:szCs w:val="24"/>
        </w:rPr>
        <w:t>，</w:t>
      </w:r>
      <w:r>
        <w:rPr>
          <w:rFonts w:hint="eastAsia"/>
          <w:snapToGrid/>
          <w:szCs w:val="24"/>
        </w:rPr>
        <w:t>调动雇员从事另一类工作</w:t>
      </w:r>
      <w:r>
        <w:rPr>
          <w:snapToGrid/>
          <w:szCs w:val="24"/>
        </w:rPr>
        <w:t>，</w:t>
      </w:r>
      <w:r>
        <w:rPr>
          <w:rFonts w:hint="eastAsia"/>
          <w:snapToGrid/>
          <w:szCs w:val="24"/>
        </w:rPr>
        <w:t>在一日历年中满</w:t>
      </w:r>
      <w:r>
        <w:rPr>
          <w:snapToGrid/>
          <w:szCs w:val="24"/>
        </w:rPr>
        <w:t>30</w:t>
      </w:r>
      <w:r>
        <w:rPr>
          <w:rFonts w:hint="eastAsia"/>
          <w:snapToGrid/>
          <w:szCs w:val="24"/>
        </w:rPr>
        <w:t>个工作日的</w:t>
      </w:r>
      <w:r>
        <w:rPr>
          <w:snapToGrid/>
          <w:szCs w:val="24"/>
        </w:rPr>
        <w:t>，</w:t>
      </w:r>
      <w:r>
        <w:rPr>
          <w:rFonts w:hint="eastAsia"/>
          <w:snapToGrid/>
          <w:szCs w:val="24"/>
        </w:rPr>
        <w:t>过去可能定为强迫劳动</w:t>
      </w:r>
      <w:r>
        <w:rPr>
          <w:snapToGrid/>
          <w:szCs w:val="24"/>
        </w:rPr>
        <w:t>，</w:t>
      </w:r>
      <w:r>
        <w:rPr>
          <w:rFonts w:hint="eastAsia"/>
          <w:snapToGrid/>
          <w:szCs w:val="24"/>
        </w:rPr>
        <w:t>但</w:t>
      </w:r>
      <w:r>
        <w:rPr>
          <w:snapToGrid/>
          <w:szCs w:val="24"/>
        </w:rPr>
        <w:t>1992</w:t>
      </w:r>
      <w:r>
        <w:rPr>
          <w:rFonts w:hint="eastAsia"/>
          <w:snapToGrid/>
          <w:szCs w:val="24"/>
        </w:rPr>
        <w:t>年《劳动法》修正后</w:t>
      </w:r>
      <w:r>
        <w:rPr>
          <w:rFonts w:hint="eastAsia"/>
          <w:snapToGrid/>
          <w:vertAlign w:val="superscript"/>
        </w:rPr>
        <w:t xml:space="preserve"> </w:t>
      </w:r>
      <w:r>
        <w:rPr>
          <w:rStyle w:val="EndnoteReference"/>
          <w:snapToGrid/>
        </w:rPr>
        <w:endnoteReference w:id="111"/>
      </w:r>
      <w:r>
        <w:rPr>
          <w:rFonts w:hint="eastAsia"/>
          <w:snapToGrid/>
          <w:szCs w:val="24"/>
        </w:rPr>
        <w:t xml:space="preserve"> </w:t>
      </w:r>
      <w:r>
        <w:rPr>
          <w:rFonts w:hint="eastAsia"/>
          <w:snapToGrid/>
          <w:szCs w:val="24"/>
        </w:rPr>
        <w:t>取消了这一规定。《劳动法》中的有关规定</w:t>
      </w:r>
      <w:r>
        <w:rPr>
          <w:rFonts w:hint="eastAsia"/>
          <w:snapToGrid/>
          <w:szCs w:val="24"/>
        </w:rPr>
        <w:t>(</w:t>
      </w:r>
      <w:r>
        <w:rPr>
          <w:rFonts w:hint="eastAsia"/>
          <w:snapToGrid/>
          <w:szCs w:val="24"/>
        </w:rPr>
        <w:t>第</w:t>
      </w:r>
      <w:r>
        <w:rPr>
          <w:snapToGrid/>
          <w:szCs w:val="24"/>
        </w:rPr>
        <w:t>37</w:t>
      </w:r>
      <w:r>
        <w:rPr>
          <w:rFonts w:hint="eastAsia"/>
          <w:snapToGrid/>
          <w:szCs w:val="24"/>
        </w:rPr>
        <w:t>条第</w:t>
      </w:r>
      <w:r>
        <w:rPr>
          <w:snapToGrid/>
          <w:szCs w:val="24"/>
        </w:rPr>
        <w:t>4c</w:t>
      </w:r>
      <w:r>
        <w:rPr>
          <w:rFonts w:hint="eastAsia"/>
          <w:snapToGrid/>
          <w:szCs w:val="24"/>
        </w:rPr>
        <w:t>款</w:t>
      </w:r>
      <w:r>
        <w:rPr>
          <w:snapToGrid/>
          <w:szCs w:val="24"/>
        </w:rPr>
        <w:t>)</w:t>
      </w:r>
      <w:r>
        <w:rPr>
          <w:rFonts w:hint="eastAsia"/>
          <w:snapToGrid/>
          <w:szCs w:val="24"/>
        </w:rPr>
        <w:t>也已删除</w:t>
      </w:r>
      <w:r>
        <w:rPr>
          <w:snapToGrid/>
          <w:szCs w:val="24"/>
        </w:rPr>
        <w:t>，</w:t>
      </w:r>
      <w:r>
        <w:rPr>
          <w:rFonts w:hint="eastAsia"/>
          <w:snapToGrid/>
          <w:szCs w:val="24"/>
        </w:rPr>
        <w:t>因为它与《宪章》第</w:t>
      </w:r>
      <w:r>
        <w:rPr>
          <w:snapToGrid/>
          <w:szCs w:val="24"/>
        </w:rPr>
        <w:t>9</w:t>
      </w:r>
      <w:r>
        <w:rPr>
          <w:rFonts w:hint="eastAsia"/>
          <w:snapToGrid/>
          <w:szCs w:val="24"/>
        </w:rPr>
        <w:t>条、国际劳工组织第</w:t>
      </w:r>
      <w:r>
        <w:rPr>
          <w:snapToGrid/>
          <w:szCs w:val="24"/>
        </w:rPr>
        <w:t>29</w:t>
      </w:r>
      <w:r>
        <w:rPr>
          <w:rFonts w:hint="eastAsia"/>
          <w:snapToGrid/>
          <w:szCs w:val="24"/>
        </w:rPr>
        <w:t>号公约</w:t>
      </w:r>
      <w:r>
        <w:rPr>
          <w:rFonts w:hint="eastAsia"/>
          <w:snapToGrid/>
          <w:vertAlign w:val="superscript"/>
        </w:rPr>
        <w:t xml:space="preserve"> </w:t>
      </w:r>
      <w:r>
        <w:rPr>
          <w:rStyle w:val="EndnoteReference"/>
          <w:snapToGrid/>
        </w:rPr>
        <w:endnoteReference w:id="112"/>
      </w:r>
      <w:r>
        <w:rPr>
          <w:rFonts w:hint="eastAsia"/>
          <w:snapToGrid/>
          <w:szCs w:val="24"/>
          <w:vertAlign w:val="superscript"/>
        </w:rPr>
        <w:t xml:space="preserve">  </w:t>
      </w:r>
      <w:r>
        <w:rPr>
          <w:rFonts w:hint="eastAsia"/>
          <w:snapToGrid/>
          <w:szCs w:val="24"/>
        </w:rPr>
        <w:t>以及《欧洲保护人权和基本自由公约》相冲突。根据现行法律规章</w:t>
      </w:r>
      <w:r>
        <w:rPr>
          <w:snapToGrid/>
          <w:szCs w:val="24"/>
        </w:rPr>
        <w:t>，</w:t>
      </w:r>
      <w:r>
        <w:rPr>
          <w:rFonts w:hint="eastAsia"/>
          <w:snapToGrid/>
          <w:szCs w:val="24"/>
        </w:rPr>
        <w:t>只有符合《劳动法》所述的理由</w:t>
      </w:r>
      <w:r>
        <w:rPr>
          <w:rFonts w:hint="eastAsia"/>
          <w:snapToGrid/>
          <w:szCs w:val="24"/>
        </w:rPr>
        <w:t>(</w:t>
      </w:r>
      <w:r>
        <w:rPr>
          <w:rFonts w:hint="eastAsia"/>
          <w:snapToGrid/>
          <w:szCs w:val="24"/>
        </w:rPr>
        <w:t>第</w:t>
      </w:r>
      <w:r>
        <w:rPr>
          <w:snapToGrid/>
          <w:szCs w:val="24"/>
        </w:rPr>
        <w:t>36</w:t>
      </w:r>
      <w:r>
        <w:rPr>
          <w:rFonts w:hint="eastAsia"/>
          <w:snapToGrid/>
          <w:szCs w:val="24"/>
        </w:rPr>
        <w:t>条</w:t>
      </w:r>
      <w:r>
        <w:rPr>
          <w:snapToGrid/>
          <w:szCs w:val="24"/>
        </w:rPr>
        <w:t>)</w:t>
      </w:r>
      <w:r>
        <w:rPr>
          <w:rFonts w:hint="eastAsia"/>
          <w:snapToGrid/>
          <w:szCs w:val="24"/>
        </w:rPr>
        <w:t>时才调转雇员从事不同的工作。如对就业协议议定内容加以改动</w:t>
      </w:r>
      <w:r>
        <w:rPr>
          <w:snapToGrid/>
          <w:szCs w:val="24"/>
        </w:rPr>
        <w:t>，</w:t>
      </w:r>
      <w:r>
        <w:rPr>
          <w:rFonts w:hint="eastAsia"/>
          <w:snapToGrid/>
          <w:szCs w:val="24"/>
        </w:rPr>
        <w:t>雇主和雇员应该达成协议</w:t>
      </w:r>
      <w:r>
        <w:rPr>
          <w:rFonts w:hint="eastAsia"/>
          <w:snapToGrid/>
          <w:szCs w:val="24"/>
        </w:rPr>
        <w:t>(</w:t>
      </w:r>
      <w:r>
        <w:rPr>
          <w:rFonts w:hint="eastAsia"/>
          <w:snapToGrid/>
          <w:szCs w:val="24"/>
        </w:rPr>
        <w:t>《劳动法》第</w:t>
      </w:r>
      <w:r>
        <w:rPr>
          <w:snapToGrid/>
          <w:szCs w:val="24"/>
        </w:rPr>
        <w:t>36</w:t>
      </w:r>
      <w:r>
        <w:rPr>
          <w:rFonts w:hint="eastAsia"/>
          <w:snapToGrid/>
          <w:szCs w:val="24"/>
        </w:rPr>
        <w:t>条第</w:t>
      </w:r>
      <w:r>
        <w:rPr>
          <w:snapToGrid/>
          <w:szCs w:val="24"/>
        </w:rPr>
        <w:t>1</w:t>
      </w:r>
      <w:r>
        <w:rPr>
          <w:rFonts w:hint="eastAsia"/>
          <w:snapToGrid/>
          <w:szCs w:val="24"/>
        </w:rPr>
        <w:t>款</w:t>
      </w:r>
      <w:r>
        <w:rPr>
          <w:rFonts w:hint="eastAsia"/>
          <w:snapToGrid/>
          <w:vertAlign w:val="superscript"/>
        </w:rPr>
        <w:t xml:space="preserve"> </w:t>
      </w:r>
      <w:r>
        <w:rPr>
          <w:rStyle w:val="EndnoteReference"/>
          <w:snapToGrid/>
        </w:rPr>
        <w:endnoteReference w:id="113"/>
      </w:r>
      <w:r>
        <w:rPr>
          <w:rFonts w:hint="eastAsia"/>
          <w:snapToGrid/>
          <w:szCs w:val="24"/>
        </w:rPr>
        <w:t>)</w:t>
      </w:r>
      <w:r>
        <w:rPr>
          <w:rFonts w:hint="eastAsia"/>
          <w:snapToGrid/>
          <w:szCs w:val="24"/>
        </w:rPr>
        <w:t>。然而</w:t>
      </w:r>
      <w:r>
        <w:rPr>
          <w:snapToGrid/>
          <w:szCs w:val="24"/>
        </w:rPr>
        <w:t>，</w:t>
      </w:r>
      <w:r>
        <w:rPr>
          <w:rFonts w:hint="eastAsia"/>
          <w:snapToGrid/>
          <w:szCs w:val="24"/>
        </w:rPr>
        <w:t>在《劳动法》规定的例外情况下</w:t>
      </w:r>
      <w:r>
        <w:rPr>
          <w:snapToGrid/>
          <w:szCs w:val="24"/>
        </w:rPr>
        <w:t>，</w:t>
      </w:r>
      <w:r>
        <w:rPr>
          <w:rFonts w:hint="eastAsia"/>
          <w:snapToGrid/>
          <w:szCs w:val="24"/>
        </w:rPr>
        <w:t>雇主可以不经雇员本人同意</w:t>
      </w:r>
      <w:r>
        <w:rPr>
          <w:snapToGrid/>
          <w:szCs w:val="24"/>
        </w:rPr>
        <w:t>，</w:t>
      </w:r>
      <w:r>
        <w:rPr>
          <w:rFonts w:hint="eastAsia"/>
          <w:snapToGrid/>
          <w:szCs w:val="24"/>
        </w:rPr>
        <w:t>调动雇员工作</w:t>
      </w:r>
      <w:r>
        <w:rPr>
          <w:snapToGrid/>
          <w:szCs w:val="24"/>
        </w:rPr>
        <w:t>(</w:t>
      </w:r>
      <w:r>
        <w:rPr>
          <w:rFonts w:hint="eastAsia"/>
          <w:snapToGrid/>
          <w:szCs w:val="24"/>
        </w:rPr>
        <w:t>因不利的气象条件造成工作中断</w:t>
      </w:r>
      <w:r>
        <w:rPr>
          <w:snapToGrid/>
          <w:szCs w:val="24"/>
        </w:rPr>
        <w:t>，</w:t>
      </w:r>
      <w:r>
        <w:rPr>
          <w:rFonts w:hint="eastAsia"/>
          <w:snapToGrid/>
          <w:szCs w:val="24"/>
        </w:rPr>
        <w:t>进而停工</w:t>
      </w:r>
      <w:r>
        <w:rPr>
          <w:snapToGrid/>
          <w:szCs w:val="24"/>
        </w:rPr>
        <w:t>；</w:t>
      </w:r>
      <w:r>
        <w:rPr>
          <w:rFonts w:hint="eastAsia"/>
          <w:snapToGrid/>
          <w:szCs w:val="24"/>
        </w:rPr>
        <w:t>避免自然灾害</w:t>
      </w:r>
      <w:r>
        <w:rPr>
          <w:snapToGrid/>
          <w:szCs w:val="24"/>
        </w:rPr>
        <w:t>；</w:t>
      </w:r>
      <w:r>
        <w:rPr>
          <w:rFonts w:hint="eastAsia"/>
          <w:snapToGrid/>
          <w:szCs w:val="24"/>
        </w:rPr>
        <w:t>暂时缺少法律规定的作业条件</w:t>
      </w:r>
      <w:r>
        <w:rPr>
          <w:snapToGrid/>
          <w:szCs w:val="24"/>
        </w:rPr>
        <w:t>)</w:t>
      </w:r>
      <w:r>
        <w:rPr>
          <w:rFonts w:hint="eastAsia"/>
          <w:snapToGrid/>
          <w:szCs w:val="24"/>
        </w:rPr>
        <w:t>。</w:t>
      </w:r>
    </w:p>
    <w:p w:rsidR="00000000" w:rsidRDefault="00000000">
      <w:pPr>
        <w:rPr>
          <w:snapToGrid/>
          <w:szCs w:val="24"/>
        </w:rPr>
      </w:pPr>
      <w:r>
        <w:rPr>
          <w:rFonts w:hint="eastAsia"/>
          <w:snapToGrid/>
          <w:szCs w:val="24"/>
        </w:rPr>
        <w:tab/>
      </w:r>
      <w:r>
        <w:rPr>
          <w:snapToGrid/>
          <w:szCs w:val="24"/>
        </w:rPr>
        <w:t xml:space="preserve">197.  </w:t>
      </w:r>
      <w:r>
        <w:rPr>
          <w:rFonts w:hint="eastAsia"/>
          <w:snapToGrid/>
          <w:szCs w:val="24"/>
        </w:rPr>
        <w:t>《宪章》第</w:t>
      </w:r>
      <w:r>
        <w:rPr>
          <w:snapToGrid/>
          <w:szCs w:val="24"/>
        </w:rPr>
        <w:t>9</w:t>
      </w:r>
      <w:r>
        <w:rPr>
          <w:rFonts w:hint="eastAsia"/>
          <w:snapToGrid/>
          <w:szCs w:val="24"/>
        </w:rPr>
        <w:t>条规定了在某些例外情况下必须从事的工作或提供的服务。第</w:t>
      </w:r>
      <w:r>
        <w:rPr>
          <w:snapToGrid/>
          <w:szCs w:val="24"/>
        </w:rPr>
        <w:t>9</w:t>
      </w:r>
      <w:r>
        <w:rPr>
          <w:rFonts w:hint="eastAsia"/>
          <w:snapToGrid/>
          <w:szCs w:val="24"/>
        </w:rPr>
        <w:t>条第</w:t>
      </w:r>
      <w:r>
        <w:rPr>
          <w:snapToGrid/>
          <w:szCs w:val="24"/>
        </w:rPr>
        <w:t>1</w:t>
      </w:r>
      <w:r>
        <w:rPr>
          <w:rFonts w:hint="eastAsia"/>
          <w:snapToGrid/>
          <w:szCs w:val="24"/>
        </w:rPr>
        <w:t>款规定</w:t>
      </w:r>
      <w:r>
        <w:rPr>
          <w:snapToGrid/>
          <w:szCs w:val="24"/>
        </w:rPr>
        <w:t>：</w:t>
      </w:r>
      <w:r>
        <w:rPr>
          <w:rFonts w:hint="eastAsia"/>
          <w:snapToGrid/>
          <w:szCs w:val="24"/>
        </w:rPr>
        <w:t>“任何人不得被强迫劳动或服务。”但下一款又指出</w:t>
      </w:r>
      <w:r>
        <w:rPr>
          <w:snapToGrid/>
          <w:szCs w:val="24"/>
        </w:rPr>
        <w:t>：</w:t>
      </w:r>
    </w:p>
    <w:p w:rsidR="00000000" w:rsidRDefault="00000000">
      <w:pPr>
        <w:ind w:left="1020"/>
        <w:rPr>
          <w:snapToGrid/>
          <w:szCs w:val="24"/>
        </w:rPr>
      </w:pPr>
      <w:r>
        <w:rPr>
          <w:rFonts w:hint="eastAsia"/>
          <w:snapToGrid/>
          <w:szCs w:val="24"/>
        </w:rPr>
        <w:t>“</w:t>
      </w:r>
      <w:r>
        <w:rPr>
          <w:snapToGrid/>
          <w:szCs w:val="24"/>
        </w:rPr>
        <w:t>(2)</w:t>
      </w:r>
      <w:r>
        <w:rPr>
          <w:rFonts w:hint="eastAsia"/>
          <w:snapToGrid/>
          <w:szCs w:val="24"/>
        </w:rPr>
        <w:tab/>
      </w:r>
      <w:r>
        <w:rPr>
          <w:rFonts w:hint="eastAsia"/>
          <w:snapToGrid/>
          <w:szCs w:val="24"/>
        </w:rPr>
        <w:t>第</w:t>
      </w:r>
      <w:r>
        <w:rPr>
          <w:snapToGrid/>
          <w:szCs w:val="24"/>
        </w:rPr>
        <w:t>1</w:t>
      </w:r>
      <w:r>
        <w:rPr>
          <w:rFonts w:hint="eastAsia"/>
          <w:snapToGrid/>
          <w:szCs w:val="24"/>
        </w:rPr>
        <w:t>款的规定不适用于以下情况</w:t>
      </w:r>
      <w:r>
        <w:rPr>
          <w:snapToGrid/>
          <w:szCs w:val="24"/>
        </w:rPr>
        <w:t>：</w:t>
      </w:r>
    </w:p>
    <w:p w:rsidR="00000000" w:rsidRDefault="00000000">
      <w:pPr>
        <w:pStyle w:val="a5"/>
        <w:tabs>
          <w:tab w:val="left" w:pos="2340"/>
        </w:tabs>
        <w:ind w:left="2340" w:hanging="810"/>
        <w:rPr>
          <w:rFonts w:hint="eastAsia"/>
          <w:snapToGrid/>
        </w:rPr>
      </w:pPr>
      <w:r>
        <w:rPr>
          <w:rFonts w:hint="eastAsia"/>
          <w:snapToGrid/>
        </w:rPr>
        <w:t>“</w:t>
      </w:r>
      <w:r>
        <w:rPr>
          <w:snapToGrid/>
        </w:rPr>
        <w:t>(a)</w:t>
      </w:r>
      <w:r>
        <w:rPr>
          <w:rFonts w:hint="eastAsia"/>
          <w:snapToGrid/>
        </w:rPr>
        <w:tab/>
      </w:r>
      <w:r>
        <w:rPr>
          <w:rFonts w:hint="eastAsia"/>
          <w:snapToGrid/>
        </w:rPr>
        <w:t>依法对服刑者或接受替代服刑的其他处罚者施加强迫劳动；</w:t>
      </w:r>
    </w:p>
    <w:p w:rsidR="00000000" w:rsidRDefault="00000000">
      <w:pPr>
        <w:pStyle w:val="a5"/>
        <w:tabs>
          <w:tab w:val="left" w:pos="2340"/>
        </w:tabs>
        <w:ind w:left="2340" w:hanging="810"/>
        <w:rPr>
          <w:snapToGrid/>
        </w:rPr>
      </w:pPr>
      <w:r>
        <w:rPr>
          <w:rFonts w:hint="eastAsia"/>
          <w:snapToGrid/>
        </w:rPr>
        <w:t>“</w:t>
      </w:r>
      <w:r>
        <w:rPr>
          <w:snapToGrid/>
        </w:rPr>
        <w:t>(b)</w:t>
      </w:r>
      <w:r>
        <w:rPr>
          <w:rFonts w:hint="eastAsia"/>
          <w:snapToGrid/>
        </w:rPr>
        <w:tab/>
      </w:r>
      <w:r>
        <w:rPr>
          <w:rFonts w:hint="eastAsia"/>
          <w:snapToGrid/>
        </w:rPr>
        <w:t>兵役或法律规定的代替义务兵役的其他服务</w:t>
      </w:r>
      <w:r>
        <w:rPr>
          <w:snapToGrid/>
        </w:rPr>
        <w:t>；</w:t>
      </w:r>
    </w:p>
    <w:p w:rsidR="00000000" w:rsidRDefault="00000000">
      <w:pPr>
        <w:pStyle w:val="a5"/>
        <w:tabs>
          <w:tab w:val="left" w:pos="2340"/>
        </w:tabs>
        <w:ind w:left="2340" w:hanging="810"/>
        <w:rPr>
          <w:rFonts w:hint="eastAsia"/>
          <w:snapToGrid/>
        </w:rPr>
      </w:pPr>
      <w:r>
        <w:rPr>
          <w:rFonts w:hint="eastAsia"/>
          <w:snapToGrid/>
        </w:rPr>
        <w:t>“</w:t>
      </w:r>
      <w:r>
        <w:rPr>
          <w:snapToGrid/>
        </w:rPr>
        <w:t>(c)</w:t>
      </w:r>
      <w:r>
        <w:rPr>
          <w:rFonts w:hint="eastAsia"/>
          <w:snapToGrid/>
        </w:rPr>
        <w:tab/>
      </w:r>
      <w:r>
        <w:rPr>
          <w:rFonts w:hint="eastAsia"/>
          <w:snapToGrid/>
        </w:rPr>
        <w:t>在发生自然灾害、事故或危及人的生命、健康或巨额财产的其他危险时提供法律要求的服务；</w:t>
      </w:r>
    </w:p>
    <w:p w:rsidR="00000000" w:rsidRDefault="00000000">
      <w:pPr>
        <w:pStyle w:val="a5"/>
        <w:tabs>
          <w:tab w:val="left" w:pos="2340"/>
        </w:tabs>
        <w:ind w:left="2340" w:hanging="810"/>
        <w:rPr>
          <w:snapToGrid/>
          <w:szCs w:val="22"/>
        </w:rPr>
      </w:pPr>
      <w:r>
        <w:rPr>
          <w:rFonts w:hint="eastAsia"/>
          <w:snapToGrid/>
        </w:rPr>
        <w:t>“</w:t>
      </w:r>
      <w:r>
        <w:rPr>
          <w:snapToGrid/>
          <w:szCs w:val="22"/>
        </w:rPr>
        <w:t>(d)</w:t>
      </w:r>
      <w:r>
        <w:rPr>
          <w:rFonts w:hint="eastAsia"/>
          <w:snapToGrid/>
          <w:szCs w:val="22"/>
        </w:rPr>
        <w:tab/>
      </w:r>
      <w:r>
        <w:rPr>
          <w:rFonts w:hint="eastAsia"/>
          <w:snapToGrid/>
          <w:szCs w:val="22"/>
        </w:rPr>
        <w:t>法律要求的保护他人生命、健康和权利的行动。</w:t>
      </w:r>
      <w:r>
        <w:rPr>
          <w:snapToGrid/>
          <w:szCs w:val="22"/>
        </w:rPr>
        <w:t>”</w:t>
      </w:r>
    </w:p>
    <w:p w:rsidR="00000000" w:rsidRDefault="00000000">
      <w:pPr>
        <w:rPr>
          <w:snapToGrid/>
          <w:szCs w:val="22"/>
        </w:rPr>
      </w:pPr>
      <w:r>
        <w:rPr>
          <w:rFonts w:hint="eastAsia"/>
          <w:snapToGrid/>
          <w:szCs w:val="22"/>
        </w:rPr>
        <w:tab/>
      </w:r>
      <w:r>
        <w:rPr>
          <w:snapToGrid/>
          <w:szCs w:val="22"/>
        </w:rPr>
        <w:t xml:space="preserve">198.  </w:t>
      </w:r>
      <w:r>
        <w:rPr>
          <w:rFonts w:hint="eastAsia"/>
          <w:snapToGrid/>
          <w:szCs w:val="22"/>
        </w:rPr>
        <w:t>《劳动法》的一些条款有着类似的规定。例如</w:t>
      </w:r>
      <w:r>
        <w:rPr>
          <w:snapToGrid/>
          <w:szCs w:val="22"/>
        </w:rPr>
        <w:t>，</w:t>
      </w:r>
      <w:r>
        <w:rPr>
          <w:rFonts w:hint="eastAsia"/>
          <w:snapToGrid/>
          <w:szCs w:val="22"/>
        </w:rPr>
        <w:t>《劳动法》第</w:t>
      </w:r>
      <w:r>
        <w:rPr>
          <w:snapToGrid/>
          <w:szCs w:val="22"/>
        </w:rPr>
        <w:t>90</w:t>
      </w:r>
      <w:r>
        <w:rPr>
          <w:rFonts w:hint="eastAsia"/>
          <w:snapToGrid/>
          <w:szCs w:val="22"/>
        </w:rPr>
        <w:t>条第</w:t>
      </w:r>
      <w:r>
        <w:rPr>
          <w:snapToGrid/>
          <w:szCs w:val="22"/>
        </w:rPr>
        <w:t>2d</w:t>
      </w:r>
      <w:r>
        <w:rPr>
          <w:rFonts w:hint="eastAsia"/>
          <w:snapToGrid/>
          <w:szCs w:val="22"/>
        </w:rPr>
        <w:t>和</w:t>
      </w:r>
      <w:r>
        <w:rPr>
          <w:rFonts w:hint="eastAsia"/>
          <w:snapToGrid/>
          <w:szCs w:val="22"/>
        </w:rPr>
        <w:t>2</w:t>
      </w:r>
      <w:r>
        <w:rPr>
          <w:snapToGrid/>
          <w:szCs w:val="22"/>
        </w:rPr>
        <w:t>e</w:t>
      </w:r>
      <w:r>
        <w:rPr>
          <w:rFonts w:hint="eastAsia"/>
          <w:snapToGrid/>
          <w:szCs w:val="22"/>
        </w:rPr>
        <w:t>款涉及缩短两班工作之间的休息时间</w:t>
      </w:r>
      <w:r>
        <w:rPr>
          <w:snapToGrid/>
          <w:szCs w:val="22"/>
        </w:rPr>
        <w:t>，</w:t>
      </w:r>
      <w:r>
        <w:rPr>
          <w:rFonts w:hint="eastAsia"/>
          <w:snapToGrid/>
          <w:szCs w:val="22"/>
        </w:rPr>
        <w:t>第</w:t>
      </w:r>
      <w:r>
        <w:rPr>
          <w:snapToGrid/>
          <w:szCs w:val="22"/>
        </w:rPr>
        <w:t>95</w:t>
      </w:r>
      <w:r>
        <w:rPr>
          <w:rFonts w:hint="eastAsia"/>
          <w:snapToGrid/>
          <w:szCs w:val="22"/>
        </w:rPr>
        <w:t>条涉及待命工作</w:t>
      </w:r>
      <w:r>
        <w:rPr>
          <w:snapToGrid/>
          <w:szCs w:val="22"/>
        </w:rPr>
        <w:t>，</w:t>
      </w:r>
      <w:r>
        <w:rPr>
          <w:rFonts w:hint="eastAsia"/>
          <w:snapToGrid/>
          <w:szCs w:val="22"/>
        </w:rPr>
        <w:t>第</w:t>
      </w:r>
      <w:r>
        <w:rPr>
          <w:snapToGrid/>
          <w:szCs w:val="22"/>
        </w:rPr>
        <w:t>96</w:t>
      </w:r>
      <w:r>
        <w:rPr>
          <w:rFonts w:hint="eastAsia"/>
          <w:snapToGrid/>
          <w:szCs w:val="22"/>
        </w:rPr>
        <w:t>－</w:t>
      </w:r>
      <w:r>
        <w:rPr>
          <w:rFonts w:hint="eastAsia"/>
          <w:snapToGrid/>
          <w:szCs w:val="22"/>
        </w:rPr>
        <w:t>98</w:t>
      </w:r>
      <w:r>
        <w:rPr>
          <w:rFonts w:hint="eastAsia"/>
          <w:snapToGrid/>
          <w:szCs w:val="22"/>
        </w:rPr>
        <w:t>条涉及超时工作</w:t>
      </w:r>
      <w:r>
        <w:rPr>
          <w:snapToGrid/>
          <w:szCs w:val="22"/>
        </w:rPr>
        <w:t>，</w:t>
      </w:r>
      <w:r>
        <w:rPr>
          <w:rFonts w:hint="eastAsia"/>
          <w:snapToGrid/>
          <w:szCs w:val="22"/>
        </w:rPr>
        <w:t>第</w:t>
      </w:r>
      <w:r>
        <w:rPr>
          <w:snapToGrid/>
          <w:szCs w:val="22"/>
        </w:rPr>
        <w:t>170</w:t>
      </w:r>
      <w:r>
        <w:rPr>
          <w:rFonts w:hint="eastAsia"/>
          <w:snapToGrid/>
          <w:szCs w:val="22"/>
        </w:rPr>
        <w:t>条和第</w:t>
      </w:r>
      <w:r>
        <w:rPr>
          <w:snapToGrid/>
          <w:szCs w:val="22"/>
        </w:rPr>
        <w:t>171</w:t>
      </w:r>
      <w:r>
        <w:rPr>
          <w:rFonts w:hint="eastAsia"/>
          <w:snapToGrid/>
          <w:szCs w:val="22"/>
        </w:rPr>
        <w:t>条涉及预防损害</w:t>
      </w:r>
      <w:r>
        <w:rPr>
          <w:snapToGrid/>
          <w:szCs w:val="22"/>
        </w:rPr>
        <w:t>，</w:t>
      </w:r>
      <w:r>
        <w:rPr>
          <w:rFonts w:hint="eastAsia"/>
          <w:snapToGrid/>
          <w:szCs w:val="22"/>
        </w:rPr>
        <w:t>第</w:t>
      </w:r>
      <w:r>
        <w:rPr>
          <w:snapToGrid/>
          <w:szCs w:val="22"/>
        </w:rPr>
        <w:t>175</w:t>
      </w:r>
      <w:r>
        <w:rPr>
          <w:rFonts w:hint="eastAsia"/>
          <w:snapToGrid/>
          <w:szCs w:val="22"/>
        </w:rPr>
        <w:t>条涉及雇员不履行避免损害义务的责任。《刑法》</w:t>
      </w:r>
      <w:r>
        <w:rPr>
          <w:rFonts w:hint="eastAsia"/>
          <w:snapToGrid/>
          <w:vertAlign w:val="superscript"/>
        </w:rPr>
        <w:t xml:space="preserve"> </w:t>
      </w:r>
      <w:r>
        <w:rPr>
          <w:rStyle w:val="EndnoteReference"/>
          <w:snapToGrid/>
        </w:rPr>
        <w:endnoteReference w:id="114"/>
      </w:r>
      <w:r>
        <w:rPr>
          <w:rFonts w:hint="eastAsia"/>
          <w:snapToGrid/>
          <w:szCs w:val="22"/>
        </w:rPr>
        <w:t xml:space="preserve">  </w:t>
      </w:r>
      <w:r>
        <w:rPr>
          <w:rFonts w:hint="eastAsia"/>
          <w:snapToGrid/>
          <w:szCs w:val="22"/>
        </w:rPr>
        <w:t>在关于逼供的第</w:t>
      </w:r>
      <w:r>
        <w:rPr>
          <w:snapToGrid/>
          <w:szCs w:val="22"/>
        </w:rPr>
        <w:t>235</w:t>
      </w:r>
      <w:r>
        <w:rPr>
          <w:rFonts w:hint="eastAsia"/>
          <w:snapToGrid/>
          <w:szCs w:val="22"/>
        </w:rPr>
        <w:t>条和关于压迫的第</w:t>
      </w:r>
      <w:r>
        <w:rPr>
          <w:snapToGrid/>
          <w:szCs w:val="22"/>
        </w:rPr>
        <w:t>237</w:t>
      </w:r>
      <w:r>
        <w:rPr>
          <w:rFonts w:hint="eastAsia"/>
          <w:snapToGrid/>
          <w:szCs w:val="22"/>
        </w:rPr>
        <w:t>条以及在关于限制或剥夺个人自由的第</w:t>
      </w:r>
      <w:r>
        <w:rPr>
          <w:snapToGrid/>
          <w:szCs w:val="22"/>
        </w:rPr>
        <w:t>231</w:t>
      </w:r>
      <w:r>
        <w:rPr>
          <w:rFonts w:hint="eastAsia"/>
          <w:snapToGrid/>
          <w:szCs w:val="22"/>
        </w:rPr>
        <w:t>条和第</w:t>
      </w:r>
      <w:r>
        <w:rPr>
          <w:snapToGrid/>
          <w:szCs w:val="22"/>
        </w:rPr>
        <w:t>232</w:t>
      </w:r>
      <w:r>
        <w:rPr>
          <w:rFonts w:hint="eastAsia"/>
          <w:snapToGrid/>
          <w:szCs w:val="22"/>
        </w:rPr>
        <w:t>条也对防止强迫劳动做出了全面规定。</w:t>
      </w:r>
    </w:p>
    <w:p w:rsidR="00000000" w:rsidRDefault="00000000">
      <w:pPr>
        <w:rPr>
          <w:snapToGrid/>
          <w:szCs w:val="22"/>
        </w:rPr>
      </w:pPr>
      <w:r>
        <w:rPr>
          <w:snapToGrid/>
          <w:szCs w:val="22"/>
        </w:rPr>
        <w:tab/>
        <w:t xml:space="preserve">199.  </w:t>
      </w:r>
      <w:r>
        <w:rPr>
          <w:rFonts w:hint="eastAsia"/>
          <w:snapToGrid/>
          <w:szCs w:val="22"/>
        </w:rPr>
        <w:t>在终止雇用时对公民的保护措施有</w:t>
      </w:r>
      <w:r>
        <w:rPr>
          <w:snapToGrid/>
          <w:szCs w:val="22"/>
        </w:rPr>
        <w:t>：</w:t>
      </w:r>
      <w:r>
        <w:rPr>
          <w:rFonts w:hint="eastAsia"/>
          <w:snapToGrid/>
          <w:szCs w:val="22"/>
        </w:rPr>
        <w:t>雇主单方面终止雇用关系必须提出适当的理由</w:t>
      </w:r>
      <w:r>
        <w:rPr>
          <w:snapToGrid/>
          <w:szCs w:val="22"/>
        </w:rPr>
        <w:t>(</w:t>
      </w:r>
      <w:r>
        <w:rPr>
          <w:rFonts w:hint="eastAsia"/>
          <w:snapToGrid/>
          <w:szCs w:val="22"/>
        </w:rPr>
        <w:t>《劳动法》第</w:t>
      </w:r>
      <w:r>
        <w:rPr>
          <w:snapToGrid/>
          <w:szCs w:val="22"/>
        </w:rPr>
        <w:t>46</w:t>
      </w:r>
      <w:r>
        <w:rPr>
          <w:rFonts w:hint="eastAsia"/>
          <w:snapToGrid/>
          <w:szCs w:val="22"/>
        </w:rPr>
        <w:t>－</w:t>
      </w:r>
      <w:r>
        <w:rPr>
          <w:snapToGrid/>
          <w:szCs w:val="22"/>
        </w:rPr>
        <w:t>53</w:t>
      </w:r>
      <w:r>
        <w:rPr>
          <w:rFonts w:hint="eastAsia"/>
          <w:snapToGrid/>
          <w:szCs w:val="22"/>
        </w:rPr>
        <w:t>条提出了发出解雇和立即终止雇用关系通知时必须具备的理由清单</w:t>
      </w:r>
      <w:r>
        <w:rPr>
          <w:rFonts w:hint="eastAsia"/>
          <w:snapToGrid/>
          <w:szCs w:val="22"/>
        </w:rPr>
        <w:t>)</w:t>
      </w:r>
      <w:r>
        <w:rPr>
          <w:snapToGrid/>
          <w:szCs w:val="22"/>
        </w:rPr>
        <w:t>；</w:t>
      </w:r>
      <w:r>
        <w:rPr>
          <w:rFonts w:hint="eastAsia"/>
          <w:snapToGrid/>
          <w:szCs w:val="22"/>
        </w:rPr>
        <w:t>必须与本公司的工会讨论有关终止雇用事宜</w:t>
      </w:r>
      <w:r>
        <w:rPr>
          <w:snapToGrid/>
          <w:szCs w:val="22"/>
        </w:rPr>
        <w:t>：</w:t>
      </w:r>
      <w:r>
        <w:rPr>
          <w:rFonts w:hint="eastAsia"/>
          <w:snapToGrid/>
          <w:szCs w:val="22"/>
        </w:rPr>
        <w:t>在终止雇用前有义务向雇员提供另一适合的位置</w:t>
      </w:r>
      <w:r>
        <w:rPr>
          <w:snapToGrid/>
          <w:szCs w:val="22"/>
        </w:rPr>
        <w:t>(</w:t>
      </w:r>
      <w:r>
        <w:rPr>
          <w:rFonts w:hint="eastAsia"/>
          <w:snapToGrid/>
          <w:szCs w:val="22"/>
        </w:rPr>
        <w:t>除非违反纪律或因故必须立即解雇</w:t>
      </w:r>
      <w:r>
        <w:rPr>
          <w:rFonts w:hint="eastAsia"/>
          <w:snapToGrid/>
          <w:szCs w:val="22"/>
        </w:rPr>
        <w:t>)</w:t>
      </w:r>
      <w:r>
        <w:rPr>
          <w:rFonts w:hint="eastAsia"/>
          <w:snapToGrid/>
          <w:szCs w:val="22"/>
        </w:rPr>
        <w:t>。还有特别保障措施</w:t>
      </w:r>
      <w:r>
        <w:rPr>
          <w:snapToGrid/>
          <w:szCs w:val="22"/>
        </w:rPr>
        <w:t>，</w:t>
      </w:r>
      <w:r>
        <w:rPr>
          <w:rFonts w:hint="eastAsia"/>
          <w:snapToGrid/>
          <w:szCs w:val="22"/>
        </w:rPr>
        <w:t>禁止在某些生活情况下进行解雇</w:t>
      </w:r>
      <w:r>
        <w:rPr>
          <w:snapToGrid/>
          <w:szCs w:val="22"/>
        </w:rPr>
        <w:t>，</w:t>
      </w:r>
      <w:r>
        <w:rPr>
          <w:rFonts w:hint="eastAsia"/>
          <w:snapToGrid/>
          <w:szCs w:val="22"/>
        </w:rPr>
        <w:t>对怀孕妇女、母亲、幼儿的单亲父亲和残疾人等给予特别保护</w:t>
      </w:r>
      <w:r>
        <w:rPr>
          <w:rFonts w:hint="eastAsia"/>
          <w:snapToGrid/>
          <w:szCs w:val="22"/>
        </w:rPr>
        <w:t>(</w:t>
      </w:r>
      <w:r>
        <w:rPr>
          <w:rFonts w:hint="eastAsia"/>
          <w:snapToGrid/>
          <w:szCs w:val="22"/>
        </w:rPr>
        <w:t>《劳动法》第</w:t>
      </w:r>
      <w:r>
        <w:rPr>
          <w:snapToGrid/>
          <w:szCs w:val="22"/>
        </w:rPr>
        <w:t>48</w:t>
      </w:r>
      <w:r>
        <w:rPr>
          <w:rFonts w:hint="eastAsia"/>
          <w:snapToGrid/>
          <w:szCs w:val="22"/>
        </w:rPr>
        <w:t>条</w:t>
      </w:r>
      <w:r>
        <w:rPr>
          <w:snapToGrid/>
          <w:szCs w:val="22"/>
        </w:rPr>
        <w:t>)</w:t>
      </w:r>
      <w:r>
        <w:rPr>
          <w:rFonts w:hint="eastAsia"/>
          <w:snapToGrid/>
          <w:szCs w:val="22"/>
        </w:rPr>
        <w:t>。通知期限为两个月</w:t>
      </w:r>
      <w:r>
        <w:rPr>
          <w:snapToGrid/>
          <w:szCs w:val="22"/>
        </w:rPr>
        <w:t>，</w:t>
      </w:r>
      <w:r>
        <w:rPr>
          <w:rFonts w:hint="eastAsia"/>
          <w:snapToGrid/>
          <w:szCs w:val="22"/>
        </w:rPr>
        <w:t>如果雇主因组织原因而发出解雇通知时</w:t>
      </w:r>
      <w:r>
        <w:rPr>
          <w:snapToGrid/>
          <w:szCs w:val="22"/>
        </w:rPr>
        <w:t>，</w:t>
      </w:r>
      <w:r>
        <w:rPr>
          <w:rFonts w:hint="eastAsia"/>
          <w:snapToGrid/>
          <w:szCs w:val="22"/>
        </w:rPr>
        <w:t>通知期限为三个月。根据《民事程序法》</w:t>
      </w:r>
      <w:r>
        <w:rPr>
          <w:snapToGrid/>
          <w:szCs w:val="22"/>
        </w:rPr>
        <w:t>，</w:t>
      </w:r>
      <w:r>
        <w:rPr>
          <w:rFonts w:hint="eastAsia"/>
          <w:snapToGrid/>
          <w:szCs w:val="22"/>
        </w:rPr>
        <w:t>雇员可以自雇用关系解除之日起三个月内向法院起诉</w:t>
      </w:r>
      <w:r>
        <w:rPr>
          <w:snapToGrid/>
          <w:szCs w:val="22"/>
        </w:rPr>
        <w:t>，</w:t>
      </w:r>
      <w:r>
        <w:rPr>
          <w:rFonts w:hint="eastAsia"/>
          <w:snapToGrid/>
          <w:szCs w:val="22"/>
        </w:rPr>
        <w:t>要求判定雇用关系的解除无效。还可以根据《民事程序法》第</w:t>
      </w:r>
      <w:r>
        <w:rPr>
          <w:snapToGrid/>
          <w:szCs w:val="22"/>
        </w:rPr>
        <w:t>201</w:t>
      </w:r>
      <w:r>
        <w:rPr>
          <w:rFonts w:hint="eastAsia"/>
          <w:snapToGrid/>
          <w:szCs w:val="22"/>
        </w:rPr>
        <w:t>条就初审法院的裁决向高一级法院提出上诉。</w:t>
      </w:r>
      <w:r>
        <w:rPr>
          <w:rFonts w:hint="eastAsia"/>
          <w:snapToGrid/>
          <w:vertAlign w:val="superscript"/>
        </w:rPr>
        <w:t xml:space="preserve"> </w:t>
      </w:r>
      <w:r>
        <w:rPr>
          <w:rStyle w:val="EndnoteReference"/>
          <w:snapToGrid/>
        </w:rPr>
        <w:endnoteReference w:id="115"/>
      </w:r>
    </w:p>
    <w:p w:rsidR="00000000" w:rsidRDefault="00000000">
      <w:pPr>
        <w:rPr>
          <w:snapToGrid/>
          <w:szCs w:val="22"/>
        </w:rPr>
      </w:pPr>
      <w:r>
        <w:rPr>
          <w:rFonts w:hint="eastAsia"/>
          <w:snapToGrid/>
          <w:szCs w:val="22"/>
        </w:rPr>
        <w:tab/>
      </w:r>
      <w:r>
        <w:rPr>
          <w:snapToGrid/>
          <w:szCs w:val="22"/>
        </w:rPr>
        <w:t xml:space="preserve">200.  </w:t>
      </w:r>
      <w:r>
        <w:rPr>
          <w:rFonts w:hint="eastAsia"/>
          <w:snapToGrid/>
          <w:szCs w:val="22"/>
        </w:rPr>
        <w:t>海关官员</w:t>
      </w:r>
      <w:r>
        <w:rPr>
          <w:rFonts w:hint="eastAsia"/>
          <w:snapToGrid/>
          <w:vertAlign w:val="superscript"/>
        </w:rPr>
        <w:t xml:space="preserve"> </w:t>
      </w:r>
      <w:r>
        <w:rPr>
          <w:rStyle w:val="EndnoteReference"/>
          <w:snapToGrid/>
        </w:rPr>
        <w:endnoteReference w:id="116"/>
      </w:r>
      <w:r>
        <w:rPr>
          <w:rFonts w:hint="eastAsia"/>
          <w:snapToGrid/>
          <w:szCs w:val="22"/>
        </w:rPr>
        <w:t>、武装部队成员</w:t>
      </w:r>
      <w:r>
        <w:rPr>
          <w:rFonts w:hint="eastAsia"/>
          <w:snapToGrid/>
          <w:vertAlign w:val="superscript"/>
        </w:rPr>
        <w:t xml:space="preserve"> </w:t>
      </w:r>
      <w:r>
        <w:rPr>
          <w:rStyle w:val="EndnoteReference"/>
          <w:snapToGrid/>
        </w:rPr>
        <w:endnoteReference w:id="117"/>
      </w:r>
      <w:r>
        <w:rPr>
          <w:rFonts w:hint="eastAsia"/>
          <w:snapToGrid/>
          <w:szCs w:val="22"/>
        </w:rPr>
        <w:t>、安全情报服务部门</w:t>
      </w:r>
      <w:r>
        <w:rPr>
          <w:rFonts w:hint="eastAsia"/>
          <w:snapToGrid/>
          <w:vertAlign w:val="superscript"/>
        </w:rPr>
        <w:t xml:space="preserve"> </w:t>
      </w:r>
      <w:r>
        <w:rPr>
          <w:rStyle w:val="EndnoteReference"/>
          <w:snapToGrid/>
        </w:rPr>
        <w:endnoteReference w:id="118"/>
      </w:r>
      <w:r>
        <w:rPr>
          <w:rFonts w:hint="eastAsia"/>
          <w:snapToGrid/>
          <w:szCs w:val="22"/>
        </w:rPr>
        <w:t>、捷克共和国警察</w:t>
      </w:r>
      <w:r>
        <w:rPr>
          <w:rFonts w:hint="eastAsia"/>
          <w:snapToGrid/>
          <w:vertAlign w:val="superscript"/>
        </w:rPr>
        <w:t xml:space="preserve"> </w:t>
      </w:r>
      <w:r>
        <w:rPr>
          <w:rStyle w:val="EndnoteReference"/>
          <w:snapToGrid/>
        </w:rPr>
        <w:endnoteReference w:id="119"/>
      </w:r>
      <w:r>
        <w:rPr>
          <w:rFonts w:hint="eastAsia"/>
          <w:snapToGrid/>
          <w:szCs w:val="22"/>
        </w:rPr>
        <w:t>、消防部门人员</w:t>
      </w:r>
      <w:r>
        <w:rPr>
          <w:rFonts w:hint="eastAsia"/>
          <w:snapToGrid/>
          <w:vertAlign w:val="superscript"/>
        </w:rPr>
        <w:t xml:space="preserve"> </w:t>
      </w:r>
      <w:r>
        <w:rPr>
          <w:rStyle w:val="EndnoteReference"/>
          <w:snapToGrid/>
        </w:rPr>
        <w:endnoteReference w:id="120"/>
      </w:r>
      <w:r>
        <w:rPr>
          <w:snapToGrid/>
          <w:szCs w:val="22"/>
        </w:rPr>
        <w:t xml:space="preserve"> </w:t>
      </w:r>
      <w:r>
        <w:rPr>
          <w:rFonts w:hint="eastAsia"/>
          <w:snapToGrid/>
          <w:szCs w:val="22"/>
        </w:rPr>
        <w:t>的劳动法律关系执行特别的规章。这些规章载述了以下专项规定</w:t>
      </w:r>
      <w:r>
        <w:rPr>
          <w:snapToGrid/>
          <w:szCs w:val="22"/>
        </w:rPr>
        <w:t>：</w:t>
      </w:r>
      <w:r>
        <w:rPr>
          <w:rFonts w:hint="eastAsia"/>
          <w:snapToGrid/>
          <w:szCs w:val="22"/>
        </w:rPr>
        <w:t>服务关系的建立、内容和终结；接受的条件；试用期；服务关系中的个人不经个人同意被分配从事不同工作或被调转的条件</w:t>
      </w:r>
      <w:r>
        <w:rPr>
          <w:snapToGrid/>
          <w:szCs w:val="22"/>
        </w:rPr>
        <w:t>；</w:t>
      </w:r>
      <w:r>
        <w:rPr>
          <w:rFonts w:hint="eastAsia"/>
          <w:snapToGrid/>
          <w:szCs w:val="22"/>
        </w:rPr>
        <w:t>工作时间安排</w:t>
      </w:r>
      <w:r>
        <w:rPr>
          <w:snapToGrid/>
          <w:szCs w:val="22"/>
        </w:rPr>
        <w:t>；</w:t>
      </w:r>
      <w:r>
        <w:rPr>
          <w:rFonts w:hint="eastAsia"/>
          <w:snapToGrid/>
          <w:szCs w:val="22"/>
        </w:rPr>
        <w:t>职工的义务等。此外</w:t>
      </w:r>
      <w:r>
        <w:rPr>
          <w:snapToGrid/>
          <w:szCs w:val="22"/>
        </w:rPr>
        <w:t>，</w:t>
      </w:r>
      <w:r>
        <w:rPr>
          <w:rFonts w:hint="eastAsia"/>
          <w:snapToGrid/>
          <w:szCs w:val="22"/>
        </w:rPr>
        <w:t>还有对他们给予特别的照顾</w:t>
      </w:r>
      <w:r>
        <w:rPr>
          <w:snapToGrid/>
          <w:szCs w:val="22"/>
        </w:rPr>
        <w:t>(</w:t>
      </w:r>
      <w:r>
        <w:rPr>
          <w:rFonts w:hint="eastAsia"/>
          <w:snapToGrid/>
          <w:szCs w:val="22"/>
        </w:rPr>
        <w:t>保健、社会教育等</w:t>
      </w:r>
      <w:r>
        <w:rPr>
          <w:rFonts w:hint="eastAsia"/>
          <w:snapToGrid/>
          <w:szCs w:val="22"/>
        </w:rPr>
        <w:t>)</w:t>
      </w:r>
      <w:r>
        <w:rPr>
          <w:rFonts w:hint="eastAsia"/>
          <w:snapToGrid/>
          <w:szCs w:val="22"/>
        </w:rPr>
        <w:t>的规定以及与其他的《劳动法》规定的劳动法律关系不同的服务关系规则。</w:t>
      </w:r>
    </w:p>
    <w:p w:rsidR="00000000" w:rsidRDefault="00000000">
      <w:pPr>
        <w:rPr>
          <w:snapToGrid/>
          <w:szCs w:val="22"/>
        </w:rPr>
      </w:pPr>
      <w:r>
        <w:rPr>
          <w:rFonts w:hint="eastAsia"/>
          <w:snapToGrid/>
          <w:szCs w:val="22"/>
        </w:rPr>
        <w:tab/>
      </w:r>
      <w:r>
        <w:rPr>
          <w:snapToGrid/>
          <w:szCs w:val="22"/>
        </w:rPr>
        <w:t xml:space="preserve">201.  </w:t>
      </w:r>
      <w:r>
        <w:rPr>
          <w:rFonts w:hint="eastAsia"/>
          <w:snapToGrid/>
          <w:szCs w:val="22"/>
        </w:rPr>
        <w:t>关于武装部队成员的服务关系和其他劳动法律关系的新法律于</w:t>
      </w:r>
      <w:r>
        <w:rPr>
          <w:snapToGrid/>
          <w:szCs w:val="22"/>
        </w:rPr>
        <w:t>1999</w:t>
      </w:r>
      <w:r>
        <w:rPr>
          <w:rFonts w:hint="eastAsia"/>
          <w:snapToGrid/>
          <w:szCs w:val="22"/>
        </w:rPr>
        <w:t>年</w:t>
      </w:r>
      <w:r>
        <w:rPr>
          <w:snapToGrid/>
          <w:szCs w:val="22"/>
        </w:rPr>
        <w:t>12</w:t>
      </w:r>
      <w:r>
        <w:rPr>
          <w:rFonts w:hint="eastAsia"/>
          <w:snapToGrid/>
          <w:szCs w:val="22"/>
        </w:rPr>
        <w:t>月</w:t>
      </w:r>
      <w:r>
        <w:rPr>
          <w:snapToGrid/>
          <w:szCs w:val="22"/>
        </w:rPr>
        <w:t>1</w:t>
      </w:r>
      <w:r>
        <w:rPr>
          <w:rFonts w:hint="eastAsia"/>
          <w:snapToGrid/>
          <w:szCs w:val="22"/>
        </w:rPr>
        <w:t>日生效。它们是《职业军人法》</w:t>
      </w:r>
      <w:r>
        <w:rPr>
          <w:rFonts w:hint="eastAsia"/>
          <w:snapToGrid/>
          <w:vertAlign w:val="superscript"/>
        </w:rPr>
        <w:t xml:space="preserve"> </w:t>
      </w:r>
      <w:r>
        <w:rPr>
          <w:rStyle w:val="EndnoteReference"/>
          <w:snapToGrid/>
        </w:rPr>
        <w:endnoteReference w:id="121"/>
      </w:r>
      <w:r>
        <w:rPr>
          <w:rFonts w:hint="eastAsia"/>
          <w:snapToGrid/>
          <w:szCs w:val="22"/>
        </w:rPr>
        <w:t>,</w:t>
      </w:r>
      <w:r>
        <w:rPr>
          <w:rFonts w:hint="eastAsia"/>
          <w:snapToGrid/>
          <w:szCs w:val="22"/>
        </w:rPr>
        <w:t>《国防法》</w:t>
      </w:r>
      <w:r>
        <w:rPr>
          <w:rFonts w:hint="eastAsia"/>
          <w:snapToGrid/>
          <w:vertAlign w:val="superscript"/>
        </w:rPr>
        <w:t xml:space="preserve"> </w:t>
      </w:r>
      <w:r>
        <w:rPr>
          <w:rStyle w:val="EndnoteReference"/>
          <w:snapToGrid/>
        </w:rPr>
        <w:endnoteReference w:id="122"/>
      </w:r>
      <w:r>
        <w:rPr>
          <w:rFonts w:hint="eastAsia"/>
          <w:snapToGrid/>
          <w:szCs w:val="22"/>
        </w:rPr>
        <w:t xml:space="preserve"> </w:t>
      </w:r>
      <w:r>
        <w:rPr>
          <w:rFonts w:hint="eastAsia"/>
          <w:snapToGrid/>
          <w:szCs w:val="22"/>
        </w:rPr>
        <w:t>和《武装部队法》</w:t>
      </w:r>
      <w:r>
        <w:rPr>
          <w:rStyle w:val="EndnoteReference"/>
          <w:snapToGrid/>
        </w:rPr>
        <w:endnoteReference w:id="123"/>
      </w:r>
      <w:r>
        <w:rPr>
          <w:rFonts w:hint="eastAsia"/>
          <w:snapToGrid/>
          <w:szCs w:val="22"/>
        </w:rPr>
        <w:t>。</w:t>
      </w:r>
      <w:r>
        <w:rPr>
          <w:snapToGrid/>
          <w:szCs w:val="22"/>
        </w:rPr>
        <w:t>2000</w:t>
      </w:r>
      <w:r>
        <w:rPr>
          <w:rFonts w:hint="eastAsia"/>
          <w:snapToGrid/>
          <w:szCs w:val="22"/>
        </w:rPr>
        <w:t>年第一季度</w:t>
      </w:r>
      <w:r>
        <w:rPr>
          <w:snapToGrid/>
          <w:szCs w:val="22"/>
        </w:rPr>
        <w:t>，</w:t>
      </w:r>
      <w:r>
        <w:rPr>
          <w:rFonts w:hint="eastAsia"/>
          <w:snapToGrid/>
          <w:szCs w:val="22"/>
        </w:rPr>
        <w:t>政府将讨论新的《捷克共和国警察法》</w:t>
      </w:r>
      <w:r>
        <w:rPr>
          <w:snapToGrid/>
          <w:szCs w:val="22"/>
        </w:rPr>
        <w:t>，</w:t>
      </w:r>
      <w:r>
        <w:rPr>
          <w:rFonts w:hint="eastAsia"/>
          <w:snapToGrid/>
          <w:szCs w:val="22"/>
        </w:rPr>
        <w:t>该法律将于</w:t>
      </w:r>
      <w:r>
        <w:rPr>
          <w:snapToGrid/>
          <w:szCs w:val="22"/>
        </w:rPr>
        <w:t>2001</w:t>
      </w:r>
      <w:r>
        <w:rPr>
          <w:rFonts w:hint="eastAsia"/>
          <w:snapToGrid/>
          <w:szCs w:val="22"/>
        </w:rPr>
        <w:t>年</w:t>
      </w:r>
      <w:r>
        <w:rPr>
          <w:snapToGrid/>
          <w:szCs w:val="22"/>
        </w:rPr>
        <w:t>1</w:t>
      </w:r>
      <w:r>
        <w:rPr>
          <w:rFonts w:hint="eastAsia"/>
          <w:snapToGrid/>
          <w:szCs w:val="22"/>
        </w:rPr>
        <w:t>月</w:t>
      </w:r>
      <w:r>
        <w:rPr>
          <w:snapToGrid/>
          <w:szCs w:val="22"/>
        </w:rPr>
        <w:t>1</w:t>
      </w:r>
      <w:r>
        <w:rPr>
          <w:rFonts w:hint="eastAsia"/>
          <w:snapToGrid/>
          <w:szCs w:val="22"/>
        </w:rPr>
        <w:t>日生效。</w:t>
      </w:r>
    </w:p>
    <w:p w:rsidR="00000000" w:rsidRDefault="00000000">
      <w:pPr>
        <w:rPr>
          <w:rFonts w:hint="eastAsia"/>
          <w:snapToGrid/>
          <w:szCs w:val="24"/>
        </w:rPr>
      </w:pPr>
      <w:r>
        <w:rPr>
          <w:snapToGrid/>
          <w:szCs w:val="24"/>
        </w:rPr>
        <w:tab/>
        <w:t xml:space="preserve">202.  </w:t>
      </w:r>
      <w:r>
        <w:rPr>
          <w:rFonts w:hint="eastAsia"/>
          <w:snapToGrid/>
          <w:szCs w:val="24"/>
        </w:rPr>
        <w:t>新的《职业军人法》第</w:t>
      </w:r>
      <w:r>
        <w:rPr>
          <w:snapToGrid/>
          <w:szCs w:val="24"/>
        </w:rPr>
        <w:t>47</w:t>
      </w:r>
      <w:r>
        <w:rPr>
          <w:rFonts w:hint="eastAsia"/>
          <w:snapToGrid/>
          <w:szCs w:val="24"/>
        </w:rPr>
        <w:t>条第</w:t>
      </w:r>
      <w:r>
        <w:rPr>
          <w:snapToGrid/>
          <w:szCs w:val="24"/>
        </w:rPr>
        <w:t>1</w:t>
      </w:r>
      <w:r>
        <w:rPr>
          <w:rFonts w:hint="eastAsia"/>
          <w:snapToGrid/>
          <w:szCs w:val="24"/>
        </w:rPr>
        <w:t>款规定了一项对职业行为的法定限制</w:t>
      </w:r>
      <w:r>
        <w:rPr>
          <w:snapToGrid/>
          <w:szCs w:val="24"/>
        </w:rPr>
        <w:t>：</w:t>
      </w:r>
      <w:r>
        <w:rPr>
          <w:rFonts w:hint="eastAsia"/>
          <w:snapToGrid/>
          <w:szCs w:val="24"/>
        </w:rPr>
        <w:t>“军人只能在例外情况下</w:t>
      </w:r>
      <w:r>
        <w:rPr>
          <w:snapToGrid/>
          <w:szCs w:val="24"/>
        </w:rPr>
        <w:t>，</w:t>
      </w:r>
      <w:r>
        <w:rPr>
          <w:rFonts w:hint="eastAsia"/>
          <w:snapToGrid/>
          <w:szCs w:val="24"/>
        </w:rPr>
        <w:t>经服役所在单位书面同意</w:t>
      </w:r>
      <w:r>
        <w:rPr>
          <w:snapToGrid/>
          <w:szCs w:val="24"/>
        </w:rPr>
        <w:t>，</w:t>
      </w:r>
      <w:r>
        <w:rPr>
          <w:rFonts w:hint="eastAsia"/>
          <w:snapToGrid/>
          <w:szCs w:val="24"/>
        </w:rPr>
        <w:t>方可从事就业</w:t>
      </w:r>
      <w:r>
        <w:rPr>
          <w:snapToGrid/>
          <w:szCs w:val="24"/>
        </w:rPr>
        <w:t>，</w:t>
      </w:r>
      <w:r>
        <w:rPr>
          <w:rFonts w:hint="eastAsia"/>
          <w:snapToGrid/>
          <w:szCs w:val="24"/>
        </w:rPr>
        <w:t>但该活动不得影响其服役或武装部队的另一重要利益。”</w:t>
      </w:r>
    </w:p>
    <w:p w:rsidR="00000000" w:rsidRDefault="00000000">
      <w:pPr>
        <w:rPr>
          <w:snapToGrid/>
          <w:szCs w:val="24"/>
        </w:rPr>
      </w:pPr>
      <w:r>
        <w:rPr>
          <w:rFonts w:hint="eastAsia"/>
          <w:snapToGrid/>
          <w:szCs w:val="24"/>
        </w:rPr>
        <w:tab/>
      </w:r>
      <w:r>
        <w:rPr>
          <w:snapToGrid/>
          <w:szCs w:val="24"/>
        </w:rPr>
        <w:t xml:space="preserve">203.  </w:t>
      </w:r>
      <w:r>
        <w:rPr>
          <w:rFonts w:hint="eastAsia"/>
          <w:snapToGrid/>
          <w:szCs w:val="24"/>
        </w:rPr>
        <w:t>按照《公约》第</w:t>
      </w:r>
      <w:r>
        <w:rPr>
          <w:snapToGrid/>
          <w:szCs w:val="24"/>
        </w:rPr>
        <w:t>13</w:t>
      </w:r>
      <w:r>
        <w:rPr>
          <w:rFonts w:hint="eastAsia"/>
          <w:snapToGrid/>
          <w:szCs w:val="24"/>
        </w:rPr>
        <w:t>条第</w:t>
      </w:r>
      <w:r>
        <w:rPr>
          <w:snapToGrid/>
          <w:szCs w:val="24"/>
        </w:rPr>
        <w:t>1</w:t>
      </w:r>
      <w:r>
        <w:rPr>
          <w:rFonts w:hint="eastAsia"/>
          <w:snapToGrid/>
          <w:szCs w:val="24"/>
        </w:rPr>
        <w:t>款的要求</w:t>
      </w:r>
      <w:r>
        <w:rPr>
          <w:snapToGrid/>
          <w:szCs w:val="24"/>
        </w:rPr>
        <w:t>，</w:t>
      </w:r>
      <w:r>
        <w:rPr>
          <w:rFonts w:hint="eastAsia"/>
          <w:snapToGrid/>
          <w:szCs w:val="24"/>
        </w:rPr>
        <w:t>捷克共和国《教育法》</w:t>
      </w:r>
      <w:r>
        <w:rPr>
          <w:rStyle w:val="EndnoteReference"/>
          <w:snapToGrid/>
        </w:rPr>
        <w:endnoteReference w:id="124"/>
      </w:r>
      <w:r>
        <w:rPr>
          <w:rFonts w:hint="eastAsia"/>
          <w:snapToGrid/>
          <w:szCs w:val="24"/>
        </w:rPr>
        <w:t xml:space="preserve">  </w:t>
      </w:r>
      <w:r>
        <w:rPr>
          <w:rFonts w:hint="eastAsia"/>
          <w:snapToGrid/>
          <w:szCs w:val="24"/>
        </w:rPr>
        <w:t>保障捷克共和国所有公民和常住外国人免费接受初级和中级学校的基本职业准备教育。《教育法》第</w:t>
      </w:r>
      <w:r>
        <w:rPr>
          <w:snapToGrid/>
          <w:szCs w:val="24"/>
        </w:rPr>
        <w:t>39</w:t>
      </w:r>
      <w:r>
        <w:rPr>
          <w:rFonts w:hint="eastAsia"/>
          <w:snapToGrid/>
          <w:szCs w:val="24"/>
        </w:rPr>
        <w:t>条规定</w:t>
      </w:r>
      <w:r>
        <w:rPr>
          <w:snapToGrid/>
          <w:szCs w:val="24"/>
        </w:rPr>
        <w:t>，</w:t>
      </w:r>
      <w:r>
        <w:rPr>
          <w:rFonts w:hint="eastAsia"/>
          <w:snapToGrid/>
          <w:szCs w:val="24"/>
        </w:rPr>
        <w:t>这些学校的所有职业准备教育必须按照依职业需要编写并依劳动力市场需求加以修订的教材进行。关于执行《公约》第</w:t>
      </w:r>
      <w:r>
        <w:rPr>
          <w:snapToGrid/>
          <w:szCs w:val="24"/>
        </w:rPr>
        <w:t>13</w:t>
      </w:r>
      <w:r>
        <w:rPr>
          <w:rFonts w:hint="eastAsia"/>
          <w:snapToGrid/>
          <w:szCs w:val="24"/>
        </w:rPr>
        <w:t>条的部分较详细地叙述了这方面的情况。</w:t>
      </w:r>
    </w:p>
    <w:p w:rsidR="00000000" w:rsidRDefault="00000000">
      <w:pPr>
        <w:rPr>
          <w:snapToGrid/>
          <w:szCs w:val="24"/>
        </w:rPr>
      </w:pPr>
      <w:r>
        <w:rPr>
          <w:rFonts w:hint="eastAsia"/>
          <w:snapToGrid/>
          <w:szCs w:val="24"/>
        </w:rPr>
        <w:tab/>
      </w:r>
      <w:r>
        <w:rPr>
          <w:snapToGrid/>
          <w:szCs w:val="24"/>
        </w:rPr>
        <w:t xml:space="preserve">204.  </w:t>
      </w:r>
      <w:r>
        <w:rPr>
          <w:rFonts w:hint="eastAsia"/>
          <w:snapToGrid/>
          <w:szCs w:val="24"/>
        </w:rPr>
        <w:t>《劳动法》第</w:t>
      </w:r>
      <w:r>
        <w:rPr>
          <w:snapToGrid/>
          <w:szCs w:val="24"/>
        </w:rPr>
        <w:t>14l-144</w:t>
      </w:r>
      <w:r>
        <w:rPr>
          <w:rFonts w:hint="eastAsia"/>
          <w:snapToGrid/>
          <w:szCs w:val="24"/>
        </w:rPr>
        <w:t>条规定了雇主对雇员进行培训和提高雇员技能的义务。这些规定产生了雇主和雇员的权利和义务</w:t>
      </w:r>
      <w:r>
        <w:rPr>
          <w:snapToGrid/>
          <w:szCs w:val="24"/>
        </w:rPr>
        <w:t>：</w:t>
      </w:r>
    </w:p>
    <w:p w:rsidR="00000000" w:rsidRDefault="00000000">
      <w:pPr>
        <w:numPr>
          <w:ilvl w:val="0"/>
          <w:numId w:val="138"/>
        </w:numPr>
        <w:rPr>
          <w:snapToGrid/>
        </w:rPr>
      </w:pPr>
      <w:r>
        <w:rPr>
          <w:rFonts w:hint="eastAsia"/>
          <w:snapToGrid/>
        </w:rPr>
        <w:t>《劳动法》第</w:t>
      </w:r>
      <w:r>
        <w:rPr>
          <w:snapToGrid/>
        </w:rPr>
        <w:t>141</w:t>
      </w:r>
      <w:r>
        <w:rPr>
          <w:rFonts w:hint="eastAsia"/>
          <w:snapToGrid/>
        </w:rPr>
        <w:t>条</w:t>
      </w:r>
      <w:r>
        <w:rPr>
          <w:snapToGrid/>
        </w:rPr>
        <w:t>(a)</w:t>
      </w:r>
      <w:r>
        <w:rPr>
          <w:rFonts w:hint="eastAsia"/>
          <w:snapToGrid/>
        </w:rPr>
        <w:t>款规定</w:t>
      </w:r>
      <w:r>
        <w:rPr>
          <w:snapToGrid/>
        </w:rPr>
        <w:t>，</w:t>
      </w:r>
      <w:r>
        <w:rPr>
          <w:rFonts w:hint="eastAsia"/>
          <w:snapToGrid/>
        </w:rPr>
        <w:t>雇员有义务“系统地扩展他从事就业合同所述工作应具备的资格。”雇主有权“要求雇员参与培训以扩展其资格。雇主应确保在建立就业关系时未具备资格</w:t>
      </w:r>
      <w:r>
        <w:rPr>
          <w:snapToGrid/>
        </w:rPr>
        <w:t>(</w:t>
      </w:r>
      <w:r>
        <w:rPr>
          <w:rFonts w:hint="eastAsia"/>
          <w:snapToGrid/>
        </w:rPr>
        <w:t>技能</w:t>
      </w:r>
      <w:r>
        <w:rPr>
          <w:rFonts w:hint="eastAsia"/>
          <w:snapToGrid/>
        </w:rPr>
        <w:t>)</w:t>
      </w:r>
      <w:r>
        <w:rPr>
          <w:rFonts w:hint="eastAsia"/>
          <w:snapToGrid/>
        </w:rPr>
        <w:t>的雇员通过入门培训或初步培训获得此种资格或技能”</w:t>
      </w:r>
      <w:r>
        <w:rPr>
          <w:rFonts w:hint="eastAsia"/>
          <w:snapToGrid/>
        </w:rPr>
        <w:t>(</w:t>
      </w:r>
      <w:r>
        <w:rPr>
          <w:rFonts w:hint="eastAsia"/>
          <w:snapToGrid/>
        </w:rPr>
        <w:t>《劳动法》第</w:t>
      </w:r>
      <w:r>
        <w:rPr>
          <w:snapToGrid/>
        </w:rPr>
        <w:t>142</w:t>
      </w:r>
      <w:r>
        <w:rPr>
          <w:rFonts w:hint="eastAsia"/>
          <w:snapToGrid/>
        </w:rPr>
        <w:t>条第</w:t>
      </w:r>
      <w:r>
        <w:rPr>
          <w:snapToGrid/>
        </w:rPr>
        <w:t>1</w:t>
      </w:r>
      <w:r>
        <w:rPr>
          <w:rFonts w:hint="eastAsia"/>
          <w:snapToGrid/>
        </w:rPr>
        <w:t>款</w:t>
      </w:r>
      <w:r>
        <w:rPr>
          <w:rFonts w:hint="eastAsia"/>
          <w:snapToGrid/>
        </w:rPr>
        <w:t>)</w:t>
      </w:r>
      <w:r>
        <w:rPr>
          <w:rFonts w:hint="eastAsia"/>
          <w:snapToGrid/>
        </w:rPr>
        <w:t>。培训后</w:t>
      </w:r>
      <w:r>
        <w:rPr>
          <w:snapToGrid/>
        </w:rPr>
        <w:t>，</w:t>
      </w:r>
      <w:r>
        <w:rPr>
          <w:rFonts w:hint="eastAsia"/>
          <w:snapToGrid/>
        </w:rPr>
        <w:t>雇主应向雇员颁发结业证书。《劳动法》第</w:t>
      </w:r>
      <w:r>
        <w:rPr>
          <w:snapToGrid/>
        </w:rPr>
        <w:t>142</w:t>
      </w:r>
      <w:r>
        <w:rPr>
          <w:rFonts w:hint="eastAsia"/>
          <w:snapToGrid/>
        </w:rPr>
        <w:t>条第</w:t>
      </w:r>
      <w:r>
        <w:rPr>
          <w:snapToGrid/>
        </w:rPr>
        <w:t>2</w:t>
      </w:r>
      <w:r>
        <w:rPr>
          <w:rFonts w:hint="eastAsia"/>
          <w:snapToGrid/>
        </w:rPr>
        <w:t>款规定</w:t>
      </w:r>
      <w:r>
        <w:rPr>
          <w:snapToGrid/>
        </w:rPr>
        <w:t>，</w:t>
      </w:r>
      <w:r>
        <w:rPr>
          <w:rFonts w:hint="eastAsia"/>
          <w:snapToGrid/>
        </w:rPr>
        <w:t>如果此类雇员调转到新的工作地点、从事新的工作种类或适应新的工作方法，特别是因工作组织变动或其他合理化措施而需要此种培训时</w:t>
      </w:r>
      <w:r>
        <w:rPr>
          <w:snapToGrid/>
        </w:rPr>
        <w:t>，</w:t>
      </w:r>
      <w:r>
        <w:rPr>
          <w:rFonts w:hint="eastAsia"/>
          <w:snapToGrid/>
        </w:rPr>
        <w:t>雇主应该安排他们参加培训或初步培训。有些提高资格的培训是必须的</w:t>
      </w:r>
      <w:r>
        <w:rPr>
          <w:snapToGrid/>
        </w:rPr>
        <w:t>，</w:t>
      </w:r>
      <w:r>
        <w:rPr>
          <w:rFonts w:hint="eastAsia"/>
          <w:snapToGrid/>
        </w:rPr>
        <w:t>有些培训则取决于雇主的需求和财政能力；</w:t>
      </w:r>
    </w:p>
    <w:p w:rsidR="00000000" w:rsidRDefault="00000000">
      <w:pPr>
        <w:numPr>
          <w:ilvl w:val="0"/>
          <w:numId w:val="138"/>
        </w:numPr>
        <w:rPr>
          <w:snapToGrid/>
        </w:rPr>
      </w:pPr>
      <w:r>
        <w:rPr>
          <w:rFonts w:hint="eastAsia"/>
          <w:snapToGrid/>
        </w:rPr>
        <w:t>根据《劳动法》第</w:t>
      </w:r>
      <w:r>
        <w:rPr>
          <w:snapToGrid/>
        </w:rPr>
        <w:t>142</w:t>
      </w:r>
      <w:r>
        <w:rPr>
          <w:rFonts w:hint="eastAsia"/>
          <w:snapToGrid/>
        </w:rPr>
        <w:t>条</w:t>
      </w:r>
      <w:r>
        <w:rPr>
          <w:snapToGrid/>
        </w:rPr>
        <w:t>(b)</w:t>
      </w:r>
      <w:r>
        <w:rPr>
          <w:rFonts w:hint="eastAsia"/>
          <w:snapToGrid/>
        </w:rPr>
        <w:t>款</w:t>
      </w:r>
      <w:r>
        <w:rPr>
          <w:snapToGrid/>
        </w:rPr>
        <w:t>，</w:t>
      </w:r>
      <w:r>
        <w:rPr>
          <w:rFonts w:hint="eastAsia"/>
          <w:snapToGrid/>
        </w:rPr>
        <w:t>如果技能的预期提高符合雇主的需要</w:t>
      </w:r>
      <w:r>
        <w:rPr>
          <w:snapToGrid/>
        </w:rPr>
        <w:t>，</w:t>
      </w:r>
      <w:r>
        <w:rPr>
          <w:rFonts w:hint="eastAsia"/>
          <w:snapToGrid/>
        </w:rPr>
        <w:t>雇主可以给予雇员假期或资金</w:t>
      </w:r>
      <w:r>
        <w:rPr>
          <w:snapToGrid/>
        </w:rPr>
        <w:t>(</w:t>
      </w:r>
      <w:r>
        <w:rPr>
          <w:rFonts w:hint="eastAsia"/>
          <w:snapToGrid/>
        </w:rPr>
        <w:t>物质</w:t>
      </w:r>
      <w:r>
        <w:rPr>
          <w:snapToGrid/>
        </w:rPr>
        <w:t>)</w:t>
      </w:r>
      <w:r>
        <w:rPr>
          <w:rFonts w:hint="eastAsia"/>
          <w:snapToGrid/>
        </w:rPr>
        <w:t>保障。</w:t>
      </w:r>
    </w:p>
    <w:p w:rsidR="00000000" w:rsidRDefault="00000000">
      <w:pPr>
        <w:rPr>
          <w:snapToGrid/>
          <w:szCs w:val="24"/>
        </w:rPr>
      </w:pPr>
      <w:r>
        <w:rPr>
          <w:rFonts w:hint="eastAsia"/>
          <w:snapToGrid/>
          <w:szCs w:val="24"/>
        </w:rPr>
        <w:tab/>
      </w:r>
      <w:r>
        <w:rPr>
          <w:snapToGrid/>
          <w:szCs w:val="24"/>
        </w:rPr>
        <w:t xml:space="preserve">205.  </w:t>
      </w:r>
      <w:r>
        <w:rPr>
          <w:rFonts w:hint="eastAsia"/>
          <w:snapToGrid/>
          <w:szCs w:val="24"/>
        </w:rPr>
        <w:t>通过再培训接受补充教育</w:t>
      </w:r>
      <w:r>
        <w:rPr>
          <w:snapToGrid/>
          <w:szCs w:val="24"/>
        </w:rPr>
        <w:t>，</w:t>
      </w:r>
      <w:r>
        <w:rPr>
          <w:rFonts w:hint="eastAsia"/>
          <w:snapToGrid/>
          <w:szCs w:val="24"/>
        </w:rPr>
        <w:t>依据《就业法》和《劳动和社会事务部关于安排求职者和雇员接受培训的条件的规定》</w:t>
      </w:r>
      <w:r>
        <w:rPr>
          <w:rStyle w:val="EndnoteReference"/>
          <w:snapToGrid/>
        </w:rPr>
        <w:endnoteReference w:id="125"/>
      </w:r>
      <w:r>
        <w:rPr>
          <w:rFonts w:hint="eastAsia"/>
          <w:snapToGrid/>
          <w:szCs w:val="24"/>
        </w:rPr>
        <w:t xml:space="preserve">  </w:t>
      </w:r>
      <w:r>
        <w:rPr>
          <w:rFonts w:hint="eastAsia"/>
          <w:snapToGrid/>
          <w:szCs w:val="24"/>
        </w:rPr>
        <w:t>进行。规定第</w:t>
      </w:r>
      <w:r>
        <w:rPr>
          <w:snapToGrid/>
          <w:szCs w:val="24"/>
        </w:rPr>
        <w:t>1</w:t>
      </w:r>
      <w:r>
        <w:rPr>
          <w:rFonts w:hint="eastAsia"/>
          <w:snapToGrid/>
          <w:szCs w:val="24"/>
        </w:rPr>
        <w:t>条指出，在对求职者进行再培训时</w:t>
      </w:r>
      <w:r>
        <w:rPr>
          <w:snapToGrid/>
          <w:szCs w:val="24"/>
        </w:rPr>
        <w:t>，</w:t>
      </w:r>
      <w:r>
        <w:rPr>
          <w:rFonts w:hint="eastAsia"/>
          <w:snapToGrid/>
          <w:szCs w:val="24"/>
        </w:rPr>
        <w:t>除现有资格外</w:t>
      </w:r>
      <w:r>
        <w:rPr>
          <w:snapToGrid/>
          <w:szCs w:val="24"/>
        </w:rPr>
        <w:t>，</w:t>
      </w:r>
      <w:r>
        <w:rPr>
          <w:rFonts w:hint="eastAsia"/>
          <w:snapToGrid/>
          <w:szCs w:val="24"/>
        </w:rPr>
        <w:t>还考虑申请者的个人素质、从事再培训后的新工作所需要的能力和健康状况。再培训时使用适当的理论和实践教学形式</w:t>
      </w:r>
      <w:r>
        <w:rPr>
          <w:snapToGrid/>
          <w:szCs w:val="24"/>
        </w:rPr>
        <w:t>，</w:t>
      </w:r>
      <w:r>
        <w:rPr>
          <w:rFonts w:hint="eastAsia"/>
          <w:snapToGrid/>
          <w:szCs w:val="24"/>
        </w:rPr>
        <w:t>特别是行业和研究领域的此类形式</w:t>
      </w:r>
      <w:r>
        <w:rPr>
          <w:snapToGrid/>
          <w:szCs w:val="24"/>
        </w:rPr>
        <w:t>，</w:t>
      </w:r>
      <w:r>
        <w:rPr>
          <w:rFonts w:hint="eastAsia"/>
          <w:snapToGrid/>
          <w:szCs w:val="24"/>
        </w:rPr>
        <w:t>还可以开设单个的专门课程以及短期的中学和中学后课程。</w:t>
      </w:r>
    </w:p>
    <w:p w:rsidR="00000000" w:rsidRDefault="00000000">
      <w:pPr>
        <w:rPr>
          <w:snapToGrid/>
          <w:szCs w:val="24"/>
        </w:rPr>
      </w:pPr>
      <w:r>
        <w:rPr>
          <w:rFonts w:hint="eastAsia"/>
          <w:snapToGrid/>
          <w:szCs w:val="24"/>
        </w:rPr>
        <w:tab/>
      </w:r>
      <w:r>
        <w:rPr>
          <w:snapToGrid/>
          <w:szCs w:val="24"/>
        </w:rPr>
        <w:t xml:space="preserve">206.  </w:t>
      </w:r>
      <w:r>
        <w:rPr>
          <w:rFonts w:hint="eastAsia"/>
          <w:snapToGrid/>
          <w:szCs w:val="24"/>
        </w:rPr>
        <w:t>当劳动力市场需求与供给不相适应时</w:t>
      </w:r>
      <w:r>
        <w:rPr>
          <w:snapToGrid/>
          <w:szCs w:val="24"/>
        </w:rPr>
        <w:t>，</w:t>
      </w:r>
      <w:r>
        <w:rPr>
          <w:rFonts w:hint="eastAsia"/>
          <w:snapToGrid/>
          <w:szCs w:val="24"/>
        </w:rPr>
        <w:t>劳动局应安排进行再培训</w:t>
      </w:r>
      <w:r>
        <w:rPr>
          <w:snapToGrid/>
          <w:szCs w:val="24"/>
        </w:rPr>
        <w:t>，</w:t>
      </w:r>
      <w:r>
        <w:rPr>
          <w:rFonts w:hint="eastAsia"/>
          <w:snapToGrid/>
          <w:szCs w:val="24"/>
        </w:rPr>
        <w:t>对劳动力再培训后</w:t>
      </w:r>
      <w:r>
        <w:rPr>
          <w:snapToGrid/>
          <w:szCs w:val="24"/>
        </w:rPr>
        <w:t>，</w:t>
      </w:r>
      <w:r>
        <w:rPr>
          <w:rFonts w:hint="eastAsia"/>
          <w:snapToGrid/>
          <w:szCs w:val="24"/>
        </w:rPr>
        <w:t>可以重新或另外安排他们从事适当工作。</w:t>
      </w:r>
    </w:p>
    <w:p w:rsidR="00000000" w:rsidRDefault="00000000">
      <w:pPr>
        <w:rPr>
          <w:snapToGrid/>
          <w:szCs w:val="24"/>
        </w:rPr>
      </w:pPr>
      <w:r>
        <w:rPr>
          <w:rFonts w:hint="eastAsia"/>
          <w:snapToGrid/>
          <w:szCs w:val="24"/>
        </w:rPr>
        <w:tab/>
      </w:r>
      <w:r>
        <w:rPr>
          <w:snapToGrid/>
          <w:szCs w:val="24"/>
        </w:rPr>
        <w:t xml:space="preserve">207.  </w:t>
      </w:r>
      <w:r>
        <w:rPr>
          <w:rFonts w:hint="eastAsia"/>
          <w:snapToGrid/>
          <w:szCs w:val="24"/>
        </w:rPr>
        <w:t>根据劳动和社会事务部的以上规定</w:t>
      </w:r>
      <w:r>
        <w:rPr>
          <w:snapToGrid/>
          <w:szCs w:val="24"/>
        </w:rPr>
        <w:t>，</w:t>
      </w:r>
      <w:r>
        <w:rPr>
          <w:rFonts w:hint="eastAsia"/>
          <w:snapToGrid/>
          <w:szCs w:val="24"/>
        </w:rPr>
        <w:t>对求职者的再培训由以下教育机构进行：专业学校、中等专业学校、中等普通学校、中等职业学校和国家设立的特别学校</w:t>
      </w:r>
      <w:r>
        <w:rPr>
          <w:snapToGrid/>
          <w:szCs w:val="24"/>
        </w:rPr>
        <w:t>，</w:t>
      </w:r>
      <w:r>
        <w:rPr>
          <w:rFonts w:hint="eastAsia"/>
          <w:snapToGrid/>
          <w:szCs w:val="24"/>
        </w:rPr>
        <w:t>以及雇主教育机构、私营机构和其他自然人和法人。一个机构是否具备再培训能力</w:t>
      </w:r>
      <w:r>
        <w:rPr>
          <w:snapToGrid/>
          <w:szCs w:val="24"/>
        </w:rPr>
        <w:t>，</w:t>
      </w:r>
      <w:r>
        <w:rPr>
          <w:rFonts w:hint="eastAsia"/>
          <w:snapToGrid/>
          <w:szCs w:val="24"/>
        </w:rPr>
        <w:t>由教育、青年和体育部核查和批准。教育机构根据与劳动局或雇主达成的协议提供再培训</w:t>
      </w:r>
      <w:r>
        <w:rPr>
          <w:snapToGrid/>
          <w:szCs w:val="24"/>
        </w:rPr>
        <w:t>，</w:t>
      </w:r>
      <w:r>
        <w:rPr>
          <w:rFonts w:hint="eastAsia"/>
          <w:snapToGrid/>
          <w:szCs w:val="24"/>
        </w:rPr>
        <w:t>按教育、青年和体育部批准的教材组织教学。</w:t>
      </w:r>
    </w:p>
    <w:p w:rsidR="00000000" w:rsidRDefault="00000000">
      <w:pPr>
        <w:rPr>
          <w:snapToGrid/>
          <w:szCs w:val="24"/>
        </w:rPr>
      </w:pPr>
      <w:r>
        <w:rPr>
          <w:rFonts w:hint="eastAsia"/>
          <w:snapToGrid/>
          <w:szCs w:val="24"/>
        </w:rPr>
        <w:tab/>
      </w:r>
      <w:r>
        <w:rPr>
          <w:snapToGrid/>
          <w:szCs w:val="24"/>
        </w:rPr>
        <w:t xml:space="preserve">208.  </w:t>
      </w:r>
      <w:r>
        <w:rPr>
          <w:rFonts w:hint="eastAsia"/>
          <w:snapToGrid/>
          <w:szCs w:val="24"/>
        </w:rPr>
        <w:t>劳动局与需要并表示有兴趣参加再就业培训的求职者签订书面协议。协议规定进行再培训的条件。</w:t>
      </w:r>
    </w:p>
    <w:p w:rsidR="00000000" w:rsidRDefault="00000000">
      <w:pPr>
        <w:rPr>
          <w:snapToGrid/>
          <w:szCs w:val="24"/>
        </w:rPr>
      </w:pPr>
      <w:r>
        <w:rPr>
          <w:rFonts w:hint="eastAsia"/>
          <w:snapToGrid/>
          <w:szCs w:val="24"/>
        </w:rPr>
        <w:tab/>
      </w:r>
      <w:r>
        <w:rPr>
          <w:snapToGrid/>
          <w:szCs w:val="24"/>
        </w:rPr>
        <w:t xml:space="preserve">209.  </w:t>
      </w:r>
      <w:r>
        <w:rPr>
          <w:rFonts w:hint="eastAsia"/>
          <w:snapToGrid/>
          <w:szCs w:val="24"/>
        </w:rPr>
        <w:t>根据以上规定的第</w:t>
      </w:r>
      <w:r>
        <w:rPr>
          <w:snapToGrid/>
          <w:szCs w:val="24"/>
        </w:rPr>
        <w:t>4</w:t>
      </w:r>
      <w:r>
        <w:rPr>
          <w:rFonts w:hint="eastAsia"/>
          <w:snapToGrid/>
          <w:szCs w:val="24"/>
        </w:rPr>
        <w:t>条，劳动局向接受再培训的求职者提供必要的安全用品和设备</w:t>
      </w:r>
      <w:r>
        <w:rPr>
          <w:snapToGrid/>
          <w:szCs w:val="24"/>
        </w:rPr>
        <w:t>，</w:t>
      </w:r>
      <w:r>
        <w:rPr>
          <w:rFonts w:hint="eastAsia"/>
          <w:snapToGrid/>
          <w:szCs w:val="24"/>
        </w:rPr>
        <w:t>还为他们报销学习用品费用</w:t>
      </w:r>
      <w:r>
        <w:rPr>
          <w:rFonts w:hint="eastAsia"/>
          <w:snapToGrid/>
          <w:szCs w:val="24"/>
        </w:rPr>
        <w:t>(</w:t>
      </w:r>
      <w:r>
        <w:rPr>
          <w:rFonts w:hint="eastAsia"/>
          <w:snapToGrid/>
          <w:szCs w:val="24"/>
        </w:rPr>
        <w:t>最多为</w:t>
      </w:r>
      <w:r>
        <w:rPr>
          <w:snapToGrid/>
          <w:szCs w:val="24"/>
        </w:rPr>
        <w:t>l000</w:t>
      </w:r>
      <w:r>
        <w:rPr>
          <w:rFonts w:hint="eastAsia"/>
          <w:snapToGrid/>
          <w:szCs w:val="24"/>
        </w:rPr>
        <w:t>捷克克朗</w:t>
      </w:r>
      <w:r>
        <w:rPr>
          <w:rFonts w:hint="eastAsia"/>
          <w:snapToGrid/>
          <w:szCs w:val="24"/>
        </w:rPr>
        <w:t>)</w:t>
      </w:r>
      <w:r>
        <w:rPr>
          <w:rFonts w:hint="eastAsia"/>
          <w:snapToGrid/>
          <w:szCs w:val="24"/>
        </w:rPr>
        <w:t>、旅费和人身伤害保险费用。</w:t>
      </w:r>
    </w:p>
    <w:p w:rsidR="00000000" w:rsidRDefault="00000000">
      <w:pPr>
        <w:rPr>
          <w:snapToGrid/>
          <w:szCs w:val="24"/>
        </w:rPr>
      </w:pPr>
      <w:r>
        <w:rPr>
          <w:rFonts w:hint="eastAsia"/>
          <w:snapToGrid/>
          <w:szCs w:val="24"/>
        </w:rPr>
        <w:tab/>
      </w:r>
      <w:r>
        <w:rPr>
          <w:snapToGrid/>
          <w:szCs w:val="24"/>
        </w:rPr>
        <w:t xml:space="preserve">210.  </w:t>
      </w:r>
      <w:r>
        <w:rPr>
          <w:rFonts w:hint="eastAsia"/>
          <w:snapToGrid/>
          <w:szCs w:val="24"/>
        </w:rPr>
        <w:t>捷克共和国的法规不含有基于种族、性别、国籍、社会籍贯等的例外或限制</w:t>
      </w:r>
      <w:r>
        <w:rPr>
          <w:snapToGrid/>
          <w:szCs w:val="24"/>
        </w:rPr>
        <w:t>，</w:t>
      </w:r>
      <w:r>
        <w:rPr>
          <w:rFonts w:hint="eastAsia"/>
          <w:snapToGrid/>
          <w:szCs w:val="24"/>
        </w:rPr>
        <w:t>这些例外或限制可能损害或削弱承认人们在就业和就业准备上享受或行使平等机会、选择和待遇的权利。</w:t>
      </w:r>
    </w:p>
    <w:p w:rsidR="00000000" w:rsidRDefault="00000000">
      <w:pPr>
        <w:rPr>
          <w:rFonts w:hint="eastAsia"/>
          <w:snapToGrid/>
          <w:szCs w:val="24"/>
        </w:rPr>
      </w:pPr>
      <w:r>
        <w:rPr>
          <w:rFonts w:hint="eastAsia"/>
          <w:snapToGrid/>
          <w:szCs w:val="24"/>
        </w:rPr>
        <w:tab/>
      </w:r>
      <w:r>
        <w:rPr>
          <w:snapToGrid/>
          <w:szCs w:val="24"/>
        </w:rPr>
        <w:t xml:space="preserve">211.  </w:t>
      </w:r>
      <w:r>
        <w:rPr>
          <w:rFonts w:hint="eastAsia"/>
          <w:snapToGrid/>
          <w:szCs w:val="24"/>
        </w:rPr>
        <w:t>《就业法》第</w:t>
      </w:r>
      <w:r>
        <w:rPr>
          <w:snapToGrid/>
          <w:szCs w:val="24"/>
        </w:rPr>
        <w:t>12</w:t>
      </w:r>
      <w:r>
        <w:rPr>
          <w:rFonts w:hint="eastAsia"/>
          <w:snapToGrid/>
          <w:szCs w:val="24"/>
        </w:rPr>
        <w:t>至第</w:t>
      </w:r>
      <w:r>
        <w:rPr>
          <w:snapToGrid/>
          <w:szCs w:val="24"/>
        </w:rPr>
        <w:t>18</w:t>
      </w:r>
      <w:r>
        <w:rPr>
          <w:rFonts w:hint="eastAsia"/>
          <w:snapToGrid/>
          <w:szCs w:val="24"/>
        </w:rPr>
        <w:t>条规定了就业前和失业后享受生活保障金的方法和条件。求职者提出就业申请前三年至少工作满</w:t>
      </w:r>
      <w:r>
        <w:rPr>
          <w:snapToGrid/>
          <w:szCs w:val="24"/>
        </w:rPr>
        <w:t>12</w:t>
      </w:r>
      <w:r>
        <w:rPr>
          <w:rFonts w:hint="eastAsia"/>
          <w:snapToGrid/>
          <w:szCs w:val="24"/>
        </w:rPr>
        <w:t>个月的，均可领取生活保障金。根据《就业法》第</w:t>
      </w:r>
      <w:r>
        <w:rPr>
          <w:snapToGrid/>
          <w:szCs w:val="24"/>
        </w:rPr>
        <w:t>13</w:t>
      </w:r>
      <w:r>
        <w:rPr>
          <w:rFonts w:hint="eastAsia"/>
          <w:snapToGrid/>
          <w:szCs w:val="24"/>
        </w:rPr>
        <w:t>条第</w:t>
      </w:r>
      <w:r>
        <w:rPr>
          <w:snapToGrid/>
          <w:szCs w:val="24"/>
        </w:rPr>
        <w:t>2</w:t>
      </w:r>
      <w:r>
        <w:rPr>
          <w:rFonts w:hint="eastAsia"/>
          <w:snapToGrid/>
          <w:szCs w:val="24"/>
        </w:rPr>
        <w:t>款</w:t>
      </w:r>
      <w:r>
        <w:rPr>
          <w:snapToGrid/>
          <w:szCs w:val="24"/>
        </w:rPr>
        <w:t>，</w:t>
      </w:r>
      <w:r>
        <w:rPr>
          <w:rFonts w:hint="eastAsia"/>
          <w:snapToGrid/>
          <w:szCs w:val="24"/>
        </w:rPr>
        <w:t>以下可算作就业时间</w:t>
      </w:r>
      <w:r>
        <w:rPr>
          <w:snapToGrid/>
          <w:szCs w:val="24"/>
        </w:rPr>
        <w:t>：</w:t>
      </w:r>
      <w:r>
        <w:rPr>
          <w:rFonts w:hint="eastAsia"/>
          <w:snapToGrid/>
          <w:szCs w:val="24"/>
        </w:rPr>
        <w:t>在校时间</w:t>
      </w:r>
      <w:r>
        <w:rPr>
          <w:snapToGrid/>
          <w:szCs w:val="24"/>
        </w:rPr>
        <w:t>(</w:t>
      </w:r>
      <w:r>
        <w:rPr>
          <w:rFonts w:hint="eastAsia"/>
          <w:snapToGrid/>
          <w:szCs w:val="24"/>
        </w:rPr>
        <w:t>职业或就业准备</w:t>
      </w:r>
      <w:r>
        <w:rPr>
          <w:rFonts w:hint="eastAsia"/>
          <w:snapToGrid/>
          <w:szCs w:val="24"/>
        </w:rPr>
        <w:t>)</w:t>
      </w:r>
      <w:r>
        <w:rPr>
          <w:snapToGrid/>
          <w:szCs w:val="24"/>
        </w:rPr>
        <w:t>；</w:t>
      </w:r>
      <w:r>
        <w:rPr>
          <w:rFonts w:hint="eastAsia"/>
          <w:snapToGrid/>
          <w:szCs w:val="24"/>
        </w:rPr>
        <w:t>服基本兵役或民役的时间</w:t>
      </w:r>
      <w:r>
        <w:rPr>
          <w:snapToGrid/>
          <w:szCs w:val="24"/>
        </w:rPr>
        <w:t>；</w:t>
      </w:r>
      <w:r>
        <w:rPr>
          <w:rFonts w:hint="eastAsia"/>
          <w:snapToGrid/>
          <w:szCs w:val="24"/>
        </w:rPr>
        <w:t>亲自照顾不足</w:t>
      </w:r>
      <w:r>
        <w:rPr>
          <w:snapToGrid/>
          <w:szCs w:val="24"/>
        </w:rPr>
        <w:t>3</w:t>
      </w:r>
      <w:r>
        <w:rPr>
          <w:rFonts w:hint="eastAsia"/>
          <w:snapToGrid/>
          <w:szCs w:val="24"/>
        </w:rPr>
        <w:t>岁儿童或照顾需要特殊关怀的不足</w:t>
      </w:r>
      <w:r>
        <w:rPr>
          <w:snapToGrid/>
          <w:szCs w:val="24"/>
        </w:rPr>
        <w:t>18</w:t>
      </w:r>
      <w:r>
        <w:rPr>
          <w:rFonts w:hint="eastAsia"/>
          <w:snapToGrid/>
          <w:szCs w:val="24"/>
        </w:rPr>
        <w:t>岁严重残疾儿童的时间</w:t>
      </w:r>
      <w:r>
        <w:rPr>
          <w:snapToGrid/>
          <w:szCs w:val="24"/>
        </w:rPr>
        <w:t>；</w:t>
      </w:r>
      <w:r>
        <w:rPr>
          <w:rFonts w:hint="eastAsia"/>
          <w:snapToGrid/>
          <w:szCs w:val="24"/>
        </w:rPr>
        <w:t>亲自照顾大部分或完全失去能力的亲属的时间；以及领取全额残疾津贴的时间。</w:t>
      </w:r>
    </w:p>
    <w:p w:rsidR="00000000" w:rsidRDefault="00000000">
      <w:pPr>
        <w:rPr>
          <w:snapToGrid/>
          <w:szCs w:val="24"/>
        </w:rPr>
      </w:pPr>
      <w:r>
        <w:rPr>
          <w:rFonts w:hint="eastAsia"/>
          <w:snapToGrid/>
          <w:szCs w:val="24"/>
        </w:rPr>
        <w:tab/>
      </w:r>
      <w:r>
        <w:rPr>
          <w:snapToGrid/>
          <w:szCs w:val="24"/>
        </w:rPr>
        <w:t xml:space="preserve">212.  </w:t>
      </w:r>
      <w:r>
        <w:rPr>
          <w:rFonts w:hint="eastAsia"/>
          <w:snapToGrid/>
          <w:szCs w:val="24"/>
        </w:rPr>
        <w:t>如果无法安置一雇员到公司的其他部门就业</w:t>
      </w:r>
      <w:r>
        <w:rPr>
          <w:snapToGrid/>
          <w:szCs w:val="24"/>
        </w:rPr>
        <w:t>，</w:t>
      </w:r>
      <w:r>
        <w:rPr>
          <w:rFonts w:hint="eastAsia"/>
          <w:snapToGrid/>
          <w:szCs w:val="24"/>
        </w:rPr>
        <w:t>雇主应该与劳动局合作</w:t>
      </w:r>
      <w:r>
        <w:rPr>
          <w:snapToGrid/>
          <w:szCs w:val="24"/>
        </w:rPr>
        <w:t>，</w:t>
      </w:r>
      <w:r>
        <w:rPr>
          <w:rFonts w:hint="eastAsia"/>
          <w:snapToGrid/>
          <w:szCs w:val="24"/>
        </w:rPr>
        <w:t>帮助该雇员寻找新的适合工作。如果该雇员在前雇主和劳动局的帮助下仍然找不到适合的工作</w:t>
      </w:r>
      <w:r>
        <w:rPr>
          <w:snapToGrid/>
          <w:szCs w:val="24"/>
        </w:rPr>
        <w:t>，</w:t>
      </w:r>
      <w:r>
        <w:rPr>
          <w:rFonts w:hint="eastAsia"/>
          <w:snapToGrid/>
          <w:szCs w:val="24"/>
        </w:rPr>
        <w:t>根据《就业法》第</w:t>
      </w:r>
      <w:r>
        <w:rPr>
          <w:snapToGrid/>
          <w:szCs w:val="24"/>
        </w:rPr>
        <w:t>17</w:t>
      </w:r>
      <w:r>
        <w:rPr>
          <w:rFonts w:hint="eastAsia"/>
          <w:snapToGrid/>
          <w:szCs w:val="24"/>
        </w:rPr>
        <w:t>条</w:t>
      </w:r>
      <w:r>
        <w:rPr>
          <w:snapToGrid/>
          <w:szCs w:val="24"/>
        </w:rPr>
        <w:t>，</w:t>
      </w:r>
      <w:r>
        <w:rPr>
          <w:rFonts w:hint="eastAsia"/>
          <w:snapToGrid/>
          <w:szCs w:val="24"/>
        </w:rPr>
        <w:t>有权在头三个月领取相当于以前收入</w:t>
      </w:r>
      <w:r>
        <w:rPr>
          <w:snapToGrid/>
          <w:szCs w:val="24"/>
        </w:rPr>
        <w:t>50%</w:t>
      </w:r>
      <w:r>
        <w:rPr>
          <w:rFonts w:hint="eastAsia"/>
          <w:snapToGrid/>
          <w:szCs w:val="24"/>
        </w:rPr>
        <w:t>的失业生活保障津贴</w:t>
      </w:r>
      <w:r>
        <w:rPr>
          <w:snapToGrid/>
          <w:szCs w:val="24"/>
        </w:rPr>
        <w:t>，</w:t>
      </w:r>
      <w:r>
        <w:rPr>
          <w:rFonts w:hint="eastAsia"/>
          <w:snapToGrid/>
          <w:szCs w:val="24"/>
        </w:rPr>
        <w:t>此后三个月领取相当以前收入</w:t>
      </w:r>
      <w:r>
        <w:rPr>
          <w:snapToGrid/>
          <w:szCs w:val="24"/>
        </w:rPr>
        <w:t>40%</w:t>
      </w:r>
      <w:r>
        <w:rPr>
          <w:rFonts w:hint="eastAsia"/>
          <w:snapToGrid/>
          <w:szCs w:val="24"/>
        </w:rPr>
        <w:t>的此种津贴。接受再培训的求职者在再培训期间</w:t>
      </w:r>
      <w:r>
        <w:rPr>
          <w:snapToGrid/>
          <w:szCs w:val="24"/>
        </w:rPr>
        <w:t>，</w:t>
      </w:r>
      <w:r>
        <w:rPr>
          <w:rFonts w:hint="eastAsia"/>
          <w:snapToGrid/>
          <w:szCs w:val="24"/>
        </w:rPr>
        <w:t>领取相当于其最后一份工作的平均净月收入</w:t>
      </w:r>
      <w:r>
        <w:rPr>
          <w:snapToGrid/>
          <w:szCs w:val="24"/>
        </w:rPr>
        <w:t>60%</w:t>
      </w:r>
      <w:r>
        <w:rPr>
          <w:rFonts w:hint="eastAsia"/>
          <w:snapToGrid/>
          <w:szCs w:val="24"/>
        </w:rPr>
        <w:t>的生活保障津贴。即使在培训之后仍找不到</w:t>
      </w:r>
      <w:r>
        <w:rPr>
          <w:snapToGrid/>
          <w:szCs w:val="24"/>
        </w:rPr>
        <w:t>“</w:t>
      </w:r>
      <w:r>
        <w:rPr>
          <w:rFonts w:hint="eastAsia"/>
          <w:snapToGrid/>
          <w:szCs w:val="24"/>
        </w:rPr>
        <w:t>适合的工作</w:t>
      </w:r>
      <w:r>
        <w:rPr>
          <w:snapToGrid/>
          <w:szCs w:val="24"/>
        </w:rPr>
        <w:t>”</w:t>
      </w:r>
      <w:r>
        <w:rPr>
          <w:snapToGrid/>
          <w:szCs w:val="24"/>
        </w:rPr>
        <w:t>，</w:t>
      </w:r>
      <w:r>
        <w:rPr>
          <w:rFonts w:hint="eastAsia"/>
          <w:snapToGrid/>
          <w:szCs w:val="24"/>
        </w:rPr>
        <w:t>劳动局继续将他列为求职者</w:t>
      </w:r>
      <w:r>
        <w:rPr>
          <w:snapToGrid/>
          <w:szCs w:val="24"/>
        </w:rPr>
        <w:t>，</w:t>
      </w:r>
      <w:r>
        <w:rPr>
          <w:rFonts w:hint="eastAsia"/>
          <w:snapToGrid/>
          <w:szCs w:val="24"/>
        </w:rPr>
        <w:t>向他提供工作机会</w:t>
      </w:r>
      <w:r>
        <w:rPr>
          <w:snapToGrid/>
          <w:szCs w:val="24"/>
        </w:rPr>
        <w:t>，</w:t>
      </w:r>
      <w:r>
        <w:rPr>
          <w:rFonts w:hint="eastAsia"/>
          <w:snapToGrid/>
          <w:szCs w:val="24"/>
        </w:rPr>
        <w:t>但则转由社会保障制度保障他的物质生活</w:t>
      </w:r>
      <w:r>
        <w:rPr>
          <w:snapToGrid/>
          <w:szCs w:val="24"/>
        </w:rPr>
        <w:t>，</w:t>
      </w:r>
      <w:r>
        <w:rPr>
          <w:rFonts w:hint="eastAsia"/>
          <w:snapToGrid/>
          <w:szCs w:val="24"/>
        </w:rPr>
        <w:t>直至在劳动力市场中找到一份职位。</w:t>
      </w:r>
    </w:p>
    <w:p w:rsidR="00000000" w:rsidRDefault="00000000">
      <w:pPr>
        <w:rPr>
          <w:snapToGrid/>
        </w:rPr>
      </w:pPr>
      <w:r>
        <w:rPr>
          <w:rFonts w:hint="eastAsia"/>
          <w:snapToGrid/>
        </w:rPr>
        <w:tab/>
      </w:r>
      <w:r>
        <w:rPr>
          <w:snapToGrid/>
        </w:rPr>
        <w:t xml:space="preserve">213.  </w:t>
      </w:r>
      <w:r>
        <w:rPr>
          <w:rFonts w:hint="eastAsia"/>
          <w:snapToGrid/>
          <w:spacing w:val="8"/>
        </w:rPr>
        <w:t>国家就业政策包含管理外国劳动力就业的内容。外国人在捷克共和国就业的条件在《就业法》中有所规定。根据该规定，外国人或无公民资格的人在捷克共和国就业</w:t>
      </w:r>
      <w:r>
        <w:rPr>
          <w:snapToGrid/>
          <w:spacing w:val="8"/>
        </w:rPr>
        <w:t>，</w:t>
      </w:r>
      <w:r>
        <w:rPr>
          <w:rFonts w:hint="eastAsia"/>
          <w:snapToGrid/>
          <w:spacing w:val="8"/>
        </w:rPr>
        <w:t>必须从劳动局获得就业许可</w:t>
      </w:r>
      <w:r>
        <w:rPr>
          <w:snapToGrid/>
          <w:spacing w:val="8"/>
        </w:rPr>
        <w:t>(</w:t>
      </w:r>
      <w:r>
        <w:rPr>
          <w:rFonts w:hint="eastAsia"/>
          <w:snapToGrid/>
          <w:spacing w:val="8"/>
        </w:rPr>
        <w:t>根据《就业法》和《捷克共和国就业部门机构管辖权法》</w:t>
      </w:r>
      <w:r>
        <w:rPr>
          <w:rFonts w:hint="eastAsia"/>
          <w:snapToGrid/>
          <w:spacing w:val="8"/>
        </w:rPr>
        <w:t>)</w:t>
      </w:r>
      <w:r>
        <w:rPr>
          <w:rFonts w:hint="eastAsia"/>
          <w:snapToGrid/>
          <w:spacing w:val="8"/>
        </w:rPr>
        <w:t>和从内政部获得居住许可</w:t>
      </w:r>
      <w:r>
        <w:rPr>
          <w:snapToGrid/>
          <w:spacing w:val="8"/>
        </w:rPr>
        <w:t>(</w:t>
      </w:r>
      <w:r>
        <w:rPr>
          <w:rFonts w:hint="eastAsia"/>
          <w:snapToGrid/>
          <w:spacing w:val="8"/>
        </w:rPr>
        <w:t>根据《捷克共和国外国人居住法》</w:t>
      </w:r>
      <w:r>
        <w:rPr>
          <w:rStyle w:val="EndnoteReference"/>
          <w:snapToGrid/>
        </w:rPr>
        <w:endnoteReference w:id="126"/>
      </w:r>
      <w:r>
        <w:rPr>
          <w:rFonts w:hint="eastAsia"/>
          <w:snapToGrid/>
          <w:spacing w:val="8"/>
        </w:rPr>
        <w:t>。即使外国人被派往从事与国内法律实体或自然人缔结的商业或其他协议所注明的工作</w:t>
      </w:r>
      <w:r>
        <w:rPr>
          <w:snapToGrid/>
          <w:spacing w:val="8"/>
        </w:rPr>
        <w:t>，</w:t>
      </w:r>
      <w:r>
        <w:rPr>
          <w:rFonts w:hint="eastAsia"/>
          <w:snapToGrid/>
          <w:spacing w:val="8"/>
        </w:rPr>
        <w:t>在</w:t>
      </w:r>
      <w:r>
        <w:rPr>
          <w:rFonts w:hint="eastAsia"/>
          <w:snapToGrid/>
        </w:rPr>
        <w:t>捷克共和国与外国雇主建立雇用关系</w:t>
      </w:r>
      <w:r>
        <w:rPr>
          <w:snapToGrid/>
        </w:rPr>
        <w:t>，</w:t>
      </w:r>
      <w:r>
        <w:rPr>
          <w:rFonts w:hint="eastAsia"/>
          <w:snapToGrid/>
        </w:rPr>
        <w:t>也需要就业许可。</w:t>
      </w:r>
    </w:p>
    <w:p w:rsidR="00000000" w:rsidRDefault="00000000">
      <w:pPr>
        <w:rPr>
          <w:snapToGrid/>
          <w:szCs w:val="24"/>
        </w:rPr>
      </w:pPr>
      <w:r>
        <w:rPr>
          <w:rFonts w:hint="eastAsia"/>
          <w:snapToGrid/>
          <w:szCs w:val="24"/>
        </w:rPr>
        <w:tab/>
      </w:r>
      <w:r>
        <w:rPr>
          <w:snapToGrid/>
          <w:szCs w:val="24"/>
        </w:rPr>
        <w:t xml:space="preserve">214.  </w:t>
      </w:r>
      <w:r>
        <w:rPr>
          <w:rFonts w:hint="eastAsia"/>
          <w:snapToGrid/>
          <w:szCs w:val="24"/>
        </w:rPr>
        <w:t>如果由于资格要求或暂时缺少这类劳动力而无法填补已有工作位置</w:t>
      </w:r>
      <w:r>
        <w:rPr>
          <w:snapToGrid/>
          <w:szCs w:val="24"/>
        </w:rPr>
        <w:t>，</w:t>
      </w:r>
      <w:r>
        <w:rPr>
          <w:rFonts w:hint="eastAsia"/>
          <w:snapToGrid/>
          <w:szCs w:val="24"/>
        </w:rPr>
        <w:t>劳动局可以根据《就业法》第</w:t>
      </w:r>
      <w:r>
        <w:rPr>
          <w:snapToGrid/>
          <w:szCs w:val="24"/>
        </w:rPr>
        <w:t>19</w:t>
      </w:r>
      <w:r>
        <w:rPr>
          <w:rFonts w:hint="eastAsia"/>
          <w:snapToGrid/>
          <w:szCs w:val="24"/>
        </w:rPr>
        <w:t>条发出雇用外国人的许可。</w:t>
      </w:r>
    </w:p>
    <w:p w:rsidR="00000000" w:rsidRDefault="00000000">
      <w:pPr>
        <w:rPr>
          <w:snapToGrid/>
          <w:szCs w:val="24"/>
        </w:rPr>
      </w:pPr>
      <w:r>
        <w:rPr>
          <w:rFonts w:hint="eastAsia"/>
          <w:snapToGrid/>
          <w:szCs w:val="24"/>
        </w:rPr>
        <w:tab/>
      </w:r>
      <w:r>
        <w:rPr>
          <w:snapToGrid/>
          <w:szCs w:val="24"/>
        </w:rPr>
        <w:t xml:space="preserve">215.  </w:t>
      </w:r>
      <w:r>
        <w:rPr>
          <w:rFonts w:hint="eastAsia"/>
          <w:snapToGrid/>
          <w:szCs w:val="24"/>
        </w:rPr>
        <w:t>于</w:t>
      </w:r>
      <w:r>
        <w:rPr>
          <w:snapToGrid/>
          <w:szCs w:val="24"/>
        </w:rPr>
        <w:t>1999</w:t>
      </w:r>
      <w:r>
        <w:rPr>
          <w:rFonts w:hint="eastAsia"/>
          <w:snapToGrid/>
          <w:szCs w:val="24"/>
        </w:rPr>
        <w:t>年</w:t>
      </w:r>
      <w:r>
        <w:rPr>
          <w:snapToGrid/>
          <w:szCs w:val="24"/>
        </w:rPr>
        <w:t>10</w:t>
      </w:r>
      <w:r>
        <w:rPr>
          <w:rFonts w:hint="eastAsia"/>
          <w:snapToGrid/>
          <w:szCs w:val="24"/>
        </w:rPr>
        <w:t>月</w:t>
      </w:r>
      <w:r>
        <w:rPr>
          <w:snapToGrid/>
          <w:szCs w:val="24"/>
        </w:rPr>
        <w:t>1</w:t>
      </w:r>
      <w:r>
        <w:rPr>
          <w:rFonts w:hint="eastAsia"/>
          <w:snapToGrid/>
          <w:szCs w:val="24"/>
        </w:rPr>
        <w:t>日生效的《就业法》修正案</w:t>
      </w:r>
      <w:r>
        <w:rPr>
          <w:rStyle w:val="EndnoteReference"/>
          <w:snapToGrid/>
        </w:rPr>
        <w:endnoteReference w:id="127"/>
      </w:r>
      <w:r>
        <w:rPr>
          <w:rFonts w:hint="eastAsia"/>
          <w:snapToGrid/>
          <w:szCs w:val="24"/>
        </w:rPr>
        <w:t xml:space="preserve"> </w:t>
      </w:r>
      <w:r>
        <w:rPr>
          <w:rFonts w:hint="eastAsia"/>
          <w:snapToGrid/>
          <w:szCs w:val="24"/>
        </w:rPr>
        <w:t>，使雇用外国人的条件更加准确</w:t>
      </w:r>
      <w:r>
        <w:rPr>
          <w:snapToGrid/>
          <w:szCs w:val="24"/>
        </w:rPr>
        <w:t>，</w:t>
      </w:r>
      <w:r>
        <w:rPr>
          <w:rFonts w:hint="eastAsia"/>
          <w:snapToGrid/>
          <w:szCs w:val="24"/>
        </w:rPr>
        <w:t>更加严格。一个重要的变化是</w:t>
      </w:r>
      <w:r>
        <w:rPr>
          <w:snapToGrid/>
          <w:szCs w:val="24"/>
        </w:rPr>
        <w:t>，</w:t>
      </w:r>
      <w:r>
        <w:rPr>
          <w:rFonts w:hint="eastAsia"/>
          <w:snapToGrid/>
          <w:szCs w:val="24"/>
        </w:rPr>
        <w:t>发给工作许可的时间限定为一年</w:t>
      </w:r>
      <w:r>
        <w:rPr>
          <w:snapToGrid/>
          <w:szCs w:val="24"/>
        </w:rPr>
        <w:t>，</w:t>
      </w:r>
      <w:r>
        <w:rPr>
          <w:rFonts w:hint="eastAsia"/>
          <w:snapToGrid/>
          <w:szCs w:val="24"/>
        </w:rPr>
        <w:t>但可以再次发给。外国人在捷克共和国就业三年后</w:t>
      </w:r>
      <w:r>
        <w:rPr>
          <w:snapToGrid/>
          <w:szCs w:val="24"/>
        </w:rPr>
        <w:t>，</w:t>
      </w:r>
      <w:r>
        <w:rPr>
          <w:rFonts w:hint="eastAsia"/>
          <w:snapToGrid/>
          <w:szCs w:val="24"/>
        </w:rPr>
        <w:t>须过</w:t>
      </w:r>
      <w:r>
        <w:rPr>
          <w:snapToGrid/>
          <w:szCs w:val="24"/>
        </w:rPr>
        <w:t>12</w:t>
      </w:r>
      <w:r>
        <w:rPr>
          <w:rFonts w:hint="eastAsia"/>
          <w:snapToGrid/>
          <w:szCs w:val="24"/>
        </w:rPr>
        <w:t>个月才发给新的许可</w:t>
      </w:r>
      <w:r>
        <w:rPr>
          <w:snapToGrid/>
          <w:szCs w:val="24"/>
        </w:rPr>
        <w:t>，</w:t>
      </w:r>
      <w:r>
        <w:rPr>
          <w:rFonts w:hint="eastAsia"/>
          <w:snapToGrid/>
          <w:szCs w:val="24"/>
        </w:rPr>
        <w:t>除非捷克共和国加入的国际条约另行规定。这一限制不适用于在边境地区就业、至少每周回家一次的外国人</w:t>
      </w:r>
      <w:r>
        <w:rPr>
          <w:snapToGrid/>
          <w:szCs w:val="24"/>
        </w:rPr>
        <w:t>，</w:t>
      </w:r>
      <w:r>
        <w:rPr>
          <w:rFonts w:hint="eastAsia"/>
          <w:snapToGrid/>
          <w:szCs w:val="24"/>
        </w:rPr>
        <w:t>也不适用于一年中工作不超过六个月或两份工作之间相隔至少六个月的季节工</w:t>
      </w:r>
      <w:r>
        <w:rPr>
          <w:snapToGrid/>
          <w:szCs w:val="24"/>
        </w:rPr>
        <w:t>，</w:t>
      </w:r>
      <w:r>
        <w:rPr>
          <w:rFonts w:hint="eastAsia"/>
          <w:snapToGrid/>
          <w:szCs w:val="24"/>
        </w:rPr>
        <w:t>亦不适用于在捷克共和国担任教师、连续从事教育活动的外国人。</w:t>
      </w:r>
    </w:p>
    <w:p w:rsidR="00000000" w:rsidRDefault="00000000">
      <w:pPr>
        <w:rPr>
          <w:snapToGrid/>
          <w:szCs w:val="24"/>
        </w:rPr>
      </w:pPr>
      <w:r>
        <w:rPr>
          <w:rFonts w:hint="eastAsia"/>
          <w:snapToGrid/>
          <w:szCs w:val="24"/>
        </w:rPr>
        <w:tab/>
      </w:r>
      <w:r>
        <w:rPr>
          <w:snapToGrid/>
          <w:szCs w:val="24"/>
        </w:rPr>
        <w:t xml:space="preserve">216.  </w:t>
      </w:r>
      <w:r>
        <w:rPr>
          <w:rFonts w:hint="eastAsia"/>
          <w:snapToGrid/>
          <w:szCs w:val="24"/>
        </w:rPr>
        <w:t>有时</w:t>
      </w:r>
      <w:r>
        <w:rPr>
          <w:snapToGrid/>
          <w:szCs w:val="24"/>
        </w:rPr>
        <w:t>，</w:t>
      </w:r>
      <w:r>
        <w:rPr>
          <w:rFonts w:hint="eastAsia"/>
          <w:snapToGrid/>
          <w:szCs w:val="24"/>
        </w:rPr>
        <w:t>雇主甚至可以雇用没有工作许可的外国人。他们主要是获得永久居留权的外国人或无公民资格者、被准予难民地位的外国人或申请难民地位或请求庇护的外国人。</w:t>
      </w:r>
      <w:r>
        <w:rPr>
          <w:rStyle w:val="EndnoteReference"/>
          <w:snapToGrid/>
        </w:rPr>
        <w:endnoteReference w:id="128"/>
      </w:r>
      <w:r>
        <w:rPr>
          <w:rFonts w:hint="eastAsia"/>
          <w:snapToGrid/>
          <w:szCs w:val="24"/>
        </w:rPr>
        <w:t xml:space="preserve">  </w:t>
      </w:r>
      <w:r>
        <w:rPr>
          <w:rFonts w:hint="eastAsia"/>
          <w:snapToGrid/>
          <w:szCs w:val="24"/>
        </w:rPr>
        <w:t>如果以政府名义缔结的国际条约载有互惠规定</w:t>
      </w:r>
      <w:r>
        <w:rPr>
          <w:snapToGrid/>
          <w:szCs w:val="24"/>
        </w:rPr>
        <w:t>，</w:t>
      </w:r>
      <w:r>
        <w:rPr>
          <w:rFonts w:hint="eastAsia"/>
          <w:snapToGrid/>
          <w:szCs w:val="24"/>
        </w:rPr>
        <w:t>那么外交使团和领事部人员的家属、国际政府间组织驻捷克办事处雇员的家属就业也不需要许可证。</w:t>
      </w:r>
    </w:p>
    <w:p w:rsidR="00000000" w:rsidRDefault="00000000">
      <w:pPr>
        <w:rPr>
          <w:rFonts w:hint="eastAsia"/>
          <w:snapToGrid/>
          <w:szCs w:val="24"/>
        </w:rPr>
      </w:pPr>
      <w:r>
        <w:rPr>
          <w:rFonts w:hint="eastAsia"/>
          <w:snapToGrid/>
          <w:szCs w:val="24"/>
        </w:rPr>
        <w:tab/>
      </w:r>
      <w:r>
        <w:rPr>
          <w:snapToGrid/>
          <w:szCs w:val="24"/>
        </w:rPr>
        <w:t xml:space="preserve">217.  </w:t>
      </w:r>
      <w:r>
        <w:rPr>
          <w:rFonts w:hint="eastAsia"/>
          <w:snapToGrid/>
          <w:szCs w:val="24"/>
        </w:rPr>
        <w:t>捷克斯洛伐克联邦</w:t>
      </w:r>
      <w:r>
        <w:rPr>
          <w:snapToGrid/>
          <w:szCs w:val="24"/>
        </w:rPr>
        <w:t>1993</w:t>
      </w:r>
      <w:r>
        <w:rPr>
          <w:rFonts w:hint="eastAsia"/>
          <w:snapToGrid/>
          <w:szCs w:val="24"/>
        </w:rPr>
        <w:t>年分离后</w:t>
      </w:r>
      <w:r>
        <w:rPr>
          <w:snapToGrid/>
          <w:szCs w:val="24"/>
        </w:rPr>
        <w:t>，</w:t>
      </w:r>
      <w:r>
        <w:rPr>
          <w:rFonts w:hint="eastAsia"/>
          <w:snapToGrid/>
          <w:szCs w:val="24"/>
        </w:rPr>
        <w:t>继承国</w:t>
      </w:r>
      <w:r>
        <w:rPr>
          <w:rFonts w:hint="eastAsia"/>
          <w:snapToGrid/>
          <w:spacing w:val="-40"/>
          <w:sz w:val="22"/>
          <w:szCs w:val="24"/>
        </w:rPr>
        <w:t>——</w:t>
      </w:r>
      <w:r>
        <w:rPr>
          <w:snapToGrid/>
          <w:sz w:val="22"/>
          <w:szCs w:val="24"/>
        </w:rPr>
        <w:t xml:space="preserve"> </w:t>
      </w:r>
      <w:r>
        <w:rPr>
          <w:rFonts w:hint="eastAsia"/>
          <w:snapToGrid/>
          <w:szCs w:val="24"/>
        </w:rPr>
        <w:t>捷克共和国和斯洛伐克共和国缔结了关于公民就业的互惠条约。</w:t>
      </w:r>
      <w:r>
        <w:rPr>
          <w:rStyle w:val="EndnoteReference"/>
          <w:snapToGrid/>
        </w:rPr>
        <w:endnoteReference w:id="129"/>
      </w:r>
      <w:r>
        <w:rPr>
          <w:snapToGrid/>
          <w:szCs w:val="24"/>
        </w:rPr>
        <w:t xml:space="preserve">  </w:t>
      </w:r>
      <w:r>
        <w:rPr>
          <w:rFonts w:hint="eastAsia"/>
          <w:snapToGrid/>
          <w:szCs w:val="24"/>
        </w:rPr>
        <w:t>条约保证劳动力在两国间自由流动的原则。雇主只须在有关劳动局登记即可。</w:t>
      </w:r>
    </w:p>
    <w:p w:rsidR="00000000" w:rsidRDefault="00000000">
      <w:pPr>
        <w:rPr>
          <w:snapToGrid/>
          <w:szCs w:val="24"/>
        </w:rPr>
      </w:pPr>
      <w:r>
        <w:rPr>
          <w:rFonts w:hint="eastAsia"/>
          <w:snapToGrid/>
          <w:szCs w:val="24"/>
        </w:rPr>
        <w:tab/>
      </w:r>
      <w:r>
        <w:rPr>
          <w:snapToGrid/>
          <w:szCs w:val="24"/>
        </w:rPr>
        <w:t xml:space="preserve">218.  </w:t>
      </w:r>
      <w:r>
        <w:rPr>
          <w:rFonts w:hint="eastAsia"/>
          <w:snapToGrid/>
          <w:szCs w:val="24"/>
        </w:rPr>
        <w:t>如果外国人或无公民资格者未获许可或未在劳动局登记而就业</w:t>
      </w:r>
      <w:r>
        <w:rPr>
          <w:snapToGrid/>
          <w:szCs w:val="24"/>
        </w:rPr>
        <w:t>，</w:t>
      </w:r>
      <w:r>
        <w:rPr>
          <w:rFonts w:hint="eastAsia"/>
          <w:snapToGrid/>
          <w:szCs w:val="24"/>
        </w:rPr>
        <w:t>将依《违法行为法》受到起诉</w:t>
      </w:r>
      <w:r>
        <w:rPr>
          <w:snapToGrid/>
          <w:szCs w:val="24"/>
        </w:rPr>
        <w:t>，</w:t>
      </w:r>
      <w:r>
        <w:rPr>
          <w:rStyle w:val="EndnoteReference"/>
          <w:snapToGrid/>
        </w:rPr>
        <w:endnoteReference w:id="130"/>
      </w:r>
      <w:r>
        <w:rPr>
          <w:snapToGrid/>
          <w:szCs w:val="24"/>
        </w:rPr>
        <w:t xml:space="preserve">  </w:t>
      </w:r>
      <w:r>
        <w:rPr>
          <w:rFonts w:hint="eastAsia"/>
          <w:snapToGrid/>
          <w:szCs w:val="24"/>
        </w:rPr>
        <w:t>非法雇工将依《外国居留法》接受处罚。雇主可能因违反《就业法》而被罚款。劳动局负责检查</w:t>
      </w:r>
      <w:r>
        <w:rPr>
          <w:snapToGrid/>
          <w:szCs w:val="24"/>
        </w:rPr>
        <w:t>，</w:t>
      </w:r>
      <w:r>
        <w:rPr>
          <w:rFonts w:hint="eastAsia"/>
          <w:snapToGrid/>
          <w:szCs w:val="24"/>
        </w:rPr>
        <w:t>并对雇主不遵守适用法律规则施加罚款。尽管采取这些措施</w:t>
      </w:r>
      <w:r>
        <w:rPr>
          <w:snapToGrid/>
          <w:szCs w:val="24"/>
        </w:rPr>
        <w:t>，</w:t>
      </w:r>
      <w:r>
        <w:rPr>
          <w:rFonts w:hint="eastAsia"/>
          <w:snapToGrid/>
          <w:szCs w:val="24"/>
        </w:rPr>
        <w:t>但非法就业仍很常见</w:t>
      </w:r>
      <w:r>
        <w:rPr>
          <w:snapToGrid/>
          <w:szCs w:val="24"/>
        </w:rPr>
        <w:t>，</w:t>
      </w:r>
      <w:r>
        <w:rPr>
          <w:rFonts w:hint="eastAsia"/>
          <w:snapToGrid/>
          <w:szCs w:val="24"/>
        </w:rPr>
        <w:t>特别是在建筑业。</w:t>
      </w:r>
    </w:p>
    <w:p w:rsidR="00000000" w:rsidRDefault="00000000">
      <w:pPr>
        <w:rPr>
          <w:snapToGrid/>
        </w:rPr>
      </w:pPr>
      <w:r>
        <w:rPr>
          <w:snapToGrid/>
          <w:szCs w:val="24"/>
        </w:rPr>
        <w:tab/>
        <w:t xml:space="preserve">219.  </w:t>
      </w:r>
      <w:r>
        <w:rPr>
          <w:rFonts w:hint="eastAsia"/>
          <w:snapToGrid/>
          <w:szCs w:val="24"/>
        </w:rPr>
        <w:t>根据《宪章》第</w:t>
      </w:r>
      <w:r>
        <w:rPr>
          <w:snapToGrid/>
          <w:szCs w:val="24"/>
        </w:rPr>
        <w:t>26</w:t>
      </w:r>
      <w:r>
        <w:rPr>
          <w:rFonts w:hint="eastAsia"/>
          <w:snapToGrid/>
          <w:szCs w:val="24"/>
        </w:rPr>
        <w:t>条</w:t>
      </w:r>
      <w:r>
        <w:rPr>
          <w:snapToGrid/>
          <w:szCs w:val="24"/>
        </w:rPr>
        <w:t>，</w:t>
      </w:r>
      <w:r>
        <w:rPr>
          <w:rFonts w:hint="eastAsia"/>
          <w:snapToGrid/>
          <w:szCs w:val="24"/>
        </w:rPr>
        <w:t>人人有权自由选择其职业和接受从事该职业的培训</w:t>
      </w:r>
      <w:r>
        <w:rPr>
          <w:snapToGrid/>
          <w:szCs w:val="24"/>
        </w:rPr>
        <w:t>，</w:t>
      </w:r>
      <w:r>
        <w:rPr>
          <w:rFonts w:hint="eastAsia"/>
          <w:snapToGrid/>
          <w:szCs w:val="24"/>
        </w:rPr>
        <w:t>并有权参与商业和经济活动。《营业许可证法》</w:t>
      </w:r>
      <w:r>
        <w:rPr>
          <w:rStyle w:val="EndnoteReference"/>
          <w:snapToGrid/>
        </w:rPr>
        <w:endnoteReference w:id="131"/>
      </w:r>
      <w:r>
        <w:rPr>
          <w:rFonts w:hint="eastAsia"/>
          <w:snapToGrid/>
          <w:szCs w:val="24"/>
        </w:rPr>
        <w:t xml:space="preserve"> </w:t>
      </w:r>
      <w:r>
        <w:rPr>
          <w:rFonts w:hint="eastAsia"/>
          <w:snapToGrid/>
          <w:szCs w:val="24"/>
        </w:rPr>
        <w:t>和《商业法》</w:t>
      </w:r>
      <w:r>
        <w:rPr>
          <w:rStyle w:val="EndnoteReference"/>
          <w:snapToGrid/>
        </w:rPr>
        <w:endnoteReference w:id="132"/>
      </w:r>
      <w:r>
        <w:rPr>
          <w:rFonts w:hint="eastAsia"/>
          <w:snapToGrid/>
          <w:szCs w:val="24"/>
        </w:rPr>
        <w:t xml:space="preserve">  </w:t>
      </w:r>
      <w:r>
        <w:rPr>
          <w:rFonts w:hint="eastAsia"/>
          <w:snapToGrid/>
          <w:szCs w:val="24"/>
        </w:rPr>
        <w:t>规定了开办私人企业的条件。从业于这一部门的标准是</w:t>
      </w:r>
      <w:r>
        <w:rPr>
          <w:snapToGrid/>
          <w:szCs w:val="24"/>
        </w:rPr>
        <w:t>：</w:t>
      </w:r>
      <w:r>
        <w:rPr>
          <w:rFonts w:hint="eastAsia"/>
          <w:snapToGrid/>
          <w:szCs w:val="24"/>
        </w:rPr>
        <w:t>依照《营业许可证法》从事</w:t>
      </w:r>
      <w:r>
        <w:rPr>
          <w:rFonts w:hint="eastAsia"/>
          <w:snapToGrid/>
          <w:spacing w:val="8"/>
        </w:rPr>
        <w:t>一项商业活动</w:t>
      </w:r>
      <w:r>
        <w:rPr>
          <w:snapToGrid/>
          <w:spacing w:val="8"/>
        </w:rPr>
        <w:t>；</w:t>
      </w:r>
      <w:r>
        <w:rPr>
          <w:rFonts w:hint="eastAsia"/>
          <w:snapToGrid/>
          <w:spacing w:val="8"/>
        </w:rPr>
        <w:t>根据《公民私人经营企业法》</w:t>
      </w:r>
      <w:r>
        <w:rPr>
          <w:rStyle w:val="EndnoteReference"/>
          <w:snapToGrid/>
          <w:spacing w:val="8"/>
        </w:rPr>
        <w:endnoteReference w:id="133"/>
      </w:r>
      <w:r>
        <w:rPr>
          <w:rFonts w:hint="eastAsia"/>
          <w:snapToGrid/>
          <w:spacing w:val="8"/>
        </w:rPr>
        <w:t xml:space="preserve"> </w:t>
      </w:r>
      <w:r>
        <w:rPr>
          <w:rFonts w:hint="eastAsia"/>
          <w:snapToGrid/>
          <w:spacing w:val="8"/>
        </w:rPr>
        <w:t>进行注册</w:t>
      </w:r>
      <w:r>
        <w:rPr>
          <w:snapToGrid/>
          <w:spacing w:val="8"/>
        </w:rPr>
        <w:t>(</w:t>
      </w:r>
      <w:r>
        <w:rPr>
          <w:rFonts w:hint="eastAsia"/>
          <w:snapToGrid/>
          <w:spacing w:val="8"/>
        </w:rPr>
        <w:t>涉及农业生产</w:t>
      </w:r>
      <w:r>
        <w:rPr>
          <w:rFonts w:hint="eastAsia"/>
          <w:snapToGrid/>
          <w:spacing w:val="8"/>
        </w:rPr>
        <w:t>)</w:t>
      </w:r>
      <w:r>
        <w:rPr>
          <w:rFonts w:hint="eastAsia"/>
          <w:snapToGrid/>
          <w:spacing w:val="8"/>
        </w:rPr>
        <w:t>；具有公司的合法机构地位；在著作权法关系的基础上</w:t>
      </w:r>
      <w:r>
        <w:rPr>
          <w:snapToGrid/>
          <w:spacing w:val="8"/>
        </w:rPr>
        <w:t>，</w:t>
      </w:r>
      <w:r>
        <w:rPr>
          <w:rFonts w:hint="eastAsia"/>
          <w:snapToGrid/>
          <w:spacing w:val="8"/>
        </w:rPr>
        <w:t>一贯从事艺术或其他创造性活动</w:t>
      </w:r>
      <w:r>
        <w:rPr>
          <w:rFonts w:hint="eastAsia"/>
          <w:snapToGrid/>
          <w:spacing w:val="8"/>
        </w:rPr>
        <w:t xml:space="preserve"> </w:t>
      </w:r>
      <w:r>
        <w:rPr>
          <w:snapToGrid/>
          <w:spacing w:val="8"/>
        </w:rPr>
        <w:t>(</w:t>
      </w:r>
      <w:r>
        <w:rPr>
          <w:rFonts w:hint="eastAsia"/>
          <w:snapToGrid/>
          <w:spacing w:val="8"/>
        </w:rPr>
        <w:t>见执行《公约》第</w:t>
      </w:r>
      <w:r>
        <w:rPr>
          <w:rFonts w:hint="eastAsia"/>
          <w:snapToGrid/>
          <w:spacing w:val="8"/>
        </w:rPr>
        <w:t>15</w:t>
      </w:r>
      <w:r>
        <w:rPr>
          <w:rFonts w:hint="eastAsia"/>
          <w:snapToGrid/>
          <w:spacing w:val="8"/>
        </w:rPr>
        <w:t>条保护知识产权的部分</w:t>
      </w:r>
      <w:r>
        <w:rPr>
          <w:snapToGrid/>
          <w:spacing w:val="8"/>
        </w:rPr>
        <w:t>)</w:t>
      </w:r>
      <w:r>
        <w:rPr>
          <w:rFonts w:hint="eastAsia"/>
          <w:snapToGrid/>
          <w:spacing w:val="8"/>
        </w:rPr>
        <w:t>；根据特别条例</w:t>
      </w:r>
      <w:r>
        <w:rPr>
          <w:rFonts w:hint="eastAsia"/>
          <w:snapToGrid/>
          <w:spacing w:val="8"/>
        </w:rPr>
        <w:t xml:space="preserve"> </w:t>
      </w:r>
      <w:r>
        <w:rPr>
          <w:snapToGrid/>
          <w:spacing w:val="8"/>
        </w:rPr>
        <w:t xml:space="preserve"> (</w:t>
      </w:r>
      <w:r>
        <w:rPr>
          <w:rFonts w:hint="eastAsia"/>
          <w:snapToGrid/>
          <w:spacing w:val="8"/>
        </w:rPr>
        <w:t>《律师法》</w:t>
      </w:r>
      <w:r>
        <w:rPr>
          <w:rStyle w:val="EndnoteReference"/>
          <w:snapToGrid/>
          <w:spacing w:val="8"/>
        </w:rPr>
        <w:endnoteReference w:id="134"/>
      </w:r>
      <w:r>
        <w:rPr>
          <w:rFonts w:hint="eastAsia"/>
          <w:snapToGrid/>
          <w:spacing w:val="8"/>
        </w:rPr>
        <w:t>、《审计员法》</w:t>
      </w:r>
      <w:r>
        <w:rPr>
          <w:rStyle w:val="EndnoteReference"/>
          <w:snapToGrid/>
        </w:rPr>
        <w:endnoteReference w:id="135"/>
      </w:r>
      <w:r>
        <w:rPr>
          <w:rFonts w:hint="eastAsia"/>
          <w:snapToGrid/>
          <w:spacing w:val="8"/>
        </w:rPr>
        <w:t xml:space="preserve"> </w:t>
      </w:r>
      <w:r>
        <w:rPr>
          <w:rFonts w:hint="eastAsia"/>
          <w:snapToGrid/>
          <w:spacing w:val="8"/>
        </w:rPr>
        <w:t>等</w:t>
      </w:r>
      <w:r>
        <w:rPr>
          <w:rFonts w:hint="eastAsia"/>
          <w:snapToGrid/>
          <w:spacing w:val="8"/>
        </w:rPr>
        <w:t>)</w:t>
      </w:r>
      <w:r>
        <w:rPr>
          <w:snapToGrid/>
          <w:spacing w:val="8"/>
        </w:rPr>
        <w:t>，</w:t>
      </w:r>
      <w:r>
        <w:rPr>
          <w:rFonts w:hint="eastAsia"/>
          <w:snapToGrid/>
          <w:spacing w:val="8"/>
        </w:rPr>
        <w:t>经授权后</w:t>
      </w:r>
      <w:r>
        <w:rPr>
          <w:snapToGrid/>
          <w:spacing w:val="8"/>
        </w:rPr>
        <w:t>，</w:t>
      </w:r>
      <w:r>
        <w:rPr>
          <w:rFonts w:hint="eastAsia"/>
          <w:snapToGrid/>
          <w:spacing w:val="8"/>
        </w:rPr>
        <w:t>从事另一获得收益的活动</w:t>
      </w:r>
      <w:r>
        <w:rPr>
          <w:snapToGrid/>
          <w:spacing w:val="8"/>
        </w:rPr>
        <w:t>；</w:t>
      </w:r>
      <w:r>
        <w:rPr>
          <w:rFonts w:hint="eastAsia"/>
          <w:snapToGrid/>
          <w:spacing w:val="8"/>
        </w:rPr>
        <w:t>合作从事独立的</w:t>
      </w:r>
      <w:r>
        <w:rPr>
          <w:rFonts w:hint="eastAsia"/>
          <w:snapToGrid/>
        </w:rPr>
        <w:t>有收入活动。</w:t>
      </w:r>
    </w:p>
    <w:p w:rsidR="00000000" w:rsidRDefault="00000000">
      <w:pPr>
        <w:rPr>
          <w:snapToGrid/>
        </w:rPr>
      </w:pPr>
      <w:r>
        <w:rPr>
          <w:rFonts w:hint="eastAsia"/>
          <w:snapToGrid/>
        </w:rPr>
        <w:tab/>
      </w:r>
      <w:r>
        <w:rPr>
          <w:snapToGrid/>
        </w:rPr>
        <w:t>220.  1999</w:t>
      </w:r>
      <w:r>
        <w:rPr>
          <w:rFonts w:hint="eastAsia"/>
          <w:snapToGrid/>
        </w:rPr>
        <w:t>年</w:t>
      </w:r>
      <w:r>
        <w:rPr>
          <w:snapToGrid/>
        </w:rPr>
        <w:t>10</w:t>
      </w:r>
      <w:r>
        <w:rPr>
          <w:rFonts w:hint="eastAsia"/>
          <w:snapToGrid/>
        </w:rPr>
        <w:t>月</w:t>
      </w:r>
      <w:r>
        <w:rPr>
          <w:snapToGrid/>
        </w:rPr>
        <w:t>1</w:t>
      </w:r>
      <w:r>
        <w:rPr>
          <w:rFonts w:hint="eastAsia"/>
          <w:snapToGrid/>
        </w:rPr>
        <w:t>日生效的《就业法》修正案第</w:t>
      </w:r>
      <w:r>
        <w:rPr>
          <w:snapToGrid/>
        </w:rPr>
        <w:t>l</w:t>
      </w:r>
      <w:r>
        <w:rPr>
          <w:rFonts w:hint="eastAsia"/>
          <w:snapToGrid/>
        </w:rPr>
        <w:t>条第</w:t>
      </w:r>
      <w:r>
        <w:rPr>
          <w:snapToGrid/>
        </w:rPr>
        <w:t>l</w:t>
      </w:r>
      <w:r>
        <w:rPr>
          <w:rFonts w:hint="eastAsia"/>
          <w:snapToGrid/>
        </w:rPr>
        <w:t>、</w:t>
      </w:r>
      <w:r>
        <w:rPr>
          <w:rFonts w:hint="eastAsia"/>
          <w:snapToGrid/>
        </w:rPr>
        <w:t>2</w:t>
      </w:r>
      <w:r>
        <w:rPr>
          <w:rFonts w:hint="eastAsia"/>
          <w:snapToGrid/>
        </w:rPr>
        <w:t>款禁止就业上的歧视。它还禁止违反平等就业原则的歧视性聘用通知。</w:t>
      </w:r>
    </w:p>
    <w:p w:rsidR="00000000" w:rsidRDefault="00000000">
      <w:pPr>
        <w:pStyle w:val="a5"/>
        <w:ind w:left="1820" w:hanging="799"/>
        <w:rPr>
          <w:rFonts w:hint="eastAsia"/>
          <w:snapToGrid/>
        </w:rPr>
      </w:pPr>
      <w:r>
        <w:rPr>
          <w:rFonts w:hint="eastAsia"/>
          <w:snapToGrid/>
        </w:rPr>
        <w:t>“</w:t>
      </w:r>
      <w:r>
        <w:rPr>
          <w:snapToGrid/>
        </w:rPr>
        <w:t>(l)</w:t>
      </w:r>
      <w:r>
        <w:rPr>
          <w:rFonts w:hint="eastAsia"/>
          <w:snapToGrid/>
        </w:rPr>
        <w:tab/>
      </w:r>
      <w:r>
        <w:rPr>
          <w:rFonts w:hint="eastAsia"/>
          <w:snapToGrid/>
        </w:rPr>
        <w:t>不得因为公民的种族、肤色、性别、性倾向、语言、信仰或宗教、政治或其他信念、加入政党或其他政治运动、工会组织或其他协会、国籍、民族或社会出身、财产、家庭、健康状况、年龄、婚否和家庭状况或负有家庭义务而剥夺其就业权</w:t>
      </w:r>
      <w:r>
        <w:rPr>
          <w:snapToGrid/>
        </w:rPr>
        <w:t>，</w:t>
      </w:r>
      <w:r>
        <w:rPr>
          <w:rFonts w:hint="eastAsia"/>
          <w:snapToGrid/>
        </w:rPr>
        <w:t>除非法律另有规定，或该公民将要从事的职业</w:t>
      </w:r>
      <w:r>
        <w:rPr>
          <w:snapToGrid/>
        </w:rPr>
        <w:t>(</w:t>
      </w:r>
      <w:r>
        <w:rPr>
          <w:rFonts w:hint="eastAsia"/>
          <w:snapToGrid/>
        </w:rPr>
        <w:t>工作</w:t>
      </w:r>
      <w:r>
        <w:rPr>
          <w:snapToGrid/>
        </w:rPr>
        <w:t>)</w:t>
      </w:r>
      <w:r>
        <w:rPr>
          <w:rFonts w:hint="eastAsia"/>
          <w:snapToGrid/>
        </w:rPr>
        <w:t>具有从事该工作所必须的先决条件、要求或性质等事实理由；</w:t>
      </w:r>
    </w:p>
    <w:p w:rsidR="00000000" w:rsidRDefault="00000000">
      <w:pPr>
        <w:pStyle w:val="a5"/>
        <w:ind w:left="1820" w:hanging="799"/>
        <w:rPr>
          <w:snapToGrid/>
        </w:rPr>
      </w:pPr>
      <w:r>
        <w:rPr>
          <w:rFonts w:hint="eastAsia"/>
          <w:snapToGrid/>
        </w:rPr>
        <w:t>“</w:t>
      </w:r>
      <w:r>
        <w:rPr>
          <w:snapToGrid/>
        </w:rPr>
        <w:t>(2</w:t>
      </w:r>
      <w:r>
        <w:rPr>
          <w:rFonts w:hint="eastAsia"/>
          <w:snapToGrid/>
        </w:rPr>
        <w:t>)</w:t>
      </w:r>
      <w:r>
        <w:rPr>
          <w:rFonts w:hint="eastAsia"/>
          <w:snapToGrid/>
        </w:rPr>
        <w:tab/>
      </w:r>
      <w:r>
        <w:rPr>
          <w:rFonts w:hint="eastAsia"/>
          <w:snapToGrid/>
        </w:rPr>
        <w:t>不得向依据《就业法》建立法律关系的参与者提供与第</w:t>
      </w:r>
      <w:r>
        <w:rPr>
          <w:rFonts w:hint="eastAsia"/>
          <w:snapToGrid/>
        </w:rPr>
        <w:t>(</w:t>
      </w:r>
      <w:r>
        <w:rPr>
          <w:snapToGrid/>
        </w:rPr>
        <w:t>1)</w:t>
      </w:r>
      <w:r>
        <w:rPr>
          <w:rFonts w:hint="eastAsia"/>
          <w:snapToGrid/>
        </w:rPr>
        <w:t>款规定所违背的职业</w:t>
      </w:r>
      <w:r>
        <w:rPr>
          <w:snapToGrid/>
        </w:rPr>
        <w:t>(</w:t>
      </w:r>
      <w:r>
        <w:rPr>
          <w:rFonts w:hint="eastAsia"/>
          <w:snapToGrid/>
        </w:rPr>
        <w:t>工作</w:t>
      </w:r>
      <w:r>
        <w:rPr>
          <w:rFonts w:hint="eastAsia"/>
          <w:snapToGrid/>
        </w:rPr>
        <w:t>)</w:t>
      </w:r>
      <w:r>
        <w:rPr>
          <w:rFonts w:hint="eastAsia"/>
          <w:snapToGrid/>
        </w:rPr>
        <w:t>。”</w:t>
      </w:r>
    </w:p>
    <w:p w:rsidR="00000000" w:rsidRDefault="00000000">
      <w:pPr>
        <w:rPr>
          <w:snapToGrid/>
        </w:rPr>
      </w:pPr>
      <w:r>
        <w:rPr>
          <w:rFonts w:hint="eastAsia"/>
          <w:snapToGrid/>
        </w:rPr>
        <w:t>招聘通知不仅指通过大众传媒</w:t>
      </w:r>
      <w:r>
        <w:rPr>
          <w:snapToGrid/>
        </w:rPr>
        <w:t>(</w:t>
      </w:r>
      <w:r>
        <w:rPr>
          <w:rFonts w:hint="eastAsia"/>
          <w:snapToGrid/>
        </w:rPr>
        <w:t>广告</w:t>
      </w:r>
      <w:r>
        <w:rPr>
          <w:rFonts w:hint="eastAsia"/>
          <w:snapToGrid/>
        </w:rPr>
        <w:t>)</w:t>
      </w:r>
      <w:r>
        <w:rPr>
          <w:rFonts w:hint="eastAsia"/>
          <w:snapToGrid/>
        </w:rPr>
        <w:t>发出的通知</w:t>
      </w:r>
      <w:r>
        <w:rPr>
          <w:snapToGrid/>
        </w:rPr>
        <w:t>，</w:t>
      </w:r>
      <w:r>
        <w:rPr>
          <w:rFonts w:hint="eastAsia"/>
          <w:snapToGrid/>
        </w:rPr>
        <w:t>也指遴选过程中与求职者面试时发出的通知。</w:t>
      </w:r>
    </w:p>
    <w:p w:rsidR="00000000" w:rsidRDefault="00000000">
      <w:pPr>
        <w:rPr>
          <w:snapToGrid/>
        </w:rPr>
      </w:pPr>
      <w:r>
        <w:rPr>
          <w:rFonts w:hint="eastAsia"/>
          <w:snapToGrid/>
        </w:rPr>
        <w:tab/>
      </w:r>
      <w:r>
        <w:rPr>
          <w:snapToGrid/>
        </w:rPr>
        <w:t xml:space="preserve">221.  </w:t>
      </w:r>
      <w:r>
        <w:rPr>
          <w:rFonts w:hint="eastAsia"/>
          <w:snapToGrid/>
        </w:rPr>
        <w:t>招聘通知中如发现确凿的歧视行为</w:t>
      </w:r>
      <w:r>
        <w:rPr>
          <w:snapToGrid/>
        </w:rPr>
        <w:t>，</w:t>
      </w:r>
      <w:r>
        <w:rPr>
          <w:rFonts w:hint="eastAsia"/>
          <w:snapToGrid/>
        </w:rPr>
        <w:t>可以根据《就业法》和《捷克共和国就业部门机构管辖权法》第</w:t>
      </w:r>
      <w:r>
        <w:rPr>
          <w:rFonts w:hint="eastAsia"/>
          <w:snapToGrid/>
        </w:rPr>
        <w:t>8</w:t>
      </w:r>
      <w:r>
        <w:rPr>
          <w:rFonts w:hint="eastAsia"/>
          <w:snapToGrid/>
        </w:rPr>
        <w:t>、</w:t>
      </w:r>
      <w:r>
        <w:rPr>
          <w:rFonts w:hint="eastAsia"/>
          <w:snapToGrid/>
        </w:rPr>
        <w:t>9</w:t>
      </w:r>
      <w:r>
        <w:rPr>
          <w:rFonts w:hint="eastAsia"/>
          <w:snapToGrid/>
        </w:rPr>
        <w:t>条进行处罚。判定有罪后</w:t>
      </w:r>
      <w:r>
        <w:rPr>
          <w:snapToGrid/>
        </w:rPr>
        <w:t>，</w:t>
      </w:r>
      <w:r>
        <w:rPr>
          <w:rFonts w:hint="eastAsia"/>
          <w:snapToGrid/>
        </w:rPr>
        <w:t>可罚款最高为</w:t>
      </w:r>
      <w:r>
        <w:rPr>
          <w:snapToGrid/>
        </w:rPr>
        <w:t>250,</w:t>
      </w:r>
      <w:r>
        <w:rPr>
          <w:rFonts w:hint="eastAsia"/>
          <w:snapToGrid/>
        </w:rPr>
        <w:t>000</w:t>
      </w:r>
      <w:r>
        <w:rPr>
          <w:rFonts w:hint="eastAsia"/>
          <w:snapToGrid/>
        </w:rPr>
        <w:t>捷克克朗</w:t>
      </w:r>
      <w:r>
        <w:rPr>
          <w:snapToGrid/>
        </w:rPr>
        <w:t>，</w:t>
      </w:r>
      <w:r>
        <w:rPr>
          <w:rFonts w:hint="eastAsia"/>
          <w:snapToGrid/>
        </w:rPr>
        <w:t>屡犯者</w:t>
      </w:r>
      <w:r>
        <w:rPr>
          <w:snapToGrid/>
        </w:rPr>
        <w:t>，</w:t>
      </w:r>
      <w:r>
        <w:rPr>
          <w:rFonts w:hint="eastAsia"/>
          <w:snapToGrid/>
        </w:rPr>
        <w:t>最高罚款</w:t>
      </w:r>
      <w:r>
        <w:rPr>
          <w:snapToGrid/>
        </w:rPr>
        <w:t>l</w:t>
      </w:r>
      <w:r>
        <w:rPr>
          <w:rFonts w:hint="eastAsia"/>
          <w:snapToGrid/>
        </w:rPr>
        <w:t>00</w:t>
      </w:r>
      <w:r>
        <w:rPr>
          <w:rFonts w:hint="eastAsia"/>
          <w:snapToGrid/>
        </w:rPr>
        <w:t>万捷克克朗。就业检查机构即劳动局和劳动和社会事务部负责检查</w:t>
      </w:r>
      <w:r>
        <w:rPr>
          <w:snapToGrid/>
        </w:rPr>
        <w:t>，</w:t>
      </w:r>
      <w:r>
        <w:rPr>
          <w:rFonts w:hint="eastAsia"/>
          <w:snapToGrid/>
        </w:rPr>
        <w:t>并处以罚款。因为</w:t>
      </w:r>
      <w:r>
        <w:rPr>
          <w:snapToGrid/>
        </w:rPr>
        <w:t>1999</w:t>
      </w:r>
      <w:r>
        <w:rPr>
          <w:rFonts w:hint="eastAsia"/>
          <w:snapToGrid/>
        </w:rPr>
        <w:t>年以前有关项目未列入统计中</w:t>
      </w:r>
      <w:r>
        <w:rPr>
          <w:snapToGrid/>
        </w:rPr>
        <w:t>，</w:t>
      </w:r>
      <w:r>
        <w:rPr>
          <w:rFonts w:hint="eastAsia"/>
          <w:snapToGrid/>
        </w:rPr>
        <w:t>所以无法确定遇有歧视情况时是否有人寻求司法保护。</w:t>
      </w:r>
    </w:p>
    <w:p w:rsidR="00000000" w:rsidRDefault="00000000">
      <w:pPr>
        <w:rPr>
          <w:snapToGrid/>
        </w:rPr>
      </w:pPr>
      <w:r>
        <w:rPr>
          <w:rFonts w:hint="eastAsia"/>
          <w:snapToGrid/>
        </w:rPr>
        <w:tab/>
      </w:r>
      <w:r>
        <w:rPr>
          <w:snapToGrid/>
        </w:rPr>
        <w:t xml:space="preserve">222.  </w:t>
      </w:r>
      <w:r>
        <w:rPr>
          <w:rFonts w:hint="eastAsia"/>
          <w:snapToGrid/>
        </w:rPr>
        <w:t>平等就业权在实施中产生很多问题。问题不仅涉及男人和妇女</w:t>
      </w:r>
      <w:r>
        <w:rPr>
          <w:snapToGrid/>
        </w:rPr>
        <w:t>，</w:t>
      </w:r>
      <w:r>
        <w:rPr>
          <w:rFonts w:hint="eastAsia"/>
          <w:snapToGrid/>
        </w:rPr>
        <w:t>也涉及缺乏经验的年轻人、抚养年幼子女的妇女、残疾人、接近退休年龄者和低技能者或无技能者等高危人口群体。</w:t>
      </w:r>
    </w:p>
    <w:p w:rsidR="00000000" w:rsidRDefault="00000000">
      <w:pPr>
        <w:rPr>
          <w:snapToGrid/>
        </w:rPr>
      </w:pPr>
      <w:r>
        <w:rPr>
          <w:rFonts w:hint="eastAsia"/>
          <w:snapToGrid/>
        </w:rPr>
        <w:tab/>
      </w:r>
      <w:r>
        <w:rPr>
          <w:snapToGrid/>
        </w:rPr>
        <w:t xml:space="preserve">223.  </w:t>
      </w:r>
      <w:r>
        <w:rPr>
          <w:rFonts w:hint="eastAsia"/>
          <w:snapToGrid/>
        </w:rPr>
        <w:t>罗姆人在劳动力市场中就业中存在很大问题。这一少数民族的失业率极高</w:t>
      </w:r>
      <w:r>
        <w:rPr>
          <w:snapToGrid/>
        </w:rPr>
        <w:t>(</w:t>
      </w:r>
      <w:r>
        <w:rPr>
          <w:rFonts w:hint="eastAsia"/>
          <w:snapToGrid/>
        </w:rPr>
        <w:t>政府估计</w:t>
      </w:r>
      <w:r>
        <w:rPr>
          <w:snapToGrid/>
        </w:rPr>
        <w:t>，</w:t>
      </w:r>
      <w:r>
        <w:rPr>
          <w:rFonts w:hint="eastAsia"/>
          <w:snapToGrid/>
        </w:rPr>
        <w:t>可从事生产活动年龄人口中</w:t>
      </w:r>
      <w:r>
        <w:rPr>
          <w:snapToGrid/>
        </w:rPr>
        <w:t>70-80%</w:t>
      </w:r>
      <w:r>
        <w:rPr>
          <w:rFonts w:hint="eastAsia"/>
          <w:snapToGrid/>
        </w:rPr>
        <w:t>的人没有工作</w:t>
      </w:r>
      <w:r>
        <w:rPr>
          <w:rFonts w:hint="eastAsia"/>
          <w:snapToGrid/>
        </w:rPr>
        <w:t>)</w:t>
      </w:r>
      <w:r>
        <w:rPr>
          <w:snapToGrid/>
        </w:rPr>
        <w:t>，</w:t>
      </w:r>
      <w:r>
        <w:rPr>
          <w:rStyle w:val="EndnoteReference"/>
          <w:snapToGrid/>
        </w:rPr>
        <w:endnoteReference w:id="136"/>
      </w:r>
      <w:r>
        <w:rPr>
          <w:rFonts w:hint="eastAsia"/>
          <w:snapToGrid/>
        </w:rPr>
        <w:t xml:space="preserve">  </w:t>
      </w:r>
      <w:r>
        <w:rPr>
          <w:rFonts w:hint="eastAsia"/>
          <w:snapToGrid/>
        </w:rPr>
        <w:t>导致他们依赖于福利津贴和其他社会保障形式。此外</w:t>
      </w:r>
      <w:r>
        <w:rPr>
          <w:snapToGrid/>
        </w:rPr>
        <w:t>，</w:t>
      </w:r>
      <w:r>
        <w:rPr>
          <w:rFonts w:hint="eastAsia"/>
          <w:snapToGrid/>
        </w:rPr>
        <w:t>在劳动局登记的多数罗姆人求职者因累积性残疾</w:t>
      </w:r>
      <w:r>
        <w:rPr>
          <w:snapToGrid/>
        </w:rPr>
        <w:t>，</w:t>
      </w:r>
      <w:r>
        <w:rPr>
          <w:rFonts w:hint="eastAsia"/>
          <w:snapToGrid/>
        </w:rPr>
        <w:t>属于在劳动力市场中难以安置的人。</w:t>
      </w:r>
    </w:p>
    <w:p w:rsidR="00000000" w:rsidRDefault="00000000">
      <w:pPr>
        <w:rPr>
          <w:rFonts w:hint="eastAsia"/>
          <w:snapToGrid/>
          <w:szCs w:val="24"/>
        </w:rPr>
      </w:pPr>
      <w:r>
        <w:rPr>
          <w:rFonts w:hint="eastAsia"/>
          <w:snapToGrid/>
          <w:szCs w:val="24"/>
        </w:rPr>
        <w:tab/>
      </w:r>
      <w:r>
        <w:rPr>
          <w:snapToGrid/>
          <w:szCs w:val="24"/>
        </w:rPr>
        <w:t xml:space="preserve">224.  </w:t>
      </w:r>
      <w:r>
        <w:rPr>
          <w:rFonts w:hint="eastAsia"/>
          <w:snapToGrid/>
          <w:szCs w:val="24"/>
        </w:rPr>
        <w:t>罗姆人失业率高的主要原因是多数人受教育水平低、技能差。另一与其有关的原因是福利津贴与非熟练体力劳动的收入水平相比偏高</w:t>
      </w:r>
      <w:r>
        <w:rPr>
          <w:snapToGrid/>
          <w:szCs w:val="24"/>
        </w:rPr>
        <w:t>，</w:t>
      </w:r>
      <w:r>
        <w:rPr>
          <w:rFonts w:hint="eastAsia"/>
          <w:snapToGrid/>
          <w:szCs w:val="24"/>
        </w:rPr>
        <w:t>使其缺少寻找工作的动力。防止雇主实行直接歧视的努力不成功</w:t>
      </w:r>
      <w:r>
        <w:rPr>
          <w:snapToGrid/>
          <w:szCs w:val="24"/>
        </w:rPr>
        <w:t>，</w:t>
      </w:r>
      <w:r>
        <w:rPr>
          <w:rFonts w:hint="eastAsia"/>
          <w:snapToGrid/>
          <w:szCs w:val="24"/>
        </w:rPr>
        <w:t>雇主们有时不加任何解释地拒绝雇用罗姆人</w:t>
      </w:r>
      <w:r>
        <w:rPr>
          <w:snapToGrid/>
          <w:szCs w:val="24"/>
        </w:rPr>
        <w:t>，</w:t>
      </w:r>
      <w:r>
        <w:rPr>
          <w:rFonts w:hint="eastAsia"/>
          <w:snapToGrid/>
          <w:szCs w:val="24"/>
        </w:rPr>
        <w:t>常常说不雇用罗姆人是因为他们</w:t>
      </w:r>
      <w:r>
        <w:rPr>
          <w:snapToGrid/>
          <w:szCs w:val="24"/>
        </w:rPr>
        <w:t>"</w:t>
      </w:r>
      <w:r>
        <w:rPr>
          <w:rFonts w:hint="eastAsia"/>
          <w:snapToGrid/>
          <w:szCs w:val="24"/>
        </w:rPr>
        <w:t>不适应</w:t>
      </w:r>
      <w:r>
        <w:rPr>
          <w:snapToGrid/>
          <w:szCs w:val="24"/>
        </w:rPr>
        <w:t>"</w:t>
      </w:r>
      <w:r>
        <w:rPr>
          <w:rFonts w:hint="eastAsia"/>
          <w:snapToGrid/>
          <w:szCs w:val="24"/>
        </w:rPr>
        <w:t>标准的工作制度</w:t>
      </w:r>
      <w:r>
        <w:rPr>
          <w:snapToGrid/>
          <w:szCs w:val="24"/>
        </w:rPr>
        <w:t>，</w:t>
      </w:r>
      <w:r>
        <w:rPr>
          <w:rFonts w:hint="eastAsia"/>
          <w:snapToGrid/>
          <w:szCs w:val="24"/>
        </w:rPr>
        <w:t>有些罗姆人缺少经验。但是</w:t>
      </w:r>
      <w:r>
        <w:rPr>
          <w:snapToGrid/>
          <w:szCs w:val="24"/>
        </w:rPr>
        <w:t>，</w:t>
      </w:r>
      <w:r>
        <w:rPr>
          <w:rFonts w:hint="eastAsia"/>
          <w:snapToGrid/>
          <w:szCs w:val="24"/>
        </w:rPr>
        <w:t>这类歧视很难证明。劳动和社会事务部通过国家再培训计划、</w:t>
      </w:r>
      <w:r>
        <w:rPr>
          <w:rStyle w:val="EndnoteReference"/>
          <w:snapToGrid/>
        </w:rPr>
        <w:endnoteReference w:id="137"/>
      </w:r>
      <w:r>
        <w:rPr>
          <w:rFonts w:hint="eastAsia"/>
          <w:snapToGrid/>
          <w:szCs w:val="24"/>
        </w:rPr>
        <w:t xml:space="preserve">  </w:t>
      </w:r>
      <w:r>
        <w:rPr>
          <w:rFonts w:hint="eastAsia"/>
          <w:snapToGrid/>
          <w:szCs w:val="24"/>
        </w:rPr>
        <w:t>内政部则在地方通过国家预防犯罪委员会</w:t>
      </w:r>
      <w:r>
        <w:rPr>
          <w:snapToGrid/>
          <w:szCs w:val="24"/>
        </w:rPr>
        <w:t>，</w:t>
      </w:r>
      <w:r>
        <w:rPr>
          <w:rFonts w:hint="eastAsia"/>
          <w:snapToGrid/>
          <w:szCs w:val="24"/>
        </w:rPr>
        <w:t>支持增加罗姆人就业的项目。</w:t>
      </w:r>
      <w:r>
        <w:rPr>
          <w:rStyle w:val="EndnoteReference"/>
          <w:snapToGrid/>
        </w:rPr>
        <w:endnoteReference w:id="138"/>
      </w:r>
    </w:p>
    <w:p w:rsidR="00000000" w:rsidRDefault="00000000">
      <w:pPr>
        <w:rPr>
          <w:rFonts w:hint="eastAsia"/>
          <w:snapToGrid/>
          <w:szCs w:val="24"/>
        </w:rPr>
      </w:pPr>
      <w:r>
        <w:rPr>
          <w:rFonts w:hint="eastAsia"/>
          <w:snapToGrid/>
          <w:szCs w:val="24"/>
        </w:rPr>
        <w:tab/>
      </w:r>
      <w:r>
        <w:rPr>
          <w:snapToGrid/>
          <w:szCs w:val="24"/>
        </w:rPr>
        <w:t xml:space="preserve">225.  </w:t>
      </w:r>
      <w:r>
        <w:rPr>
          <w:rFonts w:hint="eastAsia"/>
          <w:snapToGrid/>
          <w:szCs w:val="24"/>
        </w:rPr>
        <w:t>为了增加残疾人就业</w:t>
      </w:r>
      <w:r>
        <w:rPr>
          <w:snapToGrid/>
          <w:szCs w:val="24"/>
        </w:rPr>
        <w:t>，</w:t>
      </w:r>
      <w:r>
        <w:rPr>
          <w:rFonts w:hint="eastAsia"/>
          <w:snapToGrid/>
          <w:szCs w:val="24"/>
        </w:rPr>
        <w:t>已将雇主有义务雇用一定比例的残疾人的规定从政府的指令转变成《就业法》的新条款。尽管如此</w:t>
      </w:r>
      <w:r>
        <w:rPr>
          <w:snapToGrid/>
          <w:szCs w:val="24"/>
        </w:rPr>
        <w:t>，</w:t>
      </w:r>
      <w:r>
        <w:rPr>
          <w:rFonts w:hint="eastAsia"/>
          <w:snapToGrid/>
          <w:szCs w:val="24"/>
        </w:rPr>
        <w:t>统计数据表明</w:t>
      </w:r>
      <w:r>
        <w:rPr>
          <w:snapToGrid/>
          <w:szCs w:val="24"/>
        </w:rPr>
        <w:t>，</w:t>
      </w:r>
      <w:r>
        <w:rPr>
          <w:rFonts w:hint="eastAsia"/>
          <w:snapToGrid/>
          <w:szCs w:val="24"/>
        </w:rPr>
        <w:t>残疾人的失业率在上升。根据劳动局</w:t>
      </w:r>
      <w:r>
        <w:rPr>
          <w:snapToGrid/>
          <w:szCs w:val="24"/>
        </w:rPr>
        <w:t>，</w:t>
      </w:r>
      <w:r>
        <w:rPr>
          <w:rFonts w:hint="eastAsia"/>
          <w:snapToGrid/>
          <w:szCs w:val="24"/>
        </w:rPr>
        <w:t>近年来残疾公民人数激增</w:t>
      </w:r>
      <w:r>
        <w:rPr>
          <w:snapToGrid/>
          <w:szCs w:val="24"/>
        </w:rPr>
        <w:t>，</w:t>
      </w:r>
      <w:r>
        <w:rPr>
          <w:rFonts w:hint="eastAsia"/>
          <w:snapToGrid/>
          <w:szCs w:val="24"/>
        </w:rPr>
        <w:t>但可提供的工作机会却维持没变。截至</w:t>
      </w:r>
      <w:r>
        <w:rPr>
          <w:snapToGrid/>
          <w:szCs w:val="24"/>
        </w:rPr>
        <w:t>1998</w:t>
      </w:r>
      <w:r>
        <w:rPr>
          <w:rFonts w:hint="eastAsia"/>
          <w:snapToGrid/>
          <w:szCs w:val="24"/>
        </w:rPr>
        <w:t>年</w:t>
      </w:r>
      <w:r>
        <w:rPr>
          <w:snapToGrid/>
          <w:szCs w:val="24"/>
        </w:rPr>
        <w:t>12</w:t>
      </w:r>
      <w:r>
        <w:rPr>
          <w:rFonts w:hint="eastAsia"/>
          <w:snapToGrid/>
          <w:szCs w:val="24"/>
        </w:rPr>
        <w:t>月</w:t>
      </w:r>
      <w:r>
        <w:rPr>
          <w:snapToGrid/>
          <w:szCs w:val="24"/>
        </w:rPr>
        <w:t>31</w:t>
      </w:r>
      <w:r>
        <w:rPr>
          <w:rFonts w:hint="eastAsia"/>
          <w:snapToGrid/>
          <w:szCs w:val="24"/>
        </w:rPr>
        <w:t>日</w:t>
      </w:r>
      <w:r>
        <w:rPr>
          <w:snapToGrid/>
          <w:szCs w:val="24"/>
        </w:rPr>
        <w:t>，</w:t>
      </w:r>
      <w:r>
        <w:rPr>
          <w:rFonts w:hint="eastAsia"/>
          <w:snapToGrid/>
          <w:szCs w:val="24"/>
        </w:rPr>
        <w:t>捷克共和国共有</w:t>
      </w:r>
      <w:r>
        <w:rPr>
          <w:snapToGrid/>
          <w:szCs w:val="24"/>
        </w:rPr>
        <w:t>48951</w:t>
      </w:r>
      <w:r>
        <w:rPr>
          <w:rFonts w:hint="eastAsia"/>
          <w:snapToGrid/>
          <w:szCs w:val="24"/>
        </w:rPr>
        <w:t>名残疾人</w:t>
      </w:r>
      <w:r>
        <w:rPr>
          <w:snapToGrid/>
          <w:szCs w:val="24"/>
        </w:rPr>
        <w:t>，</w:t>
      </w:r>
      <w:r>
        <w:rPr>
          <w:rFonts w:hint="eastAsia"/>
          <w:snapToGrid/>
          <w:szCs w:val="24"/>
        </w:rPr>
        <w:t>但仅有</w:t>
      </w:r>
      <w:r>
        <w:rPr>
          <w:snapToGrid/>
          <w:szCs w:val="24"/>
        </w:rPr>
        <w:t>l242</w:t>
      </w:r>
      <w:r>
        <w:rPr>
          <w:rFonts w:hint="eastAsia"/>
          <w:snapToGrid/>
          <w:szCs w:val="24"/>
        </w:rPr>
        <w:t>个残疾公民职位</w:t>
      </w:r>
      <w:r>
        <w:rPr>
          <w:snapToGrid/>
          <w:szCs w:val="24"/>
        </w:rPr>
        <w:t>(</w:t>
      </w:r>
      <w:r>
        <w:rPr>
          <w:rFonts w:hint="eastAsia"/>
          <w:snapToGrid/>
          <w:szCs w:val="24"/>
        </w:rPr>
        <w:t>劳动局的统计</w:t>
      </w:r>
      <w:r>
        <w:rPr>
          <w:snapToGrid/>
          <w:szCs w:val="24"/>
        </w:rPr>
        <w:t>)</w:t>
      </w:r>
      <w:r>
        <w:rPr>
          <w:rFonts w:hint="eastAsia"/>
          <w:snapToGrid/>
          <w:szCs w:val="24"/>
        </w:rPr>
        <w:t>。</w:t>
      </w:r>
    </w:p>
    <w:p w:rsidR="00000000" w:rsidRDefault="00000000">
      <w:pPr>
        <w:spacing w:after="320"/>
        <w:rPr>
          <w:snapToGrid/>
          <w:szCs w:val="24"/>
        </w:rPr>
      </w:pPr>
      <w:r>
        <w:rPr>
          <w:rFonts w:hint="eastAsia"/>
          <w:snapToGrid/>
          <w:szCs w:val="24"/>
        </w:rPr>
        <w:tab/>
      </w:r>
      <w:r>
        <w:rPr>
          <w:snapToGrid/>
          <w:szCs w:val="24"/>
        </w:rPr>
        <w:t xml:space="preserve">226.  </w:t>
      </w:r>
      <w:r>
        <w:rPr>
          <w:rFonts w:hint="eastAsia"/>
          <w:snapToGrid/>
          <w:szCs w:val="24"/>
        </w:rPr>
        <w:t>过去十年的经验表明</w:t>
      </w:r>
      <w:r>
        <w:rPr>
          <w:snapToGrid/>
          <w:szCs w:val="24"/>
        </w:rPr>
        <w:t>，</w:t>
      </w:r>
      <w:r>
        <w:rPr>
          <w:rFonts w:hint="eastAsia"/>
          <w:snapToGrid/>
          <w:szCs w:val="24"/>
        </w:rPr>
        <w:t>从狭窄的一个部的角度看待人口健康和就业问题十分不够。与残疾有关的经济损失不仅直接产生于领取福利津贴和养恤金</w:t>
      </w:r>
      <w:r>
        <w:rPr>
          <w:snapToGrid/>
          <w:szCs w:val="24"/>
        </w:rPr>
        <w:t>，</w:t>
      </w:r>
      <w:r>
        <w:rPr>
          <w:rFonts w:hint="eastAsia"/>
          <w:snapToGrid/>
          <w:szCs w:val="24"/>
        </w:rPr>
        <w:t>也间接产生于残疾人不参加国内生产总值的创造。此外</w:t>
      </w:r>
      <w:r>
        <w:rPr>
          <w:snapToGrid/>
          <w:szCs w:val="24"/>
        </w:rPr>
        <w:t>，</w:t>
      </w:r>
      <w:r>
        <w:rPr>
          <w:rFonts w:hint="eastAsia"/>
          <w:snapToGrid/>
          <w:szCs w:val="24"/>
        </w:rPr>
        <w:t>还有其他损失</w:t>
      </w:r>
      <w:r>
        <w:rPr>
          <w:snapToGrid/>
          <w:szCs w:val="24"/>
        </w:rPr>
        <w:t>，</w:t>
      </w:r>
      <w:r>
        <w:rPr>
          <w:rFonts w:hint="eastAsia"/>
          <w:snapToGrid/>
          <w:szCs w:val="24"/>
        </w:rPr>
        <w:t>如无法利用教育、能力和经验</w:t>
      </w:r>
      <w:r>
        <w:rPr>
          <w:snapToGrid/>
          <w:szCs w:val="24"/>
        </w:rPr>
        <w:t>，</w:t>
      </w:r>
      <w:r>
        <w:rPr>
          <w:rFonts w:hint="eastAsia"/>
          <w:snapToGrid/>
          <w:szCs w:val="24"/>
        </w:rPr>
        <w:t>照顾残疾人的亲属减少对创造国内生产总值的参与</w:t>
      </w:r>
      <w:r>
        <w:rPr>
          <w:snapToGrid/>
          <w:szCs w:val="24"/>
        </w:rPr>
        <w:t>，</w:t>
      </w:r>
      <w:r>
        <w:rPr>
          <w:rFonts w:hint="eastAsia"/>
          <w:snapToGrid/>
          <w:szCs w:val="24"/>
        </w:rPr>
        <w:t>统计表明需要增加对无法康复者的医疗保健。残疾人实际领取津贴的先决条件是</w:t>
      </w:r>
      <w:r>
        <w:rPr>
          <w:snapToGrid/>
          <w:szCs w:val="24"/>
        </w:rPr>
        <w:t>，</w:t>
      </w:r>
      <w:r>
        <w:rPr>
          <w:rFonts w:hint="eastAsia"/>
          <w:snapToGrid/>
          <w:szCs w:val="24"/>
        </w:rPr>
        <w:t>依据世界卫生组织建议标准对残疾程度进行评价后实行统一康复制度。</w:t>
      </w:r>
      <w:r>
        <w:rPr>
          <w:rStyle w:val="EndnoteReference"/>
          <w:snapToGrid/>
        </w:rPr>
        <w:endnoteReference w:id="139"/>
      </w:r>
      <w:r>
        <w:rPr>
          <w:rFonts w:hint="eastAsia"/>
          <w:snapToGrid/>
          <w:szCs w:val="24"/>
        </w:rPr>
        <w:t xml:space="preserve">  </w:t>
      </w:r>
      <w:r>
        <w:rPr>
          <w:snapToGrid/>
          <w:szCs w:val="24"/>
        </w:rPr>
        <w:t>1999</w:t>
      </w:r>
      <w:r>
        <w:rPr>
          <w:rFonts w:hint="eastAsia"/>
          <w:snapToGrid/>
          <w:szCs w:val="24"/>
        </w:rPr>
        <w:t>年</w:t>
      </w:r>
      <w:r>
        <w:rPr>
          <w:snapToGrid/>
          <w:szCs w:val="24"/>
        </w:rPr>
        <w:t>5</w:t>
      </w:r>
      <w:r>
        <w:rPr>
          <w:rFonts w:hint="eastAsia"/>
          <w:snapToGrid/>
          <w:szCs w:val="24"/>
        </w:rPr>
        <w:t>月</w:t>
      </w:r>
      <w:r>
        <w:rPr>
          <w:snapToGrid/>
          <w:szCs w:val="24"/>
        </w:rPr>
        <w:t>，</w:t>
      </w:r>
      <w:r>
        <w:rPr>
          <w:rFonts w:hint="eastAsia"/>
          <w:snapToGrid/>
          <w:szCs w:val="24"/>
        </w:rPr>
        <w:t>政府在决议</w:t>
      </w:r>
      <w:r>
        <w:rPr>
          <w:rStyle w:val="EndnoteReference"/>
          <w:snapToGrid/>
        </w:rPr>
        <w:endnoteReference w:id="140"/>
      </w:r>
      <w:r>
        <w:rPr>
          <w:rFonts w:hint="eastAsia"/>
          <w:snapToGrid/>
          <w:szCs w:val="24"/>
        </w:rPr>
        <w:t xml:space="preserve"> </w:t>
      </w:r>
      <w:r>
        <w:rPr>
          <w:rFonts w:hint="eastAsia"/>
          <w:snapToGrid/>
          <w:szCs w:val="24"/>
        </w:rPr>
        <w:t>中责成劳动和社会事务部在</w:t>
      </w:r>
      <w:r>
        <w:rPr>
          <w:snapToGrid/>
          <w:szCs w:val="24"/>
        </w:rPr>
        <w:t>2000</w:t>
      </w:r>
      <w:r>
        <w:rPr>
          <w:rFonts w:hint="eastAsia"/>
          <w:snapToGrid/>
          <w:szCs w:val="24"/>
        </w:rPr>
        <w:t>年年中前编写一份“统一康复概念”草案</w:t>
      </w:r>
      <w:r>
        <w:rPr>
          <w:rFonts w:hint="eastAsia"/>
          <w:snapToGrid/>
          <w:szCs w:val="24"/>
        </w:rPr>
        <w:t>(</w:t>
      </w:r>
      <w:r>
        <w:rPr>
          <w:snapToGrid/>
          <w:szCs w:val="24"/>
        </w:rPr>
        <w:t>2001</w:t>
      </w:r>
      <w:r>
        <w:rPr>
          <w:rFonts w:hint="eastAsia"/>
          <w:snapToGrid/>
          <w:szCs w:val="24"/>
        </w:rPr>
        <w:t>年</w:t>
      </w:r>
      <w:r>
        <w:rPr>
          <w:snapToGrid/>
          <w:szCs w:val="24"/>
        </w:rPr>
        <w:t>1</w:t>
      </w:r>
      <w:r>
        <w:rPr>
          <w:rFonts w:hint="eastAsia"/>
          <w:snapToGrid/>
          <w:szCs w:val="24"/>
        </w:rPr>
        <w:t>月</w:t>
      </w:r>
      <w:r>
        <w:rPr>
          <w:snapToGrid/>
          <w:szCs w:val="24"/>
        </w:rPr>
        <w:t>1</w:t>
      </w:r>
      <w:r>
        <w:rPr>
          <w:rFonts w:hint="eastAsia"/>
          <w:snapToGrid/>
          <w:szCs w:val="24"/>
        </w:rPr>
        <w:t>日生效</w:t>
      </w:r>
      <w:r>
        <w:rPr>
          <w:snapToGrid/>
          <w:szCs w:val="24"/>
        </w:rPr>
        <w:t>)</w:t>
      </w:r>
      <w:r>
        <w:rPr>
          <w:rFonts w:hint="eastAsia"/>
          <w:snapToGrid/>
          <w:szCs w:val="24"/>
        </w:rPr>
        <w:t>。</w:t>
      </w:r>
    </w:p>
    <w:p w:rsidR="00000000" w:rsidRDefault="00000000">
      <w:pPr>
        <w:pStyle w:val="Heading4"/>
      </w:pPr>
      <w:r>
        <w:rPr>
          <w:rFonts w:hint="eastAsia"/>
        </w:rPr>
        <w:t>对担任某些职位的限制</w:t>
      </w:r>
    </w:p>
    <w:p w:rsidR="00000000" w:rsidRDefault="00000000">
      <w:pPr>
        <w:rPr>
          <w:rFonts w:hint="eastAsia"/>
          <w:snapToGrid/>
          <w:szCs w:val="24"/>
        </w:rPr>
      </w:pPr>
      <w:r>
        <w:rPr>
          <w:rFonts w:hint="eastAsia"/>
          <w:snapToGrid/>
          <w:szCs w:val="24"/>
        </w:rPr>
        <w:tab/>
      </w:r>
      <w:r>
        <w:rPr>
          <w:snapToGrid/>
          <w:szCs w:val="24"/>
        </w:rPr>
        <w:t xml:space="preserve">227.  </w:t>
      </w:r>
      <w:r>
        <w:rPr>
          <w:rFonts w:hint="eastAsia"/>
          <w:snapToGrid/>
          <w:szCs w:val="24"/>
        </w:rPr>
        <w:t>为了限制与</w:t>
      </w:r>
      <w:r>
        <w:rPr>
          <w:snapToGrid/>
          <w:szCs w:val="24"/>
        </w:rPr>
        <w:t>1989</w:t>
      </w:r>
      <w:r>
        <w:rPr>
          <w:rFonts w:hint="eastAsia"/>
          <w:snapToGrid/>
          <w:szCs w:val="24"/>
        </w:rPr>
        <w:t>年以前政权有密切联系的人在重要公职上或在国家镇压权力机构主管职位中的影响力</w:t>
      </w:r>
      <w:r>
        <w:rPr>
          <w:snapToGrid/>
          <w:szCs w:val="24"/>
        </w:rPr>
        <w:t>，</w:t>
      </w:r>
      <w:r>
        <w:rPr>
          <w:rFonts w:hint="eastAsia"/>
          <w:snapToGrid/>
          <w:szCs w:val="24"/>
        </w:rPr>
        <w:t>颁布了两项所谓的</w:t>
      </w:r>
      <w:r>
        <w:rPr>
          <w:snapToGrid/>
          <w:szCs w:val="24"/>
        </w:rPr>
        <w:t>“</w:t>
      </w:r>
      <w:r>
        <w:rPr>
          <w:rFonts w:hint="eastAsia"/>
          <w:snapToGrid/>
          <w:szCs w:val="24"/>
        </w:rPr>
        <w:t>清理法</w:t>
      </w:r>
      <w:r>
        <w:rPr>
          <w:snapToGrid/>
          <w:szCs w:val="24"/>
        </w:rPr>
        <w:t>”</w:t>
      </w:r>
      <w:r>
        <w:rPr>
          <w:snapToGrid/>
          <w:szCs w:val="24"/>
        </w:rPr>
        <w:t>；</w:t>
      </w:r>
      <w:r>
        <w:rPr>
          <w:rFonts w:hint="eastAsia"/>
          <w:snapToGrid/>
          <w:szCs w:val="24"/>
        </w:rPr>
        <w:t>联邦法律《关于担任国家机构和组织某些职务的某些其他要求》</w:t>
      </w:r>
      <w:r>
        <w:rPr>
          <w:rStyle w:val="EndnoteReference"/>
          <w:snapToGrid/>
        </w:rPr>
        <w:endnoteReference w:id="141"/>
      </w:r>
      <w:r>
        <w:rPr>
          <w:rFonts w:hint="eastAsia"/>
          <w:snapToGrid/>
          <w:szCs w:val="24"/>
        </w:rPr>
        <w:t xml:space="preserve"> </w:t>
      </w:r>
      <w:r>
        <w:rPr>
          <w:rFonts w:hint="eastAsia"/>
          <w:snapToGrid/>
          <w:szCs w:val="24"/>
        </w:rPr>
        <w:t>和捷克共和国国务委员会补充法令《关于通过指定或任命担任某些警察和狱警职务的某些补充要求》。</w:t>
      </w:r>
      <w:r>
        <w:rPr>
          <w:rStyle w:val="EndnoteReference"/>
          <w:snapToGrid/>
        </w:rPr>
        <w:endnoteReference w:id="142"/>
      </w:r>
    </w:p>
    <w:p w:rsidR="00000000" w:rsidRDefault="00000000">
      <w:pPr>
        <w:rPr>
          <w:snapToGrid/>
          <w:szCs w:val="26"/>
        </w:rPr>
      </w:pPr>
      <w:r>
        <w:rPr>
          <w:rFonts w:hint="eastAsia"/>
          <w:snapToGrid/>
          <w:szCs w:val="24"/>
        </w:rPr>
        <w:tab/>
      </w:r>
      <w:r>
        <w:rPr>
          <w:snapToGrid/>
          <w:szCs w:val="24"/>
        </w:rPr>
        <w:t xml:space="preserve">228.  </w:t>
      </w:r>
      <w:r>
        <w:rPr>
          <w:rFonts w:hint="eastAsia"/>
          <w:snapToGrid/>
          <w:szCs w:val="24"/>
        </w:rPr>
        <w:t>这些法律所指的重要职务是指由选举、任命或指定填补的国家行政机构、军队、安全情报部门、共和国总统办公厅、政府办公厅、最高法庭和宪法法院、科学院主席团、广播和电视、国家公司和组织、国家基金和金</w:t>
      </w:r>
      <w:r>
        <w:rPr>
          <w:rFonts w:hint="eastAsia"/>
          <w:snapToGrid/>
          <w:szCs w:val="26"/>
        </w:rPr>
        <w:t>融机构、包括捷克国家银行中的职务。这些法律也适用于法官、检察官和司法学员</w:t>
      </w:r>
      <w:r>
        <w:rPr>
          <w:snapToGrid/>
          <w:szCs w:val="26"/>
        </w:rPr>
        <w:t>，</w:t>
      </w:r>
      <w:r>
        <w:rPr>
          <w:rFonts w:hint="eastAsia"/>
          <w:snapToGrid/>
          <w:szCs w:val="26"/>
        </w:rPr>
        <w:t>并为担任某些特许职务规定了可靠性条件。</w:t>
      </w:r>
      <w:r>
        <w:rPr>
          <w:rStyle w:val="EndnoteReference"/>
          <w:snapToGrid/>
        </w:rPr>
        <w:endnoteReference w:id="143"/>
      </w:r>
    </w:p>
    <w:p w:rsidR="00000000" w:rsidRDefault="00000000">
      <w:pPr>
        <w:rPr>
          <w:snapToGrid/>
          <w:szCs w:val="26"/>
        </w:rPr>
      </w:pPr>
      <w:r>
        <w:rPr>
          <w:rFonts w:hint="eastAsia"/>
          <w:snapToGrid/>
          <w:szCs w:val="26"/>
        </w:rPr>
        <w:tab/>
      </w:r>
      <w:r>
        <w:rPr>
          <w:snapToGrid/>
          <w:szCs w:val="26"/>
        </w:rPr>
        <w:t xml:space="preserve">229.  </w:t>
      </w:r>
      <w:r>
        <w:rPr>
          <w:rFonts w:hint="eastAsia"/>
          <w:snapToGrid/>
          <w:szCs w:val="26"/>
        </w:rPr>
        <w:t>依法担任这些职务的一个要求是</w:t>
      </w:r>
      <w:r>
        <w:rPr>
          <w:snapToGrid/>
          <w:szCs w:val="26"/>
        </w:rPr>
        <w:t>，</w:t>
      </w:r>
      <w:r>
        <w:rPr>
          <w:rFonts w:hint="eastAsia"/>
          <w:snapToGrid/>
          <w:szCs w:val="26"/>
        </w:rPr>
        <w:t>有关人员从</w:t>
      </w:r>
      <w:r>
        <w:rPr>
          <w:snapToGrid/>
          <w:szCs w:val="26"/>
        </w:rPr>
        <w:t>1948</w:t>
      </w:r>
      <w:r>
        <w:rPr>
          <w:rFonts w:hint="eastAsia"/>
          <w:snapToGrid/>
          <w:szCs w:val="26"/>
        </w:rPr>
        <w:t>年</w:t>
      </w:r>
      <w:r>
        <w:rPr>
          <w:snapToGrid/>
          <w:szCs w:val="26"/>
        </w:rPr>
        <w:t>2</w:t>
      </w:r>
      <w:r>
        <w:rPr>
          <w:rFonts w:hint="eastAsia"/>
          <w:snapToGrid/>
          <w:szCs w:val="26"/>
        </w:rPr>
        <w:t>月</w:t>
      </w:r>
      <w:r>
        <w:rPr>
          <w:snapToGrid/>
          <w:szCs w:val="26"/>
        </w:rPr>
        <w:t>5</w:t>
      </w:r>
      <w:r>
        <w:rPr>
          <w:rFonts w:hint="eastAsia"/>
          <w:snapToGrid/>
          <w:szCs w:val="26"/>
        </w:rPr>
        <w:t>日到</w:t>
      </w:r>
      <w:r>
        <w:rPr>
          <w:snapToGrid/>
          <w:szCs w:val="26"/>
        </w:rPr>
        <w:t>1989</w:t>
      </w:r>
      <w:r>
        <w:rPr>
          <w:rFonts w:hint="eastAsia"/>
          <w:snapToGrid/>
          <w:szCs w:val="26"/>
        </w:rPr>
        <w:t>年</w:t>
      </w:r>
      <w:r>
        <w:rPr>
          <w:snapToGrid/>
          <w:szCs w:val="26"/>
        </w:rPr>
        <w:t>11</w:t>
      </w:r>
      <w:r>
        <w:rPr>
          <w:rFonts w:hint="eastAsia"/>
          <w:snapToGrid/>
          <w:szCs w:val="26"/>
        </w:rPr>
        <w:t>月</w:t>
      </w:r>
      <w:r>
        <w:rPr>
          <w:snapToGrid/>
          <w:szCs w:val="26"/>
        </w:rPr>
        <w:t>17</w:t>
      </w:r>
      <w:r>
        <w:rPr>
          <w:rFonts w:hint="eastAsia"/>
          <w:snapToGrid/>
          <w:szCs w:val="26"/>
        </w:rPr>
        <w:t>日不是国家安全警察成员</w:t>
      </w:r>
      <w:r>
        <w:rPr>
          <w:snapToGrid/>
          <w:szCs w:val="26"/>
        </w:rPr>
        <w:t>，</w:t>
      </w:r>
      <w:r>
        <w:rPr>
          <w:rFonts w:hint="eastAsia"/>
          <w:snapToGrid/>
          <w:szCs w:val="26"/>
        </w:rPr>
        <w:t>未登记为国家安全警察中某些类别的自觉合作者</w:t>
      </w:r>
      <w:r>
        <w:rPr>
          <w:snapToGrid/>
          <w:szCs w:val="26"/>
        </w:rPr>
        <w:t>，</w:t>
      </w:r>
      <w:r>
        <w:rPr>
          <w:rFonts w:hint="eastAsia"/>
          <w:snapToGrid/>
          <w:szCs w:val="26"/>
        </w:rPr>
        <w:t>不是区级以上捷克斯洛伐克共产党机构的书记</w:t>
      </w:r>
      <w:r>
        <w:rPr>
          <w:snapToGrid/>
          <w:szCs w:val="26"/>
        </w:rPr>
        <w:t>，</w:t>
      </w:r>
      <w:r>
        <w:rPr>
          <w:rFonts w:hint="eastAsia"/>
          <w:snapToGrid/>
          <w:szCs w:val="26"/>
        </w:rPr>
        <w:t>不是党中央委员会成员</w:t>
      </w:r>
      <w:r>
        <w:rPr>
          <w:snapToGrid/>
          <w:szCs w:val="26"/>
        </w:rPr>
        <w:t>，</w:t>
      </w:r>
      <w:r>
        <w:rPr>
          <w:rFonts w:hint="eastAsia"/>
          <w:snapToGrid/>
          <w:szCs w:val="26"/>
        </w:rPr>
        <w:t>不是这些机构政治机关的雇员</w:t>
      </w:r>
      <w:r>
        <w:rPr>
          <w:snapToGrid/>
          <w:szCs w:val="26"/>
        </w:rPr>
        <w:t>，</w:t>
      </w:r>
      <w:r>
        <w:rPr>
          <w:snapToGrid/>
          <w:szCs w:val="26"/>
        </w:rPr>
        <w:t>194</w:t>
      </w:r>
      <w:r>
        <w:rPr>
          <w:rFonts w:hint="eastAsia"/>
          <w:snapToGrid/>
          <w:szCs w:val="26"/>
        </w:rPr>
        <w:t>8</w:t>
      </w:r>
      <w:r>
        <w:rPr>
          <w:rFonts w:hint="eastAsia"/>
          <w:snapToGrid/>
          <w:szCs w:val="26"/>
        </w:rPr>
        <w:t>年和</w:t>
      </w:r>
      <w:r>
        <w:rPr>
          <w:snapToGrid/>
          <w:szCs w:val="26"/>
        </w:rPr>
        <w:t>1968</w:t>
      </w:r>
      <w:r>
        <w:rPr>
          <w:rFonts w:hint="eastAsia"/>
          <w:snapToGrid/>
          <w:szCs w:val="26"/>
        </w:rPr>
        <w:t>年以后不是</w:t>
      </w:r>
      <w:r>
        <w:rPr>
          <w:snapToGrid/>
          <w:szCs w:val="26"/>
        </w:rPr>
        <w:t>"</w:t>
      </w:r>
      <w:r>
        <w:rPr>
          <w:rFonts w:hint="eastAsia"/>
          <w:snapToGrid/>
          <w:szCs w:val="26"/>
        </w:rPr>
        <w:t>清洗</w:t>
      </w:r>
      <w:r>
        <w:rPr>
          <w:snapToGrid/>
          <w:szCs w:val="26"/>
        </w:rPr>
        <w:t>"</w:t>
      </w:r>
      <w:r>
        <w:rPr>
          <w:rFonts w:hint="eastAsia"/>
          <w:snapToGrid/>
          <w:szCs w:val="26"/>
        </w:rPr>
        <w:t>委员会或行动委员会成员</w:t>
      </w:r>
      <w:r>
        <w:rPr>
          <w:snapToGrid/>
          <w:szCs w:val="26"/>
        </w:rPr>
        <w:t>，</w:t>
      </w:r>
      <w:r>
        <w:rPr>
          <w:rFonts w:hint="eastAsia"/>
          <w:snapToGrid/>
          <w:szCs w:val="26"/>
        </w:rPr>
        <w:t>不是人民民兵成员</w:t>
      </w:r>
      <w:r>
        <w:rPr>
          <w:snapToGrid/>
          <w:szCs w:val="26"/>
        </w:rPr>
        <w:t>，</w:t>
      </w:r>
      <w:r>
        <w:rPr>
          <w:rFonts w:hint="eastAsia"/>
          <w:snapToGrid/>
          <w:szCs w:val="26"/>
        </w:rPr>
        <w:t>不是培养政治工作者和国家安全警察大学的学生或某些苏联大学学生。</w:t>
      </w:r>
    </w:p>
    <w:p w:rsidR="00000000" w:rsidRDefault="00000000">
      <w:pPr>
        <w:rPr>
          <w:snapToGrid/>
          <w:szCs w:val="26"/>
        </w:rPr>
      </w:pPr>
      <w:r>
        <w:rPr>
          <w:rFonts w:hint="eastAsia"/>
          <w:snapToGrid/>
          <w:szCs w:val="26"/>
        </w:rPr>
        <w:tab/>
      </w:r>
      <w:r>
        <w:rPr>
          <w:snapToGrid/>
          <w:szCs w:val="26"/>
        </w:rPr>
        <w:t>230.  "</w:t>
      </w:r>
      <w:r>
        <w:rPr>
          <w:rFonts w:hint="eastAsia"/>
          <w:snapToGrid/>
          <w:szCs w:val="26"/>
        </w:rPr>
        <w:t>清理法</w:t>
      </w:r>
      <w:r>
        <w:rPr>
          <w:snapToGrid/>
          <w:szCs w:val="26"/>
        </w:rPr>
        <w:t>"</w:t>
      </w:r>
      <w:r>
        <w:rPr>
          <w:rFonts w:hint="eastAsia"/>
          <w:snapToGrid/>
          <w:szCs w:val="26"/>
        </w:rPr>
        <w:t>的辩护者说</w:t>
      </w:r>
      <w:r>
        <w:rPr>
          <w:snapToGrid/>
          <w:szCs w:val="26"/>
        </w:rPr>
        <w:t>，</w:t>
      </w:r>
      <w:r>
        <w:rPr>
          <w:rFonts w:hint="eastAsia"/>
          <w:snapToGrid/>
          <w:szCs w:val="26"/>
        </w:rPr>
        <w:t>这些法律是保护新生民主秩序的预防措施。反对者批评“清理法”，说它们实际上成为了追溯性法外处罚的措施</w:t>
      </w:r>
      <w:r>
        <w:rPr>
          <w:snapToGrid/>
          <w:szCs w:val="26"/>
        </w:rPr>
        <w:t>，</w:t>
      </w:r>
      <w:r>
        <w:rPr>
          <w:rFonts w:hint="eastAsia"/>
          <w:snapToGrid/>
          <w:szCs w:val="26"/>
        </w:rPr>
        <w:t>是不可接受的。他们还批评说</w:t>
      </w:r>
      <w:r>
        <w:rPr>
          <w:snapToGrid/>
          <w:szCs w:val="26"/>
        </w:rPr>
        <w:t>，</w:t>
      </w:r>
      <w:r>
        <w:rPr>
          <w:rFonts w:hint="eastAsia"/>
          <w:snapToGrid/>
          <w:szCs w:val="26"/>
        </w:rPr>
        <w:t>这些法律对某些种类人员实行整体处罚</w:t>
      </w:r>
      <w:r>
        <w:rPr>
          <w:snapToGrid/>
          <w:szCs w:val="26"/>
        </w:rPr>
        <w:t>，</w:t>
      </w:r>
      <w:r>
        <w:rPr>
          <w:rFonts w:hint="eastAsia"/>
          <w:snapToGrid/>
          <w:szCs w:val="26"/>
        </w:rPr>
        <w:t>而不是分别审查罪行。</w:t>
      </w:r>
      <w:r>
        <w:rPr>
          <w:rStyle w:val="EndnoteReference"/>
          <w:snapToGrid/>
        </w:rPr>
        <w:endnoteReference w:id="144"/>
      </w:r>
      <w:r>
        <w:rPr>
          <w:rFonts w:hint="eastAsia"/>
          <w:snapToGrid/>
          <w:szCs w:val="26"/>
        </w:rPr>
        <w:t xml:space="preserve">  </w:t>
      </w:r>
      <w:r>
        <w:rPr>
          <w:rFonts w:hint="eastAsia"/>
          <w:snapToGrid/>
          <w:szCs w:val="26"/>
        </w:rPr>
        <w:t>这些规章的最后有效日期是</w:t>
      </w:r>
      <w:r>
        <w:rPr>
          <w:snapToGrid/>
          <w:szCs w:val="26"/>
        </w:rPr>
        <w:t>2000</w:t>
      </w:r>
      <w:r>
        <w:rPr>
          <w:rFonts w:hint="eastAsia"/>
          <w:snapToGrid/>
          <w:szCs w:val="26"/>
        </w:rPr>
        <w:t>年</w:t>
      </w:r>
      <w:r>
        <w:rPr>
          <w:snapToGrid/>
          <w:szCs w:val="26"/>
        </w:rPr>
        <w:t>12</w:t>
      </w:r>
      <w:r>
        <w:rPr>
          <w:rFonts w:hint="eastAsia"/>
          <w:snapToGrid/>
          <w:szCs w:val="26"/>
        </w:rPr>
        <w:t>月</w:t>
      </w:r>
      <w:r>
        <w:rPr>
          <w:snapToGrid/>
          <w:szCs w:val="26"/>
        </w:rPr>
        <w:t>13</w:t>
      </w:r>
      <w:r>
        <w:rPr>
          <w:rFonts w:hint="eastAsia"/>
          <w:snapToGrid/>
          <w:szCs w:val="26"/>
        </w:rPr>
        <w:t>日。</w:t>
      </w:r>
      <w:r>
        <w:rPr>
          <w:rStyle w:val="EndnoteReference"/>
          <w:snapToGrid/>
        </w:rPr>
        <w:endnoteReference w:id="145"/>
      </w:r>
    </w:p>
    <w:p w:rsidR="00000000" w:rsidRDefault="00000000">
      <w:pPr>
        <w:spacing w:after="320"/>
        <w:rPr>
          <w:rFonts w:hint="eastAsia"/>
          <w:snapToGrid/>
          <w:szCs w:val="26"/>
        </w:rPr>
      </w:pPr>
      <w:r>
        <w:rPr>
          <w:rFonts w:hint="eastAsia"/>
          <w:snapToGrid/>
          <w:szCs w:val="26"/>
        </w:rPr>
        <w:tab/>
      </w:r>
      <w:r>
        <w:rPr>
          <w:snapToGrid/>
          <w:szCs w:val="26"/>
        </w:rPr>
        <w:t xml:space="preserve">231.  </w:t>
      </w:r>
      <w:r>
        <w:rPr>
          <w:rFonts w:hint="eastAsia"/>
          <w:snapToGrid/>
          <w:szCs w:val="26"/>
        </w:rPr>
        <w:t>国际劳工组织检查机构承认在向民主过渡时期这些“清理法”具有重要意义</w:t>
      </w:r>
      <w:r>
        <w:rPr>
          <w:snapToGrid/>
          <w:szCs w:val="26"/>
        </w:rPr>
        <w:t>，</w:t>
      </w:r>
      <w:r>
        <w:rPr>
          <w:rFonts w:hint="eastAsia"/>
          <w:snapToGrid/>
          <w:szCs w:val="26"/>
        </w:rPr>
        <w:t>但欢迎限制它们的时间。它们批评说有关法律适用的范围过宽</w:t>
      </w:r>
      <w:r>
        <w:rPr>
          <w:snapToGrid/>
          <w:szCs w:val="26"/>
        </w:rPr>
        <w:t>，</w:t>
      </w:r>
      <w:r>
        <w:rPr>
          <w:rFonts w:hint="eastAsia"/>
          <w:snapToGrid/>
          <w:szCs w:val="26"/>
        </w:rPr>
        <w:t>特别是在填补国家机关职务的情况下。欧洲委员会也对这些法律予以批评。</w:t>
      </w:r>
    </w:p>
    <w:p w:rsidR="00000000" w:rsidRDefault="00000000">
      <w:pPr>
        <w:pStyle w:val="Heading4"/>
        <w:spacing w:after="160"/>
      </w:pPr>
      <w:r>
        <w:rPr>
          <w:rFonts w:hint="eastAsia"/>
        </w:rPr>
        <w:t>第</w:t>
      </w:r>
      <w:r>
        <w:rPr>
          <w:rFonts w:hint="eastAsia"/>
        </w:rPr>
        <w:t xml:space="preserve"> </w:t>
      </w:r>
      <w:r>
        <w:rPr>
          <w:bCs/>
        </w:rPr>
        <w:t>2</w:t>
      </w:r>
      <w:r>
        <w:rPr>
          <w:rFonts w:hint="eastAsia"/>
          <w:b/>
        </w:rPr>
        <w:t xml:space="preserve"> </w:t>
      </w:r>
      <w:r>
        <w:rPr>
          <w:rFonts w:hint="eastAsia"/>
        </w:rPr>
        <w:t>款</w:t>
      </w:r>
    </w:p>
    <w:p w:rsidR="00000000" w:rsidRDefault="00000000">
      <w:pPr>
        <w:rPr>
          <w:snapToGrid/>
          <w:szCs w:val="26"/>
        </w:rPr>
      </w:pPr>
      <w:r>
        <w:rPr>
          <w:rFonts w:hint="eastAsia"/>
          <w:snapToGrid/>
          <w:szCs w:val="26"/>
        </w:rPr>
        <w:tab/>
      </w:r>
      <w:r>
        <w:rPr>
          <w:snapToGrid/>
          <w:szCs w:val="26"/>
        </w:rPr>
        <w:t xml:space="preserve">232.  </w:t>
      </w:r>
      <w:r>
        <w:rPr>
          <w:rFonts w:hint="eastAsia"/>
          <w:snapToGrid/>
          <w:szCs w:val="26"/>
        </w:rPr>
        <w:t>捷克共和国政府设立了公共职业介绍服务系统</w:t>
      </w:r>
      <w:r>
        <w:rPr>
          <w:snapToGrid/>
          <w:szCs w:val="26"/>
        </w:rPr>
        <w:t>(</w:t>
      </w:r>
      <w:r>
        <w:rPr>
          <w:rFonts w:hint="eastAsia"/>
          <w:snapToGrid/>
          <w:szCs w:val="26"/>
        </w:rPr>
        <w:t>劳动局</w:t>
      </w:r>
      <w:r>
        <w:rPr>
          <w:rFonts w:hint="eastAsia"/>
          <w:snapToGrid/>
          <w:szCs w:val="26"/>
        </w:rPr>
        <w:t>)</w:t>
      </w:r>
      <w:r>
        <w:rPr>
          <w:snapToGrid/>
          <w:szCs w:val="26"/>
        </w:rPr>
        <w:t>，</w:t>
      </w:r>
      <w:r>
        <w:rPr>
          <w:rFonts w:hint="eastAsia"/>
          <w:snapToGrid/>
          <w:szCs w:val="26"/>
        </w:rPr>
        <w:t>以便准备、制订和执行就业政策。捷克共和国向世界劳工组织实施公约和建议书专家委员会提交了详细资料</w:t>
      </w:r>
      <w:r>
        <w:rPr>
          <w:snapToGrid/>
          <w:szCs w:val="26"/>
        </w:rPr>
        <w:t>，</w:t>
      </w:r>
      <w:r>
        <w:rPr>
          <w:rFonts w:hint="eastAsia"/>
          <w:snapToGrid/>
          <w:szCs w:val="26"/>
        </w:rPr>
        <w:t>说明积极及消极就业政策的立法和实际措施</w:t>
      </w:r>
      <w:r>
        <w:rPr>
          <w:snapToGrid/>
          <w:szCs w:val="26"/>
        </w:rPr>
        <w:t>，</w:t>
      </w:r>
      <w:r>
        <w:rPr>
          <w:rFonts w:hint="eastAsia"/>
          <w:snapToGrid/>
          <w:szCs w:val="26"/>
        </w:rPr>
        <w:t>以及职业介绍服务机构情况</w:t>
      </w:r>
      <w:r>
        <w:rPr>
          <w:snapToGrid/>
          <w:szCs w:val="26"/>
        </w:rPr>
        <w:t>，</w:t>
      </w:r>
      <w:r>
        <w:rPr>
          <w:rFonts w:hint="eastAsia"/>
          <w:snapToGrid/>
          <w:szCs w:val="26"/>
        </w:rPr>
        <w:t>以促进执行第</w:t>
      </w:r>
      <w:r>
        <w:rPr>
          <w:snapToGrid/>
          <w:szCs w:val="26"/>
        </w:rPr>
        <w:t>122</w:t>
      </w:r>
      <w:r>
        <w:rPr>
          <w:rFonts w:hint="eastAsia"/>
          <w:snapToGrid/>
          <w:szCs w:val="26"/>
        </w:rPr>
        <w:t>号《就业政策公约》、第</w:t>
      </w:r>
      <w:r>
        <w:rPr>
          <w:snapToGrid/>
          <w:szCs w:val="26"/>
        </w:rPr>
        <w:t>159</w:t>
      </w:r>
      <w:r>
        <w:rPr>
          <w:rFonts w:hint="eastAsia"/>
          <w:snapToGrid/>
          <w:szCs w:val="26"/>
        </w:rPr>
        <w:t>号《残疾人职业康复和就业公约》和第</w:t>
      </w:r>
      <w:r>
        <w:rPr>
          <w:snapToGrid/>
          <w:szCs w:val="26"/>
        </w:rPr>
        <w:t>88</w:t>
      </w:r>
      <w:r>
        <w:rPr>
          <w:rFonts w:hint="eastAsia"/>
          <w:snapToGrid/>
          <w:szCs w:val="26"/>
        </w:rPr>
        <w:t>号《职业介绍机构公约》。关于自由就业问题</w:t>
      </w:r>
      <w:r>
        <w:rPr>
          <w:snapToGrid/>
          <w:szCs w:val="26"/>
        </w:rPr>
        <w:t>，</w:t>
      </w:r>
      <w:r>
        <w:rPr>
          <w:rFonts w:hint="eastAsia"/>
          <w:snapToGrid/>
          <w:szCs w:val="26"/>
        </w:rPr>
        <w:t>捷克共和国向国际劳工组织提交了关于执行第</w:t>
      </w:r>
      <w:r>
        <w:rPr>
          <w:snapToGrid/>
          <w:szCs w:val="26"/>
        </w:rPr>
        <w:t>29</w:t>
      </w:r>
      <w:r>
        <w:rPr>
          <w:rFonts w:hint="eastAsia"/>
          <w:snapToGrid/>
          <w:szCs w:val="26"/>
        </w:rPr>
        <w:t>号《强制劳动公约》和第</w:t>
      </w:r>
      <w:r>
        <w:rPr>
          <w:snapToGrid/>
          <w:szCs w:val="26"/>
        </w:rPr>
        <w:t>105</w:t>
      </w:r>
      <w:r>
        <w:rPr>
          <w:rFonts w:hint="eastAsia"/>
          <w:snapToGrid/>
          <w:szCs w:val="26"/>
        </w:rPr>
        <w:t>号《废除强迫劳动公约》情况的报告。第</w:t>
      </w:r>
      <w:r>
        <w:rPr>
          <w:snapToGrid/>
          <w:szCs w:val="26"/>
        </w:rPr>
        <w:t>105</w:t>
      </w:r>
      <w:r>
        <w:rPr>
          <w:rFonts w:hint="eastAsia"/>
          <w:snapToGrid/>
          <w:szCs w:val="26"/>
        </w:rPr>
        <w:t>号公约</w:t>
      </w:r>
      <w:r>
        <w:rPr>
          <w:snapToGrid/>
          <w:szCs w:val="26"/>
        </w:rPr>
        <w:t>1997</w:t>
      </w:r>
      <w:r>
        <w:rPr>
          <w:rFonts w:hint="eastAsia"/>
          <w:snapToGrid/>
          <w:szCs w:val="26"/>
        </w:rPr>
        <w:t>年</w:t>
      </w:r>
      <w:r>
        <w:rPr>
          <w:snapToGrid/>
          <w:szCs w:val="26"/>
        </w:rPr>
        <w:t>8</w:t>
      </w:r>
      <w:r>
        <w:rPr>
          <w:rFonts w:hint="eastAsia"/>
          <w:snapToGrid/>
          <w:szCs w:val="26"/>
        </w:rPr>
        <w:t>月</w:t>
      </w:r>
      <w:r>
        <w:rPr>
          <w:snapToGrid/>
          <w:szCs w:val="26"/>
        </w:rPr>
        <w:t>6</w:t>
      </w:r>
      <w:r>
        <w:rPr>
          <w:rFonts w:hint="eastAsia"/>
          <w:snapToGrid/>
          <w:szCs w:val="26"/>
        </w:rPr>
        <w:t>日对捷克共和国生效</w:t>
      </w:r>
      <w:r>
        <w:rPr>
          <w:snapToGrid/>
          <w:szCs w:val="26"/>
        </w:rPr>
        <w:t>，</w:t>
      </w:r>
      <w:r>
        <w:rPr>
          <w:rFonts w:hint="eastAsia"/>
          <w:snapToGrid/>
          <w:szCs w:val="26"/>
        </w:rPr>
        <w:t>除此之外</w:t>
      </w:r>
      <w:r>
        <w:rPr>
          <w:snapToGrid/>
          <w:szCs w:val="26"/>
        </w:rPr>
        <w:t>，</w:t>
      </w:r>
      <w:r>
        <w:rPr>
          <w:rFonts w:hint="eastAsia"/>
          <w:snapToGrid/>
          <w:szCs w:val="26"/>
        </w:rPr>
        <w:t>所有其他公约都于</w:t>
      </w:r>
      <w:r>
        <w:rPr>
          <w:snapToGrid/>
          <w:szCs w:val="26"/>
        </w:rPr>
        <w:t>1993</w:t>
      </w:r>
      <w:r>
        <w:rPr>
          <w:rFonts w:hint="eastAsia"/>
          <w:snapToGrid/>
          <w:szCs w:val="26"/>
        </w:rPr>
        <w:t>年</w:t>
      </w:r>
      <w:r>
        <w:rPr>
          <w:snapToGrid/>
          <w:szCs w:val="26"/>
        </w:rPr>
        <w:t>1</w:t>
      </w:r>
      <w:r>
        <w:rPr>
          <w:rFonts w:hint="eastAsia"/>
          <w:snapToGrid/>
          <w:szCs w:val="26"/>
        </w:rPr>
        <w:t>月</w:t>
      </w:r>
      <w:r>
        <w:rPr>
          <w:snapToGrid/>
          <w:szCs w:val="26"/>
        </w:rPr>
        <w:t>1</w:t>
      </w:r>
      <w:r>
        <w:rPr>
          <w:rFonts w:hint="eastAsia"/>
          <w:snapToGrid/>
          <w:szCs w:val="26"/>
        </w:rPr>
        <w:t>日对捷克共和国生效。</w:t>
      </w:r>
    </w:p>
    <w:p w:rsidR="00000000" w:rsidRDefault="00000000">
      <w:pPr>
        <w:rPr>
          <w:snapToGrid/>
          <w:szCs w:val="26"/>
        </w:rPr>
      </w:pPr>
      <w:r>
        <w:rPr>
          <w:rFonts w:hint="eastAsia"/>
          <w:snapToGrid/>
          <w:szCs w:val="26"/>
        </w:rPr>
        <w:tab/>
      </w:r>
      <w:r>
        <w:rPr>
          <w:snapToGrid/>
          <w:szCs w:val="26"/>
        </w:rPr>
        <w:t>233.  1975</w:t>
      </w:r>
      <w:r>
        <w:rPr>
          <w:rFonts w:hint="eastAsia"/>
          <w:snapToGrid/>
          <w:szCs w:val="26"/>
        </w:rPr>
        <w:t>年</w:t>
      </w:r>
      <w:r>
        <w:rPr>
          <w:snapToGrid/>
          <w:szCs w:val="26"/>
        </w:rPr>
        <w:t>，</w:t>
      </w:r>
      <w:r>
        <w:rPr>
          <w:rFonts w:hint="eastAsia"/>
          <w:snapToGrid/>
          <w:szCs w:val="26"/>
        </w:rPr>
        <w:t>捷克共和国还批准了国际劳工组织第</w:t>
      </w:r>
      <w:r>
        <w:rPr>
          <w:snapToGrid/>
          <w:szCs w:val="26"/>
        </w:rPr>
        <w:t>140</w:t>
      </w:r>
      <w:r>
        <w:rPr>
          <w:rFonts w:hint="eastAsia"/>
          <w:snapToGrid/>
          <w:szCs w:val="26"/>
        </w:rPr>
        <w:t>号《带薪脱产学习公约》和第</w:t>
      </w:r>
      <w:r>
        <w:rPr>
          <w:snapToGrid/>
          <w:szCs w:val="26"/>
        </w:rPr>
        <w:t>142</w:t>
      </w:r>
      <w:r>
        <w:rPr>
          <w:rFonts w:hint="eastAsia"/>
          <w:snapToGrid/>
          <w:szCs w:val="26"/>
        </w:rPr>
        <w:t>号《开发人力资源公约》。</w:t>
      </w:r>
    </w:p>
    <w:p w:rsidR="00000000" w:rsidRDefault="00000000">
      <w:pPr>
        <w:rPr>
          <w:rFonts w:hint="eastAsia"/>
          <w:snapToGrid/>
          <w:szCs w:val="22"/>
        </w:rPr>
      </w:pPr>
      <w:r>
        <w:rPr>
          <w:rFonts w:hint="eastAsia"/>
          <w:snapToGrid/>
          <w:szCs w:val="26"/>
        </w:rPr>
        <w:tab/>
      </w:r>
      <w:r>
        <w:rPr>
          <w:snapToGrid/>
          <w:szCs w:val="26"/>
        </w:rPr>
        <w:t xml:space="preserve">234.  </w:t>
      </w:r>
      <w:r>
        <w:rPr>
          <w:rFonts w:hint="eastAsia"/>
          <w:snapToGrid/>
          <w:szCs w:val="26"/>
        </w:rPr>
        <w:t>除了上述再培训外</w:t>
      </w:r>
      <w:r>
        <w:rPr>
          <w:snapToGrid/>
          <w:szCs w:val="26"/>
        </w:rPr>
        <w:t>，</w:t>
      </w:r>
      <w:r>
        <w:rPr>
          <w:rFonts w:hint="eastAsia"/>
          <w:snapToGrid/>
          <w:szCs w:val="26"/>
        </w:rPr>
        <w:t>劳动局在执行积极就业政策中</w:t>
      </w:r>
      <w:r>
        <w:rPr>
          <w:snapToGrid/>
          <w:szCs w:val="26"/>
        </w:rPr>
        <w:t>，</w:t>
      </w:r>
      <w:r>
        <w:rPr>
          <w:rFonts w:hint="eastAsia"/>
          <w:snapToGrid/>
          <w:szCs w:val="26"/>
        </w:rPr>
        <w:t>还确保创造新的工作机会</w:t>
      </w:r>
      <w:r>
        <w:rPr>
          <w:snapToGrid/>
          <w:szCs w:val="26"/>
        </w:rPr>
        <w:t>，</w:t>
      </w:r>
      <w:r>
        <w:rPr>
          <w:rFonts w:hint="eastAsia"/>
          <w:snapToGrid/>
          <w:szCs w:val="26"/>
        </w:rPr>
        <w:t>向雇用求职者的雇主提供资助。它们设立对社会有用的工作职位</w:t>
      </w:r>
      <w:r>
        <w:rPr>
          <w:snapToGrid/>
          <w:szCs w:val="26"/>
        </w:rPr>
        <w:t>，</w:t>
      </w:r>
      <w:r>
        <w:rPr>
          <w:rStyle w:val="EndnoteReference"/>
          <w:snapToGrid/>
        </w:rPr>
        <w:endnoteReference w:id="146"/>
      </w:r>
      <w:r>
        <w:rPr>
          <w:rFonts w:hint="eastAsia"/>
          <w:snapToGrid/>
          <w:szCs w:val="26"/>
        </w:rPr>
        <w:t xml:space="preserve"> </w:t>
      </w:r>
      <w:r>
        <w:rPr>
          <w:rFonts w:hint="eastAsia"/>
          <w:snapToGrid/>
          <w:szCs w:val="26"/>
        </w:rPr>
        <w:t>组织公益事业</w:t>
      </w:r>
      <w:r>
        <w:rPr>
          <w:snapToGrid/>
          <w:szCs w:val="26"/>
        </w:rPr>
        <w:t>，</w:t>
      </w:r>
      <w:r>
        <w:rPr>
          <w:rFonts w:hint="eastAsia"/>
          <w:snapToGrid/>
          <w:szCs w:val="26"/>
        </w:rPr>
        <w:t>资助雇主接纳学校毕业生实习或在劳动局注册的</w:t>
      </w:r>
      <w:r>
        <w:rPr>
          <w:rFonts w:hint="eastAsia"/>
          <w:snapToGrid/>
          <w:szCs w:val="22"/>
        </w:rPr>
        <w:t>未成年人学徒</w:t>
      </w:r>
      <w:r>
        <w:rPr>
          <w:snapToGrid/>
          <w:szCs w:val="22"/>
        </w:rPr>
        <w:t>，</w:t>
      </w:r>
      <w:r>
        <w:rPr>
          <w:rFonts w:hint="eastAsia"/>
          <w:snapToGrid/>
          <w:szCs w:val="22"/>
        </w:rPr>
        <w:t>补贴受保护的残疾人工场和工作地点</w:t>
      </w:r>
      <w:r>
        <w:rPr>
          <w:snapToGrid/>
          <w:szCs w:val="22"/>
        </w:rPr>
        <w:t>，</w:t>
      </w:r>
      <w:r>
        <w:rPr>
          <w:rFonts w:hint="eastAsia"/>
          <w:snapToGrid/>
          <w:szCs w:val="22"/>
        </w:rPr>
        <w:t>还向实施新计划的公司提供工资补助，以防止其临时解雇工人。</w:t>
      </w:r>
    </w:p>
    <w:p w:rsidR="00000000" w:rsidRDefault="00000000">
      <w:pPr>
        <w:rPr>
          <w:snapToGrid/>
          <w:szCs w:val="22"/>
        </w:rPr>
      </w:pPr>
      <w:r>
        <w:rPr>
          <w:rFonts w:hint="eastAsia"/>
          <w:snapToGrid/>
          <w:szCs w:val="22"/>
        </w:rPr>
        <w:tab/>
      </w:r>
      <w:r>
        <w:rPr>
          <w:snapToGrid/>
          <w:szCs w:val="22"/>
        </w:rPr>
        <w:t>235.  1999</w:t>
      </w:r>
      <w:r>
        <w:rPr>
          <w:rFonts w:hint="eastAsia"/>
          <w:snapToGrid/>
          <w:szCs w:val="22"/>
        </w:rPr>
        <w:t>年</w:t>
      </w:r>
      <w:r>
        <w:rPr>
          <w:snapToGrid/>
          <w:szCs w:val="22"/>
        </w:rPr>
        <w:t>5</w:t>
      </w:r>
      <w:r>
        <w:rPr>
          <w:rFonts w:hint="eastAsia"/>
          <w:snapToGrid/>
          <w:szCs w:val="22"/>
        </w:rPr>
        <w:t>月</w:t>
      </w:r>
      <w:r>
        <w:rPr>
          <w:snapToGrid/>
          <w:szCs w:val="22"/>
        </w:rPr>
        <w:t>，</w:t>
      </w:r>
      <w:r>
        <w:rPr>
          <w:rFonts w:hint="eastAsia"/>
          <w:snapToGrid/>
          <w:szCs w:val="22"/>
        </w:rPr>
        <w:t>政府批准了一份概念文件</w:t>
      </w:r>
      <w:r>
        <w:rPr>
          <w:rFonts w:hint="eastAsia"/>
          <w:snapToGrid/>
          <w:spacing w:val="-40"/>
          <w:sz w:val="22"/>
          <w:szCs w:val="22"/>
        </w:rPr>
        <w:t>——</w:t>
      </w:r>
      <w:r>
        <w:rPr>
          <w:snapToGrid/>
          <w:sz w:val="22"/>
          <w:szCs w:val="22"/>
        </w:rPr>
        <w:t xml:space="preserve"> </w:t>
      </w:r>
      <w:r>
        <w:rPr>
          <w:rFonts w:hint="eastAsia"/>
          <w:snapToGrid/>
          <w:szCs w:val="22"/>
        </w:rPr>
        <w:t>《国家就业计划》</w:t>
      </w:r>
      <w:r>
        <w:rPr>
          <w:snapToGrid/>
          <w:szCs w:val="22"/>
        </w:rPr>
        <w:t>，</w:t>
      </w:r>
      <w:r>
        <w:rPr>
          <w:rStyle w:val="EndnoteReference"/>
          <w:snapToGrid/>
        </w:rPr>
        <w:endnoteReference w:id="147"/>
      </w:r>
      <w:r>
        <w:rPr>
          <w:rFonts w:hint="eastAsia"/>
          <w:snapToGrid/>
          <w:szCs w:val="22"/>
          <w:vertAlign w:val="superscript"/>
        </w:rPr>
        <w:t xml:space="preserve">  </w:t>
      </w:r>
      <w:r>
        <w:rPr>
          <w:rFonts w:hint="eastAsia"/>
          <w:snapToGrid/>
          <w:szCs w:val="22"/>
        </w:rPr>
        <w:t>并设立了就业问题委员会</w:t>
      </w:r>
      <w:r>
        <w:rPr>
          <w:snapToGrid/>
          <w:szCs w:val="22"/>
        </w:rPr>
        <w:t>，</w:t>
      </w:r>
      <w:r>
        <w:rPr>
          <w:rFonts w:hint="eastAsia"/>
          <w:snapToGrid/>
          <w:szCs w:val="22"/>
        </w:rPr>
        <w:t>作为劳动和社会事务部的协调和协商机构</w:t>
      </w:r>
      <w:r>
        <w:rPr>
          <w:snapToGrid/>
          <w:szCs w:val="22"/>
        </w:rPr>
        <w:t>，</w:t>
      </w:r>
      <w:r>
        <w:rPr>
          <w:rFonts w:hint="eastAsia"/>
          <w:snapToGrid/>
          <w:szCs w:val="22"/>
        </w:rPr>
        <w:t>执行《国家就业计划》过程中采取的主要措施如下</w:t>
      </w:r>
      <w:r>
        <w:rPr>
          <w:snapToGrid/>
          <w:szCs w:val="22"/>
        </w:rPr>
        <w:t>：</w:t>
      </w:r>
    </w:p>
    <w:p w:rsidR="00000000" w:rsidRDefault="00000000">
      <w:pPr>
        <w:numPr>
          <w:ilvl w:val="0"/>
          <w:numId w:val="141"/>
        </w:numPr>
        <w:rPr>
          <w:snapToGrid/>
        </w:rPr>
      </w:pPr>
      <w:r>
        <w:rPr>
          <w:rFonts w:hint="eastAsia"/>
          <w:snapToGrid/>
        </w:rPr>
        <w:t>从</w:t>
      </w:r>
      <w:r>
        <w:rPr>
          <w:snapToGrid/>
        </w:rPr>
        <w:t>2000/2001</w:t>
      </w:r>
      <w:r>
        <w:rPr>
          <w:rFonts w:hint="eastAsia"/>
          <w:snapToGrid/>
        </w:rPr>
        <w:t>学年开始</w:t>
      </w:r>
      <w:r>
        <w:rPr>
          <w:snapToGrid/>
        </w:rPr>
        <w:t>，</w:t>
      </w:r>
      <w:r>
        <w:rPr>
          <w:rFonts w:hint="eastAsia"/>
          <w:snapToGrid/>
        </w:rPr>
        <w:t>逐步改革学校体系特别是中学和中学后职业学校的管理和拨款</w:t>
      </w:r>
      <w:r>
        <w:rPr>
          <w:snapToGrid/>
        </w:rPr>
        <w:t>，</w:t>
      </w:r>
      <w:r>
        <w:rPr>
          <w:rFonts w:hint="eastAsia"/>
          <w:snapToGrid/>
        </w:rPr>
        <w:t>以便通过教育制度创造条件</w:t>
      </w:r>
      <w:r>
        <w:rPr>
          <w:snapToGrid/>
        </w:rPr>
        <w:t>，</w:t>
      </w:r>
      <w:r>
        <w:rPr>
          <w:rFonts w:hint="eastAsia"/>
          <w:snapToGrid/>
        </w:rPr>
        <w:t>保证学校毕业生知识结构与劳动力市场需要之间的平衡</w:t>
      </w:r>
      <w:r>
        <w:rPr>
          <w:snapToGrid/>
        </w:rPr>
        <w:t>；</w:t>
      </w:r>
    </w:p>
    <w:p w:rsidR="00000000" w:rsidRDefault="00000000">
      <w:pPr>
        <w:numPr>
          <w:ilvl w:val="0"/>
          <w:numId w:val="141"/>
        </w:numPr>
        <w:rPr>
          <w:rFonts w:hint="eastAsia"/>
          <w:snapToGrid/>
          <w:spacing w:val="2"/>
        </w:rPr>
      </w:pPr>
      <w:r>
        <w:rPr>
          <w:rFonts w:hint="eastAsia"/>
          <w:snapToGrid/>
          <w:spacing w:val="2"/>
        </w:rPr>
        <w:t>从</w:t>
      </w:r>
      <w:r>
        <w:rPr>
          <w:snapToGrid/>
          <w:spacing w:val="2"/>
        </w:rPr>
        <w:t>2000/2001</w:t>
      </w:r>
      <w:r>
        <w:rPr>
          <w:rFonts w:hint="eastAsia"/>
          <w:snapToGrid/>
          <w:spacing w:val="2"/>
        </w:rPr>
        <w:t>学年开始</w:t>
      </w:r>
      <w:r>
        <w:rPr>
          <w:snapToGrid/>
          <w:spacing w:val="2"/>
        </w:rPr>
        <w:t>，</w:t>
      </w:r>
      <w:r>
        <w:rPr>
          <w:rFonts w:hint="eastAsia"/>
          <w:snapToGrid/>
          <w:spacing w:val="2"/>
        </w:rPr>
        <w:t>逐步在学校特别是在初级学校的教学计划中引入“职业选择”的内容</w:t>
      </w:r>
      <w:r>
        <w:rPr>
          <w:snapToGrid/>
          <w:spacing w:val="2"/>
        </w:rPr>
        <w:t>，</w:t>
      </w:r>
      <w:r>
        <w:rPr>
          <w:rFonts w:hint="eastAsia"/>
          <w:snapToGrid/>
          <w:spacing w:val="2"/>
        </w:rPr>
        <w:t>以培养学生的态度</w:t>
      </w:r>
      <w:r>
        <w:rPr>
          <w:snapToGrid/>
          <w:spacing w:val="2"/>
        </w:rPr>
        <w:t>；</w:t>
      </w:r>
      <w:r>
        <w:rPr>
          <w:rFonts w:hint="eastAsia"/>
          <w:snapToGrid/>
          <w:spacing w:val="2"/>
        </w:rPr>
        <w:t>并与劳动局合作</w:t>
      </w:r>
      <w:r>
        <w:rPr>
          <w:snapToGrid/>
          <w:spacing w:val="2"/>
        </w:rPr>
        <w:t>，</w:t>
      </w:r>
      <w:r>
        <w:rPr>
          <w:rFonts w:hint="eastAsia"/>
          <w:snapToGrid/>
          <w:spacing w:val="2"/>
        </w:rPr>
        <w:t>在小学、中学和中学后职业学校的教学中介绍劳动力市场现有和未来机会的情况；</w:t>
      </w:r>
    </w:p>
    <w:p w:rsidR="00000000" w:rsidRDefault="00000000">
      <w:pPr>
        <w:numPr>
          <w:ilvl w:val="0"/>
          <w:numId w:val="141"/>
        </w:numPr>
        <w:rPr>
          <w:rFonts w:hint="eastAsia"/>
          <w:snapToGrid/>
        </w:rPr>
      </w:pPr>
      <w:r>
        <w:rPr>
          <w:rFonts w:hint="eastAsia"/>
          <w:snapToGrid/>
        </w:rPr>
        <w:t>逐步增加劳动收入对福利收入的比率</w:t>
      </w:r>
      <w:r>
        <w:rPr>
          <w:snapToGrid/>
        </w:rPr>
        <w:t>，</w:t>
      </w:r>
      <w:r>
        <w:rPr>
          <w:rFonts w:hint="eastAsia"/>
          <w:snapToGrid/>
        </w:rPr>
        <w:t>特别是预期收入低的群体的这一比率</w:t>
      </w:r>
      <w:r>
        <w:rPr>
          <w:snapToGrid/>
        </w:rPr>
        <w:t>，</w:t>
      </w:r>
      <w:r>
        <w:rPr>
          <w:rFonts w:hint="eastAsia"/>
          <w:snapToGrid/>
        </w:rPr>
        <w:t>使参加经济活动的人员应该比不参加经济活动人员获得更多的利益。按照这一原则</w:t>
      </w:r>
      <w:r>
        <w:rPr>
          <w:snapToGrid/>
        </w:rPr>
        <w:t>，</w:t>
      </w:r>
      <w:r>
        <w:rPr>
          <w:rFonts w:hint="eastAsia"/>
          <w:snapToGrid/>
        </w:rPr>
        <w:t>增加最低工资</w:t>
      </w:r>
      <w:r>
        <w:rPr>
          <w:snapToGrid/>
        </w:rPr>
        <w:t>，</w:t>
      </w:r>
      <w:r>
        <w:rPr>
          <w:rFonts w:hint="eastAsia"/>
          <w:snapToGrid/>
        </w:rPr>
        <w:t>以便使最低工资高于单独生活的成人的最低生活水平；</w:t>
      </w:r>
    </w:p>
    <w:p w:rsidR="00000000" w:rsidRDefault="00000000">
      <w:pPr>
        <w:numPr>
          <w:ilvl w:val="0"/>
          <w:numId w:val="141"/>
        </w:numPr>
        <w:rPr>
          <w:rFonts w:hint="eastAsia"/>
          <w:snapToGrid/>
        </w:rPr>
      </w:pPr>
      <w:r>
        <w:rPr>
          <w:rFonts w:hint="eastAsia"/>
          <w:snapToGrid/>
        </w:rPr>
        <w:t>根据劳动力市场需求</w:t>
      </w:r>
      <w:r>
        <w:rPr>
          <w:snapToGrid/>
        </w:rPr>
        <w:t>，</w:t>
      </w:r>
      <w:r>
        <w:rPr>
          <w:rFonts w:hint="eastAsia"/>
          <w:snapToGrid/>
        </w:rPr>
        <w:t>改革和扩大职业介绍机构的管辖权限和机会</w:t>
      </w:r>
      <w:r>
        <w:rPr>
          <w:snapToGrid/>
        </w:rPr>
        <w:t>，</w:t>
      </w:r>
      <w:r>
        <w:rPr>
          <w:rFonts w:hint="eastAsia"/>
          <w:snapToGrid/>
        </w:rPr>
        <w:t>特别是组织和财务权限和机会。制订新的《就业法》</w:t>
      </w:r>
      <w:r>
        <w:rPr>
          <w:snapToGrid/>
        </w:rPr>
        <w:t>，</w:t>
      </w:r>
      <w:r>
        <w:rPr>
          <w:rFonts w:hint="eastAsia"/>
          <w:snapToGrid/>
        </w:rPr>
        <w:t>争取于</w:t>
      </w:r>
      <w:r>
        <w:rPr>
          <w:snapToGrid/>
        </w:rPr>
        <w:t>2001</w:t>
      </w:r>
      <w:r>
        <w:rPr>
          <w:rFonts w:hint="eastAsia"/>
          <w:snapToGrid/>
        </w:rPr>
        <w:t>年</w:t>
      </w:r>
      <w:r>
        <w:rPr>
          <w:snapToGrid/>
        </w:rPr>
        <w:t>7</w:t>
      </w:r>
      <w:r>
        <w:rPr>
          <w:rFonts w:hint="eastAsia"/>
          <w:snapToGrid/>
        </w:rPr>
        <w:t>月</w:t>
      </w:r>
      <w:r>
        <w:rPr>
          <w:snapToGrid/>
        </w:rPr>
        <w:t>1</w:t>
      </w:r>
      <w:r>
        <w:rPr>
          <w:rFonts w:hint="eastAsia"/>
          <w:snapToGrid/>
        </w:rPr>
        <w:t>日生效。该法律应该全面、系统地规定外国人就业</w:t>
      </w:r>
      <w:r>
        <w:rPr>
          <w:snapToGrid/>
        </w:rPr>
        <w:t>，</w:t>
      </w:r>
      <w:r>
        <w:rPr>
          <w:rFonts w:hint="eastAsia"/>
          <w:snapToGrid/>
        </w:rPr>
        <w:t>以及残疾人和难以就业的其他人在劳动力市场的安置和保护问题；</w:t>
      </w:r>
    </w:p>
    <w:p w:rsidR="00000000" w:rsidRDefault="00000000">
      <w:pPr>
        <w:numPr>
          <w:ilvl w:val="0"/>
          <w:numId w:val="141"/>
        </w:numPr>
        <w:rPr>
          <w:rFonts w:hint="eastAsia"/>
          <w:snapToGrid/>
          <w:spacing w:val="2"/>
        </w:rPr>
      </w:pPr>
      <w:r>
        <w:rPr>
          <w:rFonts w:hint="eastAsia"/>
          <w:snapToGrid/>
          <w:spacing w:val="2"/>
        </w:rPr>
        <w:t>采取措施</w:t>
      </w:r>
      <w:r>
        <w:rPr>
          <w:snapToGrid/>
          <w:spacing w:val="2"/>
        </w:rPr>
        <w:t>，</w:t>
      </w:r>
      <w:r>
        <w:rPr>
          <w:rFonts w:hint="eastAsia"/>
          <w:snapToGrid/>
          <w:spacing w:val="2"/>
        </w:rPr>
        <w:t>增加长期失业求职人员的就业</w:t>
      </w:r>
      <w:r>
        <w:rPr>
          <w:snapToGrid/>
          <w:spacing w:val="2"/>
        </w:rPr>
        <w:t>，</w:t>
      </w:r>
      <w:r>
        <w:rPr>
          <w:rFonts w:hint="eastAsia"/>
          <w:snapToGrid/>
          <w:spacing w:val="2"/>
        </w:rPr>
        <w:t>其中特别考虑罗姆人的就业；</w:t>
      </w:r>
    </w:p>
    <w:p w:rsidR="00000000" w:rsidRDefault="00000000">
      <w:pPr>
        <w:numPr>
          <w:ilvl w:val="0"/>
          <w:numId w:val="141"/>
        </w:numPr>
        <w:rPr>
          <w:rFonts w:hint="eastAsia"/>
          <w:snapToGrid/>
        </w:rPr>
      </w:pPr>
      <w:r>
        <w:rPr>
          <w:rFonts w:hint="eastAsia"/>
          <w:snapToGrid/>
        </w:rPr>
        <w:t>支持设立和发展工业区和创造新工作机会的企业活动。同时</w:t>
      </w:r>
      <w:r>
        <w:rPr>
          <w:snapToGrid/>
        </w:rPr>
        <w:t>，</w:t>
      </w:r>
      <w:r>
        <w:rPr>
          <w:rFonts w:hint="eastAsia"/>
          <w:snapToGrid/>
        </w:rPr>
        <w:t>通过直接支持和减少纳税负担来支持中小企业；</w:t>
      </w:r>
    </w:p>
    <w:p w:rsidR="00000000" w:rsidRDefault="00000000">
      <w:pPr>
        <w:numPr>
          <w:ilvl w:val="0"/>
          <w:numId w:val="141"/>
        </w:numPr>
        <w:rPr>
          <w:snapToGrid/>
        </w:rPr>
      </w:pPr>
      <w:r>
        <w:rPr>
          <w:rFonts w:hint="eastAsia"/>
          <w:snapToGrid/>
        </w:rPr>
        <w:t>在授予政府合同时</w:t>
      </w:r>
      <w:r>
        <w:rPr>
          <w:snapToGrid/>
        </w:rPr>
        <w:t>，</w:t>
      </w:r>
      <w:r>
        <w:rPr>
          <w:rFonts w:hint="eastAsia"/>
          <w:snapToGrid/>
        </w:rPr>
        <w:t>优先考虑确保求职者就业</w:t>
      </w:r>
      <w:r>
        <w:rPr>
          <w:snapToGrid/>
        </w:rPr>
        <w:t>，</w:t>
      </w:r>
      <w:r>
        <w:rPr>
          <w:rFonts w:hint="eastAsia"/>
          <w:snapToGrid/>
        </w:rPr>
        <w:t>特别是难以安置者的就业；</w:t>
      </w:r>
    </w:p>
    <w:p w:rsidR="00000000" w:rsidRDefault="00000000">
      <w:pPr>
        <w:numPr>
          <w:ilvl w:val="0"/>
          <w:numId w:val="141"/>
        </w:numPr>
        <w:rPr>
          <w:snapToGrid/>
        </w:rPr>
      </w:pPr>
      <w:r>
        <w:rPr>
          <w:rFonts w:hint="eastAsia"/>
          <w:snapToGrid/>
        </w:rPr>
        <w:t>为实行灵活的工作组织形式和工作时间创造条件</w:t>
      </w:r>
      <w:r>
        <w:rPr>
          <w:snapToGrid/>
        </w:rPr>
        <w:t>，</w:t>
      </w:r>
      <w:r>
        <w:rPr>
          <w:rFonts w:hint="eastAsia"/>
          <w:snapToGrid/>
        </w:rPr>
        <w:t>使雇主和雇员的需求相互兼顾；为缩短工作时间和实行半日制工作创造条件</w:t>
      </w:r>
      <w:r>
        <w:rPr>
          <w:snapToGrid/>
        </w:rPr>
        <w:t>；</w:t>
      </w:r>
      <w:r>
        <w:rPr>
          <w:rFonts w:hint="eastAsia"/>
          <w:snapToGrid/>
        </w:rPr>
        <w:t>施加压力</w:t>
      </w:r>
      <w:r>
        <w:rPr>
          <w:snapToGrid/>
        </w:rPr>
        <w:t>，</w:t>
      </w:r>
      <w:r>
        <w:rPr>
          <w:rFonts w:hint="eastAsia"/>
          <w:snapToGrid/>
        </w:rPr>
        <w:t>以减少超时工作；</w:t>
      </w:r>
    </w:p>
    <w:p w:rsidR="00000000" w:rsidRDefault="00000000">
      <w:pPr>
        <w:numPr>
          <w:ilvl w:val="0"/>
          <w:numId w:val="141"/>
        </w:numPr>
        <w:rPr>
          <w:rFonts w:hint="eastAsia"/>
          <w:snapToGrid/>
        </w:rPr>
      </w:pPr>
      <w:r>
        <w:rPr>
          <w:rFonts w:hint="eastAsia"/>
          <w:snapToGrid/>
        </w:rPr>
        <w:t>不断地监测容易遭受歧视的群体行使就业权的情况；</w:t>
      </w:r>
    </w:p>
    <w:p w:rsidR="00000000" w:rsidRDefault="00000000">
      <w:pPr>
        <w:numPr>
          <w:ilvl w:val="0"/>
          <w:numId w:val="141"/>
        </w:numPr>
        <w:rPr>
          <w:snapToGrid/>
        </w:rPr>
      </w:pPr>
      <w:r>
        <w:rPr>
          <w:rFonts w:hint="eastAsia"/>
          <w:snapToGrid/>
        </w:rPr>
        <w:t>努力消除男女之间工资上的不合理差别。</w:t>
      </w:r>
    </w:p>
    <w:p w:rsidR="00000000" w:rsidRDefault="00000000">
      <w:pPr>
        <w:rPr>
          <w:snapToGrid/>
        </w:rPr>
      </w:pPr>
      <w:r>
        <w:rPr>
          <w:snapToGrid/>
        </w:rPr>
        <w:tab/>
        <w:t xml:space="preserve">236.  </w:t>
      </w:r>
      <w:r>
        <w:rPr>
          <w:rFonts w:hint="eastAsia"/>
          <w:snapToGrid/>
        </w:rPr>
        <w:t>新计划是根据捷克共和国成立后劳动力市场的发展以及捷克共和国加入欧洲联盟的经济战略要求</w:t>
      </w:r>
      <w:r>
        <w:rPr>
          <w:rFonts w:hint="eastAsia"/>
          <w:snapToGrid/>
          <w:spacing w:val="-40"/>
          <w:sz w:val="22"/>
        </w:rPr>
        <w:t>——</w:t>
      </w:r>
      <w:r>
        <w:rPr>
          <w:snapToGrid/>
          <w:sz w:val="22"/>
        </w:rPr>
        <w:t xml:space="preserve"> </w:t>
      </w:r>
      <w:r>
        <w:rPr>
          <w:rFonts w:hint="eastAsia"/>
          <w:snapToGrid/>
        </w:rPr>
        <w:t>振兴经济增长、增加竞争力、培训劳动力队伍和增加就业</w:t>
      </w:r>
      <w:r>
        <w:rPr>
          <w:rFonts w:hint="eastAsia"/>
          <w:snapToGrid/>
          <w:spacing w:val="-40"/>
          <w:sz w:val="22"/>
        </w:rPr>
        <w:t>——</w:t>
      </w:r>
      <w:r>
        <w:rPr>
          <w:snapToGrid/>
          <w:sz w:val="22"/>
        </w:rPr>
        <w:t xml:space="preserve"> </w:t>
      </w:r>
      <w:r>
        <w:rPr>
          <w:rFonts w:hint="eastAsia"/>
          <w:snapToGrid/>
        </w:rPr>
        <w:t>而提出的。</w:t>
      </w:r>
    </w:p>
    <w:p w:rsidR="00000000" w:rsidRDefault="00000000">
      <w:pPr>
        <w:spacing w:after="160"/>
        <w:rPr>
          <w:snapToGrid/>
        </w:rPr>
      </w:pPr>
      <w:r>
        <w:rPr>
          <w:rFonts w:hint="eastAsia"/>
          <w:snapToGrid/>
        </w:rPr>
        <w:tab/>
      </w:r>
      <w:r>
        <w:rPr>
          <w:snapToGrid/>
        </w:rPr>
        <w:t xml:space="preserve">237.  </w:t>
      </w:r>
      <w:r>
        <w:rPr>
          <w:rFonts w:hint="eastAsia"/>
          <w:snapToGrid/>
        </w:rPr>
        <w:t>基本公共运输服务</w:t>
      </w:r>
      <w:r>
        <w:rPr>
          <w:snapToGrid/>
        </w:rPr>
        <w:t>，</w:t>
      </w:r>
      <w:r>
        <w:rPr>
          <w:rFonts w:hint="eastAsia"/>
          <w:snapToGrid/>
        </w:rPr>
        <w:t>特别是公共交通</w:t>
      </w:r>
      <w:r>
        <w:rPr>
          <w:snapToGrid/>
        </w:rPr>
        <w:t>，</w:t>
      </w:r>
      <w:r>
        <w:rPr>
          <w:rStyle w:val="EndnoteReference"/>
          <w:snapToGrid/>
        </w:rPr>
        <w:endnoteReference w:id="148"/>
      </w:r>
      <w:r>
        <w:rPr>
          <w:rFonts w:hint="eastAsia"/>
          <w:snapToGrid/>
        </w:rPr>
        <w:t xml:space="preserve">  </w:t>
      </w:r>
      <w:r>
        <w:rPr>
          <w:rFonts w:hint="eastAsia"/>
          <w:snapToGrid/>
        </w:rPr>
        <w:t>也与执行就业政策有关。确保捷克共和国各地区特别是市区的基本交通服务意味着</w:t>
      </w:r>
      <w:r>
        <w:rPr>
          <w:snapToGrid/>
        </w:rPr>
        <w:t>，</w:t>
      </w:r>
      <w:r>
        <w:rPr>
          <w:rFonts w:hint="eastAsia"/>
          <w:snapToGrid/>
        </w:rPr>
        <w:t>一周七天为工作和上学以及去法庭和去基本医疗保健单位提供适当的交通工具</w:t>
      </w:r>
      <w:r>
        <w:rPr>
          <w:snapToGrid/>
        </w:rPr>
        <w:t>，</w:t>
      </w:r>
      <w:r>
        <w:rPr>
          <w:rFonts w:hint="eastAsia"/>
          <w:snapToGrid/>
        </w:rPr>
        <w:t>包括返程交通。捷克共和国全国各地公共交通的提供不平衡。公共汽车和旅客列车的网络范围和机会受国家和市财政能力的影响。</w:t>
      </w:r>
    </w:p>
    <w:p w:rsidR="00000000" w:rsidRDefault="00000000">
      <w:pPr>
        <w:pStyle w:val="Heading3"/>
        <w:spacing w:after="160"/>
        <w:rPr>
          <w:rFonts w:hint="eastAsia"/>
        </w:rPr>
      </w:pPr>
      <w:r>
        <w:rPr>
          <w:rFonts w:hint="eastAsia"/>
        </w:rPr>
        <w:t>个人交通</w:t>
      </w:r>
      <w:r>
        <w:t>：</w:t>
      </w:r>
      <w:r>
        <w:rPr>
          <w:rFonts w:hint="eastAsia"/>
        </w:rPr>
        <w:t>乘客人数</w:t>
      </w:r>
      <w:r>
        <w:rPr>
          <w:rFonts w:hint="eastAsia"/>
        </w:rPr>
        <w:t>(</w:t>
      </w:r>
      <w:r>
        <w:rPr>
          <w:rFonts w:hint="eastAsia"/>
        </w:rPr>
        <w:t>百万人</w:t>
      </w:r>
      <w:r>
        <w:rPr>
          <w:rFonts w:hint="eastAsia"/>
        </w:rPr>
        <w:t>)</w:t>
      </w: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1300"/>
        <w:gridCol w:w="1430"/>
        <w:gridCol w:w="1170"/>
        <w:gridCol w:w="1430"/>
        <w:gridCol w:w="1300"/>
        <w:gridCol w:w="1271"/>
      </w:tblGrid>
      <w:tr w:rsidR="00000000">
        <w:tblPrEx>
          <w:tblCellMar>
            <w:top w:w="0" w:type="dxa"/>
            <w:bottom w:w="0" w:type="dxa"/>
          </w:tblCellMar>
        </w:tblPrEx>
        <w:tc>
          <w:tcPr>
            <w:tcW w:w="1668" w:type="dxa"/>
          </w:tcPr>
          <w:p w:rsidR="00000000" w:rsidRDefault="00000000">
            <w:pPr>
              <w:pStyle w:val="aa"/>
              <w:rPr>
                <w:rFonts w:hint="eastAsia"/>
              </w:rPr>
            </w:pPr>
          </w:p>
        </w:tc>
        <w:tc>
          <w:tcPr>
            <w:tcW w:w="1300" w:type="dxa"/>
          </w:tcPr>
          <w:p w:rsidR="00000000" w:rsidRDefault="00000000">
            <w:pPr>
              <w:tabs>
                <w:tab w:val="num" w:pos="-2410"/>
              </w:tabs>
              <w:jc w:val="center"/>
              <w:rPr>
                <w:szCs w:val="22"/>
              </w:rPr>
            </w:pPr>
            <w:r>
              <w:rPr>
                <w:szCs w:val="22"/>
              </w:rPr>
              <w:t>1993</w:t>
            </w:r>
          </w:p>
        </w:tc>
        <w:tc>
          <w:tcPr>
            <w:tcW w:w="1430" w:type="dxa"/>
          </w:tcPr>
          <w:p w:rsidR="00000000" w:rsidRDefault="00000000">
            <w:pPr>
              <w:tabs>
                <w:tab w:val="num" w:pos="-2410"/>
              </w:tabs>
              <w:jc w:val="center"/>
              <w:rPr>
                <w:szCs w:val="22"/>
              </w:rPr>
            </w:pPr>
            <w:r>
              <w:rPr>
                <w:szCs w:val="22"/>
              </w:rPr>
              <w:t>1994</w:t>
            </w:r>
          </w:p>
        </w:tc>
        <w:tc>
          <w:tcPr>
            <w:tcW w:w="1170" w:type="dxa"/>
          </w:tcPr>
          <w:p w:rsidR="00000000" w:rsidRDefault="00000000">
            <w:pPr>
              <w:tabs>
                <w:tab w:val="num" w:pos="-2410"/>
              </w:tabs>
              <w:jc w:val="center"/>
              <w:rPr>
                <w:szCs w:val="22"/>
              </w:rPr>
            </w:pPr>
            <w:r>
              <w:rPr>
                <w:szCs w:val="22"/>
              </w:rPr>
              <w:t>1995</w:t>
            </w:r>
          </w:p>
        </w:tc>
        <w:tc>
          <w:tcPr>
            <w:tcW w:w="1430" w:type="dxa"/>
          </w:tcPr>
          <w:p w:rsidR="00000000" w:rsidRDefault="00000000">
            <w:pPr>
              <w:tabs>
                <w:tab w:val="num" w:pos="-2410"/>
              </w:tabs>
              <w:jc w:val="center"/>
              <w:rPr>
                <w:szCs w:val="22"/>
              </w:rPr>
            </w:pPr>
            <w:r>
              <w:rPr>
                <w:szCs w:val="22"/>
              </w:rPr>
              <w:t>1996</w:t>
            </w:r>
          </w:p>
        </w:tc>
        <w:tc>
          <w:tcPr>
            <w:tcW w:w="1300" w:type="dxa"/>
          </w:tcPr>
          <w:p w:rsidR="00000000" w:rsidRDefault="00000000">
            <w:pPr>
              <w:tabs>
                <w:tab w:val="num" w:pos="-2410"/>
              </w:tabs>
              <w:jc w:val="center"/>
              <w:rPr>
                <w:szCs w:val="22"/>
              </w:rPr>
            </w:pPr>
            <w:r>
              <w:rPr>
                <w:szCs w:val="22"/>
              </w:rPr>
              <w:t>1997</w:t>
            </w:r>
          </w:p>
        </w:tc>
        <w:tc>
          <w:tcPr>
            <w:tcW w:w="1271" w:type="dxa"/>
          </w:tcPr>
          <w:p w:rsidR="00000000" w:rsidRDefault="00000000">
            <w:pPr>
              <w:tabs>
                <w:tab w:val="num" w:pos="-2410"/>
              </w:tabs>
              <w:jc w:val="center"/>
              <w:rPr>
                <w:szCs w:val="22"/>
              </w:rPr>
            </w:pPr>
            <w:r>
              <w:rPr>
                <w:szCs w:val="22"/>
              </w:rPr>
              <w:t>1998</w:t>
            </w:r>
          </w:p>
        </w:tc>
      </w:tr>
      <w:tr w:rsidR="00000000">
        <w:tblPrEx>
          <w:tblCellMar>
            <w:top w:w="0" w:type="dxa"/>
            <w:bottom w:w="0" w:type="dxa"/>
          </w:tblCellMar>
        </w:tblPrEx>
        <w:tc>
          <w:tcPr>
            <w:tcW w:w="1668" w:type="dxa"/>
          </w:tcPr>
          <w:p w:rsidR="00000000" w:rsidRDefault="00000000">
            <w:pPr>
              <w:pStyle w:val="aa"/>
              <w:rPr>
                <w:rFonts w:hint="eastAsia"/>
              </w:rPr>
            </w:pPr>
            <w:r>
              <w:rPr>
                <w:rFonts w:hint="eastAsia"/>
              </w:rPr>
              <w:t>铁路运输</w:t>
            </w:r>
          </w:p>
        </w:tc>
        <w:tc>
          <w:tcPr>
            <w:tcW w:w="1300" w:type="dxa"/>
          </w:tcPr>
          <w:p w:rsidR="00000000" w:rsidRDefault="00000000">
            <w:pPr>
              <w:tabs>
                <w:tab w:val="num" w:pos="-2410"/>
              </w:tabs>
              <w:ind w:left="-176" w:right="113"/>
              <w:jc w:val="right"/>
              <w:rPr>
                <w:szCs w:val="22"/>
              </w:rPr>
            </w:pPr>
            <w:r>
              <w:rPr>
                <w:szCs w:val="22"/>
              </w:rPr>
              <w:t>242</w:t>
            </w:r>
          </w:p>
        </w:tc>
        <w:tc>
          <w:tcPr>
            <w:tcW w:w="1430" w:type="dxa"/>
          </w:tcPr>
          <w:p w:rsidR="00000000" w:rsidRDefault="00000000">
            <w:pPr>
              <w:tabs>
                <w:tab w:val="num" w:pos="-2410"/>
              </w:tabs>
              <w:ind w:right="113"/>
              <w:jc w:val="right"/>
              <w:rPr>
                <w:szCs w:val="22"/>
              </w:rPr>
            </w:pPr>
            <w:r>
              <w:rPr>
                <w:szCs w:val="22"/>
              </w:rPr>
              <w:t>229</w:t>
            </w:r>
          </w:p>
        </w:tc>
        <w:tc>
          <w:tcPr>
            <w:tcW w:w="1170" w:type="dxa"/>
          </w:tcPr>
          <w:p w:rsidR="00000000" w:rsidRDefault="00000000">
            <w:pPr>
              <w:tabs>
                <w:tab w:val="num" w:pos="-2410"/>
              </w:tabs>
              <w:ind w:right="113"/>
              <w:jc w:val="right"/>
              <w:rPr>
                <w:szCs w:val="22"/>
              </w:rPr>
            </w:pPr>
            <w:r>
              <w:rPr>
                <w:szCs w:val="22"/>
              </w:rPr>
              <w:t>227</w:t>
            </w:r>
          </w:p>
        </w:tc>
        <w:tc>
          <w:tcPr>
            <w:tcW w:w="1430" w:type="dxa"/>
          </w:tcPr>
          <w:p w:rsidR="00000000" w:rsidRDefault="00000000">
            <w:pPr>
              <w:tabs>
                <w:tab w:val="num" w:pos="-2410"/>
              </w:tabs>
              <w:ind w:right="113"/>
              <w:jc w:val="right"/>
              <w:rPr>
                <w:szCs w:val="22"/>
              </w:rPr>
            </w:pPr>
            <w:r>
              <w:rPr>
                <w:szCs w:val="22"/>
              </w:rPr>
              <w:t>219</w:t>
            </w:r>
          </w:p>
        </w:tc>
        <w:tc>
          <w:tcPr>
            <w:tcW w:w="1300" w:type="dxa"/>
          </w:tcPr>
          <w:p w:rsidR="00000000" w:rsidRDefault="00000000">
            <w:pPr>
              <w:tabs>
                <w:tab w:val="num" w:pos="-2410"/>
              </w:tabs>
              <w:ind w:right="113"/>
              <w:jc w:val="right"/>
              <w:rPr>
                <w:szCs w:val="22"/>
              </w:rPr>
            </w:pPr>
            <w:r>
              <w:rPr>
                <w:szCs w:val="22"/>
              </w:rPr>
              <w:t>203</w:t>
            </w:r>
          </w:p>
        </w:tc>
        <w:tc>
          <w:tcPr>
            <w:tcW w:w="1271" w:type="dxa"/>
          </w:tcPr>
          <w:p w:rsidR="00000000" w:rsidRDefault="00000000">
            <w:pPr>
              <w:tabs>
                <w:tab w:val="num" w:pos="-2410"/>
              </w:tabs>
              <w:ind w:right="113"/>
              <w:jc w:val="right"/>
              <w:rPr>
                <w:szCs w:val="22"/>
              </w:rPr>
            </w:pPr>
            <w:r>
              <w:rPr>
                <w:szCs w:val="22"/>
              </w:rPr>
              <w:t>183</w:t>
            </w:r>
          </w:p>
        </w:tc>
      </w:tr>
      <w:tr w:rsidR="00000000">
        <w:tblPrEx>
          <w:tblCellMar>
            <w:top w:w="0" w:type="dxa"/>
            <w:bottom w:w="0" w:type="dxa"/>
          </w:tblCellMar>
        </w:tblPrEx>
        <w:tc>
          <w:tcPr>
            <w:tcW w:w="1668" w:type="dxa"/>
          </w:tcPr>
          <w:p w:rsidR="00000000" w:rsidRDefault="00000000">
            <w:pPr>
              <w:pStyle w:val="aa"/>
              <w:rPr>
                <w:rFonts w:hint="eastAsia"/>
              </w:rPr>
            </w:pPr>
            <w:r>
              <w:rPr>
                <w:rFonts w:hint="eastAsia"/>
              </w:rPr>
              <w:t>长途汽车线路</w:t>
            </w:r>
          </w:p>
        </w:tc>
        <w:tc>
          <w:tcPr>
            <w:tcW w:w="1300" w:type="dxa"/>
          </w:tcPr>
          <w:p w:rsidR="00000000" w:rsidRDefault="00000000">
            <w:pPr>
              <w:tabs>
                <w:tab w:val="num" w:pos="-2410"/>
              </w:tabs>
              <w:ind w:left="-177" w:right="113"/>
              <w:jc w:val="right"/>
              <w:rPr>
                <w:szCs w:val="22"/>
              </w:rPr>
            </w:pPr>
            <w:r>
              <w:rPr>
                <w:szCs w:val="22"/>
              </w:rPr>
              <w:t>9.09</w:t>
            </w:r>
          </w:p>
        </w:tc>
        <w:tc>
          <w:tcPr>
            <w:tcW w:w="1430" w:type="dxa"/>
          </w:tcPr>
          <w:p w:rsidR="00000000" w:rsidRDefault="00000000">
            <w:pPr>
              <w:tabs>
                <w:tab w:val="num" w:pos="-2410"/>
              </w:tabs>
              <w:ind w:right="113"/>
              <w:jc w:val="right"/>
              <w:rPr>
                <w:szCs w:val="22"/>
              </w:rPr>
            </w:pPr>
            <w:r>
              <w:rPr>
                <w:szCs w:val="22"/>
              </w:rPr>
              <w:t>8.20</w:t>
            </w:r>
          </w:p>
        </w:tc>
        <w:tc>
          <w:tcPr>
            <w:tcW w:w="1170" w:type="dxa"/>
          </w:tcPr>
          <w:p w:rsidR="00000000" w:rsidRDefault="00000000">
            <w:pPr>
              <w:tabs>
                <w:tab w:val="num" w:pos="-2410"/>
              </w:tabs>
              <w:ind w:right="113"/>
              <w:jc w:val="right"/>
              <w:rPr>
                <w:szCs w:val="22"/>
              </w:rPr>
            </w:pPr>
            <w:r>
              <w:rPr>
                <w:szCs w:val="22"/>
              </w:rPr>
              <w:t>7.67</w:t>
            </w:r>
          </w:p>
        </w:tc>
        <w:tc>
          <w:tcPr>
            <w:tcW w:w="1430" w:type="dxa"/>
          </w:tcPr>
          <w:p w:rsidR="00000000" w:rsidRDefault="00000000">
            <w:pPr>
              <w:tabs>
                <w:tab w:val="num" w:pos="-2410"/>
              </w:tabs>
              <w:ind w:right="113"/>
              <w:jc w:val="right"/>
              <w:rPr>
                <w:szCs w:val="22"/>
              </w:rPr>
            </w:pPr>
            <w:r>
              <w:rPr>
                <w:szCs w:val="22"/>
              </w:rPr>
              <w:t>6.32</w:t>
            </w:r>
          </w:p>
        </w:tc>
        <w:tc>
          <w:tcPr>
            <w:tcW w:w="1300" w:type="dxa"/>
          </w:tcPr>
          <w:p w:rsidR="00000000" w:rsidRDefault="00000000">
            <w:pPr>
              <w:tabs>
                <w:tab w:val="num" w:pos="-2410"/>
              </w:tabs>
              <w:ind w:right="113"/>
              <w:jc w:val="right"/>
              <w:rPr>
                <w:szCs w:val="22"/>
              </w:rPr>
            </w:pPr>
            <w:r>
              <w:rPr>
                <w:szCs w:val="22"/>
              </w:rPr>
              <w:t>5.88</w:t>
            </w:r>
          </w:p>
        </w:tc>
        <w:tc>
          <w:tcPr>
            <w:tcW w:w="1271" w:type="dxa"/>
          </w:tcPr>
          <w:p w:rsidR="00000000" w:rsidRDefault="00000000">
            <w:pPr>
              <w:tabs>
                <w:tab w:val="num" w:pos="-2410"/>
              </w:tabs>
              <w:ind w:right="113"/>
              <w:jc w:val="right"/>
              <w:rPr>
                <w:szCs w:val="22"/>
              </w:rPr>
            </w:pPr>
            <w:r>
              <w:rPr>
                <w:szCs w:val="22"/>
              </w:rPr>
              <w:t>5.98</w:t>
            </w:r>
          </w:p>
        </w:tc>
      </w:tr>
      <w:tr w:rsidR="00000000">
        <w:tblPrEx>
          <w:tblCellMar>
            <w:top w:w="0" w:type="dxa"/>
            <w:bottom w:w="0" w:type="dxa"/>
          </w:tblCellMar>
        </w:tblPrEx>
        <w:tc>
          <w:tcPr>
            <w:tcW w:w="1668" w:type="dxa"/>
          </w:tcPr>
          <w:p w:rsidR="00000000" w:rsidRDefault="00000000">
            <w:pPr>
              <w:pStyle w:val="aa"/>
              <w:rPr>
                <w:rFonts w:hint="eastAsia"/>
              </w:rPr>
            </w:pPr>
            <w:r>
              <w:rPr>
                <w:rFonts w:hint="eastAsia"/>
              </w:rPr>
              <w:t>市内公共交通</w:t>
            </w:r>
          </w:p>
        </w:tc>
        <w:tc>
          <w:tcPr>
            <w:tcW w:w="1300" w:type="dxa"/>
          </w:tcPr>
          <w:p w:rsidR="00000000" w:rsidRDefault="00000000">
            <w:pPr>
              <w:tabs>
                <w:tab w:val="num" w:pos="-2410"/>
              </w:tabs>
              <w:ind w:left="-177" w:right="113"/>
              <w:jc w:val="right"/>
              <w:rPr>
                <w:szCs w:val="22"/>
              </w:rPr>
            </w:pPr>
            <w:r>
              <w:rPr>
                <w:szCs w:val="22"/>
              </w:rPr>
              <w:t>2 635</w:t>
            </w:r>
          </w:p>
        </w:tc>
        <w:tc>
          <w:tcPr>
            <w:tcW w:w="1430" w:type="dxa"/>
          </w:tcPr>
          <w:p w:rsidR="00000000" w:rsidRDefault="00000000">
            <w:pPr>
              <w:tabs>
                <w:tab w:val="num" w:pos="-2410"/>
              </w:tabs>
              <w:ind w:right="113"/>
              <w:jc w:val="right"/>
              <w:rPr>
                <w:szCs w:val="22"/>
              </w:rPr>
            </w:pPr>
            <w:r>
              <w:rPr>
                <w:szCs w:val="22"/>
              </w:rPr>
              <w:t>2 575</w:t>
            </w:r>
          </w:p>
        </w:tc>
        <w:tc>
          <w:tcPr>
            <w:tcW w:w="1170" w:type="dxa"/>
          </w:tcPr>
          <w:p w:rsidR="00000000" w:rsidRDefault="00000000">
            <w:pPr>
              <w:tabs>
                <w:tab w:val="num" w:pos="-2410"/>
              </w:tabs>
              <w:ind w:right="113"/>
              <w:jc w:val="right"/>
              <w:rPr>
                <w:szCs w:val="22"/>
              </w:rPr>
            </w:pPr>
            <w:r>
              <w:rPr>
                <w:szCs w:val="22"/>
              </w:rPr>
              <w:t>2 262</w:t>
            </w:r>
          </w:p>
        </w:tc>
        <w:tc>
          <w:tcPr>
            <w:tcW w:w="1430" w:type="dxa"/>
          </w:tcPr>
          <w:p w:rsidR="00000000" w:rsidRDefault="00000000">
            <w:pPr>
              <w:tabs>
                <w:tab w:val="num" w:pos="-2410"/>
              </w:tabs>
              <w:ind w:right="113"/>
              <w:jc w:val="right"/>
              <w:rPr>
                <w:szCs w:val="22"/>
              </w:rPr>
            </w:pPr>
            <w:r>
              <w:rPr>
                <w:szCs w:val="22"/>
              </w:rPr>
              <w:t>2 207</w:t>
            </w:r>
          </w:p>
        </w:tc>
        <w:tc>
          <w:tcPr>
            <w:tcW w:w="1300" w:type="dxa"/>
          </w:tcPr>
          <w:p w:rsidR="00000000" w:rsidRDefault="00000000">
            <w:pPr>
              <w:tabs>
                <w:tab w:val="num" w:pos="-2410"/>
              </w:tabs>
              <w:ind w:right="113"/>
              <w:jc w:val="right"/>
              <w:rPr>
                <w:szCs w:val="22"/>
              </w:rPr>
            </w:pPr>
            <w:r>
              <w:rPr>
                <w:szCs w:val="22"/>
              </w:rPr>
              <w:t>2 162</w:t>
            </w:r>
          </w:p>
        </w:tc>
        <w:tc>
          <w:tcPr>
            <w:tcW w:w="1271" w:type="dxa"/>
          </w:tcPr>
          <w:p w:rsidR="00000000" w:rsidRDefault="00000000">
            <w:pPr>
              <w:tabs>
                <w:tab w:val="num" w:pos="-2410"/>
              </w:tabs>
              <w:ind w:right="113"/>
              <w:jc w:val="right"/>
              <w:rPr>
                <w:szCs w:val="22"/>
              </w:rPr>
            </w:pPr>
            <w:r>
              <w:rPr>
                <w:szCs w:val="22"/>
              </w:rPr>
              <w:t>2 175</w:t>
            </w:r>
          </w:p>
        </w:tc>
      </w:tr>
    </w:tbl>
    <w:p w:rsidR="00000000" w:rsidRDefault="00000000">
      <w:pPr>
        <w:pStyle w:val="FootnoteText"/>
        <w:spacing w:before="160" w:after="320"/>
        <w:ind w:left="1587" w:hanging="1077"/>
        <w:rPr>
          <w:rFonts w:hint="eastAsia"/>
          <w:sz w:val="21"/>
        </w:rPr>
      </w:pPr>
      <w:r>
        <w:rPr>
          <w:rFonts w:hint="eastAsia"/>
          <w:sz w:val="21"/>
          <w:u w:val="single"/>
        </w:rPr>
        <w:t>资料来源</w:t>
      </w:r>
      <w:r>
        <w:rPr>
          <w:sz w:val="21"/>
        </w:rPr>
        <w:t>：</w:t>
      </w:r>
      <w:r>
        <w:rPr>
          <w:rFonts w:hint="eastAsia"/>
          <w:sz w:val="21"/>
        </w:rPr>
        <w:t>交通和通讯部</w:t>
      </w:r>
      <w:r>
        <w:rPr>
          <w:sz w:val="21"/>
        </w:rPr>
        <w:t>，</w:t>
      </w:r>
      <w:r>
        <w:rPr>
          <w:sz w:val="21"/>
        </w:rPr>
        <w:t>1999</w:t>
      </w:r>
      <w:r>
        <w:rPr>
          <w:rFonts w:hint="eastAsia"/>
          <w:sz w:val="21"/>
        </w:rPr>
        <w:t>年。</w:t>
      </w:r>
    </w:p>
    <w:p w:rsidR="00000000" w:rsidRDefault="00000000">
      <w:pPr>
        <w:rPr>
          <w:snapToGrid/>
          <w:spacing w:val="6"/>
          <w:szCs w:val="24"/>
        </w:rPr>
      </w:pPr>
      <w:r>
        <w:rPr>
          <w:snapToGrid/>
          <w:szCs w:val="24"/>
        </w:rPr>
        <w:tab/>
        <w:t xml:space="preserve">238.  </w:t>
      </w:r>
      <w:r>
        <w:rPr>
          <w:rFonts w:hint="eastAsia"/>
          <w:snapToGrid/>
          <w:spacing w:val="6"/>
          <w:szCs w:val="24"/>
        </w:rPr>
        <w:t>经济转型头几年的总体就业水平平均而言令人满意。服务部门在维持高就业率中发挥了重要作用</w:t>
      </w:r>
      <w:r>
        <w:rPr>
          <w:snapToGrid/>
          <w:spacing w:val="6"/>
          <w:szCs w:val="24"/>
        </w:rPr>
        <w:t>；</w:t>
      </w:r>
      <w:r>
        <w:rPr>
          <w:snapToGrid/>
          <w:spacing w:val="6"/>
          <w:szCs w:val="24"/>
        </w:rPr>
        <w:t>1998</w:t>
      </w:r>
      <w:r>
        <w:rPr>
          <w:rFonts w:hint="eastAsia"/>
          <w:snapToGrid/>
          <w:spacing w:val="6"/>
          <w:szCs w:val="24"/>
        </w:rPr>
        <w:t>年</w:t>
      </w:r>
      <w:r>
        <w:rPr>
          <w:snapToGrid/>
          <w:spacing w:val="6"/>
          <w:szCs w:val="24"/>
        </w:rPr>
        <w:t>，</w:t>
      </w:r>
      <w:r>
        <w:rPr>
          <w:snapToGrid/>
          <w:spacing w:val="6"/>
          <w:szCs w:val="24"/>
        </w:rPr>
        <w:t>53.6%</w:t>
      </w:r>
      <w:r>
        <w:rPr>
          <w:rFonts w:hint="eastAsia"/>
          <w:snapToGrid/>
          <w:spacing w:val="6"/>
          <w:szCs w:val="24"/>
        </w:rPr>
        <w:t>的参加经济活动人口从业于这一部门。农业和林业仅占就业人口的</w:t>
      </w:r>
      <w:r>
        <w:rPr>
          <w:snapToGrid/>
          <w:spacing w:val="6"/>
          <w:szCs w:val="24"/>
        </w:rPr>
        <w:t>5.5%</w:t>
      </w:r>
      <w:r>
        <w:rPr>
          <w:snapToGrid/>
          <w:spacing w:val="6"/>
          <w:szCs w:val="24"/>
        </w:rPr>
        <w:t>，</w:t>
      </w:r>
      <w:r>
        <w:rPr>
          <w:rFonts w:hint="eastAsia"/>
          <w:snapToGrid/>
          <w:spacing w:val="6"/>
          <w:szCs w:val="24"/>
        </w:rPr>
        <w:t>工业占</w:t>
      </w:r>
      <w:r>
        <w:rPr>
          <w:snapToGrid/>
          <w:spacing w:val="6"/>
          <w:szCs w:val="24"/>
        </w:rPr>
        <w:t>40.</w:t>
      </w:r>
      <w:r>
        <w:rPr>
          <w:rFonts w:hint="eastAsia"/>
          <w:snapToGrid/>
          <w:spacing w:val="6"/>
          <w:szCs w:val="24"/>
        </w:rPr>
        <w:t>9</w:t>
      </w:r>
      <w:r>
        <w:rPr>
          <w:snapToGrid/>
          <w:spacing w:val="6"/>
          <w:szCs w:val="24"/>
        </w:rPr>
        <w:t>%</w:t>
      </w:r>
      <w:r>
        <w:rPr>
          <w:rFonts w:hint="eastAsia"/>
          <w:snapToGrid/>
          <w:spacing w:val="6"/>
          <w:szCs w:val="24"/>
        </w:rPr>
        <w:t>。虽然大多数大型工业公司的就业人数急剧下降</w:t>
      </w:r>
      <w:r>
        <w:rPr>
          <w:snapToGrid/>
          <w:spacing w:val="6"/>
          <w:szCs w:val="24"/>
        </w:rPr>
        <w:t>，</w:t>
      </w:r>
      <w:r>
        <w:rPr>
          <w:rFonts w:hint="eastAsia"/>
          <w:snapToGrid/>
          <w:spacing w:val="6"/>
          <w:szCs w:val="24"/>
        </w:rPr>
        <w:t>但许多小企业和独立企业家应运而生</w:t>
      </w:r>
      <w:r>
        <w:rPr>
          <w:snapToGrid/>
          <w:spacing w:val="6"/>
          <w:szCs w:val="24"/>
        </w:rPr>
        <w:t>，</w:t>
      </w:r>
      <w:r>
        <w:rPr>
          <w:rFonts w:hint="eastAsia"/>
          <w:snapToGrid/>
          <w:spacing w:val="6"/>
          <w:szCs w:val="24"/>
        </w:rPr>
        <w:t>创造了</w:t>
      </w:r>
      <w:r>
        <w:rPr>
          <w:snapToGrid/>
          <w:spacing w:val="6"/>
          <w:szCs w:val="24"/>
        </w:rPr>
        <w:t>780,000</w:t>
      </w:r>
      <w:r>
        <w:rPr>
          <w:rFonts w:hint="eastAsia"/>
          <w:snapToGrid/>
          <w:spacing w:val="6"/>
          <w:szCs w:val="24"/>
        </w:rPr>
        <w:t>个工作机会。</w:t>
      </w:r>
    </w:p>
    <w:p w:rsidR="00000000" w:rsidRDefault="00000000">
      <w:pPr>
        <w:spacing w:after="320"/>
        <w:rPr>
          <w:snapToGrid/>
          <w:szCs w:val="24"/>
        </w:rPr>
      </w:pPr>
      <w:r>
        <w:rPr>
          <w:rFonts w:hint="eastAsia"/>
          <w:snapToGrid/>
          <w:szCs w:val="24"/>
        </w:rPr>
        <w:tab/>
      </w:r>
      <w:r>
        <w:rPr>
          <w:snapToGrid/>
          <w:szCs w:val="24"/>
        </w:rPr>
        <w:t xml:space="preserve">239.  </w:t>
      </w:r>
      <w:r>
        <w:rPr>
          <w:rFonts w:hint="eastAsia"/>
          <w:snapToGrid/>
          <w:szCs w:val="24"/>
        </w:rPr>
        <w:t>此外</w:t>
      </w:r>
      <w:r>
        <w:rPr>
          <w:snapToGrid/>
          <w:szCs w:val="24"/>
        </w:rPr>
        <w:t>，</w:t>
      </w:r>
      <w:r>
        <w:rPr>
          <w:snapToGrid/>
          <w:szCs w:val="24"/>
        </w:rPr>
        <w:t>1994</w:t>
      </w:r>
      <w:r>
        <w:rPr>
          <w:rFonts w:hint="eastAsia"/>
          <w:snapToGrid/>
          <w:szCs w:val="24"/>
        </w:rPr>
        <w:t>年以前就业水平令人满意归于以下几个因素</w:t>
      </w:r>
      <w:r>
        <w:rPr>
          <w:snapToGrid/>
          <w:szCs w:val="24"/>
        </w:rPr>
        <w:t>：</w:t>
      </w:r>
      <w:r>
        <w:rPr>
          <w:rFonts w:hint="eastAsia"/>
          <w:snapToGrid/>
          <w:szCs w:val="24"/>
        </w:rPr>
        <w:t>退休年龄的工作人员人数减少</w:t>
      </w:r>
      <w:r>
        <w:rPr>
          <w:snapToGrid/>
          <w:szCs w:val="24"/>
        </w:rPr>
        <w:t>；</w:t>
      </w:r>
      <w:r>
        <w:rPr>
          <w:rFonts w:hint="eastAsia"/>
          <w:snapToGrid/>
          <w:szCs w:val="24"/>
        </w:rPr>
        <w:t>产假从二年延长到三年；父母补贴的发放时间延续到孩子四岁</w:t>
      </w:r>
      <w:r>
        <w:rPr>
          <w:snapToGrid/>
          <w:szCs w:val="24"/>
        </w:rPr>
        <w:t>；</w:t>
      </w:r>
      <w:r>
        <w:rPr>
          <w:rFonts w:hint="eastAsia"/>
          <w:snapToGrid/>
          <w:szCs w:val="24"/>
        </w:rPr>
        <w:t>休假延长一周。提前退休也有助于低失业率。</w:t>
      </w:r>
    </w:p>
    <w:p w:rsidR="00000000" w:rsidRDefault="00000000">
      <w:pPr>
        <w:pStyle w:val="Heading3"/>
        <w:rPr>
          <w:rFonts w:hint="eastAsia"/>
        </w:rPr>
      </w:pPr>
      <w:r>
        <w:rPr>
          <w:rFonts w:hint="eastAsia"/>
        </w:rPr>
        <w:t>劳动力市场的发展</w:t>
      </w:r>
    </w:p>
    <w:tbl>
      <w:tblPr>
        <w:tblW w:w="0" w:type="auto"/>
        <w:tblInd w:w="1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7"/>
        <w:gridCol w:w="2593"/>
        <w:gridCol w:w="2808"/>
      </w:tblGrid>
      <w:tr w:rsidR="00000000">
        <w:tblPrEx>
          <w:tblCellMar>
            <w:top w:w="0" w:type="dxa"/>
            <w:bottom w:w="0" w:type="dxa"/>
          </w:tblCellMar>
        </w:tblPrEx>
        <w:tc>
          <w:tcPr>
            <w:tcW w:w="2087" w:type="dxa"/>
            <w:tcBorders>
              <w:bottom w:val="single" w:sz="4" w:space="0" w:color="auto"/>
            </w:tcBorders>
          </w:tcPr>
          <w:p w:rsidR="00000000" w:rsidRDefault="00000000">
            <w:pPr>
              <w:pStyle w:val="aa"/>
              <w:spacing w:line="240" w:lineRule="auto"/>
              <w:jc w:val="center"/>
              <w:rPr>
                <w:rFonts w:hint="eastAsia"/>
              </w:rPr>
            </w:pPr>
            <w:r>
              <w:rPr>
                <w:rFonts w:hint="eastAsia"/>
              </w:rPr>
              <w:t>年份</w:t>
            </w:r>
          </w:p>
        </w:tc>
        <w:tc>
          <w:tcPr>
            <w:tcW w:w="2593" w:type="dxa"/>
            <w:tcBorders>
              <w:bottom w:val="single" w:sz="4" w:space="0" w:color="auto"/>
            </w:tcBorders>
          </w:tcPr>
          <w:p w:rsidR="00000000" w:rsidRDefault="00000000">
            <w:pPr>
              <w:pStyle w:val="aa"/>
              <w:spacing w:line="240" w:lineRule="auto"/>
              <w:jc w:val="center"/>
            </w:pPr>
            <w:r>
              <w:rPr>
                <w:rFonts w:hint="eastAsia"/>
              </w:rPr>
              <w:t>失业率</w:t>
            </w:r>
            <w:r>
              <w:br/>
              <w:t>(%)</w:t>
            </w:r>
          </w:p>
        </w:tc>
        <w:tc>
          <w:tcPr>
            <w:tcW w:w="2808" w:type="dxa"/>
            <w:tcBorders>
              <w:bottom w:val="single" w:sz="4" w:space="0" w:color="auto"/>
            </w:tcBorders>
          </w:tcPr>
          <w:p w:rsidR="00000000" w:rsidRDefault="00000000">
            <w:pPr>
              <w:pStyle w:val="aa"/>
              <w:spacing w:line="240" w:lineRule="auto"/>
              <w:jc w:val="center"/>
            </w:pPr>
            <w:r>
              <w:rPr>
                <w:rFonts w:hint="eastAsia"/>
              </w:rPr>
              <w:t>总人数</w:t>
            </w:r>
            <w:r>
              <w:br/>
              <w:t>(</w:t>
            </w:r>
            <w:r>
              <w:rPr>
                <w:rFonts w:hint="eastAsia"/>
              </w:rPr>
              <w:t>千人</w:t>
            </w:r>
            <w:r>
              <w:t>)</w:t>
            </w:r>
          </w:p>
        </w:tc>
      </w:tr>
      <w:tr w:rsidR="00000000">
        <w:tblPrEx>
          <w:tblCellMar>
            <w:top w:w="0" w:type="dxa"/>
            <w:bottom w:w="0" w:type="dxa"/>
          </w:tblCellMar>
        </w:tblPrEx>
        <w:tc>
          <w:tcPr>
            <w:tcW w:w="2087" w:type="dxa"/>
            <w:tcBorders>
              <w:top w:val="single" w:sz="4" w:space="0" w:color="auto"/>
              <w:left w:val="single" w:sz="4" w:space="0" w:color="auto"/>
              <w:bottom w:val="nil"/>
              <w:right w:val="single" w:sz="4" w:space="0" w:color="auto"/>
            </w:tcBorders>
          </w:tcPr>
          <w:p w:rsidR="00000000" w:rsidRDefault="00000000">
            <w:pPr>
              <w:pStyle w:val="aa"/>
              <w:spacing w:line="240" w:lineRule="auto"/>
              <w:jc w:val="center"/>
            </w:pPr>
            <w:r>
              <w:t>1993</w:t>
            </w:r>
          </w:p>
        </w:tc>
        <w:tc>
          <w:tcPr>
            <w:tcW w:w="2593" w:type="dxa"/>
            <w:tcBorders>
              <w:top w:val="single" w:sz="4" w:space="0" w:color="auto"/>
              <w:left w:val="single" w:sz="4" w:space="0" w:color="auto"/>
              <w:bottom w:val="nil"/>
              <w:right w:val="single" w:sz="4" w:space="0" w:color="auto"/>
            </w:tcBorders>
          </w:tcPr>
          <w:p w:rsidR="00000000" w:rsidRDefault="00000000">
            <w:pPr>
              <w:pStyle w:val="aa"/>
              <w:spacing w:line="240" w:lineRule="auto"/>
              <w:jc w:val="center"/>
            </w:pPr>
            <w:r>
              <w:t>3.52</w:t>
            </w:r>
          </w:p>
        </w:tc>
        <w:tc>
          <w:tcPr>
            <w:tcW w:w="2808" w:type="dxa"/>
            <w:tcBorders>
              <w:top w:val="single" w:sz="4" w:space="0" w:color="auto"/>
              <w:left w:val="single" w:sz="4" w:space="0" w:color="auto"/>
              <w:bottom w:val="nil"/>
              <w:right w:val="single" w:sz="4" w:space="0" w:color="auto"/>
            </w:tcBorders>
          </w:tcPr>
          <w:p w:rsidR="00000000" w:rsidRDefault="00000000">
            <w:pPr>
              <w:pStyle w:val="aa"/>
              <w:spacing w:line="240" w:lineRule="auto"/>
              <w:jc w:val="center"/>
            </w:pPr>
            <w:r>
              <w:t>185</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pStyle w:val="aa"/>
              <w:spacing w:line="240" w:lineRule="auto"/>
              <w:jc w:val="center"/>
            </w:pPr>
            <w:r>
              <w:t>1994</w:t>
            </w:r>
          </w:p>
        </w:tc>
        <w:tc>
          <w:tcPr>
            <w:tcW w:w="2593" w:type="dxa"/>
            <w:tcBorders>
              <w:top w:val="nil"/>
              <w:left w:val="single" w:sz="4" w:space="0" w:color="auto"/>
              <w:bottom w:val="nil"/>
              <w:right w:val="single" w:sz="4" w:space="0" w:color="auto"/>
            </w:tcBorders>
          </w:tcPr>
          <w:p w:rsidR="00000000" w:rsidRDefault="00000000">
            <w:pPr>
              <w:pStyle w:val="aa"/>
              <w:spacing w:line="240" w:lineRule="auto"/>
              <w:jc w:val="center"/>
            </w:pPr>
            <w:r>
              <w:t>3.19</w:t>
            </w:r>
          </w:p>
        </w:tc>
        <w:tc>
          <w:tcPr>
            <w:tcW w:w="2808" w:type="dxa"/>
            <w:tcBorders>
              <w:top w:val="nil"/>
              <w:left w:val="single" w:sz="4" w:space="0" w:color="auto"/>
              <w:bottom w:val="nil"/>
              <w:right w:val="single" w:sz="4" w:space="0" w:color="auto"/>
            </w:tcBorders>
          </w:tcPr>
          <w:p w:rsidR="00000000" w:rsidRDefault="00000000">
            <w:pPr>
              <w:pStyle w:val="aa"/>
              <w:spacing w:line="240" w:lineRule="auto"/>
              <w:jc w:val="center"/>
            </w:pPr>
            <w:r>
              <w:t>166</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pStyle w:val="aa"/>
              <w:spacing w:line="240" w:lineRule="auto"/>
              <w:jc w:val="center"/>
            </w:pPr>
            <w:r>
              <w:t>1995</w:t>
            </w:r>
          </w:p>
        </w:tc>
        <w:tc>
          <w:tcPr>
            <w:tcW w:w="2593" w:type="dxa"/>
            <w:tcBorders>
              <w:top w:val="nil"/>
              <w:left w:val="single" w:sz="4" w:space="0" w:color="auto"/>
              <w:bottom w:val="nil"/>
              <w:right w:val="single" w:sz="4" w:space="0" w:color="auto"/>
            </w:tcBorders>
          </w:tcPr>
          <w:p w:rsidR="00000000" w:rsidRDefault="00000000">
            <w:pPr>
              <w:pStyle w:val="aa"/>
              <w:spacing w:line="240" w:lineRule="auto"/>
              <w:jc w:val="center"/>
            </w:pPr>
            <w:r>
              <w:t>2.93</w:t>
            </w:r>
          </w:p>
        </w:tc>
        <w:tc>
          <w:tcPr>
            <w:tcW w:w="2808" w:type="dxa"/>
            <w:tcBorders>
              <w:top w:val="nil"/>
              <w:left w:val="single" w:sz="4" w:space="0" w:color="auto"/>
              <w:bottom w:val="nil"/>
              <w:right w:val="single" w:sz="4" w:space="0" w:color="auto"/>
            </w:tcBorders>
          </w:tcPr>
          <w:p w:rsidR="00000000" w:rsidRDefault="00000000">
            <w:pPr>
              <w:pStyle w:val="aa"/>
              <w:spacing w:line="240" w:lineRule="auto"/>
              <w:jc w:val="center"/>
            </w:pPr>
            <w:r>
              <w:t>153</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pStyle w:val="aa"/>
              <w:spacing w:line="240" w:lineRule="auto"/>
              <w:jc w:val="center"/>
            </w:pPr>
            <w:r>
              <w:t>1996</w:t>
            </w:r>
          </w:p>
        </w:tc>
        <w:tc>
          <w:tcPr>
            <w:tcW w:w="2593" w:type="dxa"/>
            <w:tcBorders>
              <w:top w:val="nil"/>
              <w:left w:val="single" w:sz="4" w:space="0" w:color="auto"/>
              <w:bottom w:val="nil"/>
              <w:right w:val="single" w:sz="4" w:space="0" w:color="auto"/>
            </w:tcBorders>
          </w:tcPr>
          <w:p w:rsidR="00000000" w:rsidRDefault="00000000">
            <w:pPr>
              <w:pStyle w:val="aa"/>
              <w:spacing w:line="240" w:lineRule="auto"/>
              <w:jc w:val="center"/>
            </w:pPr>
            <w:r>
              <w:t>3.52</w:t>
            </w:r>
          </w:p>
        </w:tc>
        <w:tc>
          <w:tcPr>
            <w:tcW w:w="2808" w:type="dxa"/>
            <w:tcBorders>
              <w:top w:val="nil"/>
              <w:left w:val="single" w:sz="4" w:space="0" w:color="auto"/>
              <w:bottom w:val="nil"/>
              <w:right w:val="single" w:sz="4" w:space="0" w:color="auto"/>
            </w:tcBorders>
          </w:tcPr>
          <w:p w:rsidR="00000000" w:rsidRDefault="00000000">
            <w:pPr>
              <w:pStyle w:val="aa"/>
              <w:spacing w:line="240" w:lineRule="auto"/>
              <w:jc w:val="center"/>
            </w:pPr>
            <w:r>
              <w:t>186</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pStyle w:val="aa"/>
              <w:spacing w:line="240" w:lineRule="auto"/>
              <w:jc w:val="center"/>
            </w:pPr>
            <w:r>
              <w:t>1997</w:t>
            </w:r>
          </w:p>
        </w:tc>
        <w:tc>
          <w:tcPr>
            <w:tcW w:w="2593" w:type="dxa"/>
            <w:tcBorders>
              <w:top w:val="nil"/>
              <w:left w:val="single" w:sz="4" w:space="0" w:color="auto"/>
              <w:bottom w:val="nil"/>
              <w:right w:val="single" w:sz="4" w:space="0" w:color="auto"/>
            </w:tcBorders>
          </w:tcPr>
          <w:p w:rsidR="00000000" w:rsidRDefault="00000000">
            <w:pPr>
              <w:pStyle w:val="aa"/>
              <w:spacing w:line="240" w:lineRule="auto"/>
              <w:jc w:val="center"/>
            </w:pPr>
            <w:r>
              <w:t>5.23</w:t>
            </w:r>
          </w:p>
        </w:tc>
        <w:tc>
          <w:tcPr>
            <w:tcW w:w="2808" w:type="dxa"/>
            <w:tcBorders>
              <w:top w:val="nil"/>
              <w:left w:val="single" w:sz="4" w:space="0" w:color="auto"/>
              <w:bottom w:val="nil"/>
              <w:right w:val="single" w:sz="4" w:space="0" w:color="auto"/>
            </w:tcBorders>
          </w:tcPr>
          <w:p w:rsidR="00000000" w:rsidRDefault="00000000">
            <w:pPr>
              <w:pStyle w:val="aa"/>
              <w:spacing w:line="240" w:lineRule="auto"/>
              <w:jc w:val="center"/>
            </w:pPr>
            <w:r>
              <w:t>269</w:t>
            </w:r>
          </w:p>
        </w:tc>
      </w:tr>
      <w:tr w:rsidR="00000000">
        <w:tblPrEx>
          <w:tblCellMar>
            <w:top w:w="0" w:type="dxa"/>
            <w:bottom w:w="0" w:type="dxa"/>
          </w:tblCellMar>
        </w:tblPrEx>
        <w:tc>
          <w:tcPr>
            <w:tcW w:w="2087" w:type="dxa"/>
            <w:tcBorders>
              <w:top w:val="nil"/>
              <w:left w:val="single" w:sz="4" w:space="0" w:color="auto"/>
              <w:bottom w:val="nil"/>
              <w:right w:val="single" w:sz="4" w:space="0" w:color="auto"/>
            </w:tcBorders>
          </w:tcPr>
          <w:p w:rsidR="00000000" w:rsidRDefault="00000000">
            <w:pPr>
              <w:pStyle w:val="aa"/>
              <w:spacing w:line="240" w:lineRule="auto"/>
              <w:jc w:val="center"/>
            </w:pPr>
            <w:r>
              <w:t>1998</w:t>
            </w:r>
          </w:p>
        </w:tc>
        <w:tc>
          <w:tcPr>
            <w:tcW w:w="2593" w:type="dxa"/>
            <w:tcBorders>
              <w:top w:val="nil"/>
              <w:left w:val="single" w:sz="4" w:space="0" w:color="auto"/>
              <w:bottom w:val="nil"/>
              <w:right w:val="single" w:sz="4" w:space="0" w:color="auto"/>
            </w:tcBorders>
          </w:tcPr>
          <w:p w:rsidR="00000000" w:rsidRDefault="00000000">
            <w:pPr>
              <w:pStyle w:val="aa"/>
              <w:spacing w:line="240" w:lineRule="auto"/>
              <w:jc w:val="center"/>
            </w:pPr>
            <w:r>
              <w:t>7.48</w:t>
            </w:r>
          </w:p>
        </w:tc>
        <w:tc>
          <w:tcPr>
            <w:tcW w:w="2808" w:type="dxa"/>
            <w:tcBorders>
              <w:top w:val="nil"/>
              <w:left w:val="single" w:sz="4" w:space="0" w:color="auto"/>
              <w:bottom w:val="nil"/>
              <w:right w:val="single" w:sz="4" w:space="0" w:color="auto"/>
            </w:tcBorders>
          </w:tcPr>
          <w:p w:rsidR="00000000" w:rsidRDefault="00000000">
            <w:pPr>
              <w:pStyle w:val="aa"/>
              <w:spacing w:line="240" w:lineRule="auto"/>
              <w:jc w:val="center"/>
            </w:pPr>
            <w:r>
              <w:t>387</w:t>
            </w:r>
          </w:p>
        </w:tc>
      </w:tr>
      <w:tr w:rsidR="00000000">
        <w:tblPrEx>
          <w:tblCellMar>
            <w:top w:w="0" w:type="dxa"/>
            <w:bottom w:w="0" w:type="dxa"/>
          </w:tblCellMar>
        </w:tblPrEx>
        <w:tc>
          <w:tcPr>
            <w:tcW w:w="2087" w:type="dxa"/>
            <w:tcBorders>
              <w:top w:val="nil"/>
              <w:left w:val="single" w:sz="4" w:space="0" w:color="auto"/>
              <w:bottom w:val="single" w:sz="4" w:space="0" w:color="auto"/>
              <w:right w:val="single" w:sz="4" w:space="0" w:color="auto"/>
            </w:tcBorders>
          </w:tcPr>
          <w:p w:rsidR="00000000" w:rsidRDefault="00000000">
            <w:pPr>
              <w:pStyle w:val="aa"/>
              <w:spacing w:line="240" w:lineRule="auto"/>
              <w:jc w:val="center"/>
            </w:pPr>
            <w:r>
              <w:t>1999</w:t>
            </w:r>
          </w:p>
        </w:tc>
        <w:tc>
          <w:tcPr>
            <w:tcW w:w="2593" w:type="dxa"/>
            <w:tcBorders>
              <w:top w:val="nil"/>
              <w:left w:val="single" w:sz="4" w:space="0" w:color="auto"/>
              <w:bottom w:val="single" w:sz="4" w:space="0" w:color="auto"/>
              <w:right w:val="single" w:sz="4" w:space="0" w:color="auto"/>
            </w:tcBorders>
          </w:tcPr>
          <w:p w:rsidR="00000000" w:rsidRDefault="00000000">
            <w:pPr>
              <w:pStyle w:val="aa"/>
              <w:spacing w:line="240" w:lineRule="auto"/>
              <w:jc w:val="center"/>
            </w:pPr>
            <w:r>
              <w:t>8.39</w:t>
            </w:r>
          </w:p>
        </w:tc>
        <w:tc>
          <w:tcPr>
            <w:tcW w:w="2808" w:type="dxa"/>
            <w:tcBorders>
              <w:top w:val="nil"/>
              <w:left w:val="single" w:sz="4" w:space="0" w:color="auto"/>
              <w:bottom w:val="single" w:sz="4" w:space="0" w:color="auto"/>
              <w:right w:val="single" w:sz="4" w:space="0" w:color="auto"/>
            </w:tcBorders>
          </w:tcPr>
          <w:p w:rsidR="00000000" w:rsidRDefault="00000000">
            <w:pPr>
              <w:pStyle w:val="aa"/>
              <w:spacing w:line="240" w:lineRule="auto"/>
              <w:jc w:val="center"/>
            </w:pPr>
            <w:r>
              <w:t>435</w:t>
            </w:r>
          </w:p>
        </w:tc>
      </w:tr>
    </w:tbl>
    <w:p w:rsidR="00000000" w:rsidRDefault="00000000">
      <w:pPr>
        <w:spacing w:before="160" w:line="240" w:lineRule="auto"/>
        <w:ind w:left="510" w:firstLine="90"/>
        <w:rPr>
          <w:rFonts w:eastAsia="KaiTi_GB2312" w:hint="eastAsia"/>
          <w:snapToGrid/>
          <w:spacing w:val="0"/>
          <w:sz w:val="21"/>
          <w:szCs w:val="26"/>
        </w:rPr>
      </w:pPr>
      <w:r>
        <w:rPr>
          <w:rFonts w:eastAsia="KaiTi_GB2312" w:hint="eastAsia"/>
          <w:snapToGrid/>
          <w:spacing w:val="0"/>
          <w:sz w:val="21"/>
          <w:szCs w:val="26"/>
          <w:u w:val="single"/>
        </w:rPr>
        <w:t>资料来源</w:t>
      </w:r>
      <w:r>
        <w:rPr>
          <w:rFonts w:eastAsia="KaiTi_GB2312"/>
          <w:snapToGrid/>
          <w:spacing w:val="0"/>
          <w:sz w:val="21"/>
          <w:szCs w:val="26"/>
        </w:rPr>
        <w:t>：</w:t>
      </w:r>
      <w:r>
        <w:rPr>
          <w:rFonts w:eastAsia="KaiTi_GB2312" w:hint="eastAsia"/>
          <w:snapToGrid/>
          <w:spacing w:val="0"/>
          <w:sz w:val="21"/>
          <w:szCs w:val="26"/>
        </w:rPr>
        <w:t>劳动和社会事务部</w:t>
      </w:r>
      <w:r>
        <w:rPr>
          <w:rFonts w:eastAsia="KaiTi_GB2312"/>
          <w:snapToGrid/>
          <w:spacing w:val="0"/>
          <w:sz w:val="21"/>
          <w:szCs w:val="26"/>
        </w:rPr>
        <w:t>，</w:t>
      </w:r>
      <w:r>
        <w:rPr>
          <w:rFonts w:eastAsia="KaiTi_GB2312"/>
          <w:snapToGrid/>
          <w:spacing w:val="0"/>
          <w:sz w:val="21"/>
          <w:szCs w:val="26"/>
        </w:rPr>
        <w:t>2000</w:t>
      </w:r>
      <w:r>
        <w:rPr>
          <w:rFonts w:eastAsia="KaiTi_GB2312" w:hint="eastAsia"/>
          <w:snapToGrid/>
          <w:spacing w:val="0"/>
          <w:sz w:val="21"/>
          <w:szCs w:val="26"/>
        </w:rPr>
        <w:t>年。</w:t>
      </w:r>
    </w:p>
    <w:p w:rsidR="00000000" w:rsidRDefault="00000000">
      <w:pPr>
        <w:tabs>
          <w:tab w:val="left" w:pos="1680"/>
        </w:tabs>
        <w:spacing w:after="320" w:line="240" w:lineRule="auto"/>
        <w:ind w:left="1690" w:hanging="490"/>
        <w:rPr>
          <w:rFonts w:eastAsia="KaiTi_GB2312"/>
          <w:snapToGrid/>
          <w:spacing w:val="0"/>
          <w:sz w:val="21"/>
          <w:szCs w:val="26"/>
        </w:rPr>
      </w:pPr>
      <w:r>
        <w:rPr>
          <w:rFonts w:eastAsia="KaiTi_GB2312" w:hint="eastAsia"/>
          <w:snapToGrid/>
          <w:spacing w:val="0"/>
          <w:sz w:val="21"/>
          <w:szCs w:val="26"/>
          <w:u w:val="single"/>
        </w:rPr>
        <w:t>注</w:t>
      </w:r>
      <w:r>
        <w:rPr>
          <w:rFonts w:eastAsia="KaiTi_GB2312"/>
          <w:snapToGrid/>
          <w:spacing w:val="0"/>
          <w:sz w:val="21"/>
          <w:szCs w:val="26"/>
        </w:rPr>
        <w:t>：</w:t>
      </w:r>
      <w:r>
        <w:rPr>
          <w:rFonts w:eastAsia="KaiTi_GB2312" w:hint="eastAsia"/>
          <w:snapToGrid/>
          <w:spacing w:val="0"/>
          <w:sz w:val="21"/>
          <w:szCs w:val="26"/>
        </w:rPr>
        <w:tab/>
      </w:r>
      <w:r>
        <w:rPr>
          <w:rFonts w:eastAsia="KaiTi_GB2312" w:hint="eastAsia"/>
          <w:snapToGrid/>
          <w:spacing w:val="0"/>
          <w:sz w:val="21"/>
          <w:szCs w:val="26"/>
        </w:rPr>
        <w:t>为每年</w:t>
      </w:r>
      <w:r>
        <w:rPr>
          <w:rFonts w:eastAsia="KaiTi_GB2312"/>
          <w:snapToGrid/>
          <w:spacing w:val="0"/>
          <w:sz w:val="21"/>
          <w:szCs w:val="26"/>
        </w:rPr>
        <w:t>12</w:t>
      </w:r>
      <w:r>
        <w:rPr>
          <w:rFonts w:eastAsia="KaiTi_GB2312" w:hint="eastAsia"/>
          <w:snapToGrid/>
          <w:spacing w:val="0"/>
          <w:sz w:val="21"/>
          <w:szCs w:val="26"/>
        </w:rPr>
        <w:t>月</w:t>
      </w:r>
      <w:r>
        <w:rPr>
          <w:rFonts w:eastAsia="KaiTi_GB2312"/>
          <w:snapToGrid/>
          <w:spacing w:val="0"/>
          <w:sz w:val="21"/>
          <w:szCs w:val="26"/>
        </w:rPr>
        <w:t>31</w:t>
      </w:r>
      <w:r>
        <w:rPr>
          <w:rFonts w:eastAsia="KaiTi_GB2312" w:hint="eastAsia"/>
          <w:snapToGrid/>
          <w:spacing w:val="0"/>
          <w:sz w:val="21"/>
          <w:szCs w:val="26"/>
        </w:rPr>
        <w:t>日的数据；</w:t>
      </w:r>
      <w:r>
        <w:rPr>
          <w:rFonts w:eastAsia="KaiTi_GB2312"/>
          <w:snapToGrid/>
          <w:spacing w:val="0"/>
          <w:sz w:val="21"/>
          <w:szCs w:val="26"/>
        </w:rPr>
        <w:t>1999</w:t>
      </w:r>
      <w:r>
        <w:rPr>
          <w:rFonts w:eastAsia="KaiTi_GB2312" w:hint="eastAsia"/>
          <w:snapToGrid/>
          <w:spacing w:val="0"/>
          <w:sz w:val="21"/>
          <w:szCs w:val="26"/>
        </w:rPr>
        <w:t>年的数据为</w:t>
      </w:r>
      <w:r>
        <w:rPr>
          <w:rFonts w:eastAsia="KaiTi_GB2312"/>
          <w:snapToGrid/>
          <w:spacing w:val="0"/>
          <w:sz w:val="21"/>
          <w:szCs w:val="26"/>
        </w:rPr>
        <w:t>7</w:t>
      </w:r>
      <w:r>
        <w:rPr>
          <w:rFonts w:eastAsia="KaiTi_GB2312" w:hint="eastAsia"/>
          <w:snapToGrid/>
          <w:spacing w:val="0"/>
          <w:sz w:val="21"/>
          <w:szCs w:val="26"/>
        </w:rPr>
        <w:t>月</w:t>
      </w:r>
      <w:r>
        <w:rPr>
          <w:rFonts w:eastAsia="KaiTi_GB2312"/>
          <w:snapToGrid/>
          <w:spacing w:val="0"/>
          <w:sz w:val="21"/>
          <w:szCs w:val="26"/>
        </w:rPr>
        <w:t>30</w:t>
      </w:r>
      <w:r>
        <w:rPr>
          <w:rFonts w:eastAsia="KaiTi_GB2312" w:hint="eastAsia"/>
          <w:snapToGrid/>
          <w:spacing w:val="0"/>
          <w:sz w:val="21"/>
          <w:szCs w:val="26"/>
        </w:rPr>
        <w:t>日数据；</w:t>
      </w:r>
      <w:r>
        <w:rPr>
          <w:rFonts w:eastAsia="KaiTi_GB2312"/>
          <w:snapToGrid/>
          <w:spacing w:val="0"/>
          <w:sz w:val="21"/>
          <w:szCs w:val="26"/>
        </w:rPr>
        <w:t>1999</w:t>
      </w:r>
      <w:r>
        <w:rPr>
          <w:rFonts w:eastAsia="KaiTi_GB2312" w:hint="eastAsia"/>
          <w:snapToGrid/>
          <w:spacing w:val="0"/>
          <w:sz w:val="21"/>
          <w:szCs w:val="26"/>
        </w:rPr>
        <w:t>年</w:t>
      </w:r>
      <w:r>
        <w:rPr>
          <w:rFonts w:eastAsia="KaiTi_GB2312"/>
          <w:snapToGrid/>
          <w:spacing w:val="0"/>
          <w:sz w:val="21"/>
          <w:szCs w:val="26"/>
        </w:rPr>
        <w:br/>
        <w:t>12</w:t>
      </w:r>
      <w:r>
        <w:rPr>
          <w:rFonts w:eastAsia="KaiTi_GB2312" w:hint="eastAsia"/>
          <w:snapToGrid/>
          <w:spacing w:val="0"/>
          <w:sz w:val="21"/>
          <w:szCs w:val="26"/>
        </w:rPr>
        <w:t>月</w:t>
      </w:r>
      <w:r>
        <w:rPr>
          <w:rFonts w:eastAsia="KaiTi_GB2312"/>
          <w:snapToGrid/>
          <w:spacing w:val="0"/>
          <w:sz w:val="21"/>
          <w:szCs w:val="26"/>
        </w:rPr>
        <w:t>31</w:t>
      </w:r>
      <w:r>
        <w:rPr>
          <w:rFonts w:eastAsia="KaiTi_GB2312" w:hint="eastAsia"/>
          <w:snapToGrid/>
          <w:spacing w:val="0"/>
          <w:sz w:val="21"/>
          <w:szCs w:val="26"/>
        </w:rPr>
        <w:t>日</w:t>
      </w:r>
      <w:r>
        <w:rPr>
          <w:rFonts w:eastAsia="KaiTi_GB2312"/>
          <w:snapToGrid/>
          <w:spacing w:val="0"/>
          <w:sz w:val="21"/>
          <w:szCs w:val="26"/>
        </w:rPr>
        <w:t>，</w:t>
      </w:r>
      <w:r>
        <w:rPr>
          <w:rFonts w:eastAsia="KaiTi_GB2312" w:hint="eastAsia"/>
          <w:snapToGrid/>
          <w:spacing w:val="0"/>
          <w:sz w:val="21"/>
          <w:szCs w:val="26"/>
        </w:rPr>
        <w:t>失业率为</w:t>
      </w:r>
      <w:r>
        <w:rPr>
          <w:rFonts w:eastAsia="KaiTi_GB2312"/>
          <w:snapToGrid/>
          <w:spacing w:val="0"/>
          <w:sz w:val="21"/>
          <w:szCs w:val="26"/>
        </w:rPr>
        <w:t>9.4%</w:t>
      </w:r>
      <w:r>
        <w:rPr>
          <w:rFonts w:eastAsia="KaiTi_GB2312" w:hint="eastAsia"/>
          <w:snapToGrid/>
          <w:spacing w:val="0"/>
          <w:sz w:val="21"/>
          <w:szCs w:val="26"/>
        </w:rPr>
        <w:t>。</w:t>
      </w:r>
    </w:p>
    <w:p w:rsidR="00000000" w:rsidRDefault="00000000">
      <w:pPr>
        <w:rPr>
          <w:snapToGrid/>
          <w:szCs w:val="26"/>
        </w:rPr>
      </w:pPr>
      <w:r>
        <w:rPr>
          <w:rFonts w:hint="eastAsia"/>
          <w:snapToGrid/>
          <w:szCs w:val="26"/>
        </w:rPr>
        <w:tab/>
      </w:r>
      <w:r>
        <w:rPr>
          <w:snapToGrid/>
          <w:szCs w:val="26"/>
        </w:rPr>
        <w:t xml:space="preserve">240.  </w:t>
      </w:r>
      <w:r>
        <w:rPr>
          <w:rFonts w:hint="eastAsia"/>
          <w:snapToGrid/>
          <w:szCs w:val="26"/>
        </w:rPr>
        <w:t>捷克共和国的私有化方法也起一定作用。公司在私有化前不进行结构调整</w:t>
      </w:r>
      <w:r>
        <w:rPr>
          <w:snapToGrid/>
          <w:szCs w:val="26"/>
        </w:rPr>
        <w:t>，</w:t>
      </w:r>
      <w:r>
        <w:rPr>
          <w:rFonts w:hint="eastAsia"/>
          <w:snapToGrid/>
          <w:szCs w:val="26"/>
        </w:rPr>
        <w:t>而将调整进程交由新的所有人进行。因此</w:t>
      </w:r>
      <w:r>
        <w:rPr>
          <w:snapToGrid/>
          <w:szCs w:val="26"/>
        </w:rPr>
        <w:t>，</w:t>
      </w:r>
      <w:r>
        <w:rPr>
          <w:rFonts w:hint="eastAsia"/>
          <w:snapToGrid/>
          <w:szCs w:val="26"/>
        </w:rPr>
        <w:t>随着私有化的完成</w:t>
      </w:r>
      <w:r>
        <w:rPr>
          <w:snapToGrid/>
          <w:szCs w:val="26"/>
        </w:rPr>
        <w:t>，</w:t>
      </w:r>
      <w:r>
        <w:rPr>
          <w:rFonts w:hint="eastAsia"/>
          <w:snapToGrid/>
          <w:szCs w:val="26"/>
        </w:rPr>
        <w:t>失业率预期将会增加。</w:t>
      </w:r>
    </w:p>
    <w:p w:rsidR="00000000" w:rsidRDefault="00000000">
      <w:pPr>
        <w:spacing w:after="320"/>
        <w:rPr>
          <w:rFonts w:hint="eastAsia"/>
          <w:snapToGrid/>
          <w:szCs w:val="26"/>
        </w:rPr>
      </w:pPr>
      <w:r>
        <w:rPr>
          <w:rFonts w:hint="eastAsia"/>
          <w:snapToGrid/>
          <w:szCs w:val="26"/>
        </w:rPr>
        <w:tab/>
      </w:r>
      <w:r>
        <w:rPr>
          <w:snapToGrid/>
          <w:szCs w:val="26"/>
        </w:rPr>
        <w:t xml:space="preserve">241.  </w:t>
      </w:r>
      <w:r>
        <w:rPr>
          <w:rFonts w:hint="eastAsia"/>
          <w:snapToGrid/>
          <w:szCs w:val="26"/>
        </w:rPr>
        <w:t>直到</w:t>
      </w:r>
      <w:r>
        <w:rPr>
          <w:snapToGrid/>
          <w:szCs w:val="26"/>
        </w:rPr>
        <w:t>1997</w:t>
      </w:r>
      <w:r>
        <w:rPr>
          <w:rFonts w:hint="eastAsia"/>
          <w:snapToGrid/>
          <w:szCs w:val="26"/>
        </w:rPr>
        <w:t>年后几个月</w:t>
      </w:r>
      <w:r>
        <w:rPr>
          <w:snapToGrid/>
          <w:szCs w:val="26"/>
        </w:rPr>
        <w:t>，</w:t>
      </w:r>
      <w:r>
        <w:rPr>
          <w:rFonts w:hint="eastAsia"/>
          <w:snapToGrid/>
          <w:szCs w:val="26"/>
        </w:rPr>
        <w:t>失业率才开始大幅度攀升。脆弱群体主要是没有经验的年轻人、孩子小的妇女、学历低或无学历的人以及残疾人。有时一个人可能兼具以上几个特点。这些群体中的人往往经常失业或长期失业。</w:t>
      </w:r>
    </w:p>
    <w:p w:rsidR="00000000" w:rsidRDefault="00000000">
      <w:pPr>
        <w:pStyle w:val="Heading3"/>
        <w:spacing w:after="160"/>
        <w:rPr>
          <w:rFonts w:hint="eastAsia"/>
        </w:rPr>
      </w:pPr>
      <w:r>
        <w:rPr>
          <w:rFonts w:hint="eastAsia"/>
        </w:rPr>
        <w:t>登记的脆弱群体求职者</w:t>
      </w:r>
      <w:r>
        <w:t>(</w:t>
      </w:r>
      <w:r>
        <w:rPr>
          <w:rFonts w:hint="eastAsia"/>
        </w:rPr>
        <w:t>千人</w:t>
      </w:r>
      <w:r>
        <w:t>)</w:t>
      </w: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402"/>
        <w:gridCol w:w="851"/>
        <w:gridCol w:w="851"/>
        <w:gridCol w:w="851"/>
        <w:gridCol w:w="851"/>
        <w:gridCol w:w="851"/>
        <w:gridCol w:w="851"/>
        <w:gridCol w:w="851"/>
      </w:tblGrid>
      <w:tr w:rsidR="00000000">
        <w:tblPrEx>
          <w:tblCellMar>
            <w:top w:w="0" w:type="dxa"/>
            <w:bottom w:w="0" w:type="dxa"/>
          </w:tblCellMar>
        </w:tblPrEx>
        <w:trPr>
          <w:cantSplit/>
          <w:jc w:val="center"/>
        </w:trPr>
        <w:tc>
          <w:tcPr>
            <w:tcW w:w="3402"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项</w:t>
            </w:r>
            <w:r>
              <w:rPr>
                <w:rFonts w:hint="eastAsia"/>
              </w:rPr>
              <w:t xml:space="preserve">  </w:t>
            </w:r>
            <w:r>
              <w:rPr>
                <w:rFonts w:hint="eastAsia"/>
              </w:rPr>
              <w:t>目</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1999</w:t>
            </w:r>
          </w:p>
        </w:tc>
      </w:tr>
      <w:tr w:rsidR="00000000">
        <w:tblPrEx>
          <w:tblCellMar>
            <w:top w:w="0" w:type="dxa"/>
            <w:bottom w:w="0" w:type="dxa"/>
          </w:tblCellMar>
        </w:tblPrEx>
        <w:trPr>
          <w:cantSplit/>
          <w:jc w:val="center"/>
        </w:trPr>
        <w:tc>
          <w:tcPr>
            <w:tcW w:w="3402" w:type="dxa"/>
            <w:tcBorders>
              <w:top w:val="single" w:sz="4" w:space="0" w:color="auto"/>
              <w:left w:val="single" w:sz="4" w:space="0" w:color="auto"/>
              <w:bottom w:val="nil"/>
              <w:right w:val="single" w:sz="4" w:space="0" w:color="auto"/>
            </w:tcBorders>
          </w:tcPr>
          <w:p w:rsidR="00000000" w:rsidRDefault="00000000">
            <w:pPr>
              <w:pStyle w:val="aa"/>
            </w:pPr>
            <w:r>
              <w:rPr>
                <w:rFonts w:hint="eastAsia"/>
              </w:rPr>
              <w:t>登记的求职者总人数：</w:t>
            </w:r>
            <w:r>
              <w:t xml:space="preserve"> </w:t>
            </w:r>
          </w:p>
        </w:tc>
        <w:tc>
          <w:tcPr>
            <w:tcW w:w="851" w:type="dxa"/>
            <w:tcBorders>
              <w:top w:val="single" w:sz="4" w:space="0" w:color="auto"/>
              <w:left w:val="single" w:sz="4" w:space="0" w:color="auto"/>
              <w:bottom w:val="nil"/>
              <w:right w:val="single" w:sz="4" w:space="0" w:color="auto"/>
            </w:tcBorders>
          </w:tcPr>
          <w:p w:rsidR="00000000" w:rsidRDefault="00000000">
            <w:pPr>
              <w:pStyle w:val="aa"/>
              <w:ind w:right="170"/>
              <w:jc w:val="right"/>
            </w:pPr>
            <w:r>
              <w:t>185</w:t>
            </w:r>
          </w:p>
        </w:tc>
        <w:tc>
          <w:tcPr>
            <w:tcW w:w="851" w:type="dxa"/>
            <w:tcBorders>
              <w:top w:val="single" w:sz="4" w:space="0" w:color="auto"/>
              <w:left w:val="single" w:sz="4" w:space="0" w:color="auto"/>
              <w:bottom w:val="nil"/>
              <w:right w:val="single" w:sz="4" w:space="0" w:color="auto"/>
            </w:tcBorders>
          </w:tcPr>
          <w:p w:rsidR="00000000" w:rsidRDefault="00000000">
            <w:pPr>
              <w:pStyle w:val="aa"/>
              <w:ind w:right="170"/>
              <w:jc w:val="right"/>
            </w:pPr>
            <w:r>
              <w:t>166</w:t>
            </w:r>
          </w:p>
        </w:tc>
        <w:tc>
          <w:tcPr>
            <w:tcW w:w="851" w:type="dxa"/>
            <w:tcBorders>
              <w:top w:val="single" w:sz="4" w:space="0" w:color="auto"/>
              <w:left w:val="single" w:sz="4" w:space="0" w:color="auto"/>
              <w:bottom w:val="nil"/>
              <w:right w:val="single" w:sz="4" w:space="0" w:color="auto"/>
            </w:tcBorders>
          </w:tcPr>
          <w:p w:rsidR="00000000" w:rsidRDefault="00000000">
            <w:pPr>
              <w:pStyle w:val="aa"/>
              <w:ind w:right="170"/>
              <w:jc w:val="right"/>
            </w:pPr>
            <w:r>
              <w:t>153</w:t>
            </w:r>
          </w:p>
        </w:tc>
        <w:tc>
          <w:tcPr>
            <w:tcW w:w="851" w:type="dxa"/>
            <w:tcBorders>
              <w:top w:val="single" w:sz="4" w:space="0" w:color="auto"/>
              <w:left w:val="single" w:sz="4" w:space="0" w:color="auto"/>
              <w:bottom w:val="nil"/>
              <w:right w:val="single" w:sz="4" w:space="0" w:color="auto"/>
            </w:tcBorders>
          </w:tcPr>
          <w:p w:rsidR="00000000" w:rsidRDefault="00000000">
            <w:pPr>
              <w:pStyle w:val="aa"/>
              <w:ind w:right="170"/>
              <w:jc w:val="right"/>
            </w:pPr>
            <w:r>
              <w:t>186</w:t>
            </w:r>
          </w:p>
        </w:tc>
        <w:tc>
          <w:tcPr>
            <w:tcW w:w="851" w:type="dxa"/>
            <w:tcBorders>
              <w:top w:val="single" w:sz="4" w:space="0" w:color="auto"/>
              <w:left w:val="single" w:sz="4" w:space="0" w:color="auto"/>
              <w:bottom w:val="nil"/>
              <w:right w:val="single" w:sz="4" w:space="0" w:color="auto"/>
            </w:tcBorders>
          </w:tcPr>
          <w:p w:rsidR="00000000" w:rsidRDefault="00000000">
            <w:pPr>
              <w:pStyle w:val="aa"/>
              <w:ind w:right="170"/>
              <w:jc w:val="right"/>
            </w:pPr>
            <w:r>
              <w:t>269</w:t>
            </w:r>
          </w:p>
        </w:tc>
        <w:tc>
          <w:tcPr>
            <w:tcW w:w="851" w:type="dxa"/>
            <w:tcBorders>
              <w:top w:val="single" w:sz="4" w:space="0" w:color="auto"/>
              <w:left w:val="single" w:sz="4" w:space="0" w:color="auto"/>
              <w:bottom w:val="nil"/>
              <w:right w:val="single" w:sz="4" w:space="0" w:color="auto"/>
            </w:tcBorders>
          </w:tcPr>
          <w:p w:rsidR="00000000" w:rsidRDefault="00000000">
            <w:pPr>
              <w:pStyle w:val="aa"/>
              <w:ind w:right="170"/>
              <w:jc w:val="right"/>
            </w:pPr>
            <w:r>
              <w:t>387</w:t>
            </w:r>
          </w:p>
        </w:tc>
        <w:tc>
          <w:tcPr>
            <w:tcW w:w="851" w:type="dxa"/>
            <w:tcBorders>
              <w:top w:val="single" w:sz="4" w:space="0" w:color="auto"/>
              <w:left w:val="single" w:sz="4" w:space="0" w:color="auto"/>
              <w:bottom w:val="nil"/>
              <w:right w:val="single" w:sz="4" w:space="0" w:color="auto"/>
            </w:tcBorders>
          </w:tcPr>
          <w:p w:rsidR="00000000" w:rsidRDefault="00000000">
            <w:pPr>
              <w:pStyle w:val="aa"/>
              <w:ind w:right="170"/>
              <w:jc w:val="right"/>
            </w:pPr>
            <w:r>
              <w:t>435</w:t>
            </w:r>
          </w:p>
        </w:tc>
      </w:tr>
      <w:tr w:rsidR="00000000">
        <w:tblPrEx>
          <w:tblCellMar>
            <w:top w:w="0" w:type="dxa"/>
            <w:bottom w:w="0" w:type="dxa"/>
          </w:tblCellMar>
        </w:tblPrEx>
        <w:trPr>
          <w:cantSplit/>
          <w:jc w:val="center"/>
        </w:trPr>
        <w:tc>
          <w:tcPr>
            <w:tcW w:w="3402"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 xml:space="preserve">  </w:t>
            </w:r>
            <w:r>
              <w:t>19</w:t>
            </w:r>
            <w:r>
              <w:rPr>
                <w:rFonts w:hint="eastAsia"/>
              </w:rPr>
              <w:t>岁以下求职者</w:t>
            </w:r>
          </w:p>
          <w:p w:rsidR="00000000" w:rsidRDefault="00000000">
            <w:pPr>
              <w:pStyle w:val="aa"/>
            </w:pPr>
            <w:r>
              <w:rPr>
                <w:rFonts w:hint="eastAsia"/>
              </w:rPr>
              <w:t xml:space="preserve">  </w:t>
            </w:r>
            <w:r>
              <w:t>20-24</w:t>
            </w:r>
            <w:r>
              <w:rPr>
                <w:rFonts w:hint="eastAsia"/>
              </w:rPr>
              <w:t>岁求职者</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29</w:t>
            </w:r>
          </w:p>
          <w:p w:rsidR="00000000" w:rsidRDefault="00000000">
            <w:pPr>
              <w:pStyle w:val="aa"/>
              <w:ind w:right="170"/>
              <w:jc w:val="right"/>
            </w:pPr>
            <w:r>
              <w:t>28</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22</w:t>
            </w:r>
          </w:p>
          <w:p w:rsidR="00000000" w:rsidRDefault="00000000">
            <w:pPr>
              <w:pStyle w:val="aa"/>
              <w:ind w:right="170"/>
              <w:jc w:val="right"/>
            </w:pPr>
            <w:r>
              <w:t>25</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20</w:t>
            </w:r>
          </w:p>
          <w:p w:rsidR="00000000" w:rsidRDefault="00000000">
            <w:pPr>
              <w:pStyle w:val="aa"/>
              <w:ind w:right="170"/>
              <w:jc w:val="right"/>
            </w:pPr>
            <w:r>
              <w:t>22</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24</w:t>
            </w:r>
          </w:p>
          <w:p w:rsidR="00000000" w:rsidRDefault="00000000">
            <w:pPr>
              <w:pStyle w:val="aa"/>
              <w:ind w:right="170"/>
              <w:jc w:val="right"/>
            </w:pPr>
            <w:r>
              <w:t>28</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33</w:t>
            </w:r>
          </w:p>
          <w:p w:rsidR="00000000" w:rsidRDefault="00000000">
            <w:pPr>
              <w:pStyle w:val="aa"/>
              <w:ind w:right="170"/>
              <w:jc w:val="right"/>
            </w:pPr>
            <w:r>
              <w:t>46</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33</w:t>
            </w:r>
          </w:p>
          <w:p w:rsidR="00000000" w:rsidRDefault="00000000">
            <w:pPr>
              <w:pStyle w:val="aa"/>
              <w:ind w:right="170"/>
              <w:jc w:val="right"/>
            </w:pPr>
            <w:r>
              <w:t>95</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25</w:t>
            </w:r>
          </w:p>
          <w:p w:rsidR="00000000" w:rsidRDefault="00000000">
            <w:pPr>
              <w:pStyle w:val="aa"/>
              <w:ind w:right="170"/>
              <w:jc w:val="right"/>
            </w:pPr>
            <w:r>
              <w:t>107</w:t>
            </w:r>
          </w:p>
        </w:tc>
      </w:tr>
      <w:tr w:rsidR="00000000">
        <w:tblPrEx>
          <w:tblCellMar>
            <w:top w:w="0" w:type="dxa"/>
            <w:bottom w:w="0" w:type="dxa"/>
          </w:tblCellMar>
        </w:tblPrEx>
        <w:trPr>
          <w:cantSplit/>
          <w:jc w:val="center"/>
        </w:trPr>
        <w:tc>
          <w:tcPr>
            <w:tcW w:w="3402"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接受过义务教育的求职者</w:t>
            </w:r>
          </w:p>
          <w:p w:rsidR="00000000" w:rsidRDefault="00000000">
            <w:pPr>
              <w:pStyle w:val="aa"/>
              <w:rPr>
                <w:rFonts w:hint="eastAsia"/>
              </w:rPr>
            </w:pPr>
            <w:r>
              <w:rPr>
                <w:rFonts w:hint="eastAsia"/>
              </w:rPr>
              <w:t>失业时间：</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70</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65</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62</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71</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90</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117</w:t>
            </w:r>
          </w:p>
        </w:tc>
        <w:tc>
          <w:tcPr>
            <w:tcW w:w="851" w:type="dxa"/>
            <w:tcBorders>
              <w:top w:val="nil"/>
              <w:left w:val="single" w:sz="4" w:space="0" w:color="auto"/>
              <w:bottom w:val="nil"/>
              <w:right w:val="single" w:sz="4" w:space="0" w:color="auto"/>
            </w:tcBorders>
          </w:tcPr>
          <w:p w:rsidR="00000000" w:rsidRDefault="00000000">
            <w:pPr>
              <w:pStyle w:val="aa"/>
              <w:ind w:right="170"/>
              <w:jc w:val="right"/>
            </w:pPr>
            <w:r>
              <w:t>131</w:t>
            </w:r>
          </w:p>
        </w:tc>
      </w:tr>
      <w:tr w:rsidR="00000000">
        <w:tblPrEx>
          <w:tblCellMar>
            <w:top w:w="0" w:type="dxa"/>
            <w:bottom w:w="0" w:type="dxa"/>
          </w:tblCellMar>
        </w:tblPrEx>
        <w:trPr>
          <w:cantSplit/>
          <w:jc w:val="center"/>
        </w:trPr>
        <w:tc>
          <w:tcPr>
            <w:tcW w:w="3402" w:type="dxa"/>
            <w:tcBorders>
              <w:top w:val="nil"/>
              <w:left w:val="single" w:sz="4" w:space="0" w:color="auto"/>
              <w:bottom w:val="single" w:sz="4" w:space="0" w:color="auto"/>
              <w:right w:val="single" w:sz="4" w:space="0" w:color="auto"/>
            </w:tcBorders>
          </w:tcPr>
          <w:p w:rsidR="00000000" w:rsidRDefault="00000000">
            <w:pPr>
              <w:pStyle w:val="aa"/>
              <w:rPr>
                <w:rFonts w:hint="eastAsia"/>
              </w:rPr>
            </w:pPr>
            <w:r>
              <w:t xml:space="preserve">  3</w:t>
            </w:r>
            <w:r>
              <w:rPr>
                <w:rFonts w:hint="eastAsia"/>
              </w:rPr>
              <w:t>个月</w:t>
            </w:r>
          </w:p>
          <w:p w:rsidR="00000000" w:rsidRDefault="00000000">
            <w:pPr>
              <w:pStyle w:val="aa"/>
            </w:pPr>
            <w:r>
              <w:t xml:space="preserve">  3 </w:t>
            </w:r>
            <w:r>
              <w:rPr>
                <w:rFonts w:hint="eastAsia"/>
              </w:rPr>
              <w:t>至</w:t>
            </w:r>
            <w:r>
              <w:t xml:space="preserve">6 </w:t>
            </w:r>
            <w:r>
              <w:rPr>
                <w:rFonts w:hint="eastAsia"/>
              </w:rPr>
              <w:t>个月</w:t>
            </w:r>
          </w:p>
          <w:p w:rsidR="00000000" w:rsidRDefault="00000000">
            <w:pPr>
              <w:pStyle w:val="aa"/>
            </w:pPr>
            <w:r>
              <w:t xml:space="preserve">  6 </w:t>
            </w:r>
            <w:r>
              <w:rPr>
                <w:rFonts w:hint="eastAsia"/>
              </w:rPr>
              <w:t>至</w:t>
            </w:r>
            <w:r>
              <w:t xml:space="preserve"> 9</w:t>
            </w:r>
            <w:r>
              <w:rPr>
                <w:rFonts w:hint="eastAsia"/>
              </w:rPr>
              <w:t>个月</w:t>
            </w:r>
          </w:p>
          <w:p w:rsidR="00000000" w:rsidRDefault="00000000">
            <w:pPr>
              <w:pStyle w:val="aa"/>
            </w:pPr>
            <w:r>
              <w:t xml:space="preserve">  9</w:t>
            </w:r>
            <w:r>
              <w:rPr>
                <w:rFonts w:hint="eastAsia"/>
              </w:rPr>
              <w:t>至</w:t>
            </w:r>
            <w:r>
              <w:t>12</w:t>
            </w:r>
            <w:r>
              <w:rPr>
                <w:rFonts w:hint="eastAsia"/>
              </w:rPr>
              <w:t>个月</w:t>
            </w:r>
          </w:p>
          <w:p w:rsidR="00000000" w:rsidRDefault="00000000">
            <w:pPr>
              <w:pStyle w:val="aa"/>
            </w:pPr>
            <w:r>
              <w:t xml:space="preserve">  12</w:t>
            </w:r>
            <w:r>
              <w:rPr>
                <w:rFonts w:hint="eastAsia"/>
              </w:rPr>
              <w:t>个月以上</w:t>
            </w:r>
          </w:p>
        </w:tc>
        <w:tc>
          <w:tcPr>
            <w:tcW w:w="851" w:type="dxa"/>
            <w:tcBorders>
              <w:top w:val="nil"/>
              <w:left w:val="single" w:sz="4" w:space="0" w:color="auto"/>
              <w:bottom w:val="single" w:sz="4" w:space="0" w:color="auto"/>
              <w:right w:val="single" w:sz="4" w:space="0" w:color="auto"/>
            </w:tcBorders>
          </w:tcPr>
          <w:p w:rsidR="00000000" w:rsidRDefault="00000000">
            <w:pPr>
              <w:pStyle w:val="aa"/>
              <w:ind w:right="170"/>
              <w:jc w:val="right"/>
            </w:pPr>
            <w:r>
              <w:t>86</w:t>
            </w:r>
          </w:p>
          <w:p w:rsidR="00000000" w:rsidRDefault="00000000">
            <w:pPr>
              <w:pStyle w:val="aa"/>
              <w:ind w:right="170"/>
              <w:jc w:val="right"/>
            </w:pPr>
            <w:r>
              <w:t>43</w:t>
            </w:r>
          </w:p>
          <w:p w:rsidR="00000000" w:rsidRDefault="00000000">
            <w:pPr>
              <w:pStyle w:val="aa"/>
              <w:ind w:right="170"/>
              <w:jc w:val="right"/>
            </w:pPr>
            <w:r>
              <w:t>18</w:t>
            </w:r>
          </w:p>
          <w:p w:rsidR="00000000" w:rsidRDefault="00000000">
            <w:pPr>
              <w:pStyle w:val="aa"/>
              <w:ind w:right="170"/>
              <w:jc w:val="right"/>
            </w:pPr>
            <w:r>
              <w:t>12</w:t>
            </w:r>
          </w:p>
          <w:p w:rsidR="00000000" w:rsidRDefault="00000000">
            <w:pPr>
              <w:pStyle w:val="aa"/>
              <w:ind w:right="170"/>
              <w:jc w:val="right"/>
            </w:pPr>
            <w:r>
              <w:t>27</w:t>
            </w:r>
          </w:p>
        </w:tc>
        <w:tc>
          <w:tcPr>
            <w:tcW w:w="851" w:type="dxa"/>
            <w:tcBorders>
              <w:top w:val="nil"/>
              <w:left w:val="single" w:sz="4" w:space="0" w:color="auto"/>
              <w:bottom w:val="single" w:sz="4" w:space="0" w:color="auto"/>
              <w:right w:val="single" w:sz="4" w:space="0" w:color="auto"/>
            </w:tcBorders>
          </w:tcPr>
          <w:p w:rsidR="00000000" w:rsidRDefault="00000000">
            <w:pPr>
              <w:pStyle w:val="aa"/>
              <w:ind w:right="170"/>
              <w:jc w:val="right"/>
            </w:pPr>
            <w:r>
              <w:t>67</w:t>
            </w:r>
          </w:p>
          <w:p w:rsidR="00000000" w:rsidRDefault="00000000">
            <w:pPr>
              <w:pStyle w:val="aa"/>
              <w:ind w:right="170"/>
              <w:jc w:val="right"/>
            </w:pPr>
            <w:r>
              <w:t>37</w:t>
            </w:r>
          </w:p>
          <w:p w:rsidR="00000000" w:rsidRDefault="00000000">
            <w:pPr>
              <w:pStyle w:val="aa"/>
              <w:ind w:right="170"/>
              <w:jc w:val="right"/>
            </w:pPr>
            <w:r>
              <w:t>17</w:t>
            </w:r>
          </w:p>
          <w:p w:rsidR="00000000" w:rsidRDefault="00000000">
            <w:pPr>
              <w:pStyle w:val="aa"/>
              <w:ind w:right="170"/>
              <w:jc w:val="right"/>
            </w:pPr>
            <w:r>
              <w:t>11</w:t>
            </w:r>
          </w:p>
          <w:p w:rsidR="00000000" w:rsidRDefault="00000000">
            <w:pPr>
              <w:pStyle w:val="aa"/>
              <w:ind w:right="170"/>
              <w:jc w:val="right"/>
            </w:pPr>
            <w:r>
              <w:t>35</w:t>
            </w:r>
          </w:p>
        </w:tc>
        <w:tc>
          <w:tcPr>
            <w:tcW w:w="851" w:type="dxa"/>
            <w:tcBorders>
              <w:top w:val="nil"/>
              <w:left w:val="single" w:sz="4" w:space="0" w:color="auto"/>
              <w:bottom w:val="single" w:sz="4" w:space="0" w:color="auto"/>
              <w:right w:val="single" w:sz="4" w:space="0" w:color="auto"/>
            </w:tcBorders>
          </w:tcPr>
          <w:p w:rsidR="00000000" w:rsidRDefault="00000000">
            <w:pPr>
              <w:pStyle w:val="aa"/>
              <w:ind w:right="170"/>
              <w:jc w:val="right"/>
            </w:pPr>
            <w:r>
              <w:t>60</w:t>
            </w:r>
          </w:p>
          <w:p w:rsidR="00000000" w:rsidRDefault="00000000">
            <w:pPr>
              <w:pStyle w:val="aa"/>
              <w:ind w:right="170"/>
              <w:jc w:val="right"/>
            </w:pPr>
            <w:r>
              <w:t>33</w:t>
            </w:r>
          </w:p>
          <w:p w:rsidR="00000000" w:rsidRDefault="00000000">
            <w:pPr>
              <w:pStyle w:val="aa"/>
              <w:ind w:right="170"/>
              <w:jc w:val="right"/>
            </w:pPr>
            <w:r>
              <w:t>14</w:t>
            </w:r>
          </w:p>
          <w:p w:rsidR="00000000" w:rsidRDefault="00000000">
            <w:pPr>
              <w:pStyle w:val="aa"/>
              <w:ind w:right="170"/>
              <w:jc w:val="right"/>
            </w:pPr>
            <w:r>
              <w:t>10</w:t>
            </w:r>
          </w:p>
          <w:p w:rsidR="00000000" w:rsidRDefault="00000000">
            <w:pPr>
              <w:pStyle w:val="aa"/>
              <w:ind w:right="170"/>
              <w:jc w:val="right"/>
            </w:pPr>
            <w:r>
              <w:t>36</w:t>
            </w:r>
          </w:p>
        </w:tc>
        <w:tc>
          <w:tcPr>
            <w:tcW w:w="851" w:type="dxa"/>
            <w:tcBorders>
              <w:top w:val="nil"/>
              <w:left w:val="single" w:sz="4" w:space="0" w:color="auto"/>
              <w:bottom w:val="single" w:sz="4" w:space="0" w:color="auto"/>
              <w:right w:val="single" w:sz="4" w:space="0" w:color="auto"/>
            </w:tcBorders>
          </w:tcPr>
          <w:p w:rsidR="00000000" w:rsidRDefault="00000000">
            <w:pPr>
              <w:pStyle w:val="aa"/>
              <w:ind w:right="170"/>
              <w:jc w:val="right"/>
            </w:pPr>
            <w:r>
              <w:t>77</w:t>
            </w:r>
          </w:p>
          <w:p w:rsidR="00000000" w:rsidRDefault="00000000">
            <w:pPr>
              <w:pStyle w:val="aa"/>
              <w:ind w:right="170"/>
              <w:jc w:val="right"/>
            </w:pPr>
            <w:r>
              <w:t>43</w:t>
            </w:r>
          </w:p>
          <w:p w:rsidR="00000000" w:rsidRDefault="00000000">
            <w:pPr>
              <w:pStyle w:val="aa"/>
              <w:ind w:right="170"/>
              <w:jc w:val="right"/>
            </w:pPr>
            <w:r>
              <w:t>18</w:t>
            </w:r>
          </w:p>
          <w:p w:rsidR="00000000" w:rsidRDefault="00000000">
            <w:pPr>
              <w:pStyle w:val="aa"/>
              <w:ind w:right="170"/>
              <w:jc w:val="right"/>
            </w:pPr>
            <w:r>
              <w:t>10</w:t>
            </w:r>
          </w:p>
          <w:p w:rsidR="00000000" w:rsidRDefault="00000000">
            <w:pPr>
              <w:pStyle w:val="aa"/>
              <w:ind w:right="170"/>
              <w:jc w:val="right"/>
            </w:pPr>
            <w:r>
              <w:t>38</w:t>
            </w:r>
          </w:p>
        </w:tc>
        <w:tc>
          <w:tcPr>
            <w:tcW w:w="851" w:type="dxa"/>
            <w:tcBorders>
              <w:top w:val="nil"/>
              <w:left w:val="single" w:sz="4" w:space="0" w:color="auto"/>
              <w:bottom w:val="single" w:sz="4" w:space="0" w:color="auto"/>
              <w:right w:val="single" w:sz="4" w:space="0" w:color="auto"/>
            </w:tcBorders>
          </w:tcPr>
          <w:p w:rsidR="00000000" w:rsidRDefault="00000000">
            <w:pPr>
              <w:pStyle w:val="aa"/>
              <w:ind w:right="170"/>
              <w:jc w:val="right"/>
            </w:pPr>
            <w:r>
              <w:t>100</w:t>
            </w:r>
          </w:p>
          <w:p w:rsidR="00000000" w:rsidRDefault="00000000">
            <w:pPr>
              <w:pStyle w:val="aa"/>
              <w:ind w:right="170"/>
              <w:jc w:val="right"/>
            </w:pPr>
            <w:r>
              <w:t>68</w:t>
            </w:r>
          </w:p>
          <w:p w:rsidR="00000000" w:rsidRDefault="00000000">
            <w:pPr>
              <w:pStyle w:val="aa"/>
              <w:ind w:right="170"/>
              <w:jc w:val="right"/>
            </w:pPr>
            <w:r>
              <w:t>30</w:t>
            </w:r>
          </w:p>
          <w:p w:rsidR="00000000" w:rsidRDefault="00000000">
            <w:pPr>
              <w:pStyle w:val="aa"/>
              <w:ind w:right="170"/>
              <w:jc w:val="right"/>
            </w:pPr>
            <w:r>
              <w:t>18</w:t>
            </w:r>
          </w:p>
          <w:p w:rsidR="00000000" w:rsidRDefault="00000000">
            <w:pPr>
              <w:pStyle w:val="aa"/>
              <w:ind w:right="170"/>
              <w:jc w:val="right"/>
            </w:pPr>
            <w:r>
              <w:t>53</w:t>
            </w:r>
          </w:p>
        </w:tc>
        <w:tc>
          <w:tcPr>
            <w:tcW w:w="851" w:type="dxa"/>
            <w:tcBorders>
              <w:top w:val="nil"/>
              <w:left w:val="single" w:sz="4" w:space="0" w:color="auto"/>
              <w:bottom w:val="single" w:sz="4" w:space="0" w:color="auto"/>
              <w:right w:val="single" w:sz="4" w:space="0" w:color="auto"/>
            </w:tcBorders>
          </w:tcPr>
          <w:p w:rsidR="00000000" w:rsidRDefault="00000000">
            <w:pPr>
              <w:pStyle w:val="aa"/>
              <w:ind w:right="170"/>
              <w:jc w:val="right"/>
            </w:pPr>
            <w:r>
              <w:t>134</w:t>
            </w:r>
          </w:p>
          <w:p w:rsidR="00000000" w:rsidRDefault="00000000">
            <w:pPr>
              <w:pStyle w:val="aa"/>
              <w:ind w:right="170"/>
              <w:jc w:val="right"/>
            </w:pPr>
            <w:r>
              <w:t>99</w:t>
            </w:r>
          </w:p>
          <w:p w:rsidR="00000000" w:rsidRDefault="00000000">
            <w:pPr>
              <w:pStyle w:val="aa"/>
              <w:ind w:right="170"/>
              <w:jc w:val="right"/>
            </w:pPr>
            <w:r>
              <w:t>41</w:t>
            </w:r>
          </w:p>
          <w:p w:rsidR="00000000" w:rsidRDefault="00000000">
            <w:pPr>
              <w:pStyle w:val="aa"/>
              <w:ind w:right="170"/>
              <w:jc w:val="right"/>
            </w:pPr>
            <w:r>
              <w:t>27</w:t>
            </w:r>
          </w:p>
          <w:p w:rsidR="00000000" w:rsidRDefault="00000000">
            <w:pPr>
              <w:pStyle w:val="aa"/>
              <w:ind w:right="170"/>
              <w:jc w:val="right"/>
            </w:pPr>
            <w:r>
              <w:t>87</w:t>
            </w:r>
          </w:p>
        </w:tc>
        <w:tc>
          <w:tcPr>
            <w:tcW w:w="851" w:type="dxa"/>
            <w:tcBorders>
              <w:top w:val="nil"/>
              <w:left w:val="single" w:sz="4" w:space="0" w:color="auto"/>
              <w:bottom w:val="single" w:sz="4" w:space="0" w:color="auto"/>
              <w:right w:val="single" w:sz="4" w:space="0" w:color="auto"/>
            </w:tcBorders>
          </w:tcPr>
          <w:p w:rsidR="00000000" w:rsidRDefault="00000000">
            <w:pPr>
              <w:pStyle w:val="aa"/>
              <w:ind w:right="170"/>
              <w:jc w:val="right"/>
            </w:pPr>
            <w:r>
              <w:t>133</w:t>
            </w:r>
          </w:p>
          <w:p w:rsidR="00000000" w:rsidRDefault="00000000">
            <w:pPr>
              <w:pStyle w:val="aa"/>
              <w:ind w:right="170"/>
              <w:jc w:val="right"/>
            </w:pPr>
            <w:r>
              <w:t>92</w:t>
            </w:r>
          </w:p>
          <w:p w:rsidR="00000000" w:rsidRDefault="00000000">
            <w:pPr>
              <w:pStyle w:val="aa"/>
              <w:ind w:right="170"/>
              <w:jc w:val="right"/>
            </w:pPr>
            <w:r>
              <w:t>53</w:t>
            </w:r>
          </w:p>
          <w:p w:rsidR="00000000" w:rsidRDefault="00000000">
            <w:pPr>
              <w:pStyle w:val="aa"/>
              <w:ind w:right="170"/>
              <w:jc w:val="right"/>
            </w:pPr>
            <w:r>
              <w:t>47</w:t>
            </w:r>
          </w:p>
          <w:p w:rsidR="00000000" w:rsidRDefault="00000000">
            <w:pPr>
              <w:pStyle w:val="aa"/>
              <w:ind w:right="170"/>
              <w:jc w:val="right"/>
            </w:pPr>
            <w:r>
              <w:t>110</w:t>
            </w:r>
          </w:p>
        </w:tc>
      </w:tr>
    </w:tbl>
    <w:p w:rsidR="00000000" w:rsidRDefault="00000000">
      <w:pPr>
        <w:spacing w:before="160"/>
        <w:ind w:left="510"/>
        <w:rPr>
          <w:rFonts w:eastAsia="KaiTi_GB2312"/>
          <w:snapToGrid/>
          <w:spacing w:val="0"/>
          <w:sz w:val="21"/>
          <w:szCs w:val="26"/>
        </w:rPr>
      </w:pPr>
      <w:r>
        <w:rPr>
          <w:rFonts w:eastAsia="KaiTi_GB2312" w:hint="eastAsia"/>
          <w:snapToGrid/>
          <w:spacing w:val="0"/>
          <w:sz w:val="21"/>
          <w:szCs w:val="26"/>
          <w:u w:val="single"/>
        </w:rPr>
        <w:t>资料来源</w:t>
      </w:r>
      <w:r>
        <w:rPr>
          <w:rFonts w:eastAsia="KaiTi_GB2312"/>
          <w:snapToGrid/>
          <w:spacing w:val="0"/>
          <w:sz w:val="21"/>
          <w:szCs w:val="26"/>
        </w:rPr>
        <w:t>：</w:t>
      </w:r>
      <w:r>
        <w:rPr>
          <w:rFonts w:eastAsia="KaiTi_GB2312" w:hint="eastAsia"/>
          <w:snapToGrid/>
          <w:spacing w:val="0"/>
          <w:sz w:val="21"/>
          <w:szCs w:val="26"/>
        </w:rPr>
        <w:t>捷克共和国统计年鉴</w:t>
      </w:r>
      <w:r>
        <w:rPr>
          <w:rFonts w:eastAsia="KaiTi_GB2312"/>
          <w:snapToGrid/>
          <w:spacing w:val="0"/>
          <w:sz w:val="21"/>
          <w:szCs w:val="26"/>
        </w:rPr>
        <w:t>，</w:t>
      </w:r>
      <w:r>
        <w:rPr>
          <w:rFonts w:eastAsia="KaiTi_GB2312"/>
          <w:snapToGrid/>
          <w:spacing w:val="0"/>
          <w:sz w:val="21"/>
          <w:szCs w:val="26"/>
        </w:rPr>
        <w:t>1999</w:t>
      </w:r>
      <w:r>
        <w:rPr>
          <w:rFonts w:eastAsia="KaiTi_GB2312" w:hint="eastAsia"/>
          <w:snapToGrid/>
          <w:spacing w:val="0"/>
          <w:sz w:val="21"/>
          <w:szCs w:val="26"/>
        </w:rPr>
        <w:t>年。</w:t>
      </w:r>
    </w:p>
    <w:p w:rsidR="00000000" w:rsidRDefault="00000000">
      <w:pPr>
        <w:tabs>
          <w:tab w:val="left" w:pos="1560"/>
        </w:tabs>
        <w:spacing w:after="160"/>
        <w:ind w:left="1170" w:hanging="150"/>
        <w:rPr>
          <w:rFonts w:eastAsia="KaiTi_GB2312"/>
          <w:snapToGrid/>
          <w:spacing w:val="0"/>
          <w:sz w:val="21"/>
          <w:szCs w:val="26"/>
        </w:rPr>
      </w:pPr>
      <w:r>
        <w:rPr>
          <w:rFonts w:eastAsia="KaiTi_GB2312" w:hint="eastAsia"/>
          <w:snapToGrid/>
          <w:spacing w:val="0"/>
          <w:sz w:val="21"/>
          <w:szCs w:val="26"/>
          <w:u w:val="single"/>
        </w:rPr>
        <w:t>注</w:t>
      </w:r>
      <w:r>
        <w:rPr>
          <w:rFonts w:eastAsia="KaiTi_GB2312"/>
          <w:snapToGrid/>
          <w:spacing w:val="0"/>
          <w:sz w:val="21"/>
          <w:szCs w:val="26"/>
        </w:rPr>
        <w:t>：</w:t>
      </w:r>
      <w:r>
        <w:rPr>
          <w:rFonts w:eastAsia="KaiTi_GB2312" w:hint="eastAsia"/>
          <w:snapToGrid/>
          <w:spacing w:val="0"/>
          <w:sz w:val="21"/>
          <w:szCs w:val="26"/>
        </w:rPr>
        <w:tab/>
      </w:r>
      <w:r>
        <w:rPr>
          <w:rFonts w:eastAsia="KaiTi_GB2312" w:hint="eastAsia"/>
          <w:snapToGrid/>
          <w:spacing w:val="0"/>
          <w:sz w:val="21"/>
          <w:szCs w:val="26"/>
        </w:rPr>
        <w:t>截至每年</w:t>
      </w:r>
      <w:r>
        <w:rPr>
          <w:rFonts w:eastAsia="KaiTi_GB2312"/>
          <w:snapToGrid/>
          <w:spacing w:val="0"/>
          <w:sz w:val="21"/>
          <w:szCs w:val="26"/>
        </w:rPr>
        <w:t>12</w:t>
      </w:r>
      <w:r>
        <w:rPr>
          <w:rFonts w:eastAsia="KaiTi_GB2312" w:hint="eastAsia"/>
          <w:snapToGrid/>
          <w:spacing w:val="0"/>
          <w:sz w:val="21"/>
          <w:szCs w:val="26"/>
        </w:rPr>
        <w:t>月</w:t>
      </w:r>
      <w:r>
        <w:rPr>
          <w:rFonts w:eastAsia="KaiTi_GB2312"/>
          <w:snapToGrid/>
          <w:spacing w:val="0"/>
          <w:sz w:val="21"/>
          <w:szCs w:val="26"/>
        </w:rPr>
        <w:t>31</w:t>
      </w:r>
      <w:r>
        <w:rPr>
          <w:rFonts w:eastAsia="KaiTi_GB2312" w:hint="eastAsia"/>
          <w:snapToGrid/>
          <w:spacing w:val="0"/>
          <w:sz w:val="21"/>
          <w:szCs w:val="26"/>
        </w:rPr>
        <w:t>日的指示数据；</w:t>
      </w:r>
      <w:r>
        <w:rPr>
          <w:rFonts w:eastAsia="KaiTi_GB2312"/>
          <w:snapToGrid/>
          <w:spacing w:val="0"/>
          <w:sz w:val="21"/>
          <w:szCs w:val="26"/>
        </w:rPr>
        <w:t>1999</w:t>
      </w:r>
      <w:r>
        <w:rPr>
          <w:rFonts w:eastAsia="KaiTi_GB2312" w:hint="eastAsia"/>
          <w:snapToGrid/>
          <w:spacing w:val="0"/>
          <w:sz w:val="21"/>
          <w:szCs w:val="26"/>
        </w:rPr>
        <w:t>年为截至</w:t>
      </w:r>
      <w:r>
        <w:rPr>
          <w:rFonts w:eastAsia="KaiTi_GB2312"/>
          <w:snapToGrid/>
          <w:spacing w:val="0"/>
          <w:sz w:val="21"/>
          <w:szCs w:val="26"/>
        </w:rPr>
        <w:t>6</w:t>
      </w:r>
      <w:r>
        <w:rPr>
          <w:rFonts w:eastAsia="KaiTi_GB2312" w:hint="eastAsia"/>
          <w:snapToGrid/>
          <w:spacing w:val="0"/>
          <w:sz w:val="21"/>
          <w:szCs w:val="26"/>
        </w:rPr>
        <w:t>月</w:t>
      </w:r>
      <w:r>
        <w:rPr>
          <w:rFonts w:eastAsia="KaiTi_GB2312"/>
          <w:snapToGrid/>
          <w:spacing w:val="0"/>
          <w:sz w:val="21"/>
          <w:szCs w:val="26"/>
        </w:rPr>
        <w:t>30</w:t>
      </w:r>
      <w:r>
        <w:rPr>
          <w:rFonts w:eastAsia="KaiTi_GB2312" w:hint="eastAsia"/>
          <w:snapToGrid/>
          <w:spacing w:val="0"/>
          <w:sz w:val="21"/>
          <w:szCs w:val="26"/>
        </w:rPr>
        <w:t>日的数据。</w:t>
      </w:r>
    </w:p>
    <w:p w:rsidR="00000000" w:rsidRDefault="00000000">
      <w:pPr>
        <w:spacing w:after="160"/>
        <w:rPr>
          <w:rFonts w:hint="eastAsia"/>
          <w:snapToGrid/>
          <w:szCs w:val="24"/>
        </w:rPr>
      </w:pPr>
      <w:r>
        <w:rPr>
          <w:rFonts w:hint="eastAsia"/>
          <w:snapToGrid/>
          <w:szCs w:val="26"/>
        </w:rPr>
        <w:tab/>
      </w:r>
      <w:r>
        <w:rPr>
          <w:snapToGrid/>
          <w:szCs w:val="26"/>
        </w:rPr>
        <w:t xml:space="preserve">242.  </w:t>
      </w:r>
      <w:r>
        <w:rPr>
          <w:rFonts w:hint="eastAsia"/>
          <w:snapToGrid/>
          <w:szCs w:val="26"/>
        </w:rPr>
        <w:t>地区之间失业率差距很大。有问题的地区明显地分为两类。第一类是工业高度集中在几个制造部门的地区</w:t>
      </w:r>
      <w:r>
        <w:rPr>
          <w:snapToGrid/>
          <w:szCs w:val="26"/>
        </w:rPr>
        <w:t>，</w:t>
      </w:r>
      <w:r>
        <w:rPr>
          <w:rFonts w:hint="eastAsia"/>
          <w:snapToGrid/>
          <w:szCs w:val="26"/>
        </w:rPr>
        <w:t>那里的生产下降或消失</w:t>
      </w:r>
      <w:r>
        <w:rPr>
          <w:snapToGrid/>
          <w:szCs w:val="26"/>
        </w:rPr>
        <w:t>(</w:t>
      </w:r>
      <w:r>
        <w:rPr>
          <w:rFonts w:hint="eastAsia"/>
          <w:snapToGrid/>
          <w:szCs w:val="26"/>
        </w:rPr>
        <w:t>采煤、炼铁、重工业、车厢和卡车制造等</w:t>
      </w:r>
      <w:r>
        <w:rPr>
          <w:snapToGrid/>
          <w:szCs w:val="26"/>
        </w:rPr>
        <w:t>)</w:t>
      </w:r>
      <w:r>
        <w:rPr>
          <w:snapToGrid/>
          <w:szCs w:val="26"/>
        </w:rPr>
        <w:t>，</w:t>
      </w:r>
      <w:r>
        <w:rPr>
          <w:rFonts w:hint="eastAsia"/>
          <w:snapToGrid/>
          <w:szCs w:val="26"/>
        </w:rPr>
        <w:t>而又没有新的就业机会来补充。它们主要是城市人口高度密集的摩拉维亚北部和波希米亚北部地区。第二类是工业份额</w:t>
      </w:r>
      <w:r>
        <w:rPr>
          <w:rFonts w:hint="eastAsia"/>
          <w:snapToGrid/>
          <w:szCs w:val="24"/>
        </w:rPr>
        <w:t>居平均水平以下而农业份额超出平均水平的经济薄弱地区</w:t>
      </w:r>
      <w:r>
        <w:rPr>
          <w:snapToGrid/>
          <w:szCs w:val="24"/>
        </w:rPr>
        <w:t>，</w:t>
      </w:r>
      <w:r>
        <w:rPr>
          <w:rFonts w:hint="eastAsia"/>
          <w:snapToGrid/>
          <w:szCs w:val="24"/>
        </w:rPr>
        <w:t>那里的人口密度低</w:t>
      </w:r>
      <w:r>
        <w:rPr>
          <w:rFonts w:hint="eastAsia"/>
          <w:snapToGrid/>
          <w:szCs w:val="24"/>
        </w:rPr>
        <w:t>(</w:t>
      </w:r>
      <w:r>
        <w:rPr>
          <w:rFonts w:hint="eastAsia"/>
          <w:snapToGrid/>
          <w:szCs w:val="24"/>
        </w:rPr>
        <w:t>如摩拉维亚北部和南部的山区和边境地区</w:t>
      </w:r>
      <w:r>
        <w:rPr>
          <w:snapToGrid/>
          <w:szCs w:val="24"/>
        </w:rPr>
        <w:t>，</w:t>
      </w:r>
      <w:r>
        <w:rPr>
          <w:rFonts w:hint="eastAsia"/>
          <w:snapToGrid/>
          <w:szCs w:val="24"/>
        </w:rPr>
        <w:t>以及波希米亚北部、南部和西部地区</w:t>
      </w:r>
      <w:r>
        <w:rPr>
          <w:rFonts w:hint="eastAsia"/>
          <w:snapToGrid/>
          <w:szCs w:val="24"/>
        </w:rPr>
        <w:t>)</w:t>
      </w:r>
      <w:r>
        <w:rPr>
          <w:rFonts w:hint="eastAsia"/>
          <w:snapToGrid/>
          <w:szCs w:val="24"/>
        </w:rPr>
        <w:t>。</w:t>
      </w:r>
    </w:p>
    <w:p w:rsidR="00000000" w:rsidRDefault="00000000">
      <w:pPr>
        <w:pStyle w:val="a8"/>
        <w:spacing w:after="160" w:line="288" w:lineRule="auto"/>
        <w:rPr>
          <w:rFonts w:ascii="Times New Roman" w:eastAsia="SimSun" w:hAnsi="Times New Roman" w:hint="eastAsia"/>
          <w:color w:val="000000"/>
          <w:kern w:val="28"/>
        </w:rPr>
      </w:pPr>
      <w:r>
        <w:rPr>
          <w:rFonts w:ascii="Times New Roman" w:eastAsia="SimSun" w:hAnsi="Times New Roman" w:hint="eastAsia"/>
          <w:color w:val="000000"/>
          <w:kern w:val="28"/>
          <w:u w:val="single"/>
        </w:rPr>
        <w:t>按地区分列的失业率</w:t>
      </w:r>
      <w:r>
        <w:rPr>
          <w:rFonts w:ascii="Times New Roman" w:eastAsia="SimSun" w:hAnsi="Times New Roman"/>
          <w:b/>
          <w:color w:val="000000"/>
          <w:kern w:val="28"/>
          <w:vertAlign w:val="superscript"/>
        </w:rPr>
        <w:t>a</w:t>
      </w:r>
      <w:r>
        <w:rPr>
          <w:rFonts w:ascii="Times New Roman" w:eastAsia="SimSun" w:hAnsi="Times New Roman"/>
          <w:color w:val="000000"/>
          <w:kern w:val="28"/>
        </w:rPr>
        <w:t xml:space="preserve"> </w:t>
      </w:r>
      <w:r>
        <w:rPr>
          <w:rFonts w:ascii="Times New Roman" w:eastAsia="SimSun" w:hAnsi="Times New Roman"/>
          <w:color w:val="000000"/>
          <w:kern w:val="28"/>
          <w:u w:val="single"/>
        </w:rPr>
        <w:br/>
      </w:r>
      <w:r>
        <w:rPr>
          <w:rFonts w:ascii="Times New Roman" w:eastAsia="SimSun" w:hAnsi="Times New Roman"/>
          <w:color w:val="000000"/>
          <w:kern w:val="28"/>
        </w:rPr>
        <w:t>(</w:t>
      </w:r>
      <w:r>
        <w:rPr>
          <w:rFonts w:ascii="Times New Roman" w:eastAsia="SimSun" w:hAnsi="Times New Roman" w:hint="eastAsia"/>
          <w:color w:val="000000"/>
          <w:kern w:val="28"/>
        </w:rPr>
        <w:t>截至</w:t>
      </w:r>
      <w:r>
        <w:rPr>
          <w:rFonts w:ascii="Times New Roman" w:eastAsia="SimSun" w:hAnsi="Times New Roman"/>
          <w:b/>
          <w:color w:val="000000"/>
          <w:kern w:val="28"/>
        </w:rPr>
        <w:t>1998</w:t>
      </w:r>
      <w:r>
        <w:rPr>
          <w:rFonts w:ascii="Times New Roman" w:eastAsia="SimSun" w:hAnsi="Times New Roman" w:hint="eastAsia"/>
          <w:color w:val="000000"/>
          <w:kern w:val="28"/>
        </w:rPr>
        <w:t>年</w:t>
      </w:r>
      <w:r>
        <w:rPr>
          <w:rFonts w:ascii="Times New Roman" w:eastAsia="SimSun" w:hAnsi="Times New Roman"/>
          <w:b/>
          <w:color w:val="000000"/>
          <w:kern w:val="28"/>
        </w:rPr>
        <w:t>12</w:t>
      </w:r>
      <w:r>
        <w:rPr>
          <w:rFonts w:ascii="Times New Roman" w:eastAsia="SimSun" w:hAnsi="Times New Roman" w:hint="eastAsia"/>
          <w:color w:val="000000"/>
          <w:kern w:val="28"/>
        </w:rPr>
        <w:t>月</w:t>
      </w:r>
      <w:r>
        <w:rPr>
          <w:rFonts w:ascii="Times New Roman" w:eastAsia="SimSun" w:hAnsi="Times New Roman"/>
          <w:b/>
          <w:color w:val="000000"/>
          <w:kern w:val="28"/>
        </w:rPr>
        <w:t>31</w:t>
      </w:r>
      <w:r>
        <w:rPr>
          <w:rFonts w:ascii="Times New Roman" w:eastAsia="SimSun" w:hAnsi="Times New Roman" w:hint="eastAsia"/>
          <w:color w:val="000000"/>
          <w:kern w:val="28"/>
        </w:rPr>
        <w:t>日</w:t>
      </w:r>
      <w:r>
        <w:rPr>
          <w:rFonts w:ascii="Times New Roman" w:eastAsia="SimSun" w:hAnsi="Times New Roman"/>
          <w:color w:val="000000"/>
          <w:kern w:val="28"/>
        </w:rPr>
        <w:t>)</w:t>
      </w:r>
    </w:p>
    <w:tbl>
      <w:tblPr>
        <w:tblW w:w="0" w:type="auto"/>
        <w:jc w:val="center"/>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969"/>
        <w:gridCol w:w="1418"/>
        <w:gridCol w:w="1418"/>
        <w:gridCol w:w="1418"/>
      </w:tblGrid>
      <w:tr w:rsidR="00000000">
        <w:tblPrEx>
          <w:tblCellMar>
            <w:top w:w="0" w:type="dxa"/>
            <w:bottom w:w="0" w:type="dxa"/>
          </w:tblCellMar>
        </w:tblPrEx>
        <w:trPr>
          <w:cantSplit/>
          <w:trHeight w:val="20"/>
          <w:jc w:val="center"/>
        </w:trPr>
        <w:tc>
          <w:tcPr>
            <w:tcW w:w="3969" w:type="dxa"/>
            <w:tcBorders>
              <w:top w:val="single" w:sz="4" w:space="0" w:color="auto"/>
              <w:left w:val="single" w:sz="4" w:space="0" w:color="auto"/>
              <w:bottom w:val="single" w:sz="4" w:space="0" w:color="auto"/>
              <w:right w:val="single" w:sz="4" w:space="0" w:color="auto"/>
            </w:tcBorders>
          </w:tcPr>
          <w:p w:rsidR="00000000" w:rsidRDefault="00000000">
            <w:pPr>
              <w:pStyle w:val="aa"/>
              <w:spacing w:line="264" w:lineRule="auto"/>
              <w:jc w:val="center"/>
              <w:rPr>
                <w:rFonts w:hint="eastAsia"/>
              </w:rPr>
            </w:pPr>
            <w:r>
              <w:rPr>
                <w:rFonts w:hint="eastAsia"/>
              </w:rPr>
              <w:t>项</w:t>
            </w:r>
            <w:r>
              <w:rPr>
                <w:rFonts w:hint="eastAsia"/>
              </w:rPr>
              <w:t xml:space="preserve">  </w:t>
            </w:r>
            <w:r>
              <w:rPr>
                <w:rFonts w:hint="eastAsia"/>
              </w:rPr>
              <w:t>目</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aa"/>
              <w:spacing w:line="264" w:lineRule="auto"/>
              <w:ind w:right="422"/>
              <w:jc w:val="center"/>
              <w:rPr>
                <w:rFonts w:hint="eastAsia"/>
              </w:rPr>
            </w:pPr>
            <w:r>
              <w:rPr>
                <w:rFonts w:hint="eastAsia"/>
              </w:rPr>
              <w:t>总人数</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aa"/>
              <w:spacing w:line="264" w:lineRule="auto"/>
              <w:ind w:right="422"/>
              <w:jc w:val="center"/>
              <w:rPr>
                <w:rFonts w:hint="eastAsia"/>
              </w:rPr>
            </w:pPr>
            <w:r>
              <w:rPr>
                <w:rFonts w:hint="eastAsia"/>
              </w:rPr>
              <w:t>男</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aa"/>
              <w:spacing w:line="264" w:lineRule="auto"/>
              <w:ind w:right="422"/>
              <w:jc w:val="center"/>
              <w:rPr>
                <w:rFonts w:hint="eastAsia"/>
              </w:rPr>
            </w:pPr>
            <w:r>
              <w:rPr>
                <w:rFonts w:hint="eastAsia"/>
              </w:rPr>
              <w:t>女</w:t>
            </w:r>
          </w:p>
        </w:tc>
      </w:tr>
      <w:tr w:rsidR="00000000">
        <w:tblPrEx>
          <w:tblCellMar>
            <w:top w:w="0" w:type="dxa"/>
            <w:bottom w:w="0" w:type="dxa"/>
          </w:tblCellMar>
        </w:tblPrEx>
        <w:trPr>
          <w:jc w:val="center"/>
        </w:trPr>
        <w:tc>
          <w:tcPr>
            <w:tcW w:w="3969" w:type="dxa"/>
            <w:tcBorders>
              <w:top w:val="single" w:sz="4" w:space="0" w:color="auto"/>
              <w:left w:val="single" w:sz="4" w:space="0" w:color="auto"/>
              <w:bottom w:val="nil"/>
              <w:right w:val="single" w:sz="4" w:space="0" w:color="auto"/>
            </w:tcBorders>
          </w:tcPr>
          <w:p w:rsidR="00000000" w:rsidRDefault="00000000">
            <w:pPr>
              <w:pStyle w:val="aa"/>
              <w:spacing w:line="264" w:lineRule="auto"/>
              <w:rPr>
                <w:rFonts w:hint="eastAsia"/>
              </w:rPr>
            </w:pPr>
            <w:r>
              <w:rPr>
                <w:rFonts w:hint="eastAsia"/>
              </w:rPr>
              <w:t>总失业率</w:t>
            </w:r>
            <w:r>
              <w:rPr>
                <w:rFonts w:hint="eastAsia"/>
              </w:rPr>
              <w:t>(</w:t>
            </w:r>
            <w:r>
              <w:rPr>
                <w:rFonts w:hint="eastAsia"/>
              </w:rPr>
              <w:t>劳工组织</w:t>
            </w:r>
            <w:r>
              <w:rPr>
                <w:rFonts w:hint="eastAsia"/>
              </w:rPr>
              <w:t>)</w:t>
            </w:r>
          </w:p>
        </w:tc>
        <w:tc>
          <w:tcPr>
            <w:tcW w:w="1418" w:type="dxa"/>
            <w:tcBorders>
              <w:top w:val="single" w:sz="4" w:space="0" w:color="auto"/>
              <w:left w:val="single" w:sz="4" w:space="0" w:color="auto"/>
              <w:bottom w:val="nil"/>
              <w:right w:val="single" w:sz="4" w:space="0" w:color="auto"/>
            </w:tcBorders>
          </w:tcPr>
          <w:p w:rsidR="00000000" w:rsidRDefault="00000000">
            <w:pPr>
              <w:pStyle w:val="aa"/>
              <w:spacing w:line="264" w:lineRule="auto"/>
              <w:ind w:right="422"/>
              <w:jc w:val="right"/>
            </w:pPr>
            <w:r>
              <w:t>7.3</w:t>
            </w:r>
          </w:p>
        </w:tc>
        <w:tc>
          <w:tcPr>
            <w:tcW w:w="1418" w:type="dxa"/>
            <w:tcBorders>
              <w:top w:val="single" w:sz="4" w:space="0" w:color="auto"/>
              <w:left w:val="single" w:sz="4" w:space="0" w:color="auto"/>
              <w:bottom w:val="nil"/>
              <w:right w:val="single" w:sz="4" w:space="0" w:color="auto"/>
            </w:tcBorders>
          </w:tcPr>
          <w:p w:rsidR="00000000" w:rsidRDefault="00000000">
            <w:pPr>
              <w:pStyle w:val="aa"/>
              <w:spacing w:line="264" w:lineRule="auto"/>
              <w:ind w:right="422"/>
              <w:jc w:val="right"/>
            </w:pPr>
            <w:r>
              <w:t>5.7</w:t>
            </w:r>
          </w:p>
        </w:tc>
        <w:tc>
          <w:tcPr>
            <w:tcW w:w="1418" w:type="dxa"/>
            <w:tcBorders>
              <w:top w:val="single" w:sz="4" w:space="0" w:color="auto"/>
              <w:left w:val="single" w:sz="4" w:space="0" w:color="auto"/>
              <w:bottom w:val="nil"/>
              <w:right w:val="single" w:sz="4" w:space="0" w:color="auto"/>
            </w:tcBorders>
          </w:tcPr>
          <w:p w:rsidR="00000000" w:rsidRDefault="00000000">
            <w:pPr>
              <w:pStyle w:val="aa"/>
              <w:spacing w:line="264" w:lineRule="auto"/>
              <w:ind w:right="422"/>
              <w:jc w:val="right"/>
            </w:pPr>
            <w:r>
              <w:t>9.3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pStyle w:val="aa"/>
              <w:spacing w:line="264" w:lineRule="auto"/>
              <w:rPr>
                <w:rFonts w:hint="eastAsia"/>
              </w:rPr>
            </w:pPr>
            <w:r>
              <w:rPr>
                <w:rFonts w:hint="eastAsia"/>
              </w:rPr>
              <w:t>布拉格</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3.6</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2.9</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4.3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pStyle w:val="aa"/>
              <w:spacing w:line="264" w:lineRule="auto"/>
              <w:rPr>
                <w:rFonts w:hint="eastAsia"/>
              </w:rPr>
            </w:pPr>
            <w:r>
              <w:rPr>
                <w:rFonts w:hint="eastAsia"/>
              </w:rPr>
              <w:t>波希米亚中部</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6.2</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4.6</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8.3</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pStyle w:val="aa"/>
              <w:spacing w:line="264" w:lineRule="auto"/>
            </w:pPr>
            <w:r>
              <w:rPr>
                <w:rFonts w:hint="eastAsia"/>
              </w:rPr>
              <w:t>波希米亚南部</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5.0</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4.0</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6.2</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pStyle w:val="aa"/>
              <w:spacing w:line="264" w:lineRule="auto"/>
            </w:pPr>
            <w:r>
              <w:rPr>
                <w:rFonts w:hint="eastAsia"/>
              </w:rPr>
              <w:t>波希米亚西部</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6.5</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5.5</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7.8</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pStyle w:val="aa"/>
              <w:spacing w:line="264" w:lineRule="auto"/>
            </w:pPr>
            <w:r>
              <w:rPr>
                <w:rFonts w:hint="eastAsia"/>
              </w:rPr>
              <w:t>波希米亚北部</w:t>
            </w:r>
            <w:r>
              <w:t>a</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12.0</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9.2</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15.6</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pStyle w:val="aa"/>
              <w:spacing w:line="264" w:lineRule="auto"/>
              <w:rPr>
                <w:rFonts w:hint="eastAsia"/>
              </w:rPr>
            </w:pPr>
            <w:r>
              <w:rPr>
                <w:rFonts w:hint="eastAsia"/>
              </w:rPr>
              <w:t>波希米亚东部</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6.5</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4.8</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8.7</w:t>
            </w:r>
          </w:p>
        </w:tc>
      </w:tr>
      <w:tr w:rsidR="00000000">
        <w:tblPrEx>
          <w:tblCellMar>
            <w:top w:w="0" w:type="dxa"/>
            <w:bottom w:w="0" w:type="dxa"/>
          </w:tblCellMar>
        </w:tblPrEx>
        <w:trPr>
          <w:jc w:val="center"/>
        </w:trPr>
        <w:tc>
          <w:tcPr>
            <w:tcW w:w="3969" w:type="dxa"/>
            <w:tcBorders>
              <w:top w:val="nil"/>
              <w:left w:val="single" w:sz="4" w:space="0" w:color="auto"/>
              <w:bottom w:val="nil"/>
              <w:right w:val="single" w:sz="4" w:space="0" w:color="auto"/>
            </w:tcBorders>
          </w:tcPr>
          <w:p w:rsidR="00000000" w:rsidRDefault="00000000">
            <w:pPr>
              <w:pStyle w:val="aa"/>
              <w:spacing w:line="264" w:lineRule="auto"/>
              <w:rPr>
                <w:rFonts w:hint="eastAsia"/>
              </w:rPr>
            </w:pPr>
            <w:r>
              <w:rPr>
                <w:rFonts w:hint="eastAsia"/>
              </w:rPr>
              <w:t>摩拉维亚南部</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6.4</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4.9</w:t>
            </w:r>
          </w:p>
        </w:tc>
        <w:tc>
          <w:tcPr>
            <w:tcW w:w="1418" w:type="dxa"/>
            <w:tcBorders>
              <w:top w:val="nil"/>
              <w:left w:val="single" w:sz="4" w:space="0" w:color="auto"/>
              <w:bottom w:val="nil"/>
              <w:right w:val="single" w:sz="4" w:space="0" w:color="auto"/>
            </w:tcBorders>
          </w:tcPr>
          <w:p w:rsidR="00000000" w:rsidRDefault="00000000">
            <w:pPr>
              <w:pStyle w:val="aa"/>
              <w:spacing w:line="264" w:lineRule="auto"/>
              <w:ind w:right="422"/>
              <w:jc w:val="right"/>
            </w:pPr>
            <w:r>
              <w:t>8.3</w:t>
            </w:r>
          </w:p>
        </w:tc>
      </w:tr>
      <w:tr w:rsidR="00000000">
        <w:tblPrEx>
          <w:tblCellMar>
            <w:top w:w="0" w:type="dxa"/>
            <w:bottom w:w="0" w:type="dxa"/>
          </w:tblCellMar>
        </w:tblPrEx>
        <w:trPr>
          <w:jc w:val="center"/>
        </w:trPr>
        <w:tc>
          <w:tcPr>
            <w:tcW w:w="3969" w:type="dxa"/>
            <w:tcBorders>
              <w:top w:val="nil"/>
              <w:left w:val="single" w:sz="4" w:space="0" w:color="auto"/>
              <w:bottom w:val="single" w:sz="4" w:space="0" w:color="auto"/>
              <w:right w:val="single" w:sz="4" w:space="0" w:color="auto"/>
            </w:tcBorders>
          </w:tcPr>
          <w:p w:rsidR="00000000" w:rsidRDefault="00000000">
            <w:pPr>
              <w:pStyle w:val="aa"/>
              <w:spacing w:line="264" w:lineRule="auto"/>
              <w:rPr>
                <w:rFonts w:hint="eastAsia"/>
              </w:rPr>
            </w:pPr>
            <w:r>
              <w:rPr>
                <w:rFonts w:hint="eastAsia"/>
              </w:rPr>
              <w:t>摩拉维亚北部</w:t>
            </w:r>
          </w:p>
        </w:tc>
        <w:tc>
          <w:tcPr>
            <w:tcW w:w="1418" w:type="dxa"/>
            <w:tcBorders>
              <w:top w:val="nil"/>
              <w:left w:val="single" w:sz="4" w:space="0" w:color="auto"/>
              <w:bottom w:val="single" w:sz="4" w:space="0" w:color="auto"/>
              <w:right w:val="single" w:sz="4" w:space="0" w:color="auto"/>
            </w:tcBorders>
          </w:tcPr>
          <w:p w:rsidR="00000000" w:rsidRDefault="00000000">
            <w:pPr>
              <w:pStyle w:val="aa"/>
              <w:spacing w:line="264" w:lineRule="auto"/>
              <w:ind w:right="422"/>
              <w:jc w:val="right"/>
            </w:pPr>
            <w:r>
              <w:t>10.0</w:t>
            </w:r>
          </w:p>
        </w:tc>
        <w:tc>
          <w:tcPr>
            <w:tcW w:w="1418" w:type="dxa"/>
            <w:tcBorders>
              <w:top w:val="nil"/>
              <w:left w:val="single" w:sz="4" w:space="0" w:color="auto"/>
              <w:bottom w:val="single" w:sz="4" w:space="0" w:color="auto"/>
              <w:right w:val="single" w:sz="4" w:space="0" w:color="auto"/>
            </w:tcBorders>
          </w:tcPr>
          <w:p w:rsidR="00000000" w:rsidRDefault="00000000">
            <w:pPr>
              <w:pStyle w:val="aa"/>
              <w:spacing w:line="264" w:lineRule="auto"/>
              <w:ind w:right="422"/>
              <w:jc w:val="right"/>
            </w:pPr>
            <w:r>
              <w:t>7.9</w:t>
            </w:r>
          </w:p>
        </w:tc>
        <w:tc>
          <w:tcPr>
            <w:tcW w:w="1418" w:type="dxa"/>
            <w:tcBorders>
              <w:top w:val="nil"/>
              <w:left w:val="single" w:sz="4" w:space="0" w:color="auto"/>
              <w:bottom w:val="single" w:sz="4" w:space="0" w:color="auto"/>
              <w:right w:val="single" w:sz="4" w:space="0" w:color="auto"/>
            </w:tcBorders>
          </w:tcPr>
          <w:p w:rsidR="00000000" w:rsidRDefault="00000000">
            <w:pPr>
              <w:pStyle w:val="aa"/>
              <w:spacing w:line="264" w:lineRule="auto"/>
              <w:ind w:right="422"/>
              <w:jc w:val="right"/>
            </w:pPr>
            <w:r>
              <w:t>12.6</w:t>
            </w:r>
          </w:p>
        </w:tc>
      </w:tr>
    </w:tbl>
    <w:p w:rsidR="00000000" w:rsidRDefault="00000000">
      <w:pPr>
        <w:spacing w:before="160" w:line="240" w:lineRule="auto"/>
        <w:ind w:left="510"/>
        <w:rPr>
          <w:rFonts w:eastAsia="KaiTi_GB2312"/>
          <w:snapToGrid/>
          <w:spacing w:val="0"/>
          <w:sz w:val="21"/>
          <w:szCs w:val="24"/>
        </w:rPr>
      </w:pPr>
      <w:r>
        <w:rPr>
          <w:rFonts w:eastAsia="KaiTi_GB2312" w:hint="eastAsia"/>
          <w:snapToGrid/>
          <w:spacing w:val="0"/>
          <w:sz w:val="21"/>
          <w:szCs w:val="24"/>
          <w:u w:val="single"/>
        </w:rPr>
        <w:t>资料来源</w:t>
      </w:r>
      <w:r>
        <w:rPr>
          <w:rFonts w:eastAsia="KaiTi_GB2312"/>
          <w:snapToGrid/>
          <w:spacing w:val="0"/>
          <w:sz w:val="21"/>
          <w:szCs w:val="24"/>
        </w:rPr>
        <w:t>：</w:t>
      </w:r>
      <w:r>
        <w:rPr>
          <w:rFonts w:eastAsia="KaiTi_GB2312" w:hint="eastAsia"/>
          <w:snapToGrid/>
          <w:spacing w:val="0"/>
          <w:sz w:val="21"/>
          <w:szCs w:val="24"/>
        </w:rPr>
        <w:t>捷克共和国统计年鉴</w:t>
      </w:r>
      <w:r>
        <w:rPr>
          <w:rFonts w:eastAsia="KaiTi_GB2312"/>
          <w:snapToGrid/>
          <w:spacing w:val="0"/>
          <w:sz w:val="21"/>
          <w:szCs w:val="24"/>
        </w:rPr>
        <w:t>，</w:t>
      </w:r>
      <w:r>
        <w:rPr>
          <w:rFonts w:eastAsia="KaiTi_GB2312"/>
          <w:snapToGrid/>
          <w:spacing w:val="0"/>
          <w:sz w:val="21"/>
          <w:szCs w:val="24"/>
        </w:rPr>
        <w:t>1999</w:t>
      </w:r>
      <w:r>
        <w:rPr>
          <w:rFonts w:eastAsia="KaiTi_GB2312" w:hint="eastAsia"/>
          <w:snapToGrid/>
          <w:spacing w:val="0"/>
          <w:sz w:val="21"/>
          <w:szCs w:val="24"/>
        </w:rPr>
        <w:t>年。</w:t>
      </w:r>
    </w:p>
    <w:p w:rsidR="00000000" w:rsidRDefault="00000000">
      <w:pPr>
        <w:tabs>
          <w:tab w:val="left" w:pos="1560"/>
        </w:tabs>
        <w:spacing w:after="320" w:line="240" w:lineRule="auto"/>
        <w:ind w:left="510" w:firstLine="790"/>
        <w:rPr>
          <w:rFonts w:eastAsia="KaiTi_GB2312"/>
          <w:snapToGrid/>
          <w:spacing w:val="0"/>
          <w:sz w:val="21"/>
          <w:szCs w:val="24"/>
        </w:rPr>
      </w:pPr>
      <w:r>
        <w:rPr>
          <w:rFonts w:eastAsia="KaiTi_GB2312"/>
          <w:snapToGrid/>
          <w:spacing w:val="0"/>
          <w:sz w:val="21"/>
          <w:szCs w:val="24"/>
        </w:rPr>
        <w:t>a</w:t>
      </w:r>
      <w:r>
        <w:rPr>
          <w:rFonts w:eastAsia="KaiTi_GB2312" w:hint="eastAsia"/>
          <w:snapToGrid/>
          <w:spacing w:val="0"/>
          <w:sz w:val="21"/>
          <w:szCs w:val="24"/>
        </w:rPr>
        <w:tab/>
      </w:r>
      <w:r>
        <w:rPr>
          <w:rFonts w:eastAsia="KaiTi_GB2312" w:hint="eastAsia"/>
          <w:snapToGrid/>
          <w:spacing w:val="0"/>
          <w:sz w:val="21"/>
          <w:szCs w:val="24"/>
        </w:rPr>
        <w:t>为统计分类目的按地区行政单位分列的地区</w:t>
      </w:r>
      <w:r>
        <w:rPr>
          <w:rFonts w:eastAsia="KaiTi_GB2312"/>
          <w:snapToGrid/>
          <w:spacing w:val="0"/>
          <w:sz w:val="21"/>
          <w:szCs w:val="24"/>
        </w:rPr>
        <w:t>，</w:t>
      </w:r>
      <w:r>
        <w:rPr>
          <w:rFonts w:eastAsia="KaiTi_GB2312" w:hint="eastAsia"/>
          <w:snapToGrid/>
          <w:spacing w:val="0"/>
          <w:sz w:val="21"/>
          <w:szCs w:val="24"/>
        </w:rPr>
        <w:t>截至</w:t>
      </w:r>
      <w:r>
        <w:rPr>
          <w:rFonts w:eastAsia="KaiTi_GB2312"/>
          <w:snapToGrid/>
          <w:spacing w:val="0"/>
          <w:sz w:val="21"/>
          <w:szCs w:val="24"/>
        </w:rPr>
        <w:t>1999</w:t>
      </w:r>
      <w:r>
        <w:rPr>
          <w:rFonts w:eastAsia="KaiTi_GB2312" w:hint="eastAsia"/>
          <w:snapToGrid/>
          <w:spacing w:val="0"/>
          <w:sz w:val="21"/>
          <w:szCs w:val="24"/>
        </w:rPr>
        <w:t>年</w:t>
      </w:r>
      <w:r>
        <w:rPr>
          <w:rFonts w:eastAsia="KaiTi_GB2312"/>
          <w:snapToGrid/>
          <w:spacing w:val="0"/>
          <w:sz w:val="21"/>
          <w:szCs w:val="24"/>
        </w:rPr>
        <w:t>12</w:t>
      </w:r>
      <w:r>
        <w:rPr>
          <w:rFonts w:eastAsia="KaiTi_GB2312" w:hint="eastAsia"/>
          <w:snapToGrid/>
          <w:spacing w:val="0"/>
          <w:sz w:val="21"/>
          <w:szCs w:val="24"/>
        </w:rPr>
        <w:t>月</w:t>
      </w:r>
      <w:r>
        <w:rPr>
          <w:rFonts w:eastAsia="KaiTi_GB2312"/>
          <w:snapToGrid/>
          <w:spacing w:val="0"/>
          <w:sz w:val="21"/>
          <w:szCs w:val="24"/>
        </w:rPr>
        <w:t>31</w:t>
      </w:r>
      <w:r>
        <w:rPr>
          <w:rFonts w:eastAsia="KaiTi_GB2312" w:hint="eastAsia"/>
          <w:snapToGrid/>
          <w:spacing w:val="0"/>
          <w:sz w:val="21"/>
          <w:szCs w:val="24"/>
        </w:rPr>
        <w:t>日。</w:t>
      </w:r>
    </w:p>
    <w:p w:rsidR="00000000" w:rsidRDefault="00000000">
      <w:pPr>
        <w:rPr>
          <w:snapToGrid/>
          <w:szCs w:val="24"/>
        </w:rPr>
      </w:pPr>
      <w:r>
        <w:rPr>
          <w:rFonts w:hint="eastAsia"/>
          <w:snapToGrid/>
          <w:szCs w:val="24"/>
        </w:rPr>
        <w:tab/>
      </w:r>
      <w:r>
        <w:rPr>
          <w:snapToGrid/>
          <w:szCs w:val="24"/>
        </w:rPr>
        <w:t xml:space="preserve">243.  </w:t>
      </w:r>
      <w:r>
        <w:rPr>
          <w:rFonts w:hint="eastAsia"/>
          <w:snapToGrid/>
          <w:szCs w:val="24"/>
        </w:rPr>
        <w:t>总体而言</w:t>
      </w:r>
      <w:r>
        <w:rPr>
          <w:snapToGrid/>
          <w:szCs w:val="24"/>
        </w:rPr>
        <w:t>，</w:t>
      </w:r>
      <w:r>
        <w:rPr>
          <w:rFonts w:hint="eastAsia"/>
          <w:snapToGrid/>
          <w:szCs w:val="24"/>
        </w:rPr>
        <w:t>捷克共和国劳动力市场的情况可概述如下</w:t>
      </w:r>
      <w:r>
        <w:rPr>
          <w:snapToGrid/>
          <w:szCs w:val="24"/>
        </w:rPr>
        <w:t>：</w:t>
      </w:r>
    </w:p>
    <w:p w:rsidR="00000000" w:rsidRDefault="00000000">
      <w:pPr>
        <w:numPr>
          <w:ilvl w:val="0"/>
          <w:numId w:val="142"/>
        </w:numPr>
        <w:rPr>
          <w:rFonts w:hint="eastAsia"/>
          <w:snapToGrid/>
        </w:rPr>
      </w:pPr>
      <w:r>
        <w:rPr>
          <w:rFonts w:hint="eastAsia"/>
          <w:snapToGrid/>
        </w:rPr>
        <w:t>由于捷克共和国</w:t>
      </w:r>
      <w:r>
        <w:rPr>
          <w:snapToGrid/>
        </w:rPr>
        <w:t>1997</w:t>
      </w:r>
      <w:r>
        <w:rPr>
          <w:rFonts w:hint="eastAsia"/>
          <w:snapToGrid/>
        </w:rPr>
        <w:t>年经济增长较慢、私有化方法和公司结构调整尚未完成</w:t>
      </w:r>
      <w:r>
        <w:rPr>
          <w:snapToGrid/>
        </w:rPr>
        <w:t>，</w:t>
      </w:r>
      <w:r>
        <w:rPr>
          <w:rFonts w:hint="eastAsia"/>
          <w:snapToGrid/>
        </w:rPr>
        <w:t>劳动力供给开始超过需求。随着经济转型的完成和经济复苏</w:t>
      </w:r>
      <w:r>
        <w:rPr>
          <w:snapToGrid/>
        </w:rPr>
        <w:t>，</w:t>
      </w:r>
      <w:r>
        <w:rPr>
          <w:rFonts w:hint="eastAsia"/>
          <w:snapToGrid/>
        </w:rPr>
        <w:t>预计失业人数将进一步增加。求职者人数在增加</w:t>
      </w:r>
      <w:r>
        <w:rPr>
          <w:snapToGrid/>
        </w:rPr>
        <w:t>，</w:t>
      </w:r>
      <w:r>
        <w:rPr>
          <w:rFonts w:hint="eastAsia"/>
          <w:snapToGrid/>
        </w:rPr>
        <w:t>但工作机会在减少；</w:t>
      </w:r>
    </w:p>
    <w:p w:rsidR="00000000" w:rsidRDefault="00000000">
      <w:pPr>
        <w:numPr>
          <w:ilvl w:val="0"/>
          <w:numId w:val="142"/>
        </w:numPr>
        <w:rPr>
          <w:rFonts w:hint="eastAsia"/>
          <w:snapToGrid/>
        </w:rPr>
      </w:pPr>
      <w:r>
        <w:rPr>
          <w:rFonts w:hint="eastAsia"/>
          <w:snapToGrid/>
        </w:rPr>
        <w:t>劳动力的专业和学历结构与劳动力市场的需求结构不相适应。教育系统与劳动力市场之间缺乏联系。私立学校的自然发展、职业学校的问题</w:t>
      </w:r>
      <w:r>
        <w:rPr>
          <w:snapToGrid/>
        </w:rPr>
        <w:t>(</w:t>
      </w:r>
      <w:r>
        <w:rPr>
          <w:rFonts w:hint="eastAsia"/>
          <w:snapToGrid/>
        </w:rPr>
        <w:t>财务和管理</w:t>
      </w:r>
      <w:r>
        <w:rPr>
          <w:snapToGrid/>
        </w:rPr>
        <w:t>)</w:t>
      </w:r>
      <w:r>
        <w:rPr>
          <w:rFonts w:hint="eastAsia"/>
          <w:snapToGrid/>
        </w:rPr>
        <w:t>尚未解决以及学生对技术领域的兴趣下降</w:t>
      </w:r>
      <w:r>
        <w:rPr>
          <w:snapToGrid/>
        </w:rPr>
        <w:t>，</w:t>
      </w:r>
      <w:r>
        <w:rPr>
          <w:rFonts w:hint="eastAsia"/>
          <w:snapToGrid/>
        </w:rPr>
        <w:t>导致某些体力劳动职业和技术领域经过培训的毕业生不足。另一方面</w:t>
      </w:r>
      <w:r>
        <w:rPr>
          <w:snapToGrid/>
        </w:rPr>
        <w:t>，</w:t>
      </w:r>
      <w:r>
        <w:rPr>
          <w:rFonts w:hint="eastAsia"/>
          <w:snapToGrid/>
        </w:rPr>
        <w:t>在劳动力市场中觅职未果的毕业生人数又不断增加</w:t>
      </w:r>
      <w:r>
        <w:rPr>
          <w:snapToGrid/>
        </w:rPr>
        <w:t>(</w:t>
      </w:r>
      <w:r>
        <w:rPr>
          <w:rFonts w:hint="eastAsia"/>
          <w:snapToGrid/>
        </w:rPr>
        <w:t>特别是经济领域</w:t>
      </w:r>
      <w:r>
        <w:rPr>
          <w:rFonts w:hint="eastAsia"/>
          <w:snapToGrid/>
        </w:rPr>
        <w:t>)</w:t>
      </w:r>
      <w:r>
        <w:rPr>
          <w:rFonts w:hint="eastAsia"/>
          <w:snapToGrid/>
        </w:rPr>
        <w:t>；</w:t>
      </w:r>
    </w:p>
    <w:p w:rsidR="00000000" w:rsidRDefault="00000000">
      <w:pPr>
        <w:numPr>
          <w:ilvl w:val="0"/>
          <w:numId w:val="142"/>
        </w:numPr>
        <w:rPr>
          <w:snapToGrid/>
          <w:szCs w:val="26"/>
        </w:rPr>
      </w:pPr>
      <w:r>
        <w:rPr>
          <w:rFonts w:hint="eastAsia"/>
          <w:snapToGrid/>
          <w:szCs w:val="26"/>
        </w:rPr>
        <w:t>劳动力在地域之间流动的条件缺乏。平均收入或低于平均收入的工人</w:t>
      </w:r>
      <w:r>
        <w:rPr>
          <w:rFonts w:hint="eastAsia"/>
          <w:snapToGrid/>
          <w:szCs w:val="26"/>
        </w:rPr>
        <w:t>(</w:t>
      </w:r>
      <w:r>
        <w:rPr>
          <w:rFonts w:hint="eastAsia"/>
          <w:snapToGrid/>
          <w:szCs w:val="26"/>
        </w:rPr>
        <w:t>占所有受雇人口的</w:t>
      </w:r>
      <w:r>
        <w:rPr>
          <w:rFonts w:hint="eastAsia"/>
          <w:snapToGrid/>
          <w:szCs w:val="26"/>
        </w:rPr>
        <w:t>60%</w:t>
      </w:r>
      <w:r>
        <w:rPr>
          <w:rFonts w:hint="eastAsia"/>
          <w:snapToGrid/>
          <w:szCs w:val="26"/>
        </w:rPr>
        <w:t>以上</w:t>
      </w:r>
      <w:r>
        <w:rPr>
          <w:rFonts w:hint="eastAsia"/>
          <w:snapToGrid/>
          <w:szCs w:val="26"/>
        </w:rPr>
        <w:t>)</w:t>
      </w:r>
      <w:r>
        <w:rPr>
          <w:rFonts w:hint="eastAsia"/>
          <w:snapToGrid/>
          <w:szCs w:val="26"/>
        </w:rPr>
        <w:t>没有机会到其他地区寻找工作，因为向这类收入人口开放的住房市场不发达。交通服务在减少</w:t>
      </w:r>
      <w:r>
        <w:rPr>
          <w:snapToGrid/>
          <w:szCs w:val="26"/>
        </w:rPr>
        <w:t>，</w:t>
      </w:r>
      <w:r>
        <w:rPr>
          <w:rFonts w:hint="eastAsia"/>
          <w:snapToGrid/>
          <w:szCs w:val="26"/>
        </w:rPr>
        <w:t>公共交通费用在增加。这使高失业率地区更难摆脱困境；</w:t>
      </w:r>
    </w:p>
    <w:p w:rsidR="00000000" w:rsidRDefault="00000000">
      <w:pPr>
        <w:numPr>
          <w:ilvl w:val="0"/>
          <w:numId w:val="142"/>
        </w:numPr>
        <w:rPr>
          <w:rFonts w:hint="eastAsia"/>
          <w:snapToGrid/>
          <w:spacing w:val="8"/>
          <w:szCs w:val="26"/>
        </w:rPr>
      </w:pPr>
      <w:r>
        <w:rPr>
          <w:rFonts w:hint="eastAsia"/>
          <w:snapToGrid/>
          <w:spacing w:val="8"/>
          <w:szCs w:val="26"/>
        </w:rPr>
        <w:t>工资和福利津贴的水平不平衡</w:t>
      </w:r>
      <w:r>
        <w:rPr>
          <w:snapToGrid/>
          <w:spacing w:val="8"/>
          <w:szCs w:val="26"/>
        </w:rPr>
        <w:t>：</w:t>
      </w:r>
      <w:r>
        <w:rPr>
          <w:rFonts w:hint="eastAsia"/>
          <w:snapToGrid/>
          <w:spacing w:val="8"/>
          <w:szCs w:val="26"/>
        </w:rPr>
        <w:t>目前的比率不鼓励低学历、低收入的人寻找工作。于是</w:t>
      </w:r>
      <w:r>
        <w:rPr>
          <w:snapToGrid/>
          <w:spacing w:val="8"/>
          <w:szCs w:val="26"/>
        </w:rPr>
        <w:t>，</w:t>
      </w:r>
      <w:r>
        <w:rPr>
          <w:rFonts w:hint="eastAsia"/>
          <w:snapToGrid/>
          <w:spacing w:val="8"/>
          <w:szCs w:val="26"/>
        </w:rPr>
        <w:t>长期和经常失业的人数上升。为难以就业的人安置工作更加困难。</w:t>
      </w:r>
      <w:r>
        <w:rPr>
          <w:snapToGrid/>
          <w:spacing w:val="8"/>
          <w:szCs w:val="26"/>
        </w:rPr>
        <w:t>1997</w:t>
      </w:r>
      <w:r>
        <w:rPr>
          <w:rFonts w:hint="eastAsia"/>
          <w:snapToGrid/>
          <w:spacing w:val="8"/>
          <w:szCs w:val="26"/>
        </w:rPr>
        <w:t>年</w:t>
      </w:r>
      <w:r>
        <w:rPr>
          <w:snapToGrid/>
          <w:spacing w:val="8"/>
          <w:szCs w:val="26"/>
        </w:rPr>
        <w:t>，</w:t>
      </w:r>
      <w:r>
        <w:rPr>
          <w:rFonts w:hint="eastAsia"/>
          <w:snapToGrid/>
          <w:spacing w:val="8"/>
          <w:szCs w:val="26"/>
        </w:rPr>
        <w:t>失业津贴的平均数额为</w:t>
      </w:r>
      <w:r>
        <w:rPr>
          <w:snapToGrid/>
          <w:spacing w:val="8"/>
          <w:szCs w:val="26"/>
        </w:rPr>
        <w:t>2533</w:t>
      </w:r>
      <w:r>
        <w:rPr>
          <w:rFonts w:hint="eastAsia"/>
          <w:snapToGrid/>
          <w:spacing w:val="8"/>
          <w:szCs w:val="26"/>
        </w:rPr>
        <w:t>捷克克朗。同期</w:t>
      </w:r>
      <w:r>
        <w:rPr>
          <w:snapToGrid/>
          <w:spacing w:val="8"/>
          <w:szCs w:val="26"/>
        </w:rPr>
        <w:t>，</w:t>
      </w:r>
      <w:r>
        <w:rPr>
          <w:rFonts w:hint="eastAsia"/>
          <w:snapToGrid/>
          <w:spacing w:val="8"/>
          <w:szCs w:val="26"/>
        </w:rPr>
        <w:t>国民经济民用部门的平均月毛薪</w:t>
      </w:r>
      <w:r>
        <w:rPr>
          <w:snapToGrid/>
          <w:spacing w:val="8"/>
          <w:szCs w:val="26"/>
        </w:rPr>
        <w:t>(</w:t>
      </w:r>
      <w:r>
        <w:rPr>
          <w:rFonts w:hint="eastAsia"/>
          <w:snapToGrid/>
          <w:spacing w:val="8"/>
          <w:szCs w:val="26"/>
        </w:rPr>
        <w:t>缴税和扣除社会和医疗保险前的工资</w:t>
      </w:r>
      <w:r>
        <w:rPr>
          <w:snapToGrid/>
          <w:spacing w:val="8"/>
          <w:szCs w:val="26"/>
        </w:rPr>
        <w:t>)</w:t>
      </w:r>
      <w:r>
        <w:rPr>
          <w:rFonts w:hint="eastAsia"/>
          <w:snapToGrid/>
          <w:spacing w:val="8"/>
          <w:szCs w:val="26"/>
        </w:rPr>
        <w:t>为</w:t>
      </w:r>
      <w:r>
        <w:rPr>
          <w:snapToGrid/>
          <w:spacing w:val="8"/>
          <w:szCs w:val="26"/>
        </w:rPr>
        <w:t>10696</w:t>
      </w:r>
      <w:r>
        <w:rPr>
          <w:rFonts w:hint="eastAsia"/>
          <w:snapToGrid/>
          <w:spacing w:val="8"/>
          <w:szCs w:val="26"/>
        </w:rPr>
        <w:t>捷克克朗</w:t>
      </w:r>
      <w:r>
        <w:rPr>
          <w:snapToGrid/>
          <w:spacing w:val="8"/>
          <w:szCs w:val="26"/>
        </w:rPr>
        <w:t>，</w:t>
      </w:r>
      <w:r>
        <w:rPr>
          <w:rFonts w:hint="eastAsia"/>
          <w:snapToGrid/>
          <w:spacing w:val="8"/>
          <w:szCs w:val="26"/>
        </w:rPr>
        <w:t>最差部门</w:t>
      </w:r>
      <w:r>
        <w:rPr>
          <w:snapToGrid/>
          <w:spacing w:val="8"/>
          <w:szCs w:val="26"/>
        </w:rPr>
        <w:t>(</w:t>
      </w:r>
      <w:r>
        <w:rPr>
          <w:rFonts w:hint="eastAsia"/>
          <w:snapToGrid/>
          <w:spacing w:val="8"/>
          <w:szCs w:val="26"/>
        </w:rPr>
        <w:t>纺织行业</w:t>
      </w:r>
      <w:r>
        <w:rPr>
          <w:snapToGrid/>
          <w:spacing w:val="8"/>
          <w:szCs w:val="26"/>
        </w:rPr>
        <w:t>)</w:t>
      </w:r>
      <w:r>
        <w:rPr>
          <w:rFonts w:hint="eastAsia"/>
          <w:snapToGrid/>
          <w:spacing w:val="8"/>
          <w:szCs w:val="26"/>
        </w:rPr>
        <w:t>只有</w:t>
      </w:r>
      <w:r>
        <w:rPr>
          <w:snapToGrid/>
          <w:spacing w:val="8"/>
          <w:szCs w:val="26"/>
        </w:rPr>
        <w:t>6861</w:t>
      </w:r>
      <w:r>
        <w:rPr>
          <w:rFonts w:hint="eastAsia"/>
          <w:snapToGrid/>
          <w:spacing w:val="8"/>
          <w:szCs w:val="26"/>
        </w:rPr>
        <w:t>捷克克朗；</w:t>
      </w:r>
    </w:p>
    <w:p w:rsidR="00000000" w:rsidRDefault="00000000">
      <w:pPr>
        <w:numPr>
          <w:ilvl w:val="0"/>
          <w:numId w:val="142"/>
        </w:numPr>
        <w:rPr>
          <w:rFonts w:hint="eastAsia"/>
          <w:snapToGrid/>
          <w:szCs w:val="26"/>
        </w:rPr>
      </w:pPr>
      <w:r>
        <w:rPr>
          <w:rFonts w:hint="eastAsia"/>
          <w:snapToGrid/>
          <w:szCs w:val="26"/>
        </w:rPr>
        <w:t>对外国工人的需求增加</w:t>
      </w:r>
      <w:r>
        <w:rPr>
          <w:snapToGrid/>
          <w:szCs w:val="26"/>
        </w:rPr>
        <w:t>，</w:t>
      </w:r>
      <w:r>
        <w:rPr>
          <w:rFonts w:hint="eastAsia"/>
          <w:snapToGrid/>
          <w:szCs w:val="26"/>
        </w:rPr>
        <w:t>主要是不需要高学历、工资低或工资条件艰苦的工作和职业。外国工人将国内劳动力挤出劳动力市场。雇用他们使雇主有利可图</w:t>
      </w:r>
      <w:r>
        <w:rPr>
          <w:snapToGrid/>
          <w:szCs w:val="26"/>
        </w:rPr>
        <w:t>，</w:t>
      </w:r>
      <w:r>
        <w:rPr>
          <w:rFonts w:hint="eastAsia"/>
          <w:snapToGrid/>
          <w:szCs w:val="26"/>
        </w:rPr>
        <w:t>即便以违法为代价。外国工人往往技术熟练</w:t>
      </w:r>
      <w:r>
        <w:rPr>
          <w:snapToGrid/>
          <w:szCs w:val="26"/>
        </w:rPr>
        <w:t>，</w:t>
      </w:r>
      <w:r>
        <w:rPr>
          <w:rFonts w:hint="eastAsia"/>
          <w:snapToGrid/>
          <w:szCs w:val="26"/>
        </w:rPr>
        <w:t>又愿意从事低收入工作；</w:t>
      </w:r>
    </w:p>
    <w:p w:rsidR="00000000" w:rsidRDefault="00000000">
      <w:pPr>
        <w:numPr>
          <w:ilvl w:val="0"/>
          <w:numId w:val="142"/>
        </w:numPr>
        <w:spacing w:after="320"/>
        <w:rPr>
          <w:snapToGrid/>
          <w:szCs w:val="26"/>
        </w:rPr>
      </w:pPr>
      <w:r>
        <w:rPr>
          <w:rFonts w:hint="eastAsia"/>
          <w:snapToGrid/>
          <w:szCs w:val="26"/>
        </w:rPr>
        <w:t>通过《国家就业计划》之前</w:t>
      </w:r>
      <w:r>
        <w:rPr>
          <w:snapToGrid/>
          <w:szCs w:val="26"/>
        </w:rPr>
        <w:t>，</w:t>
      </w:r>
      <w:r>
        <w:rPr>
          <w:rFonts w:hint="eastAsia"/>
          <w:snapToGrid/>
          <w:szCs w:val="26"/>
        </w:rPr>
        <w:t>就业政策侧重于所谓的消极政袋</w:t>
      </w:r>
      <w:r>
        <w:rPr>
          <w:snapToGrid/>
          <w:szCs w:val="26"/>
        </w:rPr>
        <w:t>，</w:t>
      </w:r>
      <w:r>
        <w:rPr>
          <w:rFonts w:hint="eastAsia"/>
          <w:snapToGrid/>
          <w:szCs w:val="26"/>
        </w:rPr>
        <w:t>即发放失业津贴。</w:t>
      </w:r>
      <w:r>
        <w:rPr>
          <w:snapToGrid/>
          <w:szCs w:val="26"/>
        </w:rPr>
        <w:t>1993</w:t>
      </w:r>
      <w:r>
        <w:rPr>
          <w:rFonts w:hint="eastAsia"/>
          <w:snapToGrid/>
          <w:szCs w:val="26"/>
        </w:rPr>
        <w:t>年至</w:t>
      </w:r>
      <w:r>
        <w:rPr>
          <w:snapToGrid/>
          <w:szCs w:val="26"/>
        </w:rPr>
        <w:t>1997</w:t>
      </w:r>
      <w:r>
        <w:rPr>
          <w:rFonts w:hint="eastAsia"/>
          <w:snapToGrid/>
          <w:szCs w:val="26"/>
        </w:rPr>
        <w:t>年期间积极就业政策措施使用的预算资金减少</w:t>
      </w:r>
      <w:r>
        <w:rPr>
          <w:snapToGrid/>
          <w:szCs w:val="26"/>
        </w:rPr>
        <w:t>，</w:t>
      </w:r>
      <w:r>
        <w:rPr>
          <w:rFonts w:hint="eastAsia"/>
          <w:snapToGrid/>
          <w:szCs w:val="26"/>
        </w:rPr>
        <w:t>使这些措施为求职者创造的就业机会很有限。用于积极就业政策的资金减少</w:t>
      </w:r>
      <w:r>
        <w:rPr>
          <w:snapToGrid/>
          <w:szCs w:val="26"/>
        </w:rPr>
        <w:t>，</w:t>
      </w:r>
      <w:r>
        <w:rPr>
          <w:rFonts w:hint="eastAsia"/>
          <w:snapToGrid/>
          <w:szCs w:val="26"/>
        </w:rPr>
        <w:t>并非因为对这一领域的预算拨款减少</w:t>
      </w:r>
      <w:r>
        <w:rPr>
          <w:snapToGrid/>
          <w:szCs w:val="26"/>
        </w:rPr>
        <w:t>，</w:t>
      </w:r>
      <w:r>
        <w:rPr>
          <w:rFonts w:hint="eastAsia"/>
          <w:snapToGrid/>
          <w:szCs w:val="26"/>
        </w:rPr>
        <w:t>而是因为以前的积极政策手段的作用下降</w:t>
      </w:r>
      <w:r>
        <w:rPr>
          <w:snapToGrid/>
          <w:szCs w:val="26"/>
        </w:rPr>
        <w:t>(</w:t>
      </w:r>
      <w:r>
        <w:rPr>
          <w:rFonts w:hint="eastAsia"/>
          <w:snapToGrid/>
          <w:szCs w:val="26"/>
        </w:rPr>
        <w:t>例如雇主对使用这一形式的资助不感兴趣</w:t>
      </w:r>
      <w:r>
        <w:rPr>
          <w:rFonts w:hint="eastAsia"/>
          <w:snapToGrid/>
          <w:szCs w:val="26"/>
        </w:rPr>
        <w:t>)</w:t>
      </w:r>
      <w:r>
        <w:rPr>
          <w:rFonts w:hint="eastAsia"/>
          <w:snapToGrid/>
          <w:szCs w:val="26"/>
        </w:rPr>
        <w:t>。</w:t>
      </w:r>
    </w:p>
    <w:p w:rsidR="00000000" w:rsidRDefault="00000000">
      <w:pPr>
        <w:pStyle w:val="Heading3"/>
        <w:rPr>
          <w:rFonts w:hint="eastAsia"/>
        </w:rPr>
      </w:pPr>
      <w:r>
        <w:rPr>
          <w:rFonts w:hint="eastAsia"/>
        </w:rPr>
        <w:t>就业政策的开支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3"/>
        <w:gridCol w:w="1690"/>
        <w:gridCol w:w="1560"/>
        <w:gridCol w:w="1690"/>
        <w:gridCol w:w="1430"/>
        <w:gridCol w:w="1856"/>
      </w:tblGrid>
      <w:tr w:rsidR="00000000">
        <w:tblPrEx>
          <w:tblCellMar>
            <w:top w:w="0" w:type="dxa"/>
            <w:bottom w:w="0" w:type="dxa"/>
          </w:tblCellMar>
        </w:tblPrEx>
        <w:trPr>
          <w:cantSplit/>
          <w:trHeight w:val="270"/>
          <w:jc w:val="center"/>
        </w:trPr>
        <w:tc>
          <w:tcPr>
            <w:tcW w:w="953" w:type="dxa"/>
            <w:vMerge w:val="restart"/>
            <w:tcBorders>
              <w:top w:val="single" w:sz="4" w:space="0" w:color="auto"/>
            </w:tcBorders>
          </w:tcPr>
          <w:p w:rsidR="00000000" w:rsidRDefault="00000000">
            <w:pPr>
              <w:pStyle w:val="aa"/>
              <w:jc w:val="center"/>
              <w:rPr>
                <w:rFonts w:hint="eastAsia"/>
              </w:rPr>
            </w:pPr>
            <w:r>
              <w:rPr>
                <w:rFonts w:hint="eastAsia"/>
              </w:rPr>
              <w:t>年份</w:t>
            </w:r>
          </w:p>
          <w:p w:rsidR="00000000" w:rsidRDefault="00000000">
            <w:pPr>
              <w:pStyle w:val="aa"/>
              <w:jc w:val="center"/>
            </w:pPr>
          </w:p>
        </w:tc>
        <w:tc>
          <w:tcPr>
            <w:tcW w:w="1690" w:type="dxa"/>
            <w:vMerge w:val="restart"/>
            <w:tcBorders>
              <w:top w:val="single" w:sz="4" w:space="0" w:color="auto"/>
            </w:tcBorders>
          </w:tcPr>
          <w:p w:rsidR="00000000" w:rsidRDefault="00000000">
            <w:pPr>
              <w:pStyle w:val="aa"/>
              <w:jc w:val="center"/>
              <w:rPr>
                <w:rFonts w:hint="eastAsia"/>
              </w:rPr>
            </w:pPr>
            <w:r>
              <w:rPr>
                <w:rFonts w:hint="eastAsia"/>
              </w:rPr>
              <w:t>总</w:t>
            </w:r>
            <w:r>
              <w:rPr>
                <w:rFonts w:hint="eastAsia"/>
              </w:rPr>
              <w:t xml:space="preserve">  </w:t>
            </w:r>
            <w:r>
              <w:rPr>
                <w:rFonts w:hint="eastAsia"/>
              </w:rPr>
              <w:t>额</w:t>
            </w:r>
          </w:p>
          <w:p w:rsidR="00000000" w:rsidRDefault="00000000">
            <w:pPr>
              <w:pStyle w:val="aa"/>
              <w:jc w:val="center"/>
            </w:pPr>
            <w:r>
              <w:t>(</w:t>
            </w:r>
            <w:r>
              <w:rPr>
                <w:rFonts w:hint="eastAsia"/>
                <w:szCs w:val="26"/>
              </w:rPr>
              <w:t>千捷克克朗</w:t>
            </w:r>
            <w:r>
              <w:t>)</w:t>
            </w:r>
          </w:p>
        </w:tc>
        <w:tc>
          <w:tcPr>
            <w:tcW w:w="3250" w:type="dxa"/>
            <w:gridSpan w:val="2"/>
            <w:tcBorders>
              <w:top w:val="single" w:sz="4" w:space="0" w:color="auto"/>
            </w:tcBorders>
          </w:tcPr>
          <w:p w:rsidR="00000000" w:rsidRDefault="00000000">
            <w:pPr>
              <w:pStyle w:val="aa"/>
              <w:jc w:val="center"/>
              <w:rPr>
                <w:rFonts w:hint="eastAsia"/>
              </w:rPr>
            </w:pPr>
            <w:r>
              <w:rPr>
                <w:rFonts w:hint="eastAsia"/>
              </w:rPr>
              <w:t>积极就业政策</w:t>
            </w:r>
          </w:p>
        </w:tc>
        <w:tc>
          <w:tcPr>
            <w:tcW w:w="1430" w:type="dxa"/>
            <w:vMerge w:val="restart"/>
            <w:tcBorders>
              <w:top w:val="single" w:sz="4" w:space="0" w:color="auto"/>
            </w:tcBorders>
          </w:tcPr>
          <w:p w:rsidR="00000000" w:rsidRDefault="00000000">
            <w:pPr>
              <w:pStyle w:val="aa"/>
              <w:jc w:val="center"/>
            </w:pPr>
            <w:r>
              <w:rPr>
                <w:rFonts w:hint="eastAsia"/>
              </w:rPr>
              <w:t>工作机会</w:t>
            </w:r>
            <w:r>
              <w:br/>
            </w:r>
            <w:r>
              <w:rPr>
                <w:rFonts w:hint="eastAsia"/>
              </w:rPr>
              <w:t>%</w:t>
            </w:r>
            <w:r>
              <w:rPr>
                <w:b/>
                <w:bCs/>
                <w:vertAlign w:val="superscript"/>
              </w:rPr>
              <w:t>a</w:t>
            </w:r>
          </w:p>
        </w:tc>
        <w:tc>
          <w:tcPr>
            <w:tcW w:w="1856" w:type="dxa"/>
            <w:vMerge w:val="restart"/>
            <w:tcBorders>
              <w:top w:val="single" w:sz="4" w:space="0" w:color="auto"/>
            </w:tcBorders>
          </w:tcPr>
          <w:p w:rsidR="00000000" w:rsidRDefault="00000000">
            <w:pPr>
              <w:pStyle w:val="aa"/>
              <w:jc w:val="center"/>
            </w:pPr>
            <w:r>
              <w:rPr>
                <w:rFonts w:hint="eastAsia"/>
              </w:rPr>
              <w:t>月资金开支</w:t>
            </w:r>
            <w:r>
              <w:br/>
            </w:r>
            <w:r>
              <w:rPr>
                <w:sz w:val="20"/>
              </w:rPr>
              <w:t>(</w:t>
            </w:r>
            <w:r>
              <w:rPr>
                <w:rFonts w:hint="eastAsia"/>
                <w:sz w:val="20"/>
                <w:szCs w:val="26"/>
              </w:rPr>
              <w:t>千捷克克朗</w:t>
            </w:r>
            <w:r>
              <w:rPr>
                <w:sz w:val="20"/>
              </w:rPr>
              <w:t>)</w:t>
            </w:r>
          </w:p>
        </w:tc>
      </w:tr>
      <w:tr w:rsidR="00000000">
        <w:tblPrEx>
          <w:tblCellMar>
            <w:top w:w="0" w:type="dxa"/>
            <w:bottom w:w="0" w:type="dxa"/>
          </w:tblCellMar>
        </w:tblPrEx>
        <w:trPr>
          <w:cantSplit/>
          <w:trHeight w:val="270"/>
          <w:jc w:val="center"/>
        </w:trPr>
        <w:tc>
          <w:tcPr>
            <w:tcW w:w="953" w:type="dxa"/>
            <w:vMerge/>
            <w:tcBorders>
              <w:bottom w:val="single" w:sz="4" w:space="0" w:color="auto"/>
            </w:tcBorders>
          </w:tcPr>
          <w:p w:rsidR="00000000" w:rsidRDefault="00000000">
            <w:pPr>
              <w:pStyle w:val="aa"/>
              <w:rPr>
                <w:szCs w:val="22"/>
              </w:rPr>
            </w:pPr>
          </w:p>
        </w:tc>
        <w:tc>
          <w:tcPr>
            <w:tcW w:w="1690" w:type="dxa"/>
            <w:vMerge/>
            <w:tcBorders>
              <w:bottom w:val="single" w:sz="4" w:space="0" w:color="auto"/>
            </w:tcBorders>
          </w:tcPr>
          <w:p w:rsidR="00000000" w:rsidRDefault="00000000">
            <w:pPr>
              <w:pStyle w:val="aa"/>
              <w:rPr>
                <w:szCs w:val="22"/>
              </w:rPr>
            </w:pPr>
          </w:p>
        </w:tc>
        <w:tc>
          <w:tcPr>
            <w:tcW w:w="1560" w:type="dxa"/>
            <w:tcBorders>
              <w:bottom w:val="single" w:sz="4" w:space="0" w:color="auto"/>
            </w:tcBorders>
          </w:tcPr>
          <w:p w:rsidR="00000000" w:rsidRDefault="00000000">
            <w:pPr>
              <w:pStyle w:val="aa"/>
              <w:jc w:val="center"/>
              <w:rPr>
                <w:szCs w:val="22"/>
              </w:rPr>
            </w:pPr>
            <w:r>
              <w:t>(</w:t>
            </w:r>
            <w:r>
              <w:rPr>
                <w:rFonts w:hint="eastAsia"/>
                <w:szCs w:val="26"/>
              </w:rPr>
              <w:t>千捷克克朗</w:t>
            </w:r>
            <w:r>
              <w:t>)</w:t>
            </w:r>
          </w:p>
        </w:tc>
        <w:tc>
          <w:tcPr>
            <w:tcW w:w="1690" w:type="dxa"/>
            <w:tcBorders>
              <w:bottom w:val="single" w:sz="4" w:space="0" w:color="auto"/>
            </w:tcBorders>
          </w:tcPr>
          <w:p w:rsidR="00000000" w:rsidRDefault="00000000">
            <w:pPr>
              <w:pStyle w:val="aa"/>
              <w:jc w:val="center"/>
              <w:rPr>
                <w:rFonts w:hint="eastAsia"/>
                <w:szCs w:val="22"/>
              </w:rPr>
            </w:pPr>
            <w:r>
              <w:rPr>
                <w:rFonts w:hint="eastAsia"/>
                <w:szCs w:val="22"/>
              </w:rPr>
              <w:t>占总费用的</w:t>
            </w:r>
            <w:r>
              <w:rPr>
                <w:rFonts w:hint="eastAsia"/>
                <w:szCs w:val="22"/>
              </w:rPr>
              <w:t>%</w:t>
            </w:r>
          </w:p>
        </w:tc>
        <w:tc>
          <w:tcPr>
            <w:tcW w:w="1430" w:type="dxa"/>
            <w:vMerge/>
            <w:tcBorders>
              <w:bottom w:val="single" w:sz="4" w:space="0" w:color="auto"/>
            </w:tcBorders>
          </w:tcPr>
          <w:p w:rsidR="00000000" w:rsidRDefault="00000000">
            <w:pPr>
              <w:pStyle w:val="aa"/>
              <w:rPr>
                <w:szCs w:val="22"/>
              </w:rPr>
            </w:pPr>
          </w:p>
        </w:tc>
        <w:tc>
          <w:tcPr>
            <w:tcW w:w="1856" w:type="dxa"/>
            <w:vMerge/>
            <w:tcBorders>
              <w:bottom w:val="single" w:sz="4" w:space="0" w:color="auto"/>
            </w:tcBorders>
          </w:tcPr>
          <w:p w:rsidR="00000000" w:rsidRDefault="00000000">
            <w:pPr>
              <w:pStyle w:val="aa"/>
              <w:rPr>
                <w:szCs w:val="22"/>
              </w:rPr>
            </w:pPr>
          </w:p>
        </w:tc>
      </w:tr>
      <w:tr w:rsidR="00000000">
        <w:tblPrEx>
          <w:tblCellMar>
            <w:top w:w="0" w:type="dxa"/>
            <w:bottom w:w="0" w:type="dxa"/>
          </w:tblCellMar>
        </w:tblPrEx>
        <w:trPr>
          <w:cantSplit/>
          <w:jc w:val="center"/>
        </w:trPr>
        <w:tc>
          <w:tcPr>
            <w:tcW w:w="953" w:type="dxa"/>
            <w:tcBorders>
              <w:bottom w:val="nil"/>
              <w:right w:val="single" w:sz="4" w:space="0" w:color="auto"/>
            </w:tcBorders>
          </w:tcPr>
          <w:p w:rsidR="00000000" w:rsidRDefault="00000000">
            <w:pPr>
              <w:pStyle w:val="aa"/>
              <w:rPr>
                <w:szCs w:val="22"/>
              </w:rPr>
            </w:pPr>
            <w:r>
              <w:rPr>
                <w:szCs w:val="22"/>
              </w:rPr>
              <w:t>1993</w:t>
            </w:r>
          </w:p>
        </w:tc>
        <w:tc>
          <w:tcPr>
            <w:tcW w:w="1690" w:type="dxa"/>
            <w:tcBorders>
              <w:left w:val="single" w:sz="4" w:space="0" w:color="auto"/>
              <w:bottom w:val="nil"/>
              <w:right w:val="single" w:sz="4" w:space="0" w:color="auto"/>
            </w:tcBorders>
          </w:tcPr>
          <w:p w:rsidR="00000000" w:rsidRDefault="00000000">
            <w:pPr>
              <w:pStyle w:val="aa"/>
              <w:jc w:val="center"/>
              <w:rPr>
                <w:szCs w:val="22"/>
              </w:rPr>
            </w:pPr>
            <w:r>
              <w:rPr>
                <w:szCs w:val="22"/>
              </w:rPr>
              <w:t>2 174 877</w:t>
            </w:r>
          </w:p>
        </w:tc>
        <w:tc>
          <w:tcPr>
            <w:tcW w:w="1560" w:type="dxa"/>
            <w:tcBorders>
              <w:left w:val="single" w:sz="4" w:space="0" w:color="auto"/>
              <w:bottom w:val="nil"/>
              <w:right w:val="single" w:sz="4" w:space="0" w:color="auto"/>
            </w:tcBorders>
          </w:tcPr>
          <w:p w:rsidR="00000000" w:rsidRDefault="00000000">
            <w:pPr>
              <w:pStyle w:val="aa"/>
              <w:jc w:val="center"/>
              <w:rPr>
                <w:szCs w:val="22"/>
              </w:rPr>
            </w:pPr>
            <w:r>
              <w:rPr>
                <w:szCs w:val="22"/>
              </w:rPr>
              <w:t>758 208</w:t>
            </w:r>
          </w:p>
        </w:tc>
        <w:tc>
          <w:tcPr>
            <w:tcW w:w="1690" w:type="dxa"/>
            <w:tcBorders>
              <w:left w:val="single" w:sz="4" w:space="0" w:color="auto"/>
              <w:bottom w:val="nil"/>
              <w:right w:val="single" w:sz="4" w:space="0" w:color="auto"/>
            </w:tcBorders>
          </w:tcPr>
          <w:p w:rsidR="00000000" w:rsidRDefault="00000000">
            <w:pPr>
              <w:pStyle w:val="aa"/>
              <w:jc w:val="center"/>
              <w:rPr>
                <w:szCs w:val="22"/>
              </w:rPr>
            </w:pPr>
            <w:r>
              <w:rPr>
                <w:szCs w:val="22"/>
              </w:rPr>
              <w:t>34.86</w:t>
            </w:r>
          </w:p>
        </w:tc>
        <w:tc>
          <w:tcPr>
            <w:tcW w:w="1430" w:type="dxa"/>
            <w:tcBorders>
              <w:left w:val="single" w:sz="4" w:space="0" w:color="auto"/>
              <w:bottom w:val="nil"/>
              <w:right w:val="single" w:sz="4" w:space="0" w:color="auto"/>
            </w:tcBorders>
          </w:tcPr>
          <w:p w:rsidR="00000000" w:rsidRDefault="00000000">
            <w:pPr>
              <w:pStyle w:val="aa"/>
              <w:jc w:val="center"/>
              <w:rPr>
                <w:szCs w:val="22"/>
              </w:rPr>
            </w:pPr>
            <w:r>
              <w:rPr>
                <w:szCs w:val="22"/>
              </w:rPr>
              <w:t>28.6</w:t>
            </w:r>
          </w:p>
        </w:tc>
        <w:tc>
          <w:tcPr>
            <w:tcW w:w="1856" w:type="dxa"/>
            <w:tcBorders>
              <w:left w:val="single" w:sz="4" w:space="0" w:color="auto"/>
              <w:bottom w:val="nil"/>
            </w:tcBorders>
          </w:tcPr>
          <w:p w:rsidR="00000000" w:rsidRDefault="00000000">
            <w:pPr>
              <w:pStyle w:val="aa"/>
              <w:jc w:val="center"/>
              <w:rPr>
                <w:szCs w:val="22"/>
              </w:rPr>
            </w:pPr>
            <w:r>
              <w:rPr>
                <w:szCs w:val="22"/>
              </w:rPr>
              <w:t>1 654</w:t>
            </w:r>
          </w:p>
        </w:tc>
      </w:tr>
      <w:tr w:rsidR="00000000">
        <w:tblPrEx>
          <w:tblCellMar>
            <w:top w:w="0" w:type="dxa"/>
            <w:bottom w:w="0" w:type="dxa"/>
          </w:tblCellMar>
        </w:tblPrEx>
        <w:trPr>
          <w:cantSplit/>
          <w:jc w:val="center"/>
        </w:trPr>
        <w:tc>
          <w:tcPr>
            <w:tcW w:w="953" w:type="dxa"/>
            <w:tcBorders>
              <w:top w:val="nil"/>
              <w:bottom w:val="nil"/>
              <w:right w:val="single" w:sz="4" w:space="0" w:color="auto"/>
            </w:tcBorders>
          </w:tcPr>
          <w:p w:rsidR="00000000" w:rsidRDefault="00000000">
            <w:pPr>
              <w:pStyle w:val="aa"/>
              <w:rPr>
                <w:szCs w:val="22"/>
              </w:rPr>
            </w:pPr>
            <w:r>
              <w:rPr>
                <w:szCs w:val="22"/>
              </w:rPr>
              <w:t>1994</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2 571 843</w:t>
            </w:r>
          </w:p>
        </w:tc>
        <w:tc>
          <w:tcPr>
            <w:tcW w:w="156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727 579</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28.29</w:t>
            </w:r>
          </w:p>
        </w:tc>
        <w:tc>
          <w:tcPr>
            <w:tcW w:w="143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26.3</w:t>
            </w:r>
          </w:p>
        </w:tc>
        <w:tc>
          <w:tcPr>
            <w:tcW w:w="1856" w:type="dxa"/>
            <w:tcBorders>
              <w:top w:val="nil"/>
              <w:left w:val="single" w:sz="4" w:space="0" w:color="auto"/>
              <w:bottom w:val="nil"/>
            </w:tcBorders>
          </w:tcPr>
          <w:p w:rsidR="00000000" w:rsidRDefault="00000000">
            <w:pPr>
              <w:pStyle w:val="aa"/>
              <w:jc w:val="center"/>
              <w:rPr>
                <w:szCs w:val="22"/>
              </w:rPr>
            </w:pPr>
            <w:r>
              <w:rPr>
                <w:szCs w:val="22"/>
              </w:rPr>
              <w:t>1 839</w:t>
            </w:r>
          </w:p>
        </w:tc>
      </w:tr>
      <w:tr w:rsidR="00000000">
        <w:tblPrEx>
          <w:tblCellMar>
            <w:top w:w="0" w:type="dxa"/>
            <w:bottom w:w="0" w:type="dxa"/>
          </w:tblCellMar>
        </w:tblPrEx>
        <w:trPr>
          <w:cantSplit/>
          <w:jc w:val="center"/>
        </w:trPr>
        <w:tc>
          <w:tcPr>
            <w:tcW w:w="953" w:type="dxa"/>
            <w:tcBorders>
              <w:top w:val="nil"/>
              <w:bottom w:val="nil"/>
              <w:right w:val="single" w:sz="4" w:space="0" w:color="auto"/>
            </w:tcBorders>
          </w:tcPr>
          <w:p w:rsidR="00000000" w:rsidRDefault="00000000">
            <w:pPr>
              <w:pStyle w:val="aa"/>
              <w:rPr>
                <w:szCs w:val="22"/>
              </w:rPr>
            </w:pPr>
            <w:r>
              <w:rPr>
                <w:szCs w:val="22"/>
              </w:rPr>
              <w:t>1995</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2 416 637</w:t>
            </w:r>
          </w:p>
        </w:tc>
        <w:tc>
          <w:tcPr>
            <w:tcW w:w="156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634 791</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26.27</w:t>
            </w:r>
          </w:p>
        </w:tc>
        <w:tc>
          <w:tcPr>
            <w:tcW w:w="143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23.7</w:t>
            </w:r>
          </w:p>
        </w:tc>
        <w:tc>
          <w:tcPr>
            <w:tcW w:w="1856" w:type="dxa"/>
            <w:tcBorders>
              <w:top w:val="nil"/>
              <w:left w:val="single" w:sz="4" w:space="0" w:color="auto"/>
              <w:bottom w:val="nil"/>
            </w:tcBorders>
          </w:tcPr>
          <w:p w:rsidR="00000000" w:rsidRDefault="00000000">
            <w:pPr>
              <w:pStyle w:val="aa"/>
              <w:jc w:val="center"/>
              <w:rPr>
                <w:szCs w:val="22"/>
              </w:rPr>
            </w:pPr>
            <w:r>
              <w:rPr>
                <w:szCs w:val="22"/>
              </w:rPr>
              <w:t>2 056</w:t>
            </w:r>
          </w:p>
        </w:tc>
      </w:tr>
      <w:tr w:rsidR="00000000">
        <w:tblPrEx>
          <w:tblCellMar>
            <w:top w:w="0" w:type="dxa"/>
            <w:bottom w:w="0" w:type="dxa"/>
          </w:tblCellMar>
        </w:tblPrEx>
        <w:trPr>
          <w:cantSplit/>
          <w:jc w:val="center"/>
        </w:trPr>
        <w:tc>
          <w:tcPr>
            <w:tcW w:w="953" w:type="dxa"/>
            <w:tcBorders>
              <w:top w:val="nil"/>
              <w:bottom w:val="nil"/>
              <w:right w:val="single" w:sz="4" w:space="0" w:color="auto"/>
            </w:tcBorders>
          </w:tcPr>
          <w:p w:rsidR="00000000" w:rsidRDefault="00000000">
            <w:pPr>
              <w:pStyle w:val="aa"/>
              <w:rPr>
                <w:szCs w:val="22"/>
              </w:rPr>
            </w:pPr>
            <w:r>
              <w:rPr>
                <w:szCs w:val="22"/>
              </w:rPr>
              <w:t>1996</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2 664 492</w:t>
            </w:r>
          </w:p>
        </w:tc>
        <w:tc>
          <w:tcPr>
            <w:tcW w:w="156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558 086</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20.95</w:t>
            </w:r>
          </w:p>
        </w:tc>
        <w:tc>
          <w:tcPr>
            <w:tcW w:w="143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19.9</w:t>
            </w:r>
          </w:p>
        </w:tc>
        <w:tc>
          <w:tcPr>
            <w:tcW w:w="1856" w:type="dxa"/>
            <w:tcBorders>
              <w:top w:val="nil"/>
              <w:left w:val="single" w:sz="4" w:space="0" w:color="auto"/>
              <w:bottom w:val="nil"/>
            </w:tcBorders>
          </w:tcPr>
          <w:p w:rsidR="00000000" w:rsidRDefault="00000000">
            <w:pPr>
              <w:pStyle w:val="aa"/>
              <w:jc w:val="center"/>
              <w:rPr>
                <w:szCs w:val="22"/>
              </w:rPr>
            </w:pPr>
            <w:r>
              <w:rPr>
                <w:szCs w:val="22"/>
              </w:rPr>
              <w:t>2 306</w:t>
            </w:r>
          </w:p>
        </w:tc>
      </w:tr>
      <w:tr w:rsidR="00000000">
        <w:tblPrEx>
          <w:tblCellMar>
            <w:top w:w="0" w:type="dxa"/>
            <w:bottom w:w="0" w:type="dxa"/>
          </w:tblCellMar>
        </w:tblPrEx>
        <w:trPr>
          <w:cantSplit/>
          <w:jc w:val="center"/>
        </w:trPr>
        <w:tc>
          <w:tcPr>
            <w:tcW w:w="953" w:type="dxa"/>
            <w:tcBorders>
              <w:top w:val="nil"/>
              <w:bottom w:val="nil"/>
              <w:right w:val="single" w:sz="4" w:space="0" w:color="auto"/>
            </w:tcBorders>
          </w:tcPr>
          <w:p w:rsidR="00000000" w:rsidRDefault="00000000">
            <w:pPr>
              <w:pStyle w:val="aa"/>
              <w:rPr>
                <w:szCs w:val="22"/>
              </w:rPr>
            </w:pPr>
            <w:r>
              <w:rPr>
                <w:szCs w:val="22"/>
              </w:rPr>
              <w:t>1997</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3 994 750</w:t>
            </w:r>
          </w:p>
        </w:tc>
        <w:tc>
          <w:tcPr>
            <w:tcW w:w="156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574 712</w:t>
            </w:r>
          </w:p>
        </w:tc>
        <w:tc>
          <w:tcPr>
            <w:tcW w:w="169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14.39</w:t>
            </w:r>
          </w:p>
        </w:tc>
        <w:tc>
          <w:tcPr>
            <w:tcW w:w="1430" w:type="dxa"/>
            <w:tcBorders>
              <w:top w:val="nil"/>
              <w:left w:val="single" w:sz="4" w:space="0" w:color="auto"/>
              <w:bottom w:val="nil"/>
              <w:right w:val="single" w:sz="4" w:space="0" w:color="auto"/>
            </w:tcBorders>
          </w:tcPr>
          <w:p w:rsidR="00000000" w:rsidRDefault="00000000">
            <w:pPr>
              <w:pStyle w:val="aa"/>
              <w:jc w:val="center"/>
              <w:rPr>
                <w:szCs w:val="22"/>
              </w:rPr>
            </w:pPr>
            <w:r>
              <w:rPr>
                <w:szCs w:val="22"/>
              </w:rPr>
              <w:t>13.8</w:t>
            </w:r>
          </w:p>
        </w:tc>
        <w:tc>
          <w:tcPr>
            <w:tcW w:w="1856" w:type="dxa"/>
            <w:tcBorders>
              <w:top w:val="nil"/>
              <w:left w:val="single" w:sz="4" w:space="0" w:color="auto"/>
              <w:bottom w:val="nil"/>
            </w:tcBorders>
          </w:tcPr>
          <w:p w:rsidR="00000000" w:rsidRDefault="00000000">
            <w:pPr>
              <w:pStyle w:val="aa"/>
              <w:jc w:val="center"/>
              <w:rPr>
                <w:szCs w:val="22"/>
              </w:rPr>
            </w:pPr>
            <w:r>
              <w:rPr>
                <w:szCs w:val="22"/>
              </w:rPr>
              <w:t>2 567</w:t>
            </w:r>
          </w:p>
        </w:tc>
      </w:tr>
      <w:tr w:rsidR="00000000">
        <w:tblPrEx>
          <w:tblCellMar>
            <w:top w:w="0" w:type="dxa"/>
            <w:bottom w:w="0" w:type="dxa"/>
          </w:tblCellMar>
        </w:tblPrEx>
        <w:trPr>
          <w:cantSplit/>
          <w:jc w:val="center"/>
        </w:trPr>
        <w:tc>
          <w:tcPr>
            <w:tcW w:w="953" w:type="dxa"/>
            <w:tcBorders>
              <w:top w:val="nil"/>
              <w:right w:val="single" w:sz="4" w:space="0" w:color="auto"/>
            </w:tcBorders>
          </w:tcPr>
          <w:p w:rsidR="00000000" w:rsidRDefault="00000000">
            <w:pPr>
              <w:pStyle w:val="aa"/>
              <w:rPr>
                <w:szCs w:val="22"/>
              </w:rPr>
            </w:pPr>
            <w:r>
              <w:rPr>
                <w:szCs w:val="22"/>
              </w:rPr>
              <w:t>1998</w:t>
            </w:r>
          </w:p>
        </w:tc>
        <w:tc>
          <w:tcPr>
            <w:tcW w:w="1690" w:type="dxa"/>
            <w:tcBorders>
              <w:top w:val="nil"/>
              <w:left w:val="single" w:sz="4" w:space="0" w:color="auto"/>
              <w:right w:val="single" w:sz="4" w:space="0" w:color="auto"/>
            </w:tcBorders>
          </w:tcPr>
          <w:p w:rsidR="00000000" w:rsidRDefault="00000000">
            <w:pPr>
              <w:pStyle w:val="aa"/>
              <w:jc w:val="center"/>
              <w:rPr>
                <w:szCs w:val="22"/>
              </w:rPr>
            </w:pPr>
            <w:r>
              <w:rPr>
                <w:szCs w:val="22"/>
              </w:rPr>
              <w:t>5 117 089</w:t>
            </w:r>
          </w:p>
        </w:tc>
        <w:tc>
          <w:tcPr>
            <w:tcW w:w="1560" w:type="dxa"/>
            <w:tcBorders>
              <w:top w:val="nil"/>
              <w:left w:val="single" w:sz="4" w:space="0" w:color="auto"/>
              <w:right w:val="single" w:sz="4" w:space="0" w:color="auto"/>
            </w:tcBorders>
          </w:tcPr>
          <w:p w:rsidR="00000000" w:rsidRDefault="00000000">
            <w:pPr>
              <w:pStyle w:val="aa"/>
              <w:jc w:val="center"/>
              <w:rPr>
                <w:szCs w:val="22"/>
              </w:rPr>
            </w:pPr>
            <w:r>
              <w:rPr>
                <w:szCs w:val="22"/>
              </w:rPr>
              <w:t>923 390</w:t>
            </w:r>
          </w:p>
        </w:tc>
        <w:tc>
          <w:tcPr>
            <w:tcW w:w="1690" w:type="dxa"/>
            <w:tcBorders>
              <w:top w:val="nil"/>
              <w:left w:val="single" w:sz="4" w:space="0" w:color="auto"/>
              <w:right w:val="single" w:sz="4" w:space="0" w:color="auto"/>
            </w:tcBorders>
          </w:tcPr>
          <w:p w:rsidR="00000000" w:rsidRDefault="00000000">
            <w:pPr>
              <w:pStyle w:val="aa"/>
              <w:jc w:val="center"/>
              <w:rPr>
                <w:szCs w:val="22"/>
              </w:rPr>
            </w:pPr>
            <w:r>
              <w:rPr>
                <w:szCs w:val="22"/>
              </w:rPr>
              <w:t>18.05</w:t>
            </w:r>
          </w:p>
        </w:tc>
        <w:tc>
          <w:tcPr>
            <w:tcW w:w="1430" w:type="dxa"/>
            <w:tcBorders>
              <w:top w:val="nil"/>
              <w:left w:val="single" w:sz="4" w:space="0" w:color="auto"/>
              <w:right w:val="single" w:sz="4" w:space="0" w:color="auto"/>
            </w:tcBorders>
          </w:tcPr>
          <w:p w:rsidR="00000000" w:rsidRDefault="00000000">
            <w:pPr>
              <w:pStyle w:val="aa"/>
              <w:jc w:val="center"/>
              <w:rPr>
                <w:szCs w:val="22"/>
              </w:rPr>
            </w:pPr>
            <w:r>
              <w:rPr>
                <w:szCs w:val="22"/>
              </w:rPr>
              <w:t>14.9</w:t>
            </w:r>
          </w:p>
        </w:tc>
        <w:tc>
          <w:tcPr>
            <w:tcW w:w="1856" w:type="dxa"/>
            <w:tcBorders>
              <w:top w:val="nil"/>
              <w:left w:val="single" w:sz="4" w:space="0" w:color="auto"/>
            </w:tcBorders>
          </w:tcPr>
          <w:p w:rsidR="00000000" w:rsidRDefault="00000000">
            <w:pPr>
              <w:pStyle w:val="aa"/>
              <w:jc w:val="center"/>
              <w:rPr>
                <w:szCs w:val="22"/>
              </w:rPr>
            </w:pPr>
            <w:r>
              <w:rPr>
                <w:szCs w:val="22"/>
              </w:rPr>
              <w:t>2 335</w:t>
            </w:r>
          </w:p>
        </w:tc>
      </w:tr>
    </w:tbl>
    <w:p w:rsidR="00000000" w:rsidRDefault="00000000">
      <w:pPr>
        <w:spacing w:before="160"/>
        <w:ind w:left="510"/>
        <w:rPr>
          <w:rFonts w:eastAsia="KaiTi_GB2312"/>
          <w:snapToGrid/>
          <w:spacing w:val="0"/>
          <w:sz w:val="21"/>
          <w:szCs w:val="26"/>
        </w:rPr>
      </w:pPr>
      <w:r>
        <w:rPr>
          <w:rFonts w:eastAsia="KaiTi_GB2312" w:hint="eastAsia"/>
          <w:snapToGrid/>
          <w:spacing w:val="0"/>
          <w:sz w:val="21"/>
          <w:szCs w:val="26"/>
          <w:u w:val="single"/>
        </w:rPr>
        <w:t>资料来源</w:t>
      </w:r>
      <w:r>
        <w:rPr>
          <w:rFonts w:eastAsia="KaiTi_GB2312"/>
          <w:snapToGrid/>
          <w:spacing w:val="0"/>
          <w:sz w:val="21"/>
          <w:szCs w:val="26"/>
        </w:rPr>
        <w:t>：</w:t>
      </w:r>
      <w:r>
        <w:rPr>
          <w:rFonts w:eastAsia="KaiTi_GB2312" w:hint="eastAsia"/>
          <w:snapToGrid/>
          <w:spacing w:val="0"/>
          <w:sz w:val="21"/>
          <w:szCs w:val="26"/>
        </w:rPr>
        <w:t>劳动和社会事务部。</w:t>
      </w:r>
    </w:p>
    <w:p w:rsidR="00000000" w:rsidRDefault="00000000">
      <w:pPr>
        <w:tabs>
          <w:tab w:val="left" w:pos="1560"/>
        </w:tabs>
        <w:spacing w:after="320"/>
        <w:ind w:left="510" w:firstLine="790"/>
        <w:rPr>
          <w:rFonts w:eastAsia="KaiTi_GB2312"/>
          <w:snapToGrid/>
          <w:spacing w:val="0"/>
          <w:sz w:val="21"/>
          <w:szCs w:val="26"/>
        </w:rPr>
      </w:pPr>
      <w:r>
        <w:rPr>
          <w:rFonts w:eastAsia="KaiTi_GB2312"/>
          <w:snapToGrid/>
          <w:spacing w:val="0"/>
          <w:sz w:val="21"/>
          <w:szCs w:val="26"/>
        </w:rPr>
        <w:t>a</w:t>
      </w:r>
      <w:r>
        <w:rPr>
          <w:rFonts w:eastAsia="KaiTi_GB2312" w:hint="eastAsia"/>
          <w:snapToGrid/>
          <w:spacing w:val="0"/>
          <w:sz w:val="21"/>
          <w:szCs w:val="26"/>
        </w:rPr>
        <w:tab/>
      </w:r>
      <w:r>
        <w:rPr>
          <w:rFonts w:eastAsia="KaiTi_GB2312" w:hint="eastAsia"/>
          <w:snapToGrid/>
          <w:spacing w:val="0"/>
          <w:sz w:val="21"/>
          <w:szCs w:val="26"/>
        </w:rPr>
        <w:t>积极就业政策所包括的求职者在求职者平均人数中所占的比例。</w:t>
      </w:r>
    </w:p>
    <w:p w:rsidR="00000000" w:rsidRDefault="00000000">
      <w:pPr>
        <w:rPr>
          <w:snapToGrid/>
          <w:szCs w:val="24"/>
        </w:rPr>
      </w:pPr>
      <w:r>
        <w:rPr>
          <w:snapToGrid/>
          <w:szCs w:val="26"/>
        </w:rPr>
        <w:tab/>
        <w:t xml:space="preserve">244.  </w:t>
      </w:r>
      <w:r>
        <w:rPr>
          <w:rFonts w:hint="eastAsia"/>
          <w:snapToGrid/>
          <w:szCs w:val="26"/>
        </w:rPr>
        <w:t>《国家就业计划》的目标是从消极就业政策转向积极就业政策，力求防止高危险事件，消除就业法规中的系统缺陷。</w:t>
      </w:r>
      <w:r>
        <w:rPr>
          <w:rFonts w:hint="eastAsia"/>
          <w:snapToGrid/>
          <w:szCs w:val="26"/>
        </w:rPr>
        <w:t>1999</w:t>
      </w:r>
      <w:r>
        <w:rPr>
          <w:rFonts w:hint="eastAsia"/>
          <w:snapToGrid/>
          <w:szCs w:val="26"/>
        </w:rPr>
        <w:t>年《国家预算法》</w:t>
      </w:r>
      <w:r>
        <w:rPr>
          <w:rStyle w:val="EndnoteReference"/>
          <w:snapToGrid/>
        </w:rPr>
        <w:endnoteReference w:id="149"/>
      </w:r>
      <w:r>
        <w:rPr>
          <w:rFonts w:hint="eastAsia"/>
          <w:snapToGrid/>
          <w:szCs w:val="26"/>
        </w:rPr>
        <w:t xml:space="preserve">  </w:t>
      </w:r>
      <w:r>
        <w:rPr>
          <w:rFonts w:hint="eastAsia"/>
          <w:snapToGrid/>
          <w:szCs w:val="26"/>
        </w:rPr>
        <w:t>从</w:t>
      </w:r>
      <w:r>
        <w:rPr>
          <w:rFonts w:hint="eastAsia"/>
          <w:snapToGrid/>
          <w:szCs w:val="26"/>
        </w:rPr>
        <w:t>1999</w:t>
      </w:r>
      <w:r>
        <w:rPr>
          <w:rFonts w:hint="eastAsia"/>
          <w:snapToGrid/>
          <w:szCs w:val="24"/>
        </w:rPr>
        <w:t>年捷克共和国预算中为国家就业政策拨款</w:t>
      </w:r>
      <w:r>
        <w:rPr>
          <w:snapToGrid/>
          <w:szCs w:val="24"/>
        </w:rPr>
        <w:t>7,464,645,000</w:t>
      </w:r>
      <w:r>
        <w:rPr>
          <w:rFonts w:hint="eastAsia"/>
          <w:snapToGrid/>
          <w:szCs w:val="24"/>
        </w:rPr>
        <w:t>捷克克朗</w:t>
      </w:r>
      <w:r>
        <w:rPr>
          <w:snapToGrid/>
          <w:szCs w:val="24"/>
        </w:rPr>
        <w:t>，</w:t>
      </w:r>
      <w:r>
        <w:rPr>
          <w:rFonts w:hint="eastAsia"/>
          <w:snapToGrid/>
          <w:szCs w:val="24"/>
        </w:rPr>
        <w:t>为积极就业政策拨款</w:t>
      </w:r>
      <w:r>
        <w:rPr>
          <w:snapToGrid/>
          <w:szCs w:val="24"/>
        </w:rPr>
        <w:t>1,445,936,000</w:t>
      </w:r>
      <w:r>
        <w:rPr>
          <w:rFonts w:hint="eastAsia"/>
          <w:snapToGrid/>
          <w:szCs w:val="24"/>
        </w:rPr>
        <w:t>捷克克朗</w:t>
      </w:r>
      <w:r>
        <w:rPr>
          <w:snapToGrid/>
          <w:szCs w:val="24"/>
        </w:rPr>
        <w:t>，</w:t>
      </w:r>
      <w:r>
        <w:rPr>
          <w:rFonts w:hint="eastAsia"/>
          <w:snapToGrid/>
          <w:szCs w:val="24"/>
        </w:rPr>
        <w:t>占就业政策总支出的</w:t>
      </w:r>
      <w:r>
        <w:rPr>
          <w:snapToGrid/>
          <w:szCs w:val="24"/>
        </w:rPr>
        <w:t>19.4%</w:t>
      </w:r>
      <w:r>
        <w:rPr>
          <w:rFonts w:hint="eastAsia"/>
          <w:snapToGrid/>
          <w:szCs w:val="24"/>
        </w:rPr>
        <w:t>。</w:t>
      </w:r>
    </w:p>
    <w:p w:rsidR="00000000" w:rsidRDefault="00000000">
      <w:pPr>
        <w:rPr>
          <w:rFonts w:hint="eastAsia"/>
          <w:snapToGrid/>
          <w:szCs w:val="24"/>
        </w:rPr>
      </w:pPr>
      <w:r>
        <w:rPr>
          <w:rFonts w:hint="eastAsia"/>
          <w:snapToGrid/>
          <w:szCs w:val="24"/>
        </w:rPr>
        <w:tab/>
        <w:t xml:space="preserve">245.  </w:t>
      </w:r>
      <w:r>
        <w:rPr>
          <w:rFonts w:hint="eastAsia"/>
          <w:snapToGrid/>
          <w:szCs w:val="24"/>
        </w:rPr>
        <w:t>根据关于采取紧急措施解决劳动力市场问题的政府决议，</w:t>
      </w:r>
      <w:r>
        <w:rPr>
          <w:rStyle w:val="EndnoteReference"/>
          <w:snapToGrid/>
        </w:rPr>
        <w:endnoteReference w:id="150"/>
      </w:r>
      <w:r>
        <w:rPr>
          <w:rFonts w:hint="eastAsia"/>
          <w:snapToGrid/>
          <w:szCs w:val="24"/>
        </w:rPr>
        <w:t xml:space="preserve">  </w:t>
      </w:r>
      <w:r>
        <w:rPr>
          <w:snapToGrid/>
          <w:szCs w:val="24"/>
        </w:rPr>
        <w:t>l999</w:t>
      </w:r>
      <w:r>
        <w:rPr>
          <w:rFonts w:hint="eastAsia"/>
          <w:snapToGrid/>
          <w:szCs w:val="24"/>
        </w:rPr>
        <w:t>年</w:t>
      </w:r>
      <w:r>
        <w:rPr>
          <w:snapToGrid/>
          <w:szCs w:val="24"/>
        </w:rPr>
        <w:t>，</w:t>
      </w:r>
      <w:r>
        <w:rPr>
          <w:rFonts w:hint="eastAsia"/>
          <w:snapToGrid/>
          <w:szCs w:val="24"/>
        </w:rPr>
        <w:t>与原计划相比积极就业政策预算增加</w:t>
      </w:r>
      <w:r>
        <w:rPr>
          <w:snapToGrid/>
          <w:szCs w:val="24"/>
        </w:rPr>
        <w:t>5.5</w:t>
      </w:r>
      <w:r>
        <w:rPr>
          <w:rFonts w:hint="eastAsia"/>
          <w:snapToGrid/>
          <w:szCs w:val="24"/>
        </w:rPr>
        <w:t>亿捷克克朗</w:t>
      </w:r>
      <w:r>
        <w:rPr>
          <w:snapToGrid/>
          <w:szCs w:val="24"/>
        </w:rPr>
        <w:t>，</w:t>
      </w:r>
      <w:r>
        <w:rPr>
          <w:rFonts w:hint="eastAsia"/>
          <w:snapToGrid/>
          <w:szCs w:val="24"/>
        </w:rPr>
        <w:t>其中</w:t>
      </w:r>
      <w:r>
        <w:rPr>
          <w:snapToGrid/>
          <w:szCs w:val="24"/>
        </w:rPr>
        <w:t>2</w:t>
      </w:r>
      <w:r>
        <w:rPr>
          <w:rFonts w:hint="eastAsia"/>
          <w:snapToGrid/>
          <w:szCs w:val="24"/>
        </w:rPr>
        <w:t>亿捷克克朗用于鼓励投资。其中部分数额</w:t>
      </w:r>
      <w:r>
        <w:rPr>
          <w:snapToGrid/>
          <w:szCs w:val="24"/>
        </w:rPr>
        <w:t>，</w:t>
      </w:r>
      <w:r>
        <w:rPr>
          <w:rFonts w:hint="eastAsia"/>
          <w:snapToGrid/>
          <w:szCs w:val="24"/>
        </w:rPr>
        <w:t>即</w:t>
      </w:r>
      <w:r>
        <w:rPr>
          <w:rFonts w:hint="eastAsia"/>
          <w:snapToGrid/>
          <w:szCs w:val="24"/>
        </w:rPr>
        <w:t>1.7</w:t>
      </w:r>
      <w:r>
        <w:rPr>
          <w:rFonts w:hint="eastAsia"/>
          <w:snapToGrid/>
          <w:szCs w:val="24"/>
        </w:rPr>
        <w:t>亿捷克克朗是从消极就业政策资金中转过去的。经过这些调整后</w:t>
      </w:r>
      <w:r>
        <w:rPr>
          <w:snapToGrid/>
          <w:szCs w:val="24"/>
        </w:rPr>
        <w:t>，</w:t>
      </w:r>
      <w:r>
        <w:rPr>
          <w:snapToGrid/>
          <w:szCs w:val="24"/>
        </w:rPr>
        <w:t>1999</w:t>
      </w:r>
      <w:r>
        <w:rPr>
          <w:rFonts w:hint="eastAsia"/>
          <w:snapToGrid/>
          <w:szCs w:val="24"/>
        </w:rPr>
        <w:t>年国家就业政策预算总额为</w:t>
      </w:r>
      <w:r>
        <w:rPr>
          <w:snapToGrid/>
          <w:szCs w:val="24"/>
        </w:rPr>
        <w:t>7,844,645.000</w:t>
      </w:r>
      <w:r>
        <w:rPr>
          <w:rFonts w:hint="eastAsia"/>
          <w:snapToGrid/>
          <w:szCs w:val="24"/>
        </w:rPr>
        <w:t>捷克克朗</w:t>
      </w:r>
      <w:r>
        <w:rPr>
          <w:snapToGrid/>
          <w:szCs w:val="24"/>
        </w:rPr>
        <w:t>，</w:t>
      </w:r>
      <w:r>
        <w:rPr>
          <w:rFonts w:hint="eastAsia"/>
          <w:snapToGrid/>
          <w:szCs w:val="24"/>
        </w:rPr>
        <w:t>积极就业政策为</w:t>
      </w:r>
      <w:r>
        <w:rPr>
          <w:snapToGrid/>
          <w:szCs w:val="24"/>
        </w:rPr>
        <w:t>1,992,936,000</w:t>
      </w:r>
      <w:r>
        <w:rPr>
          <w:rFonts w:hint="eastAsia"/>
          <w:snapToGrid/>
          <w:szCs w:val="24"/>
        </w:rPr>
        <w:t>捷克克朗</w:t>
      </w:r>
      <w:r>
        <w:rPr>
          <w:snapToGrid/>
          <w:szCs w:val="24"/>
        </w:rPr>
        <w:t>，</w:t>
      </w:r>
      <w:r>
        <w:rPr>
          <w:rFonts w:hint="eastAsia"/>
          <w:snapToGrid/>
          <w:szCs w:val="24"/>
        </w:rPr>
        <w:t>消极就业政策为</w:t>
      </w:r>
      <w:r>
        <w:rPr>
          <w:snapToGrid/>
          <w:szCs w:val="24"/>
        </w:rPr>
        <w:t>5,851,709,000</w:t>
      </w:r>
      <w:r>
        <w:rPr>
          <w:rFonts w:hint="eastAsia"/>
          <w:snapToGrid/>
          <w:szCs w:val="24"/>
        </w:rPr>
        <w:t>捷克克朗</w:t>
      </w:r>
      <w:r>
        <w:rPr>
          <w:snapToGrid/>
          <w:szCs w:val="24"/>
        </w:rPr>
        <w:t>，</w:t>
      </w:r>
      <w:r>
        <w:rPr>
          <w:rFonts w:hint="eastAsia"/>
          <w:snapToGrid/>
          <w:szCs w:val="24"/>
        </w:rPr>
        <w:t>对积极就业政策的拨款占就业政策预算总额的</w:t>
      </w:r>
      <w:r>
        <w:rPr>
          <w:snapToGrid/>
          <w:szCs w:val="24"/>
        </w:rPr>
        <w:t>25.4%</w:t>
      </w:r>
      <w:r>
        <w:rPr>
          <w:rFonts w:hint="eastAsia"/>
          <w:snapToGrid/>
          <w:szCs w:val="24"/>
        </w:rPr>
        <w:t>。</w:t>
      </w:r>
    </w:p>
    <w:p w:rsidR="00000000" w:rsidRDefault="00000000">
      <w:pPr>
        <w:rPr>
          <w:snapToGrid/>
          <w:szCs w:val="24"/>
        </w:rPr>
      </w:pPr>
      <w:r>
        <w:rPr>
          <w:rFonts w:hint="eastAsia"/>
          <w:snapToGrid/>
          <w:szCs w:val="24"/>
        </w:rPr>
        <w:tab/>
      </w:r>
      <w:r>
        <w:rPr>
          <w:snapToGrid/>
          <w:szCs w:val="24"/>
        </w:rPr>
        <w:t xml:space="preserve">246.  </w:t>
      </w:r>
      <w:r>
        <w:rPr>
          <w:rFonts w:hint="eastAsia"/>
          <w:snapToGrid/>
          <w:szCs w:val="24"/>
        </w:rPr>
        <w:t>经济社会协议理事会在就业政策中发挥了重要作用。该理事会“是一个由捷克共和国工会、雇主和政府联合组织的进行自愿谈判和采取主动行动的机构</w:t>
      </w:r>
      <w:r>
        <w:rPr>
          <w:snapToGrid/>
          <w:szCs w:val="24"/>
        </w:rPr>
        <w:t>，</w:t>
      </w:r>
      <w:r>
        <w:rPr>
          <w:rFonts w:hint="eastAsia"/>
          <w:snapToGrid/>
          <w:szCs w:val="24"/>
        </w:rPr>
        <w:t>通过三方谈判就基本的经济社会发展问题达成协议。”</w:t>
      </w:r>
      <w:r>
        <w:rPr>
          <w:rStyle w:val="EndnoteReference"/>
          <w:snapToGrid/>
        </w:rPr>
        <w:endnoteReference w:id="151"/>
      </w:r>
      <w:r>
        <w:rPr>
          <w:rFonts w:hint="eastAsia"/>
          <w:snapToGrid/>
          <w:szCs w:val="24"/>
        </w:rPr>
        <w:t xml:space="preserve">  </w:t>
      </w:r>
      <w:r>
        <w:rPr>
          <w:rFonts w:hint="eastAsia"/>
          <w:snapToGrid/>
          <w:szCs w:val="24"/>
        </w:rPr>
        <w:t>它讨论一些共同关心的问题</w:t>
      </w:r>
      <w:r>
        <w:rPr>
          <w:snapToGrid/>
          <w:szCs w:val="24"/>
        </w:rPr>
        <w:t>，</w:t>
      </w:r>
      <w:r>
        <w:rPr>
          <w:rFonts w:hint="eastAsia"/>
          <w:snapToGrid/>
          <w:szCs w:val="24"/>
        </w:rPr>
        <w:t>特别是经济政策、劳动法律关系、集体谈判和就业、社会问题和工资及薪金问题等。还讨论非制造业领域的共同关心问题、工作安全以及捷克共和国加入欧洲联盟等问题。</w:t>
      </w:r>
    </w:p>
    <w:p w:rsidR="00000000" w:rsidRDefault="00000000">
      <w:pPr>
        <w:rPr>
          <w:rFonts w:hint="eastAsia"/>
          <w:snapToGrid/>
          <w:szCs w:val="24"/>
        </w:rPr>
      </w:pPr>
      <w:r>
        <w:rPr>
          <w:rFonts w:hint="eastAsia"/>
          <w:snapToGrid/>
          <w:szCs w:val="24"/>
        </w:rPr>
        <w:tab/>
      </w:r>
      <w:r>
        <w:rPr>
          <w:snapToGrid/>
          <w:szCs w:val="24"/>
        </w:rPr>
        <w:t xml:space="preserve">247.  </w:t>
      </w:r>
      <w:r>
        <w:rPr>
          <w:rFonts w:hint="eastAsia"/>
          <w:snapToGrid/>
          <w:szCs w:val="24"/>
        </w:rPr>
        <w:t>在捷克共和国</w:t>
      </w:r>
      <w:r>
        <w:rPr>
          <w:snapToGrid/>
          <w:szCs w:val="24"/>
        </w:rPr>
        <w:t>，</w:t>
      </w:r>
      <w:r>
        <w:rPr>
          <w:rFonts w:hint="eastAsia"/>
          <w:snapToGrid/>
          <w:szCs w:val="24"/>
        </w:rPr>
        <w:t>拥有第二份</w:t>
      </w:r>
      <w:r>
        <w:rPr>
          <w:snapToGrid/>
          <w:szCs w:val="24"/>
        </w:rPr>
        <w:t>(</w:t>
      </w:r>
      <w:r>
        <w:rPr>
          <w:rFonts w:hint="eastAsia"/>
          <w:snapToGrid/>
          <w:szCs w:val="24"/>
        </w:rPr>
        <w:t>主要工作以外的</w:t>
      </w:r>
      <w:r>
        <w:rPr>
          <w:rFonts w:hint="eastAsia"/>
          <w:snapToGrid/>
          <w:szCs w:val="24"/>
        </w:rPr>
        <w:t>)</w:t>
      </w:r>
      <w:r>
        <w:rPr>
          <w:rFonts w:hint="eastAsia"/>
          <w:snapToGrid/>
          <w:szCs w:val="24"/>
        </w:rPr>
        <w:t>工作的人不多。一般而言</w:t>
      </w:r>
      <w:r>
        <w:rPr>
          <w:snapToGrid/>
          <w:szCs w:val="24"/>
        </w:rPr>
        <w:t>，</w:t>
      </w:r>
      <w:r>
        <w:rPr>
          <w:rFonts w:hint="eastAsia"/>
          <w:snapToGrid/>
          <w:szCs w:val="24"/>
        </w:rPr>
        <w:t>不需要一份以上的工作来扶养家庭</w:t>
      </w:r>
      <w:r>
        <w:rPr>
          <w:snapToGrid/>
          <w:szCs w:val="24"/>
        </w:rPr>
        <w:t>，</w:t>
      </w:r>
      <w:r>
        <w:rPr>
          <w:rFonts w:hint="eastAsia"/>
          <w:snapToGrid/>
          <w:szCs w:val="24"/>
        </w:rPr>
        <w:t>保证全家过上适当水准的生活。在多数捷克家庭</w:t>
      </w:r>
      <w:r>
        <w:rPr>
          <w:snapToGrid/>
          <w:szCs w:val="24"/>
        </w:rPr>
        <w:t>，</w:t>
      </w:r>
      <w:r>
        <w:rPr>
          <w:rFonts w:hint="eastAsia"/>
          <w:snapToGrid/>
          <w:szCs w:val="24"/>
        </w:rPr>
        <w:t>夫妻双方都工作</w:t>
      </w:r>
      <w:r>
        <w:rPr>
          <w:snapToGrid/>
          <w:szCs w:val="24"/>
        </w:rPr>
        <w:t>(</w:t>
      </w:r>
      <w:r>
        <w:rPr>
          <w:rFonts w:hint="eastAsia"/>
          <w:snapToGrid/>
          <w:szCs w:val="24"/>
        </w:rPr>
        <w:t>请注意捷克共和国妇女工作的比率很高</w:t>
      </w:r>
      <w:r>
        <w:rPr>
          <w:rFonts w:hint="eastAsia"/>
          <w:snapToGrid/>
          <w:szCs w:val="24"/>
        </w:rPr>
        <w:t>)</w:t>
      </w:r>
      <w:r>
        <w:rPr>
          <w:rFonts w:hint="eastAsia"/>
          <w:snapToGrid/>
          <w:szCs w:val="24"/>
        </w:rPr>
        <w:t>。</w:t>
      </w:r>
      <w:r>
        <w:rPr>
          <w:snapToGrid/>
          <w:szCs w:val="24"/>
        </w:rPr>
        <w:t>1996</w:t>
      </w:r>
      <w:r>
        <w:rPr>
          <w:rFonts w:hint="eastAsia"/>
          <w:snapToGrid/>
          <w:szCs w:val="24"/>
        </w:rPr>
        <w:t>年</w:t>
      </w:r>
      <w:r>
        <w:rPr>
          <w:snapToGrid/>
          <w:szCs w:val="24"/>
        </w:rPr>
        <w:t>，</w:t>
      </w:r>
      <w:r>
        <w:rPr>
          <w:snapToGrid/>
          <w:spacing w:val="8"/>
          <w:szCs w:val="24"/>
        </w:rPr>
        <w:t>197,500</w:t>
      </w:r>
      <w:r>
        <w:rPr>
          <w:rFonts w:hint="eastAsia"/>
          <w:snapToGrid/>
          <w:spacing w:val="8"/>
          <w:szCs w:val="24"/>
        </w:rPr>
        <w:t>人有第二份工作</w:t>
      </w:r>
      <w:r>
        <w:rPr>
          <w:snapToGrid/>
          <w:spacing w:val="8"/>
          <w:szCs w:val="24"/>
        </w:rPr>
        <w:t>，</w:t>
      </w:r>
      <w:r>
        <w:rPr>
          <w:snapToGrid/>
          <w:spacing w:val="8"/>
          <w:szCs w:val="24"/>
        </w:rPr>
        <w:t>1997</w:t>
      </w:r>
      <w:r>
        <w:rPr>
          <w:rFonts w:hint="eastAsia"/>
          <w:snapToGrid/>
          <w:spacing w:val="8"/>
          <w:szCs w:val="24"/>
        </w:rPr>
        <w:t>年为</w:t>
      </w:r>
      <w:r>
        <w:rPr>
          <w:snapToGrid/>
          <w:spacing w:val="8"/>
          <w:szCs w:val="24"/>
        </w:rPr>
        <w:t>169,700</w:t>
      </w:r>
      <w:r>
        <w:rPr>
          <w:rFonts w:hint="eastAsia"/>
          <w:snapToGrid/>
          <w:spacing w:val="8"/>
          <w:szCs w:val="24"/>
        </w:rPr>
        <w:t>人</w:t>
      </w:r>
      <w:r>
        <w:rPr>
          <w:snapToGrid/>
          <w:spacing w:val="8"/>
          <w:szCs w:val="24"/>
        </w:rPr>
        <w:t>，</w:t>
      </w:r>
      <w:r>
        <w:rPr>
          <w:snapToGrid/>
          <w:spacing w:val="8"/>
          <w:szCs w:val="24"/>
        </w:rPr>
        <w:t>l998</w:t>
      </w:r>
      <w:r>
        <w:rPr>
          <w:rFonts w:hint="eastAsia"/>
          <w:snapToGrid/>
          <w:spacing w:val="8"/>
          <w:szCs w:val="24"/>
        </w:rPr>
        <w:t>年为</w:t>
      </w:r>
      <w:r>
        <w:rPr>
          <w:snapToGrid/>
          <w:spacing w:val="8"/>
          <w:szCs w:val="24"/>
        </w:rPr>
        <w:t>153,500</w:t>
      </w:r>
      <w:r>
        <w:rPr>
          <w:rFonts w:hint="eastAsia"/>
          <w:snapToGrid/>
          <w:spacing w:val="8"/>
          <w:szCs w:val="24"/>
        </w:rPr>
        <w:t>人。兼职就业关系和第二份工作的活动在《劳动法》第</w:t>
      </w:r>
      <w:r>
        <w:rPr>
          <w:snapToGrid/>
          <w:spacing w:val="8"/>
          <w:szCs w:val="24"/>
        </w:rPr>
        <w:t>69</w:t>
      </w:r>
      <w:r>
        <w:rPr>
          <w:rFonts w:hint="eastAsia"/>
          <w:snapToGrid/>
          <w:spacing w:val="8"/>
          <w:szCs w:val="24"/>
        </w:rPr>
        <w:t>－</w:t>
      </w:r>
      <w:r>
        <w:rPr>
          <w:snapToGrid/>
          <w:spacing w:val="8"/>
          <w:szCs w:val="24"/>
        </w:rPr>
        <w:t>71</w:t>
      </w:r>
      <w:r>
        <w:rPr>
          <w:rFonts w:hint="eastAsia"/>
          <w:snapToGrid/>
          <w:spacing w:val="8"/>
          <w:szCs w:val="24"/>
        </w:rPr>
        <w:t>条中做出规定。如果雇员订立几份就业关系</w:t>
      </w:r>
      <w:r>
        <w:rPr>
          <w:snapToGrid/>
          <w:spacing w:val="8"/>
          <w:szCs w:val="24"/>
        </w:rPr>
        <w:t>，</w:t>
      </w:r>
      <w:r>
        <w:rPr>
          <w:rFonts w:hint="eastAsia"/>
          <w:snapToGrid/>
          <w:spacing w:val="8"/>
          <w:szCs w:val="24"/>
        </w:rPr>
        <w:t>那么对这些就业关系的权利和义务将分别评价，除非法律另有规定。</w:t>
      </w:r>
    </w:p>
    <w:p w:rsidR="00000000" w:rsidRDefault="00000000">
      <w:pPr>
        <w:rPr>
          <w:rFonts w:hint="eastAsia"/>
          <w:snapToGrid/>
          <w:szCs w:val="24"/>
        </w:rPr>
      </w:pPr>
      <w:r>
        <w:rPr>
          <w:rFonts w:hint="eastAsia"/>
          <w:snapToGrid/>
          <w:szCs w:val="24"/>
        </w:rPr>
        <w:tab/>
      </w:r>
      <w:r>
        <w:rPr>
          <w:snapToGrid/>
          <w:szCs w:val="24"/>
        </w:rPr>
        <w:t xml:space="preserve">248.  </w:t>
      </w:r>
      <w:r>
        <w:rPr>
          <w:rFonts w:hint="eastAsia"/>
          <w:snapToGrid/>
          <w:szCs w:val="24"/>
        </w:rPr>
        <w:t>可以在每周指定工作时间外安排较短时间从事第二份工作。未成年雇员不能订立第二份就业关系。雇员和雇主之间发出终止就业关系通知的时间也短</w:t>
      </w:r>
      <w:r>
        <w:rPr>
          <w:rFonts w:hint="eastAsia"/>
          <w:snapToGrid/>
          <w:szCs w:val="24"/>
        </w:rPr>
        <w:t>(</w:t>
      </w:r>
      <w:r>
        <w:rPr>
          <w:snapToGrid/>
          <w:szCs w:val="24"/>
        </w:rPr>
        <w:t>15</w:t>
      </w:r>
      <w:r>
        <w:rPr>
          <w:rFonts w:hint="eastAsia"/>
          <w:snapToGrid/>
          <w:szCs w:val="24"/>
        </w:rPr>
        <w:t>天</w:t>
      </w:r>
      <w:r>
        <w:rPr>
          <w:rFonts w:hint="eastAsia"/>
          <w:snapToGrid/>
          <w:szCs w:val="24"/>
        </w:rPr>
        <w:t>)</w:t>
      </w:r>
      <w:r>
        <w:rPr>
          <w:rFonts w:hint="eastAsia"/>
          <w:snapToGrid/>
          <w:szCs w:val="24"/>
        </w:rPr>
        <w:t>。此外</w:t>
      </w:r>
      <w:r>
        <w:rPr>
          <w:snapToGrid/>
          <w:szCs w:val="24"/>
        </w:rPr>
        <w:t>，</w:t>
      </w:r>
      <w:r>
        <w:rPr>
          <w:rFonts w:hint="eastAsia"/>
          <w:snapToGrid/>
          <w:szCs w:val="24"/>
        </w:rPr>
        <w:t>雇员可以根据另一份就业关系合同或安排</w:t>
      </w:r>
      <w:r>
        <w:rPr>
          <w:snapToGrid/>
          <w:szCs w:val="24"/>
        </w:rPr>
        <w:t>，</w:t>
      </w:r>
      <w:r>
        <w:rPr>
          <w:rFonts w:hint="eastAsia"/>
          <w:snapToGrid/>
          <w:szCs w:val="24"/>
        </w:rPr>
        <w:t>为与之建立第一份就业关系的雇主从事所谓的“次要活动”。这一活动是指与就业合同议定的工作不同、可在指定工作时间以外完成的工作。第二份</w:t>
      </w:r>
      <w:r>
        <w:rPr>
          <w:rFonts w:hint="eastAsia"/>
          <w:snapToGrid/>
          <w:szCs w:val="24"/>
        </w:rPr>
        <w:t>(</w:t>
      </w:r>
      <w:r>
        <w:rPr>
          <w:rFonts w:hint="eastAsia"/>
          <w:snapToGrid/>
          <w:szCs w:val="24"/>
        </w:rPr>
        <w:t>主要工作以外的</w:t>
      </w:r>
      <w:r>
        <w:rPr>
          <w:rFonts w:hint="eastAsia"/>
          <w:snapToGrid/>
          <w:szCs w:val="24"/>
        </w:rPr>
        <w:t>)</w:t>
      </w:r>
      <w:r>
        <w:rPr>
          <w:rFonts w:hint="eastAsia"/>
          <w:snapToGrid/>
          <w:szCs w:val="24"/>
        </w:rPr>
        <w:t>工作可以是根据《营业许可证法》营业许可从事的工作。</w:t>
      </w:r>
    </w:p>
    <w:p w:rsidR="00000000" w:rsidRDefault="00000000">
      <w:pPr>
        <w:spacing w:after="320"/>
        <w:rPr>
          <w:snapToGrid/>
          <w:szCs w:val="26"/>
        </w:rPr>
      </w:pPr>
      <w:r>
        <w:rPr>
          <w:rFonts w:hint="eastAsia"/>
          <w:snapToGrid/>
          <w:szCs w:val="24"/>
        </w:rPr>
        <w:tab/>
        <w:t>249.  1998</w:t>
      </w:r>
      <w:r>
        <w:rPr>
          <w:rFonts w:hint="eastAsia"/>
          <w:snapToGrid/>
          <w:szCs w:val="24"/>
        </w:rPr>
        <w:t>年，拥有一份以上工作的人员在民用部门为</w:t>
      </w:r>
      <w:r>
        <w:rPr>
          <w:rFonts w:hint="eastAsia"/>
          <w:snapToGrid/>
          <w:szCs w:val="24"/>
        </w:rPr>
        <w:t>3.2%</w:t>
      </w:r>
      <w:r>
        <w:rPr>
          <w:rFonts w:hint="eastAsia"/>
          <w:snapToGrid/>
          <w:szCs w:val="24"/>
        </w:rPr>
        <w:t>，男人中有</w:t>
      </w:r>
      <w:r>
        <w:rPr>
          <w:rFonts w:hint="eastAsia"/>
          <w:snapToGrid/>
          <w:szCs w:val="24"/>
        </w:rPr>
        <w:t>3.7%</w:t>
      </w:r>
      <w:r>
        <w:rPr>
          <w:rFonts w:hint="eastAsia"/>
          <w:snapToGrid/>
          <w:szCs w:val="24"/>
        </w:rPr>
        <w:t>，妇女中有</w:t>
      </w:r>
      <w:r>
        <w:rPr>
          <w:rFonts w:hint="eastAsia"/>
          <w:snapToGrid/>
          <w:szCs w:val="24"/>
        </w:rPr>
        <w:t>2.5%</w:t>
      </w:r>
      <w:r>
        <w:rPr>
          <w:rFonts w:hint="eastAsia"/>
          <w:snapToGrid/>
          <w:szCs w:val="24"/>
        </w:rPr>
        <w:t>。从事第二份工作的主要是</w:t>
      </w:r>
      <w:r>
        <w:rPr>
          <w:rFonts w:hint="eastAsia"/>
          <w:snapToGrid/>
          <w:szCs w:val="24"/>
        </w:rPr>
        <w:t>30</w:t>
      </w:r>
      <w:r>
        <w:rPr>
          <w:rFonts w:hint="eastAsia"/>
          <w:snapToGrid/>
          <w:szCs w:val="24"/>
        </w:rPr>
        <w:t>岁或以上的雇员。</w:t>
      </w:r>
      <w:r>
        <w:rPr>
          <w:snapToGrid/>
          <w:szCs w:val="26"/>
        </w:rPr>
        <w:t>(</w:t>
      </w:r>
      <w:r>
        <w:rPr>
          <w:rFonts w:hint="eastAsia"/>
          <w:snapToGrid/>
          <w:szCs w:val="26"/>
        </w:rPr>
        <w:t>最有代表性的年龄组为</w:t>
      </w:r>
      <w:r>
        <w:rPr>
          <w:snapToGrid/>
          <w:szCs w:val="26"/>
        </w:rPr>
        <w:t>45-49</w:t>
      </w:r>
      <w:r>
        <w:rPr>
          <w:rFonts w:hint="eastAsia"/>
          <w:snapToGrid/>
          <w:szCs w:val="26"/>
        </w:rPr>
        <w:t>岁</w:t>
      </w:r>
      <w:r>
        <w:rPr>
          <w:snapToGrid/>
          <w:szCs w:val="26"/>
        </w:rPr>
        <w:t>；</w:t>
      </w:r>
      <w:r>
        <w:rPr>
          <w:rFonts w:hint="eastAsia"/>
          <w:snapToGrid/>
          <w:szCs w:val="26"/>
        </w:rPr>
        <w:t>拥有第二份工作的人占</w:t>
      </w:r>
      <w:r>
        <w:rPr>
          <w:snapToGrid/>
          <w:szCs w:val="26"/>
        </w:rPr>
        <w:t>16.2%</w:t>
      </w:r>
      <w:r>
        <w:rPr>
          <w:rFonts w:hint="eastAsia"/>
          <w:snapToGrid/>
          <w:szCs w:val="26"/>
        </w:rPr>
        <w:t>)</w:t>
      </w:r>
      <w:r>
        <w:rPr>
          <w:rFonts w:hint="eastAsia"/>
          <w:snapToGrid/>
          <w:szCs w:val="26"/>
        </w:rPr>
        <w:t>和完成中级职业教育的人</w:t>
      </w:r>
      <w:r>
        <w:rPr>
          <w:rFonts w:hint="eastAsia"/>
          <w:snapToGrid/>
          <w:szCs w:val="26"/>
        </w:rPr>
        <w:t>(</w:t>
      </w:r>
      <w:r>
        <w:rPr>
          <w:rFonts w:hint="eastAsia"/>
          <w:snapToGrid/>
          <w:szCs w:val="26"/>
        </w:rPr>
        <w:t>三分之一以上拥有第二份工作</w:t>
      </w:r>
      <w:r>
        <w:rPr>
          <w:rFonts w:hint="eastAsia"/>
          <w:snapToGrid/>
          <w:szCs w:val="26"/>
        </w:rPr>
        <w:t>)</w:t>
      </w:r>
      <w:r>
        <w:rPr>
          <w:rFonts w:hint="eastAsia"/>
          <w:snapToGrid/>
          <w:szCs w:val="26"/>
        </w:rPr>
        <w:t>。拥有一份以上工作的人多数是技术、保健和教育工作者</w:t>
      </w:r>
      <w:r>
        <w:rPr>
          <w:snapToGrid/>
          <w:szCs w:val="26"/>
        </w:rPr>
        <w:t>(</w:t>
      </w:r>
      <w:r>
        <w:rPr>
          <w:rFonts w:hint="eastAsia"/>
          <w:snapToGrid/>
          <w:szCs w:val="26"/>
        </w:rPr>
        <w:t>占</w:t>
      </w:r>
      <w:r>
        <w:rPr>
          <w:snapToGrid/>
          <w:szCs w:val="26"/>
        </w:rPr>
        <w:t>24%</w:t>
      </w:r>
      <w:r>
        <w:rPr>
          <w:rFonts w:hint="eastAsia"/>
          <w:snapToGrid/>
          <w:szCs w:val="26"/>
        </w:rPr>
        <w:t>)</w:t>
      </w:r>
      <w:r>
        <w:rPr>
          <w:rFonts w:hint="eastAsia"/>
          <w:snapToGrid/>
          <w:szCs w:val="26"/>
        </w:rPr>
        <w:t>或科学或知识工作者</w:t>
      </w:r>
      <w:r>
        <w:rPr>
          <w:snapToGrid/>
          <w:szCs w:val="26"/>
        </w:rPr>
        <w:t>(</w:t>
      </w:r>
      <w:r>
        <w:rPr>
          <w:rFonts w:hint="eastAsia"/>
          <w:snapToGrid/>
          <w:szCs w:val="26"/>
        </w:rPr>
        <w:t>占</w:t>
      </w:r>
      <w:r>
        <w:rPr>
          <w:snapToGrid/>
          <w:szCs w:val="26"/>
        </w:rPr>
        <w:t>20%</w:t>
      </w:r>
      <w:r>
        <w:rPr>
          <w:rFonts w:hint="eastAsia"/>
          <w:snapToGrid/>
          <w:szCs w:val="26"/>
        </w:rPr>
        <w:t>)</w:t>
      </w:r>
      <w:r>
        <w:rPr>
          <w:rFonts w:hint="eastAsia"/>
          <w:snapToGrid/>
          <w:szCs w:val="26"/>
        </w:rPr>
        <w:t>。另一较大的拥有第二份工作的群体是体力劳动者和维修工人</w:t>
      </w:r>
      <w:r>
        <w:rPr>
          <w:rFonts w:hint="eastAsia"/>
          <w:snapToGrid/>
          <w:szCs w:val="26"/>
        </w:rPr>
        <w:t>(13%)</w:t>
      </w:r>
      <w:r>
        <w:rPr>
          <w:rFonts w:hint="eastAsia"/>
          <w:snapToGrid/>
          <w:szCs w:val="26"/>
        </w:rPr>
        <w:t>。布拉格</w:t>
      </w:r>
      <w:r>
        <w:rPr>
          <w:rFonts w:hint="eastAsia"/>
          <w:snapToGrid/>
          <w:szCs w:val="26"/>
        </w:rPr>
        <w:t>(</w:t>
      </w:r>
      <w:r>
        <w:rPr>
          <w:rFonts w:hint="eastAsia"/>
          <w:snapToGrid/>
          <w:szCs w:val="26"/>
        </w:rPr>
        <w:t>也是失业率最低、职工学历最高的城市</w:t>
      </w:r>
      <w:r>
        <w:rPr>
          <w:rFonts w:hint="eastAsia"/>
          <w:snapToGrid/>
          <w:szCs w:val="26"/>
        </w:rPr>
        <w:t>)</w:t>
      </w:r>
      <w:r>
        <w:rPr>
          <w:rFonts w:hint="eastAsia"/>
          <w:snapToGrid/>
          <w:szCs w:val="26"/>
        </w:rPr>
        <w:t>和摩拉维亚南部地区与其他地区相比拥有第二份工作的人更多。</w:t>
      </w:r>
    </w:p>
    <w:p w:rsidR="00000000" w:rsidRDefault="00000000">
      <w:pPr>
        <w:pStyle w:val="Heading3"/>
        <w:rPr>
          <w:rFonts w:hint="eastAsia"/>
        </w:rPr>
      </w:pPr>
      <w:r>
        <w:rPr>
          <w:b/>
        </w:rPr>
        <w:t>1998</w:t>
      </w:r>
      <w:r>
        <w:rPr>
          <w:rFonts w:hint="eastAsia"/>
        </w:rPr>
        <w:t>年民用部门拥有第二份工作的人数</w:t>
      </w:r>
    </w:p>
    <w:tbl>
      <w:tblPr>
        <w:tblW w:w="0" w:type="auto"/>
        <w:jc w:val="center"/>
        <w:tblInd w:w="36"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268"/>
        <w:gridCol w:w="1020"/>
        <w:gridCol w:w="1020"/>
        <w:gridCol w:w="1021"/>
        <w:gridCol w:w="1020"/>
        <w:gridCol w:w="1020"/>
        <w:gridCol w:w="1021"/>
      </w:tblGrid>
      <w:tr w:rsidR="00000000">
        <w:tblPrEx>
          <w:tblCellMar>
            <w:top w:w="0" w:type="dxa"/>
            <w:bottom w:w="0" w:type="dxa"/>
          </w:tblCellMar>
        </w:tblPrEx>
        <w:trPr>
          <w:cantSplit/>
          <w:trHeight w:val="150"/>
          <w:jc w:val="center"/>
        </w:trPr>
        <w:tc>
          <w:tcPr>
            <w:tcW w:w="326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项目</w:t>
            </w:r>
          </w:p>
        </w:tc>
        <w:tc>
          <w:tcPr>
            <w:tcW w:w="2040"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职工总人数</w:t>
            </w:r>
          </w:p>
        </w:tc>
        <w:tc>
          <w:tcPr>
            <w:tcW w:w="2041"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男</w:t>
            </w:r>
          </w:p>
        </w:tc>
        <w:tc>
          <w:tcPr>
            <w:tcW w:w="2041"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女</w:t>
            </w:r>
          </w:p>
        </w:tc>
      </w:tr>
      <w:tr w:rsidR="00000000">
        <w:tblPrEx>
          <w:tblCellMar>
            <w:top w:w="0" w:type="dxa"/>
            <w:bottom w:w="0" w:type="dxa"/>
          </w:tblCellMar>
        </w:tblPrEx>
        <w:trPr>
          <w:cantSplit/>
          <w:trHeight w:val="150"/>
          <w:jc w:val="center"/>
        </w:trPr>
        <w:tc>
          <w:tcPr>
            <w:tcW w:w="3268" w:type="dxa"/>
            <w:vMerge/>
            <w:tcBorders>
              <w:top w:val="single" w:sz="4" w:space="0" w:color="auto"/>
              <w:left w:val="single" w:sz="4" w:space="0" w:color="auto"/>
              <w:bottom w:val="single" w:sz="4" w:space="0" w:color="auto"/>
              <w:right w:val="single" w:sz="4" w:space="0" w:color="auto"/>
            </w:tcBorders>
          </w:tcPr>
          <w:p w:rsidR="00000000" w:rsidRDefault="00000000">
            <w:pPr>
              <w:pStyle w:val="aa"/>
              <w:jc w:val="center"/>
            </w:pP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sz w:val="22"/>
                <w:szCs w:val="18"/>
              </w:rPr>
            </w:pPr>
            <w:r>
              <w:rPr>
                <w:rFonts w:hint="eastAsia"/>
                <w:sz w:val="22"/>
                <w:szCs w:val="18"/>
              </w:rPr>
              <w:t>千人</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rPr>
                <w:sz w:val="22"/>
                <w:szCs w:val="18"/>
              </w:rPr>
            </w:pPr>
            <w:r>
              <w:rPr>
                <w:rFonts w:hint="eastAsia"/>
                <w:sz w:val="22"/>
                <w:szCs w:val="18"/>
              </w:rPr>
              <w:t>千人</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w:t>
            </w:r>
          </w:p>
        </w:tc>
        <w:tc>
          <w:tcPr>
            <w:tcW w:w="102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rPr>
                <w:sz w:val="22"/>
                <w:szCs w:val="18"/>
              </w:rPr>
            </w:pPr>
            <w:r>
              <w:rPr>
                <w:rFonts w:hint="eastAsia"/>
                <w:sz w:val="22"/>
                <w:szCs w:val="18"/>
              </w:rPr>
              <w:t>千人</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w:t>
            </w:r>
          </w:p>
        </w:tc>
      </w:tr>
      <w:tr w:rsidR="00000000">
        <w:tblPrEx>
          <w:tblCellMar>
            <w:top w:w="0" w:type="dxa"/>
            <w:bottom w:w="0" w:type="dxa"/>
          </w:tblCellMar>
        </w:tblPrEx>
        <w:trPr>
          <w:jc w:val="center"/>
        </w:trPr>
        <w:tc>
          <w:tcPr>
            <w:tcW w:w="3268"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总计</w:t>
            </w:r>
          </w:p>
        </w:tc>
        <w:tc>
          <w:tcPr>
            <w:tcW w:w="1020" w:type="dxa"/>
            <w:tcBorders>
              <w:top w:val="single" w:sz="4" w:space="0" w:color="auto"/>
              <w:left w:val="single" w:sz="4" w:space="0" w:color="auto"/>
              <w:bottom w:val="nil"/>
              <w:right w:val="single" w:sz="4" w:space="0" w:color="auto"/>
            </w:tcBorders>
          </w:tcPr>
          <w:p w:rsidR="00000000" w:rsidRDefault="00000000">
            <w:pPr>
              <w:pStyle w:val="aa"/>
              <w:ind w:right="113"/>
              <w:jc w:val="right"/>
            </w:pPr>
            <w:r>
              <w:t>153.5</w:t>
            </w:r>
          </w:p>
        </w:tc>
        <w:tc>
          <w:tcPr>
            <w:tcW w:w="1020" w:type="dxa"/>
            <w:tcBorders>
              <w:top w:val="single" w:sz="4" w:space="0" w:color="auto"/>
              <w:left w:val="single" w:sz="4" w:space="0" w:color="auto"/>
              <w:bottom w:val="nil"/>
              <w:right w:val="single" w:sz="4" w:space="0" w:color="auto"/>
            </w:tcBorders>
          </w:tcPr>
          <w:p w:rsidR="00000000" w:rsidRDefault="00000000">
            <w:pPr>
              <w:pStyle w:val="aa"/>
              <w:ind w:right="113"/>
              <w:jc w:val="right"/>
            </w:pPr>
            <w:r>
              <w:t>100.0</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113"/>
              <w:jc w:val="right"/>
            </w:pPr>
            <w:r>
              <w:t>101.0</w:t>
            </w:r>
          </w:p>
        </w:tc>
        <w:tc>
          <w:tcPr>
            <w:tcW w:w="1020" w:type="dxa"/>
            <w:tcBorders>
              <w:top w:val="single" w:sz="4" w:space="0" w:color="auto"/>
              <w:left w:val="single" w:sz="4" w:space="0" w:color="auto"/>
              <w:bottom w:val="nil"/>
              <w:right w:val="single" w:sz="4" w:space="0" w:color="auto"/>
            </w:tcBorders>
          </w:tcPr>
          <w:p w:rsidR="00000000" w:rsidRDefault="00000000">
            <w:pPr>
              <w:pStyle w:val="aa"/>
              <w:ind w:right="113"/>
              <w:jc w:val="right"/>
            </w:pPr>
            <w:r>
              <w:t>100.0</w:t>
            </w:r>
          </w:p>
        </w:tc>
        <w:tc>
          <w:tcPr>
            <w:tcW w:w="1020" w:type="dxa"/>
            <w:tcBorders>
              <w:top w:val="single" w:sz="4" w:space="0" w:color="auto"/>
              <w:left w:val="single" w:sz="4" w:space="0" w:color="auto"/>
              <w:bottom w:val="nil"/>
              <w:right w:val="single" w:sz="4" w:space="0" w:color="auto"/>
            </w:tcBorders>
          </w:tcPr>
          <w:p w:rsidR="00000000" w:rsidRDefault="00000000">
            <w:pPr>
              <w:pStyle w:val="aa"/>
              <w:ind w:right="113"/>
              <w:jc w:val="right"/>
            </w:pPr>
            <w:r>
              <w:t>52.5</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113"/>
              <w:jc w:val="right"/>
            </w:pPr>
            <w:r>
              <w:t>100.0</w:t>
            </w:r>
          </w:p>
        </w:tc>
      </w:tr>
      <w:tr w:rsidR="00000000">
        <w:tblPrEx>
          <w:tblCellMar>
            <w:top w:w="0" w:type="dxa"/>
            <w:bottom w:w="0" w:type="dxa"/>
          </w:tblCellMar>
        </w:tblPrEx>
        <w:trPr>
          <w:jc w:val="center"/>
        </w:trPr>
        <w:tc>
          <w:tcPr>
            <w:tcW w:w="3268" w:type="dxa"/>
            <w:tcBorders>
              <w:top w:val="nil"/>
              <w:left w:val="single" w:sz="4" w:space="0" w:color="auto"/>
              <w:bottom w:val="nil"/>
              <w:right w:val="single" w:sz="4" w:space="0" w:color="auto"/>
            </w:tcBorders>
          </w:tcPr>
          <w:p w:rsidR="00000000" w:rsidRDefault="00000000">
            <w:pPr>
              <w:pStyle w:val="aa"/>
            </w:pPr>
            <w:r>
              <w:rPr>
                <w:rFonts w:hint="eastAsia"/>
              </w:rPr>
              <w:t>包括</w:t>
            </w:r>
            <w:r>
              <w:rPr>
                <w:rFonts w:hint="eastAsia"/>
              </w:rPr>
              <w:t>(</w:t>
            </w:r>
            <w:r>
              <w:rPr>
                <w:rFonts w:hint="eastAsia"/>
              </w:rPr>
              <w:t>按国际职业标准分类</w:t>
            </w:r>
            <w:r>
              <w:rPr>
                <w:rFonts w:hint="eastAsia"/>
              </w:rPr>
              <w:t>)</w:t>
            </w:r>
            <w:r>
              <w:rPr>
                <w:rFonts w:hint="eastAsia"/>
              </w:rPr>
              <w:t>：</w:t>
            </w:r>
            <w:r>
              <w:rPr>
                <w:b/>
                <w:bCs/>
                <w:vertAlign w:val="superscript"/>
              </w:rPr>
              <w:t>a</w:t>
            </w:r>
          </w:p>
        </w:tc>
        <w:tc>
          <w:tcPr>
            <w:tcW w:w="1020" w:type="dxa"/>
            <w:tcBorders>
              <w:top w:val="nil"/>
              <w:left w:val="single" w:sz="4" w:space="0" w:color="auto"/>
              <w:bottom w:val="nil"/>
              <w:right w:val="single" w:sz="4" w:space="0" w:color="auto"/>
            </w:tcBorders>
          </w:tcPr>
          <w:p w:rsidR="00000000" w:rsidRDefault="00000000">
            <w:pPr>
              <w:pStyle w:val="aa"/>
              <w:ind w:right="113"/>
              <w:jc w:val="right"/>
            </w:pPr>
          </w:p>
        </w:tc>
        <w:tc>
          <w:tcPr>
            <w:tcW w:w="1020" w:type="dxa"/>
            <w:tcBorders>
              <w:top w:val="nil"/>
              <w:left w:val="single" w:sz="4" w:space="0" w:color="auto"/>
              <w:bottom w:val="nil"/>
              <w:right w:val="single" w:sz="4" w:space="0" w:color="auto"/>
            </w:tcBorders>
          </w:tcPr>
          <w:p w:rsidR="00000000" w:rsidRDefault="00000000">
            <w:pPr>
              <w:pStyle w:val="aa"/>
              <w:ind w:right="113"/>
              <w:jc w:val="right"/>
            </w:pPr>
          </w:p>
        </w:tc>
        <w:tc>
          <w:tcPr>
            <w:tcW w:w="1021" w:type="dxa"/>
            <w:tcBorders>
              <w:top w:val="nil"/>
              <w:left w:val="single" w:sz="4" w:space="0" w:color="auto"/>
              <w:bottom w:val="nil"/>
              <w:right w:val="single" w:sz="4" w:space="0" w:color="auto"/>
            </w:tcBorders>
          </w:tcPr>
          <w:p w:rsidR="00000000" w:rsidRDefault="00000000">
            <w:pPr>
              <w:pStyle w:val="aa"/>
              <w:ind w:right="113"/>
              <w:jc w:val="right"/>
            </w:pPr>
          </w:p>
        </w:tc>
        <w:tc>
          <w:tcPr>
            <w:tcW w:w="1020" w:type="dxa"/>
            <w:tcBorders>
              <w:top w:val="nil"/>
              <w:left w:val="single" w:sz="4" w:space="0" w:color="auto"/>
              <w:bottom w:val="nil"/>
              <w:right w:val="single" w:sz="4" w:space="0" w:color="auto"/>
            </w:tcBorders>
          </w:tcPr>
          <w:p w:rsidR="00000000" w:rsidRDefault="00000000">
            <w:pPr>
              <w:pStyle w:val="aa"/>
              <w:ind w:right="113"/>
              <w:jc w:val="right"/>
            </w:pPr>
          </w:p>
        </w:tc>
        <w:tc>
          <w:tcPr>
            <w:tcW w:w="1020" w:type="dxa"/>
            <w:tcBorders>
              <w:top w:val="nil"/>
              <w:left w:val="single" w:sz="4" w:space="0" w:color="auto"/>
              <w:bottom w:val="nil"/>
              <w:right w:val="single" w:sz="4" w:space="0" w:color="auto"/>
            </w:tcBorders>
          </w:tcPr>
          <w:p w:rsidR="00000000" w:rsidRDefault="00000000">
            <w:pPr>
              <w:pStyle w:val="aa"/>
              <w:ind w:right="113"/>
              <w:jc w:val="right"/>
            </w:pPr>
          </w:p>
        </w:tc>
        <w:tc>
          <w:tcPr>
            <w:tcW w:w="1021" w:type="dxa"/>
            <w:tcBorders>
              <w:top w:val="nil"/>
              <w:left w:val="single" w:sz="4" w:space="0" w:color="auto"/>
              <w:bottom w:val="nil"/>
              <w:right w:val="single" w:sz="4" w:space="0" w:color="auto"/>
            </w:tcBorders>
          </w:tcPr>
          <w:p w:rsidR="00000000" w:rsidRDefault="00000000">
            <w:pPr>
              <w:pStyle w:val="aa"/>
              <w:ind w:right="113"/>
              <w:jc w:val="right"/>
            </w:pPr>
          </w:p>
        </w:tc>
      </w:tr>
      <w:tr w:rsidR="00000000">
        <w:tblPrEx>
          <w:tblCellMar>
            <w:top w:w="0" w:type="dxa"/>
            <w:bottom w:w="0" w:type="dxa"/>
          </w:tblCellMar>
        </w:tblPrEx>
        <w:trPr>
          <w:jc w:val="center"/>
        </w:trPr>
        <w:tc>
          <w:tcPr>
            <w:tcW w:w="326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雇员</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61.1</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39.8</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34.7</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34.4</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26.3</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50.1</w:t>
            </w:r>
          </w:p>
        </w:tc>
      </w:tr>
      <w:tr w:rsidR="00000000">
        <w:tblPrEx>
          <w:tblCellMar>
            <w:top w:w="0" w:type="dxa"/>
            <w:bottom w:w="0" w:type="dxa"/>
          </w:tblCellMar>
        </w:tblPrEx>
        <w:trPr>
          <w:jc w:val="center"/>
        </w:trPr>
        <w:tc>
          <w:tcPr>
            <w:tcW w:w="326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雇主</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8.5</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5.5</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6.8</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6.8</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1.6</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3.1</w:t>
            </w:r>
          </w:p>
        </w:tc>
      </w:tr>
      <w:tr w:rsidR="00000000">
        <w:tblPrEx>
          <w:tblCellMar>
            <w:top w:w="0" w:type="dxa"/>
            <w:bottom w:w="0" w:type="dxa"/>
          </w:tblCellMar>
        </w:tblPrEx>
        <w:trPr>
          <w:jc w:val="center"/>
        </w:trPr>
        <w:tc>
          <w:tcPr>
            <w:tcW w:w="326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自谋职业者</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79.7</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51.9</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57.9</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57.4</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21.8</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41.4</w:t>
            </w:r>
          </w:p>
        </w:tc>
      </w:tr>
      <w:tr w:rsidR="00000000">
        <w:tblPrEx>
          <w:tblCellMar>
            <w:top w:w="0" w:type="dxa"/>
            <w:bottom w:w="0" w:type="dxa"/>
          </w:tblCellMar>
        </w:tblPrEx>
        <w:trPr>
          <w:jc w:val="center"/>
        </w:trPr>
        <w:tc>
          <w:tcPr>
            <w:tcW w:w="326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生产合作社成员</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0.7</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0.5</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0.5</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0.5</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0.2</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0.5</w:t>
            </w:r>
          </w:p>
        </w:tc>
      </w:tr>
      <w:tr w:rsidR="00000000">
        <w:tblPrEx>
          <w:tblCellMar>
            <w:top w:w="0" w:type="dxa"/>
            <w:bottom w:w="0" w:type="dxa"/>
          </w:tblCellMar>
        </w:tblPrEx>
        <w:trPr>
          <w:jc w:val="center"/>
        </w:trPr>
        <w:tc>
          <w:tcPr>
            <w:tcW w:w="3268" w:type="dxa"/>
            <w:tcBorders>
              <w:top w:val="nil"/>
              <w:left w:val="single" w:sz="4" w:space="0" w:color="auto"/>
              <w:bottom w:val="nil"/>
              <w:right w:val="single" w:sz="4" w:space="0" w:color="auto"/>
            </w:tcBorders>
          </w:tcPr>
          <w:p w:rsidR="00000000" w:rsidRDefault="00000000">
            <w:pPr>
              <w:pStyle w:val="aa"/>
            </w:pPr>
            <w:r>
              <w:rPr>
                <w:rFonts w:hint="eastAsia"/>
              </w:rPr>
              <w:t>家庭成员工人</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3.5</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2.3</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1.0</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1.0</w:t>
            </w:r>
          </w:p>
        </w:tc>
        <w:tc>
          <w:tcPr>
            <w:tcW w:w="1020" w:type="dxa"/>
            <w:tcBorders>
              <w:top w:val="nil"/>
              <w:left w:val="single" w:sz="4" w:space="0" w:color="auto"/>
              <w:bottom w:val="nil"/>
              <w:right w:val="single" w:sz="4" w:space="0" w:color="auto"/>
            </w:tcBorders>
          </w:tcPr>
          <w:p w:rsidR="00000000" w:rsidRDefault="00000000">
            <w:pPr>
              <w:pStyle w:val="aa"/>
              <w:ind w:right="113"/>
              <w:jc w:val="right"/>
            </w:pPr>
            <w:r>
              <w:t>2.6</w:t>
            </w:r>
          </w:p>
        </w:tc>
        <w:tc>
          <w:tcPr>
            <w:tcW w:w="1021" w:type="dxa"/>
            <w:tcBorders>
              <w:top w:val="nil"/>
              <w:left w:val="single" w:sz="4" w:space="0" w:color="auto"/>
              <w:bottom w:val="nil"/>
              <w:right w:val="single" w:sz="4" w:space="0" w:color="auto"/>
            </w:tcBorders>
          </w:tcPr>
          <w:p w:rsidR="00000000" w:rsidRDefault="00000000">
            <w:pPr>
              <w:pStyle w:val="aa"/>
              <w:ind w:right="113"/>
              <w:jc w:val="right"/>
            </w:pPr>
            <w:r>
              <w:t>4.9</w:t>
            </w:r>
          </w:p>
        </w:tc>
      </w:tr>
      <w:tr w:rsidR="00000000">
        <w:tblPrEx>
          <w:tblCellMar>
            <w:top w:w="0" w:type="dxa"/>
            <w:bottom w:w="0" w:type="dxa"/>
          </w:tblCellMar>
        </w:tblPrEx>
        <w:trPr>
          <w:jc w:val="center"/>
        </w:trPr>
        <w:tc>
          <w:tcPr>
            <w:tcW w:w="3268"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拥有一份</w:t>
            </w:r>
            <w:r>
              <w:rPr>
                <w:rFonts w:hint="eastAsia"/>
              </w:rPr>
              <w:t>(</w:t>
            </w:r>
            <w:r>
              <w:rPr>
                <w:rFonts w:hint="eastAsia"/>
              </w:rPr>
              <w:t>主要</w:t>
            </w:r>
            <w:r>
              <w:rPr>
                <w:rFonts w:hint="eastAsia"/>
              </w:rPr>
              <w:t>)</w:t>
            </w:r>
            <w:r>
              <w:rPr>
                <w:rFonts w:hint="eastAsia"/>
              </w:rPr>
              <w:t>工作的人</w:t>
            </w:r>
          </w:p>
        </w:tc>
        <w:tc>
          <w:tcPr>
            <w:tcW w:w="1020" w:type="dxa"/>
            <w:tcBorders>
              <w:top w:val="nil"/>
              <w:left w:val="single" w:sz="4" w:space="0" w:color="auto"/>
              <w:bottom w:val="single" w:sz="4" w:space="0" w:color="auto"/>
              <w:right w:val="single" w:sz="4" w:space="0" w:color="auto"/>
            </w:tcBorders>
          </w:tcPr>
          <w:p w:rsidR="00000000" w:rsidRDefault="00000000">
            <w:pPr>
              <w:pStyle w:val="aa"/>
              <w:ind w:right="113"/>
              <w:jc w:val="right"/>
            </w:pPr>
            <w:r>
              <w:t>4 802.6</w:t>
            </w:r>
          </w:p>
        </w:tc>
        <w:tc>
          <w:tcPr>
            <w:tcW w:w="1020" w:type="dxa"/>
            <w:tcBorders>
              <w:top w:val="nil"/>
              <w:left w:val="single" w:sz="4" w:space="0" w:color="auto"/>
              <w:bottom w:val="single" w:sz="4" w:space="0" w:color="auto"/>
              <w:right w:val="single" w:sz="4" w:space="0" w:color="auto"/>
            </w:tcBorders>
          </w:tcPr>
          <w:p w:rsidR="00000000" w:rsidRDefault="00000000">
            <w:pPr>
              <w:pStyle w:val="aa"/>
              <w:ind w:right="113"/>
              <w:jc w:val="right"/>
            </w:pPr>
            <w:r>
              <w:t>x</w:t>
            </w:r>
          </w:p>
        </w:tc>
        <w:tc>
          <w:tcPr>
            <w:tcW w:w="1021" w:type="dxa"/>
            <w:tcBorders>
              <w:top w:val="nil"/>
              <w:left w:val="single" w:sz="4" w:space="0" w:color="auto"/>
              <w:bottom w:val="single" w:sz="4" w:space="0" w:color="auto"/>
              <w:right w:val="single" w:sz="4" w:space="0" w:color="auto"/>
            </w:tcBorders>
          </w:tcPr>
          <w:p w:rsidR="00000000" w:rsidRDefault="00000000">
            <w:pPr>
              <w:pStyle w:val="aa"/>
              <w:ind w:right="113"/>
              <w:jc w:val="right"/>
            </w:pPr>
            <w:r>
              <w:t>2 701.9</w:t>
            </w:r>
          </w:p>
        </w:tc>
        <w:tc>
          <w:tcPr>
            <w:tcW w:w="1020" w:type="dxa"/>
            <w:tcBorders>
              <w:top w:val="nil"/>
              <w:left w:val="single" w:sz="4" w:space="0" w:color="auto"/>
              <w:bottom w:val="single" w:sz="4" w:space="0" w:color="auto"/>
              <w:right w:val="single" w:sz="4" w:space="0" w:color="auto"/>
            </w:tcBorders>
          </w:tcPr>
          <w:p w:rsidR="00000000" w:rsidRDefault="00000000">
            <w:pPr>
              <w:pStyle w:val="aa"/>
              <w:ind w:right="113"/>
              <w:jc w:val="right"/>
            </w:pPr>
            <w:r>
              <w:t>x</w:t>
            </w:r>
          </w:p>
        </w:tc>
        <w:tc>
          <w:tcPr>
            <w:tcW w:w="1020" w:type="dxa"/>
            <w:tcBorders>
              <w:top w:val="nil"/>
              <w:left w:val="single" w:sz="4" w:space="0" w:color="auto"/>
              <w:bottom w:val="single" w:sz="4" w:space="0" w:color="auto"/>
              <w:right w:val="single" w:sz="4" w:space="0" w:color="auto"/>
            </w:tcBorders>
          </w:tcPr>
          <w:p w:rsidR="00000000" w:rsidRDefault="00000000">
            <w:pPr>
              <w:pStyle w:val="aa"/>
              <w:ind w:right="113"/>
              <w:jc w:val="right"/>
            </w:pPr>
            <w:r>
              <w:t>2 100.7</w:t>
            </w:r>
          </w:p>
        </w:tc>
        <w:tc>
          <w:tcPr>
            <w:tcW w:w="1021" w:type="dxa"/>
            <w:tcBorders>
              <w:top w:val="nil"/>
              <w:left w:val="single" w:sz="4" w:space="0" w:color="auto"/>
              <w:bottom w:val="single" w:sz="4" w:space="0" w:color="auto"/>
              <w:right w:val="single" w:sz="4" w:space="0" w:color="auto"/>
            </w:tcBorders>
          </w:tcPr>
          <w:p w:rsidR="00000000" w:rsidRDefault="00000000">
            <w:pPr>
              <w:pStyle w:val="aa"/>
              <w:ind w:right="113"/>
              <w:jc w:val="right"/>
            </w:pPr>
            <w:r>
              <w:t>x</w:t>
            </w:r>
          </w:p>
        </w:tc>
      </w:tr>
    </w:tbl>
    <w:p w:rsidR="00000000" w:rsidRDefault="00000000">
      <w:pPr>
        <w:spacing w:before="160"/>
        <w:ind w:left="510"/>
        <w:rPr>
          <w:rFonts w:eastAsia="KaiTi_GB2312"/>
          <w:snapToGrid/>
          <w:spacing w:val="0"/>
          <w:sz w:val="21"/>
          <w:szCs w:val="26"/>
        </w:rPr>
      </w:pPr>
      <w:r>
        <w:rPr>
          <w:rFonts w:eastAsia="KaiTi_GB2312" w:hint="eastAsia"/>
          <w:snapToGrid/>
          <w:spacing w:val="0"/>
          <w:sz w:val="21"/>
          <w:szCs w:val="26"/>
          <w:u w:val="single"/>
        </w:rPr>
        <w:t>资料来源</w:t>
      </w:r>
      <w:r>
        <w:rPr>
          <w:rFonts w:eastAsia="KaiTi_GB2312"/>
          <w:snapToGrid/>
          <w:spacing w:val="0"/>
          <w:sz w:val="21"/>
          <w:szCs w:val="26"/>
        </w:rPr>
        <w:t>：</w:t>
      </w:r>
      <w:r>
        <w:rPr>
          <w:rFonts w:eastAsia="KaiTi_GB2312" w:hint="eastAsia"/>
          <w:snapToGrid/>
          <w:spacing w:val="0"/>
          <w:sz w:val="21"/>
          <w:szCs w:val="26"/>
        </w:rPr>
        <w:t>捷克共和国统计年鉴</w:t>
      </w:r>
      <w:r>
        <w:rPr>
          <w:rFonts w:eastAsia="KaiTi_GB2312"/>
          <w:snapToGrid/>
          <w:spacing w:val="0"/>
          <w:sz w:val="21"/>
          <w:szCs w:val="26"/>
        </w:rPr>
        <w:t>，</w:t>
      </w:r>
      <w:r>
        <w:rPr>
          <w:rFonts w:eastAsia="KaiTi_GB2312"/>
          <w:snapToGrid/>
          <w:spacing w:val="0"/>
          <w:sz w:val="21"/>
          <w:szCs w:val="26"/>
        </w:rPr>
        <w:t>1999</w:t>
      </w:r>
      <w:r>
        <w:rPr>
          <w:rFonts w:eastAsia="KaiTi_GB2312" w:hint="eastAsia"/>
          <w:snapToGrid/>
          <w:spacing w:val="0"/>
          <w:sz w:val="21"/>
          <w:szCs w:val="26"/>
        </w:rPr>
        <w:t>年。</w:t>
      </w:r>
    </w:p>
    <w:p w:rsidR="00000000" w:rsidRDefault="00000000">
      <w:pPr>
        <w:tabs>
          <w:tab w:val="left" w:pos="1560"/>
        </w:tabs>
        <w:spacing w:after="320"/>
        <w:ind w:left="510" w:firstLine="790"/>
        <w:rPr>
          <w:rFonts w:eastAsia="KaiTi_GB2312"/>
          <w:snapToGrid/>
          <w:spacing w:val="0"/>
          <w:sz w:val="21"/>
          <w:szCs w:val="26"/>
        </w:rPr>
      </w:pPr>
      <w:r>
        <w:rPr>
          <w:rFonts w:eastAsia="KaiTi_GB2312"/>
          <w:snapToGrid/>
          <w:spacing w:val="0"/>
          <w:sz w:val="21"/>
          <w:szCs w:val="26"/>
        </w:rPr>
        <w:t>a</w:t>
      </w:r>
      <w:r>
        <w:rPr>
          <w:rFonts w:eastAsia="KaiTi_GB2312" w:hint="eastAsia"/>
          <w:snapToGrid/>
          <w:spacing w:val="0"/>
          <w:sz w:val="21"/>
          <w:szCs w:val="26"/>
        </w:rPr>
        <w:tab/>
      </w:r>
      <w:r>
        <w:rPr>
          <w:rFonts w:eastAsia="KaiTi_GB2312" w:hint="eastAsia"/>
          <w:snapToGrid/>
          <w:spacing w:val="0"/>
          <w:sz w:val="21"/>
          <w:szCs w:val="26"/>
        </w:rPr>
        <w:t>国际职业标准分类。</w:t>
      </w:r>
    </w:p>
    <w:p w:rsidR="00000000" w:rsidRDefault="00000000">
      <w:pPr>
        <w:spacing w:after="320"/>
        <w:rPr>
          <w:snapToGrid/>
          <w:szCs w:val="26"/>
        </w:rPr>
      </w:pPr>
      <w:r>
        <w:rPr>
          <w:rFonts w:hint="eastAsia"/>
          <w:snapToGrid/>
          <w:szCs w:val="26"/>
        </w:rPr>
        <w:tab/>
      </w:r>
      <w:r>
        <w:rPr>
          <w:snapToGrid/>
          <w:szCs w:val="26"/>
        </w:rPr>
        <w:t xml:space="preserve">250.  </w:t>
      </w:r>
      <w:r>
        <w:rPr>
          <w:rFonts w:hint="eastAsia"/>
          <w:snapToGrid/>
          <w:szCs w:val="26"/>
        </w:rPr>
        <w:t>在根据《公约》第</w:t>
      </w:r>
      <w:r>
        <w:rPr>
          <w:snapToGrid/>
          <w:szCs w:val="26"/>
        </w:rPr>
        <w:t>6</w:t>
      </w:r>
      <w:r>
        <w:rPr>
          <w:rFonts w:hint="eastAsia"/>
          <w:snapToGrid/>
          <w:szCs w:val="26"/>
        </w:rPr>
        <w:t>条实施就业权方面开展国际合作</w:t>
      </w:r>
      <w:r>
        <w:rPr>
          <w:snapToGrid/>
          <w:szCs w:val="26"/>
        </w:rPr>
        <w:t>，</w:t>
      </w:r>
      <w:r>
        <w:rPr>
          <w:rFonts w:hint="eastAsia"/>
          <w:snapToGrid/>
          <w:szCs w:val="26"/>
        </w:rPr>
        <w:t>具体表现在执行关于公民对等就业的政府间条约。在本报告所涉期间</w:t>
      </w:r>
      <w:r>
        <w:rPr>
          <w:snapToGrid/>
          <w:szCs w:val="26"/>
        </w:rPr>
        <w:t>，</w:t>
      </w:r>
      <w:r>
        <w:rPr>
          <w:rFonts w:hint="eastAsia"/>
          <w:snapToGrid/>
          <w:szCs w:val="26"/>
        </w:rPr>
        <w:t>捷克共和国与德国</w:t>
      </w:r>
      <w:r>
        <w:rPr>
          <w:snapToGrid/>
          <w:szCs w:val="26"/>
        </w:rPr>
        <w:t>(1991</w:t>
      </w:r>
      <w:r>
        <w:rPr>
          <w:rFonts w:hint="eastAsia"/>
          <w:snapToGrid/>
          <w:szCs w:val="26"/>
        </w:rPr>
        <w:t>年签署</w:t>
      </w:r>
      <w:r>
        <w:rPr>
          <w:snapToGrid/>
          <w:szCs w:val="26"/>
        </w:rPr>
        <w:t>)</w:t>
      </w:r>
      <w:r>
        <w:rPr>
          <w:rFonts w:hint="eastAsia"/>
          <w:snapToGrid/>
          <w:szCs w:val="26"/>
        </w:rPr>
        <w:t>、波兰</w:t>
      </w:r>
      <w:r>
        <w:rPr>
          <w:snapToGrid/>
          <w:szCs w:val="26"/>
        </w:rPr>
        <w:t>(1992</w:t>
      </w:r>
      <w:r>
        <w:rPr>
          <w:rFonts w:hint="eastAsia"/>
          <w:snapToGrid/>
          <w:szCs w:val="26"/>
        </w:rPr>
        <w:t>年签署</w:t>
      </w:r>
      <w:r>
        <w:rPr>
          <w:snapToGrid/>
          <w:szCs w:val="26"/>
        </w:rPr>
        <w:t>)</w:t>
      </w:r>
      <w:r>
        <w:rPr>
          <w:rFonts w:hint="eastAsia"/>
          <w:snapToGrid/>
          <w:szCs w:val="26"/>
        </w:rPr>
        <w:t>、斯洛伐克</w:t>
      </w:r>
      <w:r>
        <w:rPr>
          <w:rFonts w:hint="eastAsia"/>
          <w:snapToGrid/>
          <w:szCs w:val="26"/>
        </w:rPr>
        <w:t>(</w:t>
      </w:r>
      <w:r>
        <w:rPr>
          <w:snapToGrid/>
          <w:szCs w:val="26"/>
        </w:rPr>
        <w:t>1992</w:t>
      </w:r>
      <w:r>
        <w:rPr>
          <w:rFonts w:hint="eastAsia"/>
          <w:snapToGrid/>
          <w:szCs w:val="26"/>
        </w:rPr>
        <w:t>年签署</w:t>
      </w:r>
      <w:r>
        <w:rPr>
          <w:rFonts w:hint="eastAsia"/>
          <w:snapToGrid/>
          <w:szCs w:val="26"/>
        </w:rPr>
        <w:t>)</w:t>
      </w:r>
      <w:r>
        <w:rPr>
          <w:rFonts w:hint="eastAsia"/>
          <w:snapToGrid/>
          <w:szCs w:val="26"/>
        </w:rPr>
        <w:t>、越南</w:t>
      </w:r>
      <w:r>
        <w:rPr>
          <w:snapToGrid/>
          <w:szCs w:val="26"/>
        </w:rPr>
        <w:t>(1994</w:t>
      </w:r>
      <w:r>
        <w:rPr>
          <w:rFonts w:hint="eastAsia"/>
          <w:snapToGrid/>
          <w:szCs w:val="26"/>
        </w:rPr>
        <w:t>年签署</w:t>
      </w:r>
      <w:r>
        <w:rPr>
          <w:rFonts w:hint="eastAsia"/>
          <w:snapToGrid/>
          <w:szCs w:val="26"/>
        </w:rPr>
        <w:t>)</w:t>
      </w:r>
      <w:r>
        <w:rPr>
          <w:snapToGrid/>
          <w:szCs w:val="26"/>
        </w:rPr>
        <w:t>，</w:t>
      </w:r>
      <w:r>
        <w:rPr>
          <w:rFonts w:hint="eastAsia"/>
          <w:snapToGrid/>
          <w:szCs w:val="26"/>
        </w:rPr>
        <w:t>乌克兰</w:t>
      </w:r>
      <w:r>
        <w:rPr>
          <w:rFonts w:hint="eastAsia"/>
          <w:snapToGrid/>
          <w:szCs w:val="26"/>
        </w:rPr>
        <w:t>(</w:t>
      </w:r>
      <w:r>
        <w:rPr>
          <w:snapToGrid/>
          <w:szCs w:val="26"/>
        </w:rPr>
        <w:t>1996</w:t>
      </w:r>
      <w:r>
        <w:rPr>
          <w:rFonts w:hint="eastAsia"/>
          <w:snapToGrid/>
          <w:szCs w:val="26"/>
        </w:rPr>
        <w:t>年签署</w:t>
      </w:r>
      <w:r>
        <w:rPr>
          <w:snapToGrid/>
          <w:szCs w:val="26"/>
        </w:rPr>
        <w:t>)</w:t>
      </w:r>
      <w:r>
        <w:rPr>
          <w:rFonts w:hint="eastAsia"/>
          <w:snapToGrid/>
          <w:szCs w:val="26"/>
        </w:rPr>
        <w:t>和瑞士</w:t>
      </w:r>
      <w:r>
        <w:rPr>
          <w:snapToGrid/>
          <w:szCs w:val="26"/>
        </w:rPr>
        <w:t>(1997</w:t>
      </w:r>
      <w:r>
        <w:rPr>
          <w:rFonts w:hint="eastAsia"/>
          <w:snapToGrid/>
          <w:szCs w:val="26"/>
        </w:rPr>
        <w:t>年签署</w:t>
      </w:r>
      <w:r>
        <w:rPr>
          <w:snapToGrid/>
          <w:szCs w:val="26"/>
        </w:rPr>
        <w:t>，</w:t>
      </w:r>
      <w:r>
        <w:rPr>
          <w:rFonts w:hint="eastAsia"/>
          <w:snapToGrid/>
          <w:szCs w:val="26"/>
        </w:rPr>
        <w:t>只涉及交换实习生</w:t>
      </w:r>
      <w:r>
        <w:rPr>
          <w:rFonts w:hint="eastAsia"/>
          <w:snapToGrid/>
          <w:szCs w:val="26"/>
        </w:rPr>
        <w:t>)</w:t>
      </w:r>
      <w:r>
        <w:rPr>
          <w:rFonts w:hint="eastAsia"/>
          <w:snapToGrid/>
          <w:szCs w:val="26"/>
        </w:rPr>
        <w:t>和俄罗斯联邦</w:t>
      </w:r>
      <w:r>
        <w:rPr>
          <w:rFonts w:hint="eastAsia"/>
          <w:snapToGrid/>
          <w:szCs w:val="26"/>
        </w:rPr>
        <w:t>(1</w:t>
      </w:r>
      <w:r>
        <w:rPr>
          <w:snapToGrid/>
          <w:szCs w:val="26"/>
        </w:rPr>
        <w:t>998</w:t>
      </w:r>
      <w:r>
        <w:rPr>
          <w:rFonts w:hint="eastAsia"/>
          <w:snapToGrid/>
          <w:szCs w:val="26"/>
        </w:rPr>
        <w:t>年签署，涉及临时就业</w:t>
      </w:r>
      <w:r>
        <w:rPr>
          <w:rFonts w:hint="eastAsia"/>
          <w:snapToGrid/>
          <w:szCs w:val="26"/>
        </w:rPr>
        <w:t>)</w:t>
      </w:r>
      <w:r>
        <w:rPr>
          <w:rFonts w:hint="eastAsia"/>
          <w:snapToGrid/>
          <w:szCs w:val="26"/>
        </w:rPr>
        <w:t>签立了有关条约。</w:t>
      </w:r>
    </w:p>
    <w:p w:rsidR="00000000" w:rsidRDefault="00000000">
      <w:pPr>
        <w:pStyle w:val="Heading3"/>
      </w:pPr>
      <w:r>
        <w:rPr>
          <w:rFonts w:hint="eastAsia"/>
        </w:rPr>
        <w:t>第</w:t>
      </w:r>
      <w:r>
        <w:rPr>
          <w:rFonts w:hint="eastAsia"/>
        </w:rPr>
        <w:t xml:space="preserve"> 7 </w:t>
      </w:r>
      <w:r>
        <w:rPr>
          <w:rFonts w:hint="eastAsia"/>
        </w:rPr>
        <w:t>条</w:t>
      </w:r>
    </w:p>
    <w:p w:rsidR="00000000" w:rsidRDefault="00000000">
      <w:pPr>
        <w:spacing w:after="320"/>
        <w:rPr>
          <w:snapToGrid/>
          <w:szCs w:val="24"/>
        </w:rPr>
      </w:pPr>
      <w:r>
        <w:rPr>
          <w:rFonts w:hint="eastAsia"/>
          <w:snapToGrid/>
          <w:szCs w:val="26"/>
        </w:rPr>
        <w:tab/>
      </w:r>
      <w:r>
        <w:rPr>
          <w:snapToGrid/>
          <w:szCs w:val="26"/>
        </w:rPr>
        <w:t xml:space="preserve">251.  </w:t>
      </w:r>
      <w:r>
        <w:rPr>
          <w:rFonts w:hint="eastAsia"/>
          <w:snapToGrid/>
          <w:szCs w:val="26"/>
        </w:rPr>
        <w:t>捷克共和国加入了编写《公约》执行报告指南所列的以下国际劳工组织公约；第</w:t>
      </w:r>
      <w:r>
        <w:rPr>
          <w:rFonts w:hint="eastAsia"/>
          <w:snapToGrid/>
          <w:szCs w:val="26"/>
        </w:rPr>
        <w:t>14</w:t>
      </w:r>
      <w:r>
        <w:rPr>
          <w:rFonts w:hint="eastAsia"/>
          <w:snapToGrid/>
          <w:szCs w:val="26"/>
        </w:rPr>
        <w:t>号《</w:t>
      </w:r>
      <w:r>
        <w:rPr>
          <w:rFonts w:hint="eastAsia"/>
          <w:snapToGrid/>
          <w:szCs w:val="26"/>
        </w:rPr>
        <w:t>(</w:t>
      </w:r>
      <w:r>
        <w:rPr>
          <w:rFonts w:hint="eastAsia"/>
          <w:snapToGrid/>
          <w:szCs w:val="26"/>
        </w:rPr>
        <w:t>工业</w:t>
      </w:r>
      <w:r>
        <w:rPr>
          <w:rFonts w:hint="eastAsia"/>
          <w:snapToGrid/>
          <w:szCs w:val="26"/>
        </w:rPr>
        <w:t>)</w:t>
      </w:r>
      <w:r>
        <w:rPr>
          <w:rFonts w:hint="eastAsia"/>
          <w:snapToGrid/>
          <w:szCs w:val="26"/>
        </w:rPr>
        <w:t>每周休息公约》</w:t>
      </w:r>
      <w:r>
        <w:rPr>
          <w:rFonts w:hint="eastAsia"/>
          <w:snapToGrid/>
          <w:szCs w:val="26"/>
        </w:rPr>
        <w:t>(1921</w:t>
      </w:r>
      <w:r>
        <w:rPr>
          <w:rFonts w:hint="eastAsia"/>
          <w:snapToGrid/>
          <w:szCs w:val="26"/>
        </w:rPr>
        <w:t>年</w:t>
      </w:r>
      <w:r>
        <w:rPr>
          <w:rFonts w:hint="eastAsia"/>
          <w:snapToGrid/>
          <w:szCs w:val="26"/>
        </w:rPr>
        <w:t>)</w:t>
      </w:r>
      <w:r>
        <w:rPr>
          <w:rFonts w:hint="eastAsia"/>
          <w:snapToGrid/>
          <w:szCs w:val="26"/>
        </w:rPr>
        <w:t>；第</w:t>
      </w:r>
      <w:r>
        <w:rPr>
          <w:rFonts w:hint="eastAsia"/>
          <w:snapToGrid/>
          <w:szCs w:val="26"/>
        </w:rPr>
        <w:t>100</w:t>
      </w:r>
      <w:r>
        <w:rPr>
          <w:rFonts w:hint="eastAsia"/>
          <w:snapToGrid/>
          <w:szCs w:val="26"/>
        </w:rPr>
        <w:t>号《同酬公约》</w:t>
      </w:r>
      <w:r>
        <w:rPr>
          <w:rFonts w:hint="eastAsia"/>
          <w:snapToGrid/>
          <w:szCs w:val="26"/>
        </w:rPr>
        <w:t>(1951</w:t>
      </w:r>
      <w:r>
        <w:rPr>
          <w:rFonts w:hint="eastAsia"/>
          <w:snapToGrid/>
          <w:szCs w:val="26"/>
        </w:rPr>
        <w:t>年</w:t>
      </w:r>
      <w:r>
        <w:rPr>
          <w:rFonts w:hint="eastAsia"/>
          <w:snapToGrid/>
          <w:szCs w:val="26"/>
        </w:rPr>
        <w:t>)</w:t>
      </w:r>
      <w:r>
        <w:rPr>
          <w:rFonts w:hint="eastAsia"/>
          <w:snapToGrid/>
          <w:szCs w:val="26"/>
        </w:rPr>
        <w:t>；第</w:t>
      </w:r>
      <w:r>
        <w:rPr>
          <w:rFonts w:hint="eastAsia"/>
          <w:snapToGrid/>
          <w:szCs w:val="26"/>
        </w:rPr>
        <w:t>132</w:t>
      </w:r>
      <w:r>
        <w:rPr>
          <w:rFonts w:hint="eastAsia"/>
          <w:snapToGrid/>
          <w:szCs w:val="26"/>
        </w:rPr>
        <w:t>号《带薪休假公约</w:t>
      </w:r>
      <w:r>
        <w:rPr>
          <w:rFonts w:hint="eastAsia"/>
          <w:snapToGrid/>
          <w:szCs w:val="26"/>
        </w:rPr>
        <w:t>(</w:t>
      </w:r>
      <w:r>
        <w:rPr>
          <w:rFonts w:hint="eastAsia"/>
          <w:snapToGrid/>
          <w:szCs w:val="26"/>
        </w:rPr>
        <w:t>修订本</w:t>
      </w:r>
      <w:r>
        <w:rPr>
          <w:rFonts w:hint="eastAsia"/>
          <w:snapToGrid/>
          <w:szCs w:val="26"/>
        </w:rPr>
        <w:t>)</w:t>
      </w:r>
      <w:r>
        <w:rPr>
          <w:rFonts w:hint="eastAsia"/>
          <w:snapToGrid/>
          <w:szCs w:val="26"/>
        </w:rPr>
        <w:t>》</w:t>
      </w:r>
      <w:r>
        <w:rPr>
          <w:rFonts w:hint="eastAsia"/>
          <w:snapToGrid/>
          <w:szCs w:val="26"/>
        </w:rPr>
        <w:t>(</w:t>
      </w:r>
      <w:r>
        <w:rPr>
          <w:snapToGrid/>
          <w:szCs w:val="24"/>
        </w:rPr>
        <w:t>1970</w:t>
      </w:r>
      <w:r>
        <w:rPr>
          <w:rFonts w:hint="eastAsia"/>
          <w:snapToGrid/>
          <w:szCs w:val="24"/>
        </w:rPr>
        <w:t>年</w:t>
      </w:r>
      <w:r>
        <w:rPr>
          <w:rFonts w:hint="eastAsia"/>
          <w:snapToGrid/>
          <w:szCs w:val="24"/>
        </w:rPr>
        <w:t>)</w:t>
      </w:r>
      <w:r>
        <w:rPr>
          <w:rFonts w:hint="eastAsia"/>
          <w:snapToGrid/>
          <w:szCs w:val="24"/>
        </w:rPr>
        <w:t>；第</w:t>
      </w:r>
      <w:r>
        <w:rPr>
          <w:snapToGrid/>
          <w:szCs w:val="24"/>
        </w:rPr>
        <w:t>155</w:t>
      </w:r>
      <w:r>
        <w:rPr>
          <w:rFonts w:hint="eastAsia"/>
          <w:snapToGrid/>
          <w:szCs w:val="24"/>
        </w:rPr>
        <w:t>号《职业安全和卫生公约》</w:t>
      </w:r>
      <w:r>
        <w:rPr>
          <w:rFonts w:hint="eastAsia"/>
          <w:snapToGrid/>
          <w:szCs w:val="24"/>
        </w:rPr>
        <w:t>(</w:t>
      </w:r>
      <w:r>
        <w:rPr>
          <w:snapToGrid/>
          <w:szCs w:val="24"/>
        </w:rPr>
        <w:t>1981</w:t>
      </w:r>
      <w:r>
        <w:rPr>
          <w:rFonts w:hint="eastAsia"/>
          <w:snapToGrid/>
          <w:szCs w:val="24"/>
        </w:rPr>
        <w:t>年</w:t>
      </w:r>
      <w:r>
        <w:rPr>
          <w:snapToGrid/>
          <w:szCs w:val="24"/>
        </w:rPr>
        <w:t>)</w:t>
      </w:r>
      <w:r>
        <w:rPr>
          <w:rFonts w:hint="eastAsia"/>
          <w:snapToGrid/>
          <w:szCs w:val="24"/>
        </w:rPr>
        <w:t>。</w:t>
      </w:r>
      <w:r>
        <w:rPr>
          <w:snapToGrid/>
          <w:szCs w:val="24"/>
        </w:rPr>
        <w:t>1998</w:t>
      </w:r>
      <w:r>
        <w:rPr>
          <w:rFonts w:hint="eastAsia"/>
          <w:snapToGrid/>
          <w:szCs w:val="24"/>
        </w:rPr>
        <w:t>年</w:t>
      </w:r>
      <w:r>
        <w:rPr>
          <w:snapToGrid/>
          <w:szCs w:val="24"/>
        </w:rPr>
        <w:t>，</w:t>
      </w:r>
      <w:r>
        <w:rPr>
          <w:rFonts w:hint="eastAsia"/>
          <w:snapToGrid/>
          <w:szCs w:val="24"/>
        </w:rPr>
        <w:t>捷克共和国向国际劳工组织实施公约和建议书委员会提交了关于执行第</w:t>
      </w:r>
      <w:r>
        <w:rPr>
          <w:rFonts w:hint="eastAsia"/>
          <w:snapToGrid/>
          <w:szCs w:val="24"/>
        </w:rPr>
        <w:t>100</w:t>
      </w:r>
      <w:r>
        <w:rPr>
          <w:rFonts w:hint="eastAsia"/>
          <w:snapToGrid/>
          <w:szCs w:val="24"/>
        </w:rPr>
        <w:t>号、第</w:t>
      </w:r>
      <w:r>
        <w:rPr>
          <w:rFonts w:hint="eastAsia"/>
          <w:snapToGrid/>
          <w:szCs w:val="24"/>
        </w:rPr>
        <w:t>132</w:t>
      </w:r>
      <w:r>
        <w:rPr>
          <w:rFonts w:hint="eastAsia"/>
          <w:snapToGrid/>
          <w:szCs w:val="24"/>
        </w:rPr>
        <w:t>号和第</w:t>
      </w:r>
      <w:r>
        <w:rPr>
          <w:snapToGrid/>
          <w:szCs w:val="24"/>
        </w:rPr>
        <w:t>155</w:t>
      </w:r>
      <w:r>
        <w:rPr>
          <w:rFonts w:hint="eastAsia"/>
          <w:snapToGrid/>
          <w:szCs w:val="24"/>
        </w:rPr>
        <w:t>号公约的报告。捷克共和国还加入了与《公约》第</w:t>
      </w:r>
      <w:r>
        <w:rPr>
          <w:snapToGrid/>
          <w:szCs w:val="24"/>
        </w:rPr>
        <w:t>7</w:t>
      </w:r>
      <w:r>
        <w:rPr>
          <w:rFonts w:hint="eastAsia"/>
          <w:snapToGrid/>
          <w:szCs w:val="24"/>
        </w:rPr>
        <w:t>条有关的以下公约；第</w:t>
      </w:r>
      <w:r>
        <w:rPr>
          <w:snapToGrid/>
          <w:szCs w:val="24"/>
        </w:rPr>
        <w:t>1</w:t>
      </w:r>
      <w:r>
        <w:rPr>
          <w:rFonts w:hint="eastAsia"/>
          <w:snapToGrid/>
          <w:szCs w:val="24"/>
        </w:rPr>
        <w:t>号《</w:t>
      </w:r>
      <w:r>
        <w:rPr>
          <w:rFonts w:hint="eastAsia"/>
          <w:snapToGrid/>
          <w:szCs w:val="24"/>
        </w:rPr>
        <w:t>(</w:t>
      </w:r>
      <w:r>
        <w:rPr>
          <w:rFonts w:hint="eastAsia"/>
          <w:snapToGrid/>
          <w:szCs w:val="24"/>
        </w:rPr>
        <w:t>工业</w:t>
      </w:r>
      <w:r>
        <w:rPr>
          <w:rFonts w:hint="eastAsia"/>
          <w:snapToGrid/>
          <w:szCs w:val="24"/>
        </w:rPr>
        <w:t>)</w:t>
      </w:r>
      <w:r>
        <w:rPr>
          <w:rFonts w:hint="eastAsia"/>
          <w:snapToGrid/>
          <w:szCs w:val="24"/>
        </w:rPr>
        <w:t>工时公约》</w:t>
      </w:r>
      <w:r>
        <w:rPr>
          <w:snapToGrid/>
          <w:szCs w:val="24"/>
        </w:rPr>
        <w:t>(1919</w:t>
      </w:r>
      <w:r>
        <w:rPr>
          <w:rFonts w:hint="eastAsia"/>
          <w:snapToGrid/>
          <w:szCs w:val="24"/>
        </w:rPr>
        <w:t>年</w:t>
      </w:r>
      <w:r>
        <w:rPr>
          <w:rFonts w:hint="eastAsia"/>
          <w:snapToGrid/>
          <w:szCs w:val="24"/>
        </w:rPr>
        <w:t>)</w:t>
      </w:r>
      <w:r>
        <w:rPr>
          <w:rFonts w:hint="eastAsia"/>
          <w:snapToGrid/>
          <w:szCs w:val="24"/>
        </w:rPr>
        <w:t>；第</w:t>
      </w:r>
      <w:r>
        <w:rPr>
          <w:snapToGrid/>
          <w:szCs w:val="24"/>
        </w:rPr>
        <w:t>13</w:t>
      </w:r>
      <w:r>
        <w:rPr>
          <w:rFonts w:hint="eastAsia"/>
          <w:snapToGrid/>
          <w:szCs w:val="24"/>
        </w:rPr>
        <w:t>号《</w:t>
      </w:r>
      <w:r>
        <w:rPr>
          <w:rFonts w:hint="eastAsia"/>
          <w:snapToGrid/>
          <w:szCs w:val="24"/>
        </w:rPr>
        <w:t>(</w:t>
      </w:r>
      <w:r>
        <w:rPr>
          <w:rFonts w:hint="eastAsia"/>
          <w:snapToGrid/>
          <w:szCs w:val="24"/>
        </w:rPr>
        <w:t>油漆</w:t>
      </w:r>
      <w:r>
        <w:rPr>
          <w:rFonts w:hint="eastAsia"/>
          <w:snapToGrid/>
          <w:szCs w:val="24"/>
        </w:rPr>
        <w:t>)</w:t>
      </w:r>
      <w:r>
        <w:rPr>
          <w:rFonts w:hint="eastAsia"/>
          <w:snapToGrid/>
          <w:szCs w:val="24"/>
        </w:rPr>
        <w:t>白铅公约》</w:t>
      </w:r>
      <w:r>
        <w:rPr>
          <w:rFonts w:hint="eastAsia"/>
          <w:snapToGrid/>
          <w:szCs w:val="24"/>
        </w:rPr>
        <w:t>(</w:t>
      </w:r>
      <w:r>
        <w:rPr>
          <w:snapToGrid/>
          <w:szCs w:val="24"/>
        </w:rPr>
        <w:t>1921</w:t>
      </w:r>
      <w:r>
        <w:rPr>
          <w:rFonts w:hint="eastAsia"/>
          <w:snapToGrid/>
          <w:szCs w:val="24"/>
        </w:rPr>
        <w:t>年</w:t>
      </w:r>
      <w:r>
        <w:rPr>
          <w:rFonts w:hint="eastAsia"/>
          <w:snapToGrid/>
          <w:szCs w:val="24"/>
        </w:rPr>
        <w:t>)</w:t>
      </w:r>
      <w:r>
        <w:rPr>
          <w:rFonts w:hint="eastAsia"/>
          <w:snapToGrid/>
          <w:szCs w:val="24"/>
        </w:rPr>
        <w:t>；第</w:t>
      </w:r>
      <w:r>
        <w:rPr>
          <w:snapToGrid/>
          <w:szCs w:val="24"/>
        </w:rPr>
        <w:t>26</w:t>
      </w:r>
      <w:r>
        <w:rPr>
          <w:rFonts w:hint="eastAsia"/>
          <w:snapToGrid/>
          <w:szCs w:val="24"/>
        </w:rPr>
        <w:t>号《规定最低工资办法公约》</w:t>
      </w:r>
      <w:r>
        <w:rPr>
          <w:rFonts w:hint="eastAsia"/>
          <w:snapToGrid/>
          <w:szCs w:val="24"/>
        </w:rPr>
        <w:t>(</w:t>
      </w:r>
      <w:r>
        <w:rPr>
          <w:snapToGrid/>
          <w:szCs w:val="24"/>
        </w:rPr>
        <w:t>1928</w:t>
      </w:r>
      <w:r>
        <w:rPr>
          <w:rFonts w:hint="eastAsia"/>
          <w:snapToGrid/>
          <w:szCs w:val="24"/>
        </w:rPr>
        <w:t>年</w:t>
      </w:r>
      <w:r>
        <w:rPr>
          <w:rFonts w:hint="eastAsia"/>
          <w:snapToGrid/>
          <w:szCs w:val="24"/>
        </w:rPr>
        <w:t>)</w:t>
      </w:r>
      <w:r>
        <w:rPr>
          <w:snapToGrid/>
          <w:szCs w:val="24"/>
        </w:rPr>
        <w:t>；</w:t>
      </w:r>
      <w:r>
        <w:rPr>
          <w:rFonts w:hint="eastAsia"/>
          <w:snapToGrid/>
          <w:szCs w:val="24"/>
        </w:rPr>
        <w:t>第</w:t>
      </w:r>
      <w:r>
        <w:rPr>
          <w:snapToGrid/>
          <w:szCs w:val="24"/>
        </w:rPr>
        <w:t>95</w:t>
      </w:r>
      <w:r>
        <w:rPr>
          <w:rFonts w:hint="eastAsia"/>
          <w:snapToGrid/>
          <w:szCs w:val="24"/>
        </w:rPr>
        <w:t>号《保护工资公约》</w:t>
      </w:r>
      <w:r>
        <w:rPr>
          <w:snapToGrid/>
          <w:szCs w:val="24"/>
        </w:rPr>
        <w:t>(1949</w:t>
      </w:r>
      <w:r>
        <w:rPr>
          <w:rFonts w:hint="eastAsia"/>
          <w:snapToGrid/>
          <w:szCs w:val="24"/>
        </w:rPr>
        <w:t>年</w:t>
      </w:r>
      <w:r>
        <w:rPr>
          <w:snapToGrid/>
          <w:szCs w:val="24"/>
        </w:rPr>
        <w:t>)</w:t>
      </w:r>
      <w:r>
        <w:rPr>
          <w:rFonts w:hint="eastAsia"/>
          <w:snapToGrid/>
          <w:szCs w:val="24"/>
        </w:rPr>
        <w:t>；第</w:t>
      </w:r>
      <w:r>
        <w:rPr>
          <w:snapToGrid/>
          <w:szCs w:val="24"/>
        </w:rPr>
        <w:t>99</w:t>
      </w:r>
      <w:r>
        <w:rPr>
          <w:rFonts w:hint="eastAsia"/>
          <w:snapToGrid/>
          <w:szCs w:val="24"/>
        </w:rPr>
        <w:t>号《</w:t>
      </w:r>
      <w:r>
        <w:rPr>
          <w:rFonts w:hint="eastAsia"/>
          <w:snapToGrid/>
          <w:szCs w:val="24"/>
        </w:rPr>
        <w:t>(</w:t>
      </w:r>
      <w:r>
        <w:rPr>
          <w:rFonts w:hint="eastAsia"/>
          <w:snapToGrid/>
          <w:szCs w:val="24"/>
        </w:rPr>
        <w:t>农业</w:t>
      </w:r>
      <w:r>
        <w:rPr>
          <w:rFonts w:hint="eastAsia"/>
          <w:snapToGrid/>
          <w:szCs w:val="24"/>
        </w:rPr>
        <w:t>)</w:t>
      </w:r>
      <w:r>
        <w:rPr>
          <w:rFonts w:hint="eastAsia"/>
          <w:snapToGrid/>
          <w:szCs w:val="24"/>
        </w:rPr>
        <w:t>规定最低工资办法公约》</w:t>
      </w:r>
      <w:r>
        <w:rPr>
          <w:rFonts w:hint="eastAsia"/>
          <w:snapToGrid/>
          <w:szCs w:val="24"/>
        </w:rPr>
        <w:t>(</w:t>
      </w:r>
      <w:r>
        <w:rPr>
          <w:snapToGrid/>
          <w:szCs w:val="24"/>
        </w:rPr>
        <w:t>1951</w:t>
      </w:r>
      <w:r>
        <w:rPr>
          <w:rFonts w:hint="eastAsia"/>
          <w:snapToGrid/>
          <w:szCs w:val="24"/>
        </w:rPr>
        <w:t>年</w:t>
      </w:r>
      <w:r>
        <w:rPr>
          <w:rFonts w:hint="eastAsia"/>
          <w:snapToGrid/>
          <w:szCs w:val="24"/>
        </w:rPr>
        <w:t>)</w:t>
      </w:r>
      <w:r>
        <w:rPr>
          <w:rFonts w:hint="eastAsia"/>
          <w:snapToGrid/>
          <w:szCs w:val="24"/>
        </w:rPr>
        <w:t>；第</w:t>
      </w:r>
      <w:r>
        <w:rPr>
          <w:snapToGrid/>
          <w:szCs w:val="24"/>
        </w:rPr>
        <w:t>111</w:t>
      </w:r>
      <w:r>
        <w:rPr>
          <w:rFonts w:hint="eastAsia"/>
          <w:snapToGrid/>
          <w:szCs w:val="24"/>
        </w:rPr>
        <w:t>号《</w:t>
      </w:r>
      <w:r>
        <w:rPr>
          <w:rFonts w:hint="eastAsia"/>
          <w:snapToGrid/>
          <w:szCs w:val="24"/>
        </w:rPr>
        <w:t>(</w:t>
      </w:r>
      <w:r>
        <w:rPr>
          <w:rFonts w:hint="eastAsia"/>
          <w:snapToGrid/>
          <w:szCs w:val="24"/>
        </w:rPr>
        <w:t>就业和职业</w:t>
      </w:r>
      <w:r>
        <w:rPr>
          <w:rFonts w:hint="eastAsia"/>
          <w:snapToGrid/>
          <w:szCs w:val="24"/>
        </w:rPr>
        <w:t>)</w:t>
      </w:r>
      <w:r>
        <w:rPr>
          <w:rFonts w:hint="eastAsia"/>
          <w:snapToGrid/>
          <w:szCs w:val="24"/>
        </w:rPr>
        <w:t>歧视公约》</w:t>
      </w:r>
      <w:r>
        <w:rPr>
          <w:rFonts w:hint="eastAsia"/>
          <w:snapToGrid/>
          <w:szCs w:val="24"/>
        </w:rPr>
        <w:t>(</w:t>
      </w:r>
      <w:r>
        <w:rPr>
          <w:snapToGrid/>
          <w:szCs w:val="24"/>
        </w:rPr>
        <w:t>l958</w:t>
      </w:r>
      <w:r>
        <w:rPr>
          <w:rFonts w:hint="eastAsia"/>
          <w:snapToGrid/>
          <w:szCs w:val="24"/>
        </w:rPr>
        <w:t>年</w:t>
      </w:r>
      <w:r>
        <w:rPr>
          <w:snapToGrid/>
          <w:szCs w:val="24"/>
        </w:rPr>
        <w:t>)</w:t>
      </w:r>
      <w:r>
        <w:rPr>
          <w:rFonts w:hint="eastAsia"/>
          <w:snapToGrid/>
          <w:szCs w:val="24"/>
        </w:rPr>
        <w:t>；第</w:t>
      </w:r>
      <w:r>
        <w:rPr>
          <w:snapToGrid/>
          <w:szCs w:val="24"/>
        </w:rPr>
        <w:t>136</w:t>
      </w:r>
      <w:r>
        <w:rPr>
          <w:rFonts w:hint="eastAsia"/>
          <w:snapToGrid/>
          <w:szCs w:val="24"/>
        </w:rPr>
        <w:t>号《苯公约》</w:t>
      </w:r>
      <w:r>
        <w:rPr>
          <w:rFonts w:hint="eastAsia"/>
          <w:snapToGrid/>
          <w:szCs w:val="24"/>
        </w:rPr>
        <w:t>(</w:t>
      </w:r>
      <w:r>
        <w:rPr>
          <w:snapToGrid/>
          <w:szCs w:val="24"/>
        </w:rPr>
        <w:t>1971</w:t>
      </w:r>
      <w:r>
        <w:rPr>
          <w:rFonts w:hint="eastAsia"/>
          <w:snapToGrid/>
          <w:szCs w:val="24"/>
        </w:rPr>
        <w:t>年</w:t>
      </w:r>
      <w:r>
        <w:rPr>
          <w:rFonts w:hint="eastAsia"/>
          <w:snapToGrid/>
          <w:szCs w:val="24"/>
        </w:rPr>
        <w:t>)</w:t>
      </w:r>
      <w:r>
        <w:rPr>
          <w:rFonts w:hint="eastAsia"/>
          <w:snapToGrid/>
          <w:szCs w:val="24"/>
        </w:rPr>
        <w:t>；第</w:t>
      </w:r>
      <w:r>
        <w:rPr>
          <w:snapToGrid/>
          <w:szCs w:val="24"/>
        </w:rPr>
        <w:t>139</w:t>
      </w:r>
      <w:r>
        <w:rPr>
          <w:rFonts w:hint="eastAsia"/>
          <w:snapToGrid/>
          <w:szCs w:val="24"/>
        </w:rPr>
        <w:t>号《职业癌公约》</w:t>
      </w:r>
      <w:r>
        <w:rPr>
          <w:snapToGrid/>
          <w:szCs w:val="24"/>
        </w:rPr>
        <w:t>(1974</w:t>
      </w:r>
      <w:r>
        <w:rPr>
          <w:rFonts w:hint="eastAsia"/>
          <w:snapToGrid/>
          <w:szCs w:val="24"/>
        </w:rPr>
        <w:t>年</w:t>
      </w:r>
      <w:r>
        <w:rPr>
          <w:rFonts w:hint="eastAsia"/>
          <w:snapToGrid/>
          <w:szCs w:val="24"/>
        </w:rPr>
        <w:t>)</w:t>
      </w:r>
      <w:r>
        <w:rPr>
          <w:rFonts w:hint="eastAsia"/>
          <w:snapToGrid/>
          <w:szCs w:val="24"/>
        </w:rPr>
        <w:t>；第</w:t>
      </w:r>
      <w:r>
        <w:rPr>
          <w:snapToGrid/>
          <w:szCs w:val="24"/>
        </w:rPr>
        <w:t>148</w:t>
      </w:r>
      <w:r>
        <w:rPr>
          <w:rFonts w:hint="eastAsia"/>
          <w:snapToGrid/>
          <w:szCs w:val="24"/>
        </w:rPr>
        <w:t>号《工作环境</w:t>
      </w:r>
      <w:r>
        <w:rPr>
          <w:snapToGrid/>
          <w:szCs w:val="24"/>
        </w:rPr>
        <w:t>(</w:t>
      </w:r>
      <w:r>
        <w:rPr>
          <w:rFonts w:hint="eastAsia"/>
          <w:snapToGrid/>
          <w:szCs w:val="24"/>
        </w:rPr>
        <w:t>空气污染、噪声和振动</w:t>
      </w:r>
      <w:r>
        <w:rPr>
          <w:rFonts w:hint="eastAsia"/>
          <w:snapToGrid/>
          <w:szCs w:val="24"/>
        </w:rPr>
        <w:t>)</w:t>
      </w:r>
      <w:r>
        <w:rPr>
          <w:rFonts w:hint="eastAsia"/>
          <w:snapToGrid/>
          <w:szCs w:val="24"/>
        </w:rPr>
        <w:t>公约》</w:t>
      </w:r>
      <w:r>
        <w:rPr>
          <w:rFonts w:hint="eastAsia"/>
          <w:snapToGrid/>
          <w:szCs w:val="24"/>
        </w:rPr>
        <w:t>(</w:t>
      </w:r>
      <w:r>
        <w:rPr>
          <w:snapToGrid/>
          <w:szCs w:val="24"/>
        </w:rPr>
        <w:t>1977</w:t>
      </w:r>
      <w:r>
        <w:rPr>
          <w:rFonts w:hint="eastAsia"/>
          <w:snapToGrid/>
          <w:szCs w:val="24"/>
        </w:rPr>
        <w:t>年</w:t>
      </w:r>
      <w:r>
        <w:rPr>
          <w:rFonts w:hint="eastAsia"/>
          <w:snapToGrid/>
          <w:szCs w:val="24"/>
        </w:rPr>
        <w:t>)</w:t>
      </w:r>
      <w:r>
        <w:rPr>
          <w:rFonts w:hint="eastAsia"/>
          <w:snapToGrid/>
          <w:szCs w:val="24"/>
        </w:rPr>
        <w:t>；第</w:t>
      </w:r>
      <w:r>
        <w:rPr>
          <w:snapToGrid/>
          <w:szCs w:val="24"/>
        </w:rPr>
        <w:t>167</w:t>
      </w:r>
      <w:r>
        <w:rPr>
          <w:rFonts w:hint="eastAsia"/>
          <w:snapToGrid/>
          <w:szCs w:val="24"/>
        </w:rPr>
        <w:t>号《建筑安全和卫生公约》</w:t>
      </w:r>
      <w:r>
        <w:rPr>
          <w:rFonts w:hint="eastAsia"/>
          <w:snapToGrid/>
          <w:szCs w:val="24"/>
        </w:rPr>
        <w:t>(</w:t>
      </w:r>
      <w:r>
        <w:rPr>
          <w:snapToGrid/>
          <w:szCs w:val="24"/>
        </w:rPr>
        <w:t>1988</w:t>
      </w:r>
      <w:r>
        <w:rPr>
          <w:rFonts w:hint="eastAsia"/>
          <w:snapToGrid/>
          <w:szCs w:val="24"/>
        </w:rPr>
        <w:t>年</w:t>
      </w:r>
      <w:r>
        <w:rPr>
          <w:rFonts w:hint="eastAsia"/>
          <w:snapToGrid/>
          <w:szCs w:val="24"/>
        </w:rPr>
        <w:t>)</w:t>
      </w:r>
      <w:r>
        <w:rPr>
          <w:rFonts w:hint="eastAsia"/>
          <w:snapToGrid/>
          <w:szCs w:val="24"/>
        </w:rPr>
        <w:t>。</w:t>
      </w:r>
    </w:p>
    <w:p w:rsidR="00000000" w:rsidRDefault="00000000">
      <w:pPr>
        <w:pStyle w:val="Heading4"/>
      </w:pPr>
      <w:r>
        <w:rPr>
          <w:rFonts w:hint="eastAsia"/>
        </w:rPr>
        <w:t>工作报酬</w:t>
      </w:r>
    </w:p>
    <w:p w:rsidR="00000000" w:rsidRDefault="00000000">
      <w:pPr>
        <w:rPr>
          <w:snapToGrid/>
          <w:szCs w:val="24"/>
        </w:rPr>
      </w:pPr>
      <w:r>
        <w:rPr>
          <w:rFonts w:hint="eastAsia"/>
          <w:snapToGrid/>
          <w:szCs w:val="24"/>
        </w:rPr>
        <w:tab/>
      </w:r>
      <w:r>
        <w:rPr>
          <w:snapToGrid/>
          <w:szCs w:val="24"/>
        </w:rPr>
        <w:t xml:space="preserve">252.  </w:t>
      </w:r>
      <w:r>
        <w:rPr>
          <w:rFonts w:hint="eastAsia"/>
          <w:snapToGrid/>
          <w:szCs w:val="24"/>
        </w:rPr>
        <w:t>《基本权利和自由宪章》第</w:t>
      </w:r>
      <w:r>
        <w:rPr>
          <w:rFonts w:hint="eastAsia"/>
          <w:snapToGrid/>
          <w:szCs w:val="24"/>
        </w:rPr>
        <w:t>28</w:t>
      </w:r>
      <w:r>
        <w:rPr>
          <w:rFonts w:hint="eastAsia"/>
          <w:snapToGrid/>
          <w:szCs w:val="24"/>
        </w:rPr>
        <w:t>条规定</w:t>
      </w:r>
      <w:r>
        <w:rPr>
          <w:snapToGrid/>
          <w:szCs w:val="24"/>
        </w:rPr>
        <w:t>：</w:t>
      </w:r>
      <w:r>
        <w:rPr>
          <w:rFonts w:hint="eastAsia"/>
          <w:snapToGrid/>
          <w:szCs w:val="24"/>
        </w:rPr>
        <w:t>“雇员有权得到公平的工作报酬和享有满意的工作条件，并应依法颁布细则。“关于就业关系中雇员获得报酬的法律规定载于以下法规</w:t>
      </w:r>
      <w:r>
        <w:rPr>
          <w:snapToGrid/>
          <w:szCs w:val="24"/>
        </w:rPr>
        <w:t>(</w:t>
      </w:r>
      <w:r>
        <w:rPr>
          <w:rFonts w:hint="eastAsia"/>
          <w:snapToGrid/>
          <w:szCs w:val="24"/>
        </w:rPr>
        <w:t>法律和分项法规</w:t>
      </w:r>
      <w:r>
        <w:rPr>
          <w:rFonts w:hint="eastAsia"/>
          <w:snapToGrid/>
          <w:szCs w:val="24"/>
        </w:rPr>
        <w:t>)</w:t>
      </w:r>
      <w:r>
        <w:rPr>
          <w:snapToGrid/>
          <w:szCs w:val="24"/>
        </w:rPr>
        <w:t>：</w:t>
      </w:r>
    </w:p>
    <w:p w:rsidR="00000000" w:rsidRDefault="00000000">
      <w:pPr>
        <w:pStyle w:val="a6"/>
        <w:tabs>
          <w:tab w:val="num" w:pos="510"/>
        </w:tabs>
        <w:ind w:left="1530"/>
        <w:rPr>
          <w:snapToGrid/>
        </w:rPr>
      </w:pPr>
      <w:r>
        <w:rPr>
          <w:rFonts w:hint="eastAsia"/>
          <w:snapToGrid/>
        </w:rPr>
        <w:t>《劳动法》</w:t>
      </w:r>
      <w:r>
        <w:rPr>
          <w:snapToGrid/>
        </w:rPr>
        <w:t>，</w:t>
      </w:r>
      <w:r>
        <w:rPr>
          <w:rFonts w:hint="eastAsia"/>
          <w:snapToGrid/>
        </w:rPr>
        <w:t>特别是第</w:t>
      </w:r>
      <w:r>
        <w:rPr>
          <w:snapToGrid/>
        </w:rPr>
        <w:t>119</w:t>
      </w:r>
      <w:r>
        <w:rPr>
          <w:rFonts w:hint="eastAsia"/>
          <w:snapToGrid/>
        </w:rPr>
        <w:t>至</w:t>
      </w:r>
      <w:r>
        <w:rPr>
          <w:snapToGrid/>
        </w:rPr>
        <w:t>212</w:t>
      </w:r>
      <w:r>
        <w:rPr>
          <w:rFonts w:hint="eastAsia"/>
          <w:snapToGrid/>
        </w:rPr>
        <w:t>条；</w:t>
      </w:r>
    </w:p>
    <w:p w:rsidR="00000000" w:rsidRDefault="00000000">
      <w:pPr>
        <w:pStyle w:val="a6"/>
        <w:tabs>
          <w:tab w:val="num" w:pos="510"/>
        </w:tabs>
        <w:ind w:left="1530"/>
        <w:rPr>
          <w:snapToGrid/>
        </w:rPr>
      </w:pPr>
      <w:r>
        <w:rPr>
          <w:rFonts w:hint="eastAsia"/>
          <w:snapToGrid/>
        </w:rPr>
        <w:t>《工资、待命工作报酬和平均收入法》；</w:t>
      </w:r>
    </w:p>
    <w:p w:rsidR="00000000" w:rsidRDefault="00000000">
      <w:pPr>
        <w:pStyle w:val="a6"/>
        <w:tabs>
          <w:tab w:val="num" w:pos="510"/>
        </w:tabs>
        <w:ind w:left="1530"/>
        <w:rPr>
          <w:snapToGrid/>
        </w:rPr>
      </w:pPr>
      <w:r>
        <w:rPr>
          <w:rFonts w:hint="eastAsia"/>
          <w:snapToGrid/>
        </w:rPr>
        <w:t>《关于预算及某些其他组织和机构中工资和待命工作报酬的规定》</w:t>
      </w:r>
      <w:r>
        <w:rPr>
          <w:snapToGrid/>
        </w:rPr>
        <w:t>；</w:t>
      </w:r>
    </w:p>
    <w:p w:rsidR="00000000" w:rsidRDefault="00000000">
      <w:pPr>
        <w:pStyle w:val="a6"/>
        <w:tabs>
          <w:tab w:val="num" w:pos="510"/>
        </w:tabs>
        <w:ind w:left="1530"/>
        <w:rPr>
          <w:snapToGrid/>
        </w:rPr>
      </w:pPr>
      <w:r>
        <w:rPr>
          <w:rFonts w:hint="eastAsia"/>
          <w:snapToGrid/>
        </w:rPr>
        <w:t>《关于国家检察机关工资和某些其他待遇的规定》；</w:t>
      </w:r>
      <w:r>
        <w:rPr>
          <w:rStyle w:val="EndnoteReference"/>
          <w:snapToGrid/>
        </w:rPr>
        <w:endnoteReference w:id="152"/>
      </w:r>
    </w:p>
    <w:p w:rsidR="00000000" w:rsidRDefault="00000000">
      <w:pPr>
        <w:pStyle w:val="a6"/>
        <w:tabs>
          <w:tab w:val="num" w:pos="510"/>
        </w:tabs>
        <w:ind w:left="1530"/>
        <w:rPr>
          <w:snapToGrid/>
        </w:rPr>
      </w:pPr>
      <w:r>
        <w:rPr>
          <w:rFonts w:hint="eastAsia"/>
          <w:snapToGrid/>
        </w:rPr>
        <w:t>《破产和清算法》；</w:t>
      </w:r>
      <w:r>
        <w:rPr>
          <w:rStyle w:val="EndnoteReference"/>
          <w:snapToGrid/>
        </w:rPr>
        <w:endnoteReference w:id="153"/>
      </w:r>
    </w:p>
    <w:p w:rsidR="00000000" w:rsidRDefault="00000000">
      <w:pPr>
        <w:pStyle w:val="a6"/>
        <w:tabs>
          <w:tab w:val="num" w:pos="510"/>
        </w:tabs>
        <w:ind w:left="1530"/>
        <w:rPr>
          <w:snapToGrid/>
        </w:rPr>
      </w:pPr>
      <w:r>
        <w:rPr>
          <w:rFonts w:hint="eastAsia"/>
          <w:snapToGrid/>
        </w:rPr>
        <w:t>《集体谈判法》；</w:t>
      </w:r>
      <w:r>
        <w:rPr>
          <w:rStyle w:val="EndnoteReference"/>
          <w:snapToGrid/>
        </w:rPr>
        <w:endnoteReference w:id="154"/>
      </w:r>
    </w:p>
    <w:p w:rsidR="00000000" w:rsidRDefault="00000000">
      <w:pPr>
        <w:pStyle w:val="a6"/>
        <w:tabs>
          <w:tab w:val="num" w:pos="510"/>
        </w:tabs>
        <w:ind w:left="1530"/>
        <w:rPr>
          <w:snapToGrid/>
          <w:spacing w:val="2"/>
        </w:rPr>
      </w:pPr>
      <w:r>
        <w:rPr>
          <w:rFonts w:hint="eastAsia"/>
          <w:snapToGrid/>
          <w:spacing w:val="2"/>
        </w:rPr>
        <w:t>《关于国家行政机关、某些其他团体和市政府雇员工资的政府令》；</w:t>
      </w:r>
      <w:r>
        <w:rPr>
          <w:rStyle w:val="EndnoteReference"/>
          <w:snapToGrid/>
        </w:rPr>
        <w:endnoteReference w:id="155"/>
      </w:r>
    </w:p>
    <w:p w:rsidR="00000000" w:rsidRDefault="00000000">
      <w:pPr>
        <w:pStyle w:val="a6"/>
        <w:tabs>
          <w:tab w:val="num" w:pos="510"/>
        </w:tabs>
        <w:ind w:left="1530"/>
        <w:rPr>
          <w:snapToGrid/>
        </w:rPr>
      </w:pPr>
      <w:r>
        <w:rPr>
          <w:rFonts w:hint="eastAsia"/>
          <w:snapToGrid/>
        </w:rPr>
        <w:t>《关于向教会牧师和宗教团体提供个人收入的政府令》；</w:t>
      </w:r>
      <w:r>
        <w:rPr>
          <w:rStyle w:val="EndnoteReference"/>
          <w:snapToGrid/>
        </w:rPr>
        <w:endnoteReference w:id="156"/>
      </w:r>
    </w:p>
    <w:p w:rsidR="00000000" w:rsidRDefault="00000000">
      <w:pPr>
        <w:pStyle w:val="a6"/>
        <w:tabs>
          <w:tab w:val="num" w:pos="510"/>
        </w:tabs>
        <w:ind w:left="1530"/>
        <w:rPr>
          <w:snapToGrid/>
        </w:rPr>
      </w:pPr>
      <w:r>
        <w:rPr>
          <w:rFonts w:hint="eastAsia"/>
          <w:snapToGrid/>
        </w:rPr>
        <w:t>《关于确定预算拨款组织及某些其他组织和机构工资和待命工作报酬的资金数额的政府令》；</w:t>
      </w:r>
      <w:r>
        <w:rPr>
          <w:rStyle w:val="EndnoteReference"/>
          <w:snapToGrid/>
        </w:rPr>
        <w:endnoteReference w:id="157"/>
      </w:r>
    </w:p>
    <w:p w:rsidR="00000000" w:rsidRDefault="00000000">
      <w:pPr>
        <w:pStyle w:val="a6"/>
        <w:tabs>
          <w:tab w:val="num" w:pos="510"/>
        </w:tabs>
        <w:ind w:left="1530"/>
        <w:rPr>
          <w:snapToGrid/>
        </w:rPr>
      </w:pPr>
      <w:r>
        <w:rPr>
          <w:rFonts w:hint="eastAsia"/>
          <w:snapToGrid/>
        </w:rPr>
        <w:t>《关于最低工资的政府条例》；</w:t>
      </w:r>
      <w:r>
        <w:rPr>
          <w:rStyle w:val="EndnoteReference"/>
          <w:snapToGrid/>
        </w:rPr>
        <w:endnoteReference w:id="158"/>
      </w:r>
    </w:p>
    <w:p w:rsidR="00000000" w:rsidRDefault="00000000">
      <w:pPr>
        <w:pStyle w:val="a6"/>
        <w:tabs>
          <w:tab w:val="num" w:pos="510"/>
        </w:tabs>
        <w:ind w:left="1530"/>
        <w:rPr>
          <w:snapToGrid/>
        </w:rPr>
      </w:pPr>
      <w:r>
        <w:rPr>
          <w:rFonts w:hint="eastAsia"/>
          <w:snapToGrid/>
        </w:rPr>
        <w:t>《关于执行</w:t>
      </w:r>
      <w:r>
        <w:rPr>
          <w:snapToGrid/>
        </w:rPr>
        <w:t>[</w:t>
      </w:r>
      <w:r>
        <w:rPr>
          <w:rFonts w:hint="eastAsia"/>
          <w:snapToGrid/>
        </w:rPr>
        <w:t>劳动法</w:t>
      </w:r>
      <w:r>
        <w:rPr>
          <w:snapToGrid/>
        </w:rPr>
        <w:t>]</w:t>
      </w:r>
      <w:r>
        <w:rPr>
          <w:rFonts w:hint="eastAsia"/>
          <w:snapToGrid/>
        </w:rPr>
        <w:t>的政府条例》；</w:t>
      </w:r>
      <w:r>
        <w:rPr>
          <w:rStyle w:val="EndnoteReference"/>
          <w:snapToGrid/>
        </w:rPr>
        <w:endnoteReference w:id="159"/>
      </w:r>
    </w:p>
    <w:p w:rsidR="00000000" w:rsidRDefault="00000000">
      <w:pPr>
        <w:pStyle w:val="a6"/>
        <w:tabs>
          <w:tab w:val="num" w:pos="510"/>
        </w:tabs>
        <w:ind w:left="1530"/>
        <w:rPr>
          <w:snapToGrid/>
        </w:rPr>
      </w:pPr>
      <w:r>
        <w:rPr>
          <w:rFonts w:hint="eastAsia"/>
          <w:snapToGrid/>
        </w:rPr>
        <w:t>《关于制定艰苦或有害健康环境和夜班工作的最低工资水平和工资津贴的政府条例》；</w:t>
      </w:r>
      <w:r>
        <w:rPr>
          <w:rStyle w:val="EndnoteReference"/>
          <w:snapToGrid/>
        </w:rPr>
        <w:endnoteReference w:id="160"/>
      </w:r>
    </w:p>
    <w:p w:rsidR="00000000" w:rsidRDefault="00000000">
      <w:pPr>
        <w:pStyle w:val="a6"/>
        <w:tabs>
          <w:tab w:val="num" w:pos="510"/>
        </w:tabs>
        <w:ind w:left="1530"/>
        <w:rPr>
          <w:rFonts w:hint="eastAsia"/>
          <w:snapToGrid/>
        </w:rPr>
      </w:pPr>
      <w:r>
        <w:rPr>
          <w:rFonts w:hint="eastAsia"/>
          <w:snapToGrid/>
        </w:rPr>
        <w:t>《关于为艰苦或有害健康工作条件和夜班工作提供特别补充津贴及其数额的政府条例》；</w:t>
      </w:r>
      <w:r>
        <w:rPr>
          <w:rStyle w:val="EndnoteReference"/>
          <w:snapToGrid/>
        </w:rPr>
        <w:endnoteReference w:id="161"/>
      </w:r>
    </w:p>
    <w:p w:rsidR="00000000" w:rsidRDefault="00000000">
      <w:pPr>
        <w:pStyle w:val="a6"/>
        <w:tabs>
          <w:tab w:val="num" w:pos="510"/>
        </w:tabs>
        <w:ind w:left="1530"/>
        <w:rPr>
          <w:snapToGrid/>
        </w:rPr>
      </w:pPr>
      <w:r>
        <w:rPr>
          <w:rFonts w:hint="eastAsia"/>
          <w:snapToGrid/>
        </w:rPr>
        <w:t>《关于计算不得为执行判决从每月工资扣留的基本部分的方法以及制定可不受限制加以扣留的工资部分的政府条例》；</w:t>
      </w:r>
      <w:r>
        <w:rPr>
          <w:rStyle w:val="EndnoteReference"/>
          <w:snapToGrid/>
        </w:rPr>
        <w:endnoteReference w:id="162"/>
      </w:r>
    </w:p>
    <w:p w:rsidR="00000000" w:rsidRDefault="00000000">
      <w:pPr>
        <w:pStyle w:val="a6"/>
        <w:tabs>
          <w:tab w:val="num" w:pos="510"/>
        </w:tabs>
        <w:ind w:left="1530"/>
        <w:rPr>
          <w:snapToGrid/>
        </w:rPr>
      </w:pPr>
      <w:r>
        <w:rPr>
          <w:rFonts w:hint="eastAsia"/>
          <w:snapToGrid/>
        </w:rPr>
        <w:t>《关于预算拨款组织和某些其他组织雇员工资的政府条例》；</w:t>
      </w:r>
      <w:r>
        <w:rPr>
          <w:rStyle w:val="EndnoteReference"/>
          <w:snapToGrid/>
        </w:rPr>
        <w:endnoteReference w:id="163"/>
      </w:r>
    </w:p>
    <w:p w:rsidR="00000000" w:rsidRDefault="00000000">
      <w:pPr>
        <w:pStyle w:val="a6"/>
        <w:tabs>
          <w:tab w:val="num" w:pos="510"/>
        </w:tabs>
        <w:ind w:left="1530"/>
        <w:rPr>
          <w:snapToGrid/>
        </w:rPr>
      </w:pPr>
      <w:r>
        <w:rPr>
          <w:rFonts w:hint="eastAsia"/>
          <w:snapToGrid/>
        </w:rPr>
        <w:t>《关于武装部队、安全部队和服务部门、海关行政机构、消防队成员和某些其他组织雇员工资的政府条例》。</w:t>
      </w:r>
      <w:r>
        <w:rPr>
          <w:rStyle w:val="EndnoteReference"/>
          <w:snapToGrid/>
        </w:rPr>
        <w:endnoteReference w:id="164"/>
      </w:r>
    </w:p>
    <w:p w:rsidR="00000000" w:rsidRDefault="00000000">
      <w:pPr>
        <w:rPr>
          <w:snapToGrid/>
          <w:szCs w:val="24"/>
        </w:rPr>
      </w:pPr>
      <w:r>
        <w:rPr>
          <w:rFonts w:hint="eastAsia"/>
          <w:snapToGrid/>
          <w:szCs w:val="24"/>
        </w:rPr>
        <w:tab/>
      </w:r>
      <w:r>
        <w:rPr>
          <w:snapToGrid/>
          <w:szCs w:val="24"/>
        </w:rPr>
        <w:t xml:space="preserve">253.  </w:t>
      </w:r>
      <w:r>
        <w:rPr>
          <w:rFonts w:hint="eastAsia"/>
          <w:snapToGrid/>
          <w:szCs w:val="24"/>
        </w:rPr>
        <w:t>法律专辑公布了所有与工资有关的约束性规章</w:t>
      </w:r>
      <w:r>
        <w:rPr>
          <w:snapToGrid/>
          <w:szCs w:val="24"/>
        </w:rPr>
        <w:t>，</w:t>
      </w:r>
      <w:r>
        <w:rPr>
          <w:rFonts w:hint="eastAsia"/>
          <w:snapToGrid/>
          <w:szCs w:val="24"/>
        </w:rPr>
        <w:t>雇员可随时在工作单位查阅其工资所依据的法规。</w:t>
      </w:r>
    </w:p>
    <w:p w:rsidR="00000000" w:rsidRDefault="00000000">
      <w:pPr>
        <w:rPr>
          <w:snapToGrid/>
          <w:szCs w:val="24"/>
        </w:rPr>
      </w:pPr>
      <w:r>
        <w:rPr>
          <w:rFonts w:hint="eastAsia"/>
          <w:snapToGrid/>
          <w:szCs w:val="24"/>
        </w:rPr>
        <w:tab/>
      </w:r>
      <w:r>
        <w:rPr>
          <w:snapToGrid/>
          <w:szCs w:val="24"/>
        </w:rPr>
        <w:t xml:space="preserve">254.  </w:t>
      </w:r>
      <w:r>
        <w:rPr>
          <w:rFonts w:hint="eastAsia"/>
          <w:snapToGrid/>
          <w:szCs w:val="24"/>
        </w:rPr>
        <w:t>《劳动法》、《工资法》和《薪金法》确立了雇员领取工资</w:t>
      </w:r>
      <w:r>
        <w:rPr>
          <w:snapToGrid/>
          <w:szCs w:val="24"/>
        </w:rPr>
        <w:t>(</w:t>
      </w:r>
      <w:r>
        <w:rPr>
          <w:rFonts w:hint="eastAsia"/>
          <w:snapToGrid/>
          <w:szCs w:val="24"/>
        </w:rPr>
        <w:t>薪金</w:t>
      </w:r>
      <w:r>
        <w:rPr>
          <w:rFonts w:hint="eastAsia"/>
          <w:snapToGrid/>
          <w:szCs w:val="24"/>
        </w:rPr>
        <w:t>)</w:t>
      </w:r>
      <w:r>
        <w:rPr>
          <w:rFonts w:hint="eastAsia"/>
          <w:snapToGrid/>
          <w:szCs w:val="24"/>
        </w:rPr>
        <w:t>的权利。工资</w:t>
      </w:r>
      <w:r>
        <w:rPr>
          <w:snapToGrid/>
          <w:szCs w:val="24"/>
        </w:rPr>
        <w:t>(</w:t>
      </w:r>
      <w:r>
        <w:rPr>
          <w:rFonts w:hint="eastAsia"/>
          <w:snapToGrid/>
          <w:szCs w:val="24"/>
        </w:rPr>
        <w:t>薪金</w:t>
      </w:r>
      <w:r>
        <w:rPr>
          <w:snapToGrid/>
          <w:szCs w:val="24"/>
        </w:rPr>
        <w:t>)</w:t>
      </w:r>
      <w:r>
        <w:rPr>
          <w:rFonts w:hint="eastAsia"/>
          <w:snapToGrid/>
          <w:szCs w:val="24"/>
        </w:rPr>
        <w:t>是指雇主对雇员所从事的工作给予的货币和非货币</w:t>
      </w:r>
      <w:r>
        <w:rPr>
          <w:rFonts w:hint="eastAsia"/>
          <w:snapToGrid/>
          <w:szCs w:val="24"/>
        </w:rPr>
        <w:t>(</w:t>
      </w:r>
      <w:r>
        <w:rPr>
          <w:rFonts w:hint="eastAsia"/>
          <w:snapToGrid/>
          <w:szCs w:val="24"/>
        </w:rPr>
        <w:t>实物</w:t>
      </w:r>
      <w:r>
        <w:rPr>
          <w:rFonts w:hint="eastAsia"/>
          <w:snapToGrid/>
          <w:szCs w:val="24"/>
        </w:rPr>
        <w:t>)</w:t>
      </w:r>
      <w:r>
        <w:rPr>
          <w:rFonts w:hint="eastAsia"/>
          <w:snapToGrid/>
          <w:szCs w:val="24"/>
        </w:rPr>
        <w:t>报酬。按特别条例提供的有关就业报酬不应算作工资</w:t>
      </w:r>
      <w:r>
        <w:rPr>
          <w:snapToGrid/>
          <w:szCs w:val="24"/>
        </w:rPr>
        <w:t>(</w:t>
      </w:r>
      <w:r>
        <w:rPr>
          <w:rFonts w:hint="eastAsia"/>
          <w:snapToGrid/>
          <w:szCs w:val="24"/>
        </w:rPr>
        <w:t>薪金</w:t>
      </w:r>
      <w:r>
        <w:rPr>
          <w:rFonts w:hint="eastAsia"/>
          <w:snapToGrid/>
          <w:szCs w:val="24"/>
        </w:rPr>
        <w:t>)</w:t>
      </w:r>
      <w:r>
        <w:rPr>
          <w:snapToGrid/>
          <w:szCs w:val="24"/>
        </w:rPr>
        <w:t>，</w:t>
      </w:r>
      <w:r>
        <w:rPr>
          <w:rFonts w:hint="eastAsia"/>
          <w:snapToGrid/>
          <w:szCs w:val="24"/>
        </w:rPr>
        <w:t>如工资补偿、解职费、旅费、资本投资收益</w:t>
      </w:r>
      <w:r>
        <w:rPr>
          <w:snapToGrid/>
          <w:szCs w:val="24"/>
        </w:rPr>
        <w:t>(</w:t>
      </w:r>
      <w:r>
        <w:rPr>
          <w:rFonts w:hint="eastAsia"/>
          <w:snapToGrid/>
          <w:szCs w:val="24"/>
        </w:rPr>
        <w:t>股票</w:t>
      </w:r>
      <w:r>
        <w:rPr>
          <w:rFonts w:hint="eastAsia"/>
          <w:snapToGrid/>
          <w:szCs w:val="24"/>
        </w:rPr>
        <w:t>)</w:t>
      </w:r>
      <w:r>
        <w:rPr>
          <w:rFonts w:hint="eastAsia"/>
          <w:snapToGrid/>
          <w:szCs w:val="24"/>
        </w:rPr>
        <w:t>、债券和紧急工作</w:t>
      </w:r>
      <w:r>
        <w:rPr>
          <w:rFonts w:hint="eastAsia"/>
          <w:snapToGrid/>
          <w:szCs w:val="24"/>
        </w:rPr>
        <w:t>(</w:t>
      </w:r>
      <w:r>
        <w:rPr>
          <w:rFonts w:hint="eastAsia"/>
          <w:snapToGrid/>
          <w:szCs w:val="24"/>
        </w:rPr>
        <w:t>待命</w:t>
      </w:r>
      <w:r>
        <w:rPr>
          <w:rFonts w:hint="eastAsia"/>
          <w:snapToGrid/>
          <w:szCs w:val="24"/>
        </w:rPr>
        <w:t>)</w:t>
      </w:r>
      <w:r>
        <w:rPr>
          <w:rFonts w:hint="eastAsia"/>
          <w:snapToGrid/>
          <w:szCs w:val="24"/>
        </w:rPr>
        <w:t>补偿。</w:t>
      </w:r>
    </w:p>
    <w:p w:rsidR="00000000" w:rsidRDefault="00000000">
      <w:pPr>
        <w:spacing w:after="320"/>
        <w:rPr>
          <w:snapToGrid/>
          <w:szCs w:val="24"/>
        </w:rPr>
      </w:pPr>
      <w:r>
        <w:rPr>
          <w:rFonts w:hint="eastAsia"/>
          <w:snapToGrid/>
          <w:szCs w:val="24"/>
        </w:rPr>
        <w:tab/>
      </w:r>
      <w:r>
        <w:rPr>
          <w:snapToGrid/>
          <w:szCs w:val="24"/>
        </w:rPr>
        <w:t xml:space="preserve">255.  </w:t>
      </w:r>
      <w:r>
        <w:rPr>
          <w:rFonts w:hint="eastAsia"/>
          <w:snapToGrid/>
          <w:szCs w:val="24"/>
        </w:rPr>
        <w:t>在预算拨款或接受补贴的机构中</w:t>
      </w:r>
      <w:r>
        <w:rPr>
          <w:snapToGrid/>
          <w:szCs w:val="24"/>
        </w:rPr>
        <w:t>，</w:t>
      </w:r>
      <w:r>
        <w:rPr>
          <w:rFonts w:hint="eastAsia"/>
          <w:snapToGrid/>
          <w:szCs w:val="24"/>
        </w:rPr>
        <w:t>法律和实施条例规定了发放工资的法定程序。确保这些组织内男女同工同酬的依据是工资级别</w:t>
      </w:r>
      <w:r>
        <w:rPr>
          <w:snapToGrid/>
          <w:szCs w:val="24"/>
        </w:rPr>
        <w:t>(</w:t>
      </w:r>
      <w:r>
        <w:rPr>
          <w:rFonts w:hint="eastAsia"/>
          <w:snapToGrid/>
          <w:szCs w:val="24"/>
        </w:rPr>
        <w:t>目前为</w:t>
      </w:r>
      <w:r>
        <w:rPr>
          <w:snapToGrid/>
          <w:szCs w:val="24"/>
        </w:rPr>
        <w:t>12</w:t>
      </w:r>
      <w:r>
        <w:rPr>
          <w:rFonts w:hint="eastAsia"/>
          <w:snapToGrid/>
          <w:szCs w:val="24"/>
        </w:rPr>
        <w:t>级</w:t>
      </w:r>
      <w:r>
        <w:rPr>
          <w:snapToGrid/>
          <w:szCs w:val="24"/>
        </w:rPr>
        <w:t>，</w:t>
      </w:r>
      <w:r>
        <w:rPr>
          <w:rFonts w:hint="eastAsia"/>
          <w:snapToGrid/>
          <w:szCs w:val="24"/>
        </w:rPr>
        <w:t>正在准备扩大到</w:t>
      </w:r>
      <w:r>
        <w:rPr>
          <w:snapToGrid/>
          <w:szCs w:val="24"/>
        </w:rPr>
        <w:t>16</w:t>
      </w:r>
      <w:r>
        <w:rPr>
          <w:rFonts w:hint="eastAsia"/>
          <w:snapToGrid/>
          <w:szCs w:val="24"/>
        </w:rPr>
        <w:t>级</w:t>
      </w:r>
      <w:r>
        <w:rPr>
          <w:snapToGrid/>
          <w:szCs w:val="24"/>
        </w:rPr>
        <w:t>，</w:t>
      </w:r>
      <w:r>
        <w:rPr>
          <w:rFonts w:hint="eastAsia"/>
          <w:snapToGrid/>
          <w:szCs w:val="24"/>
        </w:rPr>
        <w:t>于</w:t>
      </w:r>
      <w:r>
        <w:rPr>
          <w:snapToGrid/>
          <w:szCs w:val="24"/>
        </w:rPr>
        <w:t>2002</w:t>
      </w:r>
      <w:r>
        <w:rPr>
          <w:rFonts w:hint="eastAsia"/>
          <w:snapToGrid/>
          <w:szCs w:val="24"/>
        </w:rPr>
        <w:t>年</w:t>
      </w:r>
      <w:r>
        <w:rPr>
          <w:snapToGrid/>
          <w:szCs w:val="24"/>
        </w:rPr>
        <w:t>1</w:t>
      </w:r>
      <w:r>
        <w:rPr>
          <w:rFonts w:hint="eastAsia"/>
          <w:snapToGrid/>
          <w:szCs w:val="24"/>
        </w:rPr>
        <w:t>月</w:t>
      </w:r>
      <w:r>
        <w:rPr>
          <w:snapToGrid/>
          <w:szCs w:val="24"/>
        </w:rPr>
        <w:t>1</w:t>
      </w:r>
      <w:r>
        <w:rPr>
          <w:rFonts w:hint="eastAsia"/>
          <w:snapToGrid/>
          <w:szCs w:val="24"/>
        </w:rPr>
        <w:t>日执行</w:t>
      </w:r>
      <w:r>
        <w:rPr>
          <w:rFonts w:hint="eastAsia"/>
          <w:snapToGrid/>
          <w:szCs w:val="24"/>
        </w:rPr>
        <w:t>)</w:t>
      </w:r>
      <w:r>
        <w:rPr>
          <w:rFonts w:hint="eastAsia"/>
          <w:snapToGrid/>
          <w:szCs w:val="24"/>
        </w:rPr>
        <w:t>和工作类别制度。关于雇员工资级别的文件是约束性的。在私营部门</w:t>
      </w:r>
      <w:r>
        <w:rPr>
          <w:snapToGrid/>
          <w:szCs w:val="24"/>
        </w:rPr>
        <w:t>，</w:t>
      </w:r>
      <w:r>
        <w:rPr>
          <w:rFonts w:hint="eastAsia"/>
          <w:snapToGrid/>
          <w:szCs w:val="24"/>
        </w:rPr>
        <w:t>工资主要在雇用合同或集体协议中确定</w:t>
      </w:r>
      <w:r>
        <w:rPr>
          <w:snapToGrid/>
          <w:szCs w:val="24"/>
        </w:rPr>
        <w:t>，</w:t>
      </w:r>
      <w:r>
        <w:rPr>
          <w:rFonts w:hint="eastAsia"/>
          <w:snapToGrid/>
          <w:szCs w:val="24"/>
        </w:rPr>
        <w:t>这是一家公司或整个经济部门与工人集体谈判的结果。集体协议以公司或更高级别为基础加以订立。集体谈判约覆盖私营部门</w:t>
      </w:r>
      <w:r>
        <w:rPr>
          <w:snapToGrid/>
          <w:szCs w:val="24"/>
        </w:rPr>
        <w:t>4</w:t>
      </w:r>
      <w:r>
        <w:rPr>
          <w:rFonts w:hint="eastAsia"/>
          <w:snapToGrid/>
          <w:szCs w:val="24"/>
        </w:rPr>
        <w:t>0%</w:t>
      </w:r>
      <w:r>
        <w:rPr>
          <w:rFonts w:hint="eastAsia"/>
          <w:snapToGrid/>
          <w:szCs w:val="24"/>
        </w:rPr>
        <w:t>的雇员。集体谈判的程序由《集体谈判法》作出规定。</w:t>
      </w:r>
    </w:p>
    <w:p w:rsidR="00000000" w:rsidRDefault="00000000">
      <w:pPr>
        <w:pStyle w:val="Heading3"/>
        <w:rPr>
          <w:rFonts w:hint="eastAsia"/>
        </w:rPr>
      </w:pPr>
      <w:r>
        <w:rPr>
          <w:rFonts w:hint="eastAsia"/>
        </w:rPr>
        <w:t>国民经济民用部门平均月毛工资</w:t>
      </w:r>
      <w:r>
        <w:rPr>
          <w:rFonts w:hint="eastAsia"/>
        </w:rPr>
        <w:t>(</w:t>
      </w:r>
      <w:r>
        <w:rPr>
          <w:rFonts w:hint="eastAsia"/>
        </w:rPr>
        <w:t>捷克克朗</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49"/>
        <w:gridCol w:w="1020"/>
        <w:gridCol w:w="1021"/>
        <w:gridCol w:w="1020"/>
        <w:gridCol w:w="1021"/>
        <w:gridCol w:w="1021"/>
      </w:tblGrid>
      <w:tr w:rsidR="00000000">
        <w:tblPrEx>
          <w:tblCellMar>
            <w:top w:w="0" w:type="dxa"/>
            <w:bottom w:w="0" w:type="dxa"/>
          </w:tblCellMar>
        </w:tblPrEx>
        <w:trPr>
          <w:tblHeader/>
        </w:trPr>
        <w:tc>
          <w:tcPr>
            <w:tcW w:w="4349" w:type="dxa"/>
            <w:tcBorders>
              <w:bottom w:val="single" w:sz="4" w:space="0" w:color="auto"/>
            </w:tcBorders>
          </w:tcPr>
          <w:p w:rsidR="00000000" w:rsidRDefault="00000000">
            <w:pPr>
              <w:pStyle w:val="aa"/>
              <w:spacing w:before="120" w:line="336" w:lineRule="auto"/>
              <w:jc w:val="center"/>
            </w:pPr>
          </w:p>
        </w:tc>
        <w:tc>
          <w:tcPr>
            <w:tcW w:w="1020" w:type="dxa"/>
            <w:tcBorders>
              <w:bottom w:val="single" w:sz="4" w:space="0" w:color="auto"/>
            </w:tcBorders>
          </w:tcPr>
          <w:p w:rsidR="00000000" w:rsidRDefault="00000000">
            <w:pPr>
              <w:pStyle w:val="aa"/>
              <w:spacing w:before="120" w:line="336" w:lineRule="auto"/>
              <w:jc w:val="center"/>
            </w:pPr>
            <w:r>
              <w:t>1990</w:t>
            </w:r>
          </w:p>
        </w:tc>
        <w:tc>
          <w:tcPr>
            <w:tcW w:w="1021" w:type="dxa"/>
            <w:tcBorders>
              <w:bottom w:val="single" w:sz="4" w:space="0" w:color="auto"/>
            </w:tcBorders>
          </w:tcPr>
          <w:p w:rsidR="00000000" w:rsidRDefault="00000000">
            <w:pPr>
              <w:pStyle w:val="aa"/>
              <w:spacing w:before="120" w:line="336" w:lineRule="auto"/>
              <w:jc w:val="center"/>
            </w:pPr>
            <w:r>
              <w:t>1995</w:t>
            </w:r>
          </w:p>
        </w:tc>
        <w:tc>
          <w:tcPr>
            <w:tcW w:w="1020" w:type="dxa"/>
            <w:tcBorders>
              <w:bottom w:val="single" w:sz="4" w:space="0" w:color="auto"/>
            </w:tcBorders>
          </w:tcPr>
          <w:p w:rsidR="00000000" w:rsidRDefault="00000000">
            <w:pPr>
              <w:pStyle w:val="aa"/>
              <w:spacing w:before="120" w:line="336" w:lineRule="auto"/>
              <w:jc w:val="center"/>
            </w:pPr>
            <w:r>
              <w:t>1996</w:t>
            </w:r>
          </w:p>
        </w:tc>
        <w:tc>
          <w:tcPr>
            <w:tcW w:w="1021" w:type="dxa"/>
            <w:tcBorders>
              <w:bottom w:val="single" w:sz="4" w:space="0" w:color="auto"/>
            </w:tcBorders>
          </w:tcPr>
          <w:p w:rsidR="00000000" w:rsidRDefault="00000000">
            <w:pPr>
              <w:pStyle w:val="aa"/>
              <w:spacing w:before="120" w:line="336" w:lineRule="auto"/>
              <w:jc w:val="center"/>
            </w:pPr>
            <w:r>
              <w:t>1997</w:t>
            </w:r>
            <w:r>
              <w:rPr>
                <w:vertAlign w:val="superscript"/>
              </w:rPr>
              <w:t>a</w:t>
            </w:r>
          </w:p>
        </w:tc>
        <w:tc>
          <w:tcPr>
            <w:tcW w:w="1021" w:type="dxa"/>
            <w:tcBorders>
              <w:bottom w:val="single" w:sz="4" w:space="0" w:color="auto"/>
            </w:tcBorders>
          </w:tcPr>
          <w:p w:rsidR="00000000" w:rsidRDefault="00000000">
            <w:pPr>
              <w:pStyle w:val="aa"/>
              <w:spacing w:before="120" w:line="336" w:lineRule="auto"/>
              <w:jc w:val="center"/>
            </w:pPr>
            <w:r>
              <w:t>1998</w:t>
            </w:r>
            <w:r>
              <w:rPr>
                <w:vertAlign w:val="superscript"/>
              </w:rPr>
              <w:t>a</w:t>
            </w:r>
          </w:p>
        </w:tc>
      </w:tr>
      <w:tr w:rsidR="00000000">
        <w:tblPrEx>
          <w:tblCellMar>
            <w:top w:w="0" w:type="dxa"/>
            <w:bottom w:w="0" w:type="dxa"/>
          </w:tblCellMar>
        </w:tblPrEx>
        <w:tc>
          <w:tcPr>
            <w:tcW w:w="4349" w:type="dxa"/>
            <w:tcBorders>
              <w:bottom w:val="nil"/>
            </w:tcBorders>
          </w:tcPr>
          <w:p w:rsidR="00000000" w:rsidRDefault="00000000">
            <w:pPr>
              <w:pStyle w:val="aa"/>
              <w:spacing w:line="336" w:lineRule="auto"/>
              <w:rPr>
                <w:rFonts w:hint="eastAsia"/>
                <w:u w:val="single"/>
              </w:rPr>
            </w:pPr>
            <w:r>
              <w:rPr>
                <w:rFonts w:hint="eastAsia"/>
                <w:u w:val="single"/>
              </w:rPr>
              <w:t>总</w:t>
            </w:r>
            <w:r>
              <w:rPr>
                <w:rFonts w:hint="eastAsia"/>
                <w:u w:val="single"/>
              </w:rPr>
              <w:t xml:space="preserve">  </w:t>
            </w:r>
            <w:r>
              <w:rPr>
                <w:rFonts w:hint="eastAsia"/>
                <w:u w:val="single"/>
              </w:rPr>
              <w:t>额</w:t>
            </w:r>
          </w:p>
        </w:tc>
        <w:tc>
          <w:tcPr>
            <w:tcW w:w="1020" w:type="dxa"/>
            <w:tcBorders>
              <w:bottom w:val="nil"/>
            </w:tcBorders>
          </w:tcPr>
          <w:p w:rsidR="00000000" w:rsidRDefault="00000000">
            <w:pPr>
              <w:pStyle w:val="aa"/>
              <w:spacing w:line="336" w:lineRule="auto"/>
              <w:ind w:right="113"/>
              <w:jc w:val="right"/>
            </w:pPr>
            <w:r>
              <w:t>3 286</w:t>
            </w:r>
          </w:p>
        </w:tc>
        <w:tc>
          <w:tcPr>
            <w:tcW w:w="1021" w:type="dxa"/>
            <w:tcBorders>
              <w:bottom w:val="nil"/>
            </w:tcBorders>
          </w:tcPr>
          <w:p w:rsidR="00000000" w:rsidRDefault="00000000">
            <w:pPr>
              <w:pStyle w:val="aa"/>
              <w:spacing w:line="336" w:lineRule="auto"/>
              <w:ind w:right="113"/>
              <w:jc w:val="right"/>
            </w:pPr>
            <w:r>
              <w:t>8 172</w:t>
            </w:r>
          </w:p>
        </w:tc>
        <w:tc>
          <w:tcPr>
            <w:tcW w:w="1020" w:type="dxa"/>
            <w:tcBorders>
              <w:bottom w:val="nil"/>
            </w:tcBorders>
          </w:tcPr>
          <w:p w:rsidR="00000000" w:rsidRDefault="00000000">
            <w:pPr>
              <w:pStyle w:val="aa"/>
              <w:spacing w:line="336" w:lineRule="auto"/>
              <w:ind w:right="113"/>
              <w:jc w:val="right"/>
            </w:pPr>
            <w:r>
              <w:t>9 676</w:t>
            </w:r>
          </w:p>
        </w:tc>
        <w:tc>
          <w:tcPr>
            <w:tcW w:w="1021" w:type="dxa"/>
            <w:tcBorders>
              <w:bottom w:val="nil"/>
            </w:tcBorders>
          </w:tcPr>
          <w:p w:rsidR="00000000" w:rsidRDefault="00000000">
            <w:pPr>
              <w:pStyle w:val="aa"/>
              <w:spacing w:line="336" w:lineRule="auto"/>
              <w:ind w:right="113"/>
              <w:jc w:val="right"/>
            </w:pPr>
            <w:r>
              <w:t>10 691</w:t>
            </w:r>
          </w:p>
        </w:tc>
        <w:tc>
          <w:tcPr>
            <w:tcW w:w="1021" w:type="dxa"/>
            <w:tcBorders>
              <w:bottom w:val="nil"/>
            </w:tcBorders>
          </w:tcPr>
          <w:p w:rsidR="00000000" w:rsidRDefault="00000000">
            <w:pPr>
              <w:pStyle w:val="aa"/>
              <w:spacing w:line="336" w:lineRule="auto"/>
              <w:ind w:right="113"/>
              <w:jc w:val="right"/>
            </w:pPr>
            <w:r>
              <w:t>11 693</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rFonts w:hint="eastAsia"/>
                <w:bCs/>
              </w:rPr>
            </w:pPr>
            <w:r>
              <w:rPr>
                <w:bCs/>
              </w:rPr>
              <w:t>A.</w:t>
            </w:r>
            <w:r>
              <w:rPr>
                <w:bCs/>
              </w:rPr>
              <w:tab/>
            </w:r>
            <w:r>
              <w:rPr>
                <w:rFonts w:hint="eastAsia"/>
                <w:bCs/>
              </w:rPr>
              <w:t>农业、狩猎和林业</w:t>
            </w:r>
          </w:p>
        </w:tc>
        <w:tc>
          <w:tcPr>
            <w:tcW w:w="1020" w:type="dxa"/>
            <w:tcBorders>
              <w:top w:val="nil"/>
              <w:bottom w:val="nil"/>
            </w:tcBorders>
          </w:tcPr>
          <w:p w:rsidR="00000000" w:rsidRDefault="00000000">
            <w:pPr>
              <w:pStyle w:val="aa"/>
              <w:spacing w:line="336" w:lineRule="auto"/>
              <w:ind w:right="113"/>
              <w:jc w:val="right"/>
            </w:pPr>
            <w:r>
              <w:t>3 603</w:t>
            </w:r>
          </w:p>
        </w:tc>
        <w:tc>
          <w:tcPr>
            <w:tcW w:w="1021" w:type="dxa"/>
            <w:tcBorders>
              <w:top w:val="nil"/>
              <w:bottom w:val="nil"/>
            </w:tcBorders>
          </w:tcPr>
          <w:p w:rsidR="00000000" w:rsidRDefault="00000000">
            <w:pPr>
              <w:pStyle w:val="aa"/>
              <w:spacing w:line="336" w:lineRule="auto"/>
              <w:ind w:right="113"/>
              <w:jc w:val="right"/>
            </w:pPr>
            <w:r>
              <w:t>6 878</w:t>
            </w:r>
          </w:p>
        </w:tc>
        <w:tc>
          <w:tcPr>
            <w:tcW w:w="1020" w:type="dxa"/>
            <w:tcBorders>
              <w:top w:val="nil"/>
              <w:bottom w:val="nil"/>
            </w:tcBorders>
          </w:tcPr>
          <w:p w:rsidR="00000000" w:rsidRDefault="00000000">
            <w:pPr>
              <w:pStyle w:val="aa"/>
              <w:spacing w:line="336" w:lineRule="auto"/>
              <w:ind w:right="113"/>
              <w:jc w:val="right"/>
            </w:pPr>
            <w:r>
              <w:t>7 808</w:t>
            </w:r>
          </w:p>
        </w:tc>
        <w:tc>
          <w:tcPr>
            <w:tcW w:w="1021" w:type="dxa"/>
            <w:tcBorders>
              <w:top w:val="nil"/>
              <w:bottom w:val="nil"/>
            </w:tcBorders>
          </w:tcPr>
          <w:p w:rsidR="00000000" w:rsidRDefault="00000000">
            <w:pPr>
              <w:pStyle w:val="aa"/>
              <w:spacing w:line="336" w:lineRule="auto"/>
              <w:ind w:right="113"/>
              <w:jc w:val="right"/>
            </w:pPr>
            <w:r>
              <w:t>8 506</w:t>
            </w:r>
          </w:p>
        </w:tc>
        <w:tc>
          <w:tcPr>
            <w:tcW w:w="1021" w:type="dxa"/>
            <w:tcBorders>
              <w:top w:val="nil"/>
              <w:bottom w:val="nil"/>
            </w:tcBorders>
          </w:tcPr>
          <w:p w:rsidR="00000000" w:rsidRDefault="00000000">
            <w:pPr>
              <w:pStyle w:val="aa"/>
              <w:spacing w:line="336" w:lineRule="auto"/>
              <w:ind w:right="113"/>
              <w:jc w:val="right"/>
            </w:pPr>
            <w:r>
              <w:t>9 222</w:t>
            </w:r>
          </w:p>
        </w:tc>
      </w:tr>
      <w:tr w:rsidR="00000000">
        <w:tblPrEx>
          <w:tblCellMar>
            <w:top w:w="0" w:type="dxa"/>
            <w:bottom w:w="0" w:type="dxa"/>
          </w:tblCellMar>
        </w:tblPrEx>
        <w:trPr>
          <w:trHeight w:val="377"/>
        </w:trPr>
        <w:tc>
          <w:tcPr>
            <w:tcW w:w="4349" w:type="dxa"/>
            <w:tcBorders>
              <w:top w:val="nil"/>
              <w:bottom w:val="nil"/>
            </w:tcBorders>
          </w:tcPr>
          <w:p w:rsidR="00000000" w:rsidRDefault="00000000">
            <w:pPr>
              <w:pStyle w:val="aa"/>
              <w:spacing w:line="336" w:lineRule="auto"/>
            </w:pPr>
            <w:r>
              <w:t>B.</w:t>
            </w:r>
            <w:r>
              <w:tab/>
            </w:r>
            <w:r>
              <w:rPr>
                <w:rFonts w:hint="eastAsia"/>
              </w:rPr>
              <w:t>渔业、养鱼、服务活动</w:t>
            </w:r>
          </w:p>
        </w:tc>
        <w:tc>
          <w:tcPr>
            <w:tcW w:w="1020" w:type="dxa"/>
            <w:tcBorders>
              <w:top w:val="nil"/>
              <w:bottom w:val="nil"/>
            </w:tcBorders>
          </w:tcPr>
          <w:p w:rsidR="00000000" w:rsidRDefault="00000000">
            <w:pPr>
              <w:pStyle w:val="aa"/>
              <w:spacing w:line="336" w:lineRule="auto"/>
              <w:ind w:right="113"/>
              <w:jc w:val="right"/>
            </w:pPr>
            <w:r>
              <w:t>4 360</w:t>
            </w:r>
          </w:p>
        </w:tc>
        <w:tc>
          <w:tcPr>
            <w:tcW w:w="1021" w:type="dxa"/>
            <w:tcBorders>
              <w:top w:val="nil"/>
              <w:bottom w:val="nil"/>
            </w:tcBorders>
          </w:tcPr>
          <w:p w:rsidR="00000000" w:rsidRDefault="00000000">
            <w:pPr>
              <w:pStyle w:val="aa"/>
              <w:spacing w:line="336" w:lineRule="auto"/>
              <w:ind w:right="113"/>
              <w:jc w:val="right"/>
            </w:pPr>
            <w:r>
              <w:t>-</w:t>
            </w:r>
          </w:p>
        </w:tc>
        <w:tc>
          <w:tcPr>
            <w:tcW w:w="1020" w:type="dxa"/>
            <w:tcBorders>
              <w:top w:val="nil"/>
              <w:bottom w:val="nil"/>
            </w:tcBorders>
          </w:tcPr>
          <w:p w:rsidR="00000000" w:rsidRDefault="00000000">
            <w:pPr>
              <w:pStyle w:val="aa"/>
              <w:spacing w:line="336" w:lineRule="auto"/>
              <w:ind w:right="113"/>
              <w:jc w:val="right"/>
            </w:pPr>
            <w:r>
              <w:t>-</w:t>
            </w:r>
          </w:p>
        </w:tc>
        <w:tc>
          <w:tcPr>
            <w:tcW w:w="1021" w:type="dxa"/>
            <w:tcBorders>
              <w:top w:val="nil"/>
              <w:bottom w:val="nil"/>
            </w:tcBorders>
          </w:tcPr>
          <w:p w:rsidR="00000000" w:rsidRDefault="00000000">
            <w:pPr>
              <w:pStyle w:val="aa"/>
              <w:spacing w:line="336" w:lineRule="auto"/>
              <w:ind w:right="113"/>
              <w:jc w:val="right"/>
            </w:pPr>
            <w:r>
              <w:t>10 610</w:t>
            </w:r>
          </w:p>
        </w:tc>
        <w:tc>
          <w:tcPr>
            <w:tcW w:w="1021" w:type="dxa"/>
            <w:tcBorders>
              <w:top w:val="nil"/>
              <w:bottom w:val="nil"/>
            </w:tcBorders>
          </w:tcPr>
          <w:p w:rsidR="00000000" w:rsidRDefault="00000000">
            <w:pPr>
              <w:pStyle w:val="aa"/>
              <w:spacing w:line="336" w:lineRule="auto"/>
              <w:ind w:right="113"/>
              <w:jc w:val="right"/>
            </w:pPr>
            <w:r>
              <w:t>11 616</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u w:val="single"/>
              </w:rPr>
            </w:pPr>
            <w:r>
              <w:rPr>
                <w:rFonts w:hint="eastAsia"/>
                <w:u w:val="single"/>
              </w:rPr>
              <w:t>工业</w:t>
            </w:r>
            <w:r>
              <w:rPr>
                <w:u w:val="single"/>
              </w:rPr>
              <w:t>，</w:t>
            </w:r>
            <w:r>
              <w:rPr>
                <w:rFonts w:hint="eastAsia"/>
                <w:u w:val="single"/>
              </w:rPr>
              <w:t>总额</w:t>
            </w:r>
            <w:r>
              <w:rPr>
                <w:u w:val="single"/>
              </w:rPr>
              <w:t>(C</w:t>
            </w:r>
            <w:r>
              <w:rPr>
                <w:rFonts w:hint="eastAsia"/>
                <w:u w:val="single"/>
              </w:rPr>
              <w:t>到</w:t>
            </w:r>
            <w:r>
              <w:rPr>
                <w:u w:val="single"/>
              </w:rPr>
              <w:t>E)</w:t>
            </w:r>
          </w:p>
        </w:tc>
        <w:tc>
          <w:tcPr>
            <w:tcW w:w="1020" w:type="dxa"/>
            <w:tcBorders>
              <w:top w:val="nil"/>
              <w:bottom w:val="nil"/>
            </w:tcBorders>
          </w:tcPr>
          <w:p w:rsidR="00000000" w:rsidRDefault="00000000">
            <w:pPr>
              <w:pStyle w:val="aa"/>
              <w:spacing w:line="336" w:lineRule="auto"/>
              <w:ind w:right="113"/>
              <w:jc w:val="right"/>
            </w:pPr>
            <w:r>
              <w:t>3 410</w:t>
            </w:r>
          </w:p>
        </w:tc>
        <w:tc>
          <w:tcPr>
            <w:tcW w:w="1021" w:type="dxa"/>
            <w:tcBorders>
              <w:top w:val="nil"/>
              <w:bottom w:val="nil"/>
            </w:tcBorders>
          </w:tcPr>
          <w:p w:rsidR="00000000" w:rsidRDefault="00000000">
            <w:pPr>
              <w:pStyle w:val="aa"/>
              <w:spacing w:line="336" w:lineRule="auto"/>
              <w:ind w:right="113"/>
              <w:jc w:val="right"/>
            </w:pPr>
            <w:r>
              <w:t>8 148</w:t>
            </w:r>
          </w:p>
        </w:tc>
        <w:tc>
          <w:tcPr>
            <w:tcW w:w="1020" w:type="dxa"/>
            <w:tcBorders>
              <w:top w:val="nil"/>
              <w:bottom w:val="nil"/>
            </w:tcBorders>
          </w:tcPr>
          <w:p w:rsidR="00000000" w:rsidRDefault="00000000">
            <w:pPr>
              <w:pStyle w:val="aa"/>
              <w:spacing w:line="336" w:lineRule="auto"/>
              <w:ind w:right="113"/>
              <w:jc w:val="right"/>
            </w:pPr>
            <w:r>
              <w:t>9 587</w:t>
            </w:r>
          </w:p>
        </w:tc>
        <w:tc>
          <w:tcPr>
            <w:tcW w:w="1021" w:type="dxa"/>
            <w:tcBorders>
              <w:top w:val="nil"/>
              <w:bottom w:val="nil"/>
            </w:tcBorders>
          </w:tcPr>
          <w:p w:rsidR="00000000" w:rsidRDefault="00000000">
            <w:pPr>
              <w:pStyle w:val="aa"/>
              <w:spacing w:line="336" w:lineRule="auto"/>
              <w:ind w:right="113"/>
              <w:jc w:val="right"/>
            </w:pPr>
            <w:r>
              <w:t>10 726</w:t>
            </w:r>
          </w:p>
        </w:tc>
        <w:tc>
          <w:tcPr>
            <w:tcW w:w="1021" w:type="dxa"/>
            <w:tcBorders>
              <w:top w:val="nil"/>
              <w:bottom w:val="nil"/>
            </w:tcBorders>
          </w:tcPr>
          <w:p w:rsidR="00000000" w:rsidRDefault="00000000">
            <w:pPr>
              <w:pStyle w:val="aa"/>
              <w:spacing w:line="336" w:lineRule="auto"/>
              <w:ind w:right="113"/>
              <w:jc w:val="right"/>
            </w:pPr>
            <w:r>
              <w:t>11 859</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rFonts w:hint="eastAsia"/>
              </w:rPr>
            </w:pPr>
            <w:r>
              <w:t>C.</w:t>
            </w:r>
            <w:r>
              <w:tab/>
            </w:r>
            <w:r>
              <w:rPr>
                <w:rFonts w:hint="eastAsia"/>
              </w:rPr>
              <w:t>采矿</w:t>
            </w:r>
          </w:p>
        </w:tc>
        <w:tc>
          <w:tcPr>
            <w:tcW w:w="1020" w:type="dxa"/>
            <w:tcBorders>
              <w:top w:val="nil"/>
              <w:bottom w:val="nil"/>
            </w:tcBorders>
          </w:tcPr>
          <w:p w:rsidR="00000000" w:rsidRDefault="00000000">
            <w:pPr>
              <w:pStyle w:val="aa"/>
              <w:spacing w:line="336" w:lineRule="auto"/>
              <w:ind w:right="113"/>
              <w:jc w:val="right"/>
            </w:pPr>
            <w:r>
              <w:t>4 476</w:t>
            </w:r>
          </w:p>
        </w:tc>
        <w:tc>
          <w:tcPr>
            <w:tcW w:w="1021" w:type="dxa"/>
            <w:tcBorders>
              <w:top w:val="nil"/>
              <w:bottom w:val="nil"/>
            </w:tcBorders>
          </w:tcPr>
          <w:p w:rsidR="00000000" w:rsidRDefault="00000000">
            <w:pPr>
              <w:pStyle w:val="aa"/>
              <w:spacing w:line="336" w:lineRule="auto"/>
              <w:ind w:right="113"/>
              <w:jc w:val="right"/>
            </w:pPr>
            <w:r>
              <w:t>10 039</w:t>
            </w:r>
          </w:p>
        </w:tc>
        <w:tc>
          <w:tcPr>
            <w:tcW w:w="1020" w:type="dxa"/>
            <w:tcBorders>
              <w:top w:val="nil"/>
              <w:bottom w:val="nil"/>
            </w:tcBorders>
          </w:tcPr>
          <w:p w:rsidR="00000000" w:rsidRDefault="00000000">
            <w:pPr>
              <w:pStyle w:val="aa"/>
              <w:spacing w:line="336" w:lineRule="auto"/>
              <w:ind w:right="113"/>
              <w:jc w:val="right"/>
            </w:pPr>
            <w:r>
              <w:t>11 610</w:t>
            </w:r>
          </w:p>
        </w:tc>
        <w:tc>
          <w:tcPr>
            <w:tcW w:w="1021" w:type="dxa"/>
            <w:tcBorders>
              <w:top w:val="nil"/>
              <w:bottom w:val="nil"/>
            </w:tcBorders>
          </w:tcPr>
          <w:p w:rsidR="00000000" w:rsidRDefault="00000000">
            <w:pPr>
              <w:pStyle w:val="aa"/>
              <w:spacing w:line="336" w:lineRule="auto"/>
              <w:ind w:right="113"/>
              <w:jc w:val="right"/>
            </w:pPr>
            <w:r>
              <w:t>13 043</w:t>
            </w:r>
          </w:p>
        </w:tc>
        <w:tc>
          <w:tcPr>
            <w:tcW w:w="1021" w:type="dxa"/>
            <w:tcBorders>
              <w:top w:val="nil"/>
              <w:bottom w:val="nil"/>
            </w:tcBorders>
          </w:tcPr>
          <w:p w:rsidR="00000000" w:rsidRDefault="00000000">
            <w:pPr>
              <w:pStyle w:val="aa"/>
              <w:spacing w:line="336" w:lineRule="auto"/>
              <w:ind w:right="113"/>
              <w:jc w:val="right"/>
            </w:pPr>
            <w:r>
              <w:t>14 653</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rFonts w:hint="eastAsia"/>
              </w:rPr>
            </w:pPr>
            <w:r>
              <w:t>D.</w:t>
            </w:r>
            <w:r>
              <w:tab/>
            </w:r>
            <w:r>
              <w:rPr>
                <w:rFonts w:hint="eastAsia"/>
              </w:rPr>
              <w:t>制造业</w:t>
            </w:r>
          </w:p>
        </w:tc>
        <w:tc>
          <w:tcPr>
            <w:tcW w:w="1020" w:type="dxa"/>
            <w:tcBorders>
              <w:top w:val="nil"/>
              <w:bottom w:val="nil"/>
            </w:tcBorders>
          </w:tcPr>
          <w:p w:rsidR="00000000" w:rsidRDefault="00000000">
            <w:pPr>
              <w:pStyle w:val="aa"/>
              <w:spacing w:line="336" w:lineRule="auto"/>
              <w:ind w:right="113"/>
              <w:jc w:val="right"/>
            </w:pPr>
            <w:r>
              <w:t>3 271</w:t>
            </w:r>
          </w:p>
        </w:tc>
        <w:tc>
          <w:tcPr>
            <w:tcW w:w="1021" w:type="dxa"/>
            <w:tcBorders>
              <w:top w:val="nil"/>
              <w:bottom w:val="nil"/>
            </w:tcBorders>
          </w:tcPr>
          <w:p w:rsidR="00000000" w:rsidRDefault="00000000">
            <w:pPr>
              <w:pStyle w:val="aa"/>
              <w:spacing w:line="336" w:lineRule="auto"/>
              <w:ind w:right="113"/>
              <w:jc w:val="right"/>
            </w:pPr>
            <w:r>
              <w:t>7 854</w:t>
            </w:r>
          </w:p>
        </w:tc>
        <w:tc>
          <w:tcPr>
            <w:tcW w:w="1020" w:type="dxa"/>
            <w:tcBorders>
              <w:top w:val="nil"/>
              <w:bottom w:val="nil"/>
            </w:tcBorders>
          </w:tcPr>
          <w:p w:rsidR="00000000" w:rsidRDefault="00000000">
            <w:pPr>
              <w:pStyle w:val="aa"/>
              <w:spacing w:line="336" w:lineRule="auto"/>
              <w:ind w:right="113"/>
              <w:jc w:val="right"/>
            </w:pPr>
            <w:r>
              <w:t>9 259</w:t>
            </w:r>
          </w:p>
        </w:tc>
        <w:tc>
          <w:tcPr>
            <w:tcW w:w="1021" w:type="dxa"/>
            <w:tcBorders>
              <w:top w:val="nil"/>
              <w:bottom w:val="nil"/>
            </w:tcBorders>
          </w:tcPr>
          <w:p w:rsidR="00000000" w:rsidRDefault="00000000">
            <w:pPr>
              <w:pStyle w:val="aa"/>
              <w:spacing w:line="336" w:lineRule="auto"/>
              <w:ind w:right="113"/>
              <w:jc w:val="right"/>
            </w:pPr>
            <w:r>
              <w:t>10 411</w:t>
            </w:r>
          </w:p>
        </w:tc>
        <w:tc>
          <w:tcPr>
            <w:tcW w:w="1021" w:type="dxa"/>
            <w:tcBorders>
              <w:top w:val="nil"/>
              <w:bottom w:val="nil"/>
            </w:tcBorders>
          </w:tcPr>
          <w:p w:rsidR="00000000" w:rsidRDefault="00000000">
            <w:pPr>
              <w:pStyle w:val="aa"/>
              <w:spacing w:line="336" w:lineRule="auto"/>
              <w:ind w:right="113"/>
              <w:jc w:val="right"/>
            </w:pPr>
            <w:r>
              <w:t>11 500</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pPr>
            <w:r>
              <w:t>E.</w:t>
            </w:r>
            <w:r>
              <w:tab/>
            </w:r>
            <w:r>
              <w:rPr>
                <w:rFonts w:hint="eastAsia"/>
              </w:rPr>
              <w:t>电力、天燃气和供水</w:t>
            </w:r>
          </w:p>
        </w:tc>
        <w:tc>
          <w:tcPr>
            <w:tcW w:w="1020" w:type="dxa"/>
            <w:tcBorders>
              <w:top w:val="nil"/>
              <w:bottom w:val="nil"/>
            </w:tcBorders>
          </w:tcPr>
          <w:p w:rsidR="00000000" w:rsidRDefault="00000000">
            <w:pPr>
              <w:pStyle w:val="aa"/>
              <w:spacing w:line="336" w:lineRule="auto"/>
              <w:ind w:right="113"/>
              <w:jc w:val="right"/>
            </w:pPr>
            <w:r>
              <w:t>3 851</w:t>
            </w:r>
          </w:p>
        </w:tc>
        <w:tc>
          <w:tcPr>
            <w:tcW w:w="1021" w:type="dxa"/>
            <w:tcBorders>
              <w:top w:val="nil"/>
              <w:bottom w:val="nil"/>
            </w:tcBorders>
          </w:tcPr>
          <w:p w:rsidR="00000000" w:rsidRDefault="00000000">
            <w:pPr>
              <w:pStyle w:val="aa"/>
              <w:spacing w:line="336" w:lineRule="auto"/>
              <w:ind w:right="113"/>
              <w:jc w:val="right"/>
            </w:pPr>
            <w:r>
              <w:t>9 730</w:t>
            </w:r>
          </w:p>
        </w:tc>
        <w:tc>
          <w:tcPr>
            <w:tcW w:w="1020" w:type="dxa"/>
            <w:tcBorders>
              <w:top w:val="nil"/>
              <w:bottom w:val="nil"/>
            </w:tcBorders>
          </w:tcPr>
          <w:p w:rsidR="00000000" w:rsidRDefault="00000000">
            <w:pPr>
              <w:pStyle w:val="aa"/>
              <w:spacing w:line="336" w:lineRule="auto"/>
              <w:ind w:right="113"/>
              <w:jc w:val="right"/>
            </w:pPr>
            <w:r>
              <w:t>11 516</w:t>
            </w:r>
          </w:p>
        </w:tc>
        <w:tc>
          <w:tcPr>
            <w:tcW w:w="1021" w:type="dxa"/>
            <w:tcBorders>
              <w:top w:val="nil"/>
              <w:bottom w:val="nil"/>
            </w:tcBorders>
          </w:tcPr>
          <w:p w:rsidR="00000000" w:rsidRDefault="00000000">
            <w:pPr>
              <w:pStyle w:val="aa"/>
              <w:spacing w:line="336" w:lineRule="auto"/>
              <w:ind w:right="113"/>
              <w:jc w:val="right"/>
            </w:pPr>
            <w:r>
              <w:t>12 991</w:t>
            </w:r>
          </w:p>
        </w:tc>
        <w:tc>
          <w:tcPr>
            <w:tcW w:w="1021" w:type="dxa"/>
            <w:tcBorders>
              <w:top w:val="nil"/>
              <w:bottom w:val="nil"/>
            </w:tcBorders>
          </w:tcPr>
          <w:p w:rsidR="00000000" w:rsidRDefault="00000000">
            <w:pPr>
              <w:pStyle w:val="aa"/>
              <w:spacing w:line="336" w:lineRule="auto"/>
              <w:ind w:right="113"/>
              <w:jc w:val="right"/>
            </w:pPr>
            <w:r>
              <w:t>14 510</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rFonts w:hint="eastAsia"/>
              </w:rPr>
            </w:pPr>
            <w:r>
              <w:t>F.</w:t>
            </w:r>
            <w:r>
              <w:tab/>
            </w:r>
            <w:r>
              <w:rPr>
                <w:rFonts w:hint="eastAsia"/>
              </w:rPr>
              <w:t>建筑业</w:t>
            </w:r>
          </w:p>
        </w:tc>
        <w:tc>
          <w:tcPr>
            <w:tcW w:w="1020" w:type="dxa"/>
            <w:tcBorders>
              <w:top w:val="nil"/>
              <w:bottom w:val="nil"/>
            </w:tcBorders>
          </w:tcPr>
          <w:p w:rsidR="00000000" w:rsidRDefault="00000000">
            <w:pPr>
              <w:pStyle w:val="aa"/>
              <w:spacing w:line="336" w:lineRule="auto"/>
              <w:ind w:right="113"/>
              <w:jc w:val="right"/>
            </w:pPr>
            <w:r>
              <w:t>3 612</w:t>
            </w:r>
          </w:p>
        </w:tc>
        <w:tc>
          <w:tcPr>
            <w:tcW w:w="1021" w:type="dxa"/>
            <w:tcBorders>
              <w:top w:val="nil"/>
              <w:bottom w:val="nil"/>
            </w:tcBorders>
          </w:tcPr>
          <w:p w:rsidR="00000000" w:rsidRDefault="00000000">
            <w:pPr>
              <w:pStyle w:val="aa"/>
              <w:spacing w:line="336" w:lineRule="auto"/>
              <w:ind w:right="113"/>
              <w:jc w:val="right"/>
            </w:pPr>
            <w:r>
              <w:t>8 837</w:t>
            </w:r>
          </w:p>
        </w:tc>
        <w:tc>
          <w:tcPr>
            <w:tcW w:w="1020" w:type="dxa"/>
            <w:tcBorders>
              <w:top w:val="nil"/>
              <w:bottom w:val="nil"/>
            </w:tcBorders>
          </w:tcPr>
          <w:p w:rsidR="00000000" w:rsidRDefault="00000000">
            <w:pPr>
              <w:pStyle w:val="aa"/>
              <w:spacing w:line="336" w:lineRule="auto"/>
              <w:ind w:right="113"/>
              <w:jc w:val="right"/>
            </w:pPr>
            <w:r>
              <w:t>10 166</w:t>
            </w:r>
          </w:p>
        </w:tc>
        <w:tc>
          <w:tcPr>
            <w:tcW w:w="1021" w:type="dxa"/>
            <w:tcBorders>
              <w:top w:val="nil"/>
              <w:bottom w:val="nil"/>
            </w:tcBorders>
          </w:tcPr>
          <w:p w:rsidR="00000000" w:rsidRDefault="00000000">
            <w:pPr>
              <w:pStyle w:val="aa"/>
              <w:spacing w:line="336" w:lineRule="auto"/>
              <w:ind w:right="113"/>
              <w:jc w:val="right"/>
            </w:pPr>
            <w:r>
              <w:t>11 234</w:t>
            </w:r>
          </w:p>
        </w:tc>
        <w:tc>
          <w:tcPr>
            <w:tcW w:w="1021" w:type="dxa"/>
            <w:tcBorders>
              <w:top w:val="nil"/>
              <w:bottom w:val="nil"/>
            </w:tcBorders>
          </w:tcPr>
          <w:p w:rsidR="00000000" w:rsidRDefault="00000000">
            <w:pPr>
              <w:pStyle w:val="aa"/>
              <w:spacing w:line="336" w:lineRule="auto"/>
              <w:ind w:right="113"/>
              <w:jc w:val="right"/>
            </w:pPr>
            <w:r>
              <w:t>12 076</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ind w:left="454" w:hanging="454"/>
              <w:rPr>
                <w:rFonts w:hint="eastAsia"/>
              </w:rPr>
            </w:pPr>
            <w:r>
              <w:t>G.</w:t>
            </w:r>
            <w:r>
              <w:tab/>
            </w:r>
            <w:r>
              <w:rPr>
                <w:rFonts w:hint="eastAsia"/>
              </w:rPr>
              <w:t>批发和零售；汽车、摩托车、个人物品和家庭物品维修</w:t>
            </w:r>
          </w:p>
        </w:tc>
        <w:tc>
          <w:tcPr>
            <w:tcW w:w="1020" w:type="dxa"/>
            <w:tcBorders>
              <w:top w:val="nil"/>
              <w:bottom w:val="nil"/>
            </w:tcBorders>
          </w:tcPr>
          <w:p w:rsidR="00000000" w:rsidRDefault="00000000">
            <w:pPr>
              <w:pStyle w:val="aa"/>
              <w:spacing w:line="336" w:lineRule="auto"/>
              <w:ind w:right="113"/>
              <w:jc w:val="right"/>
            </w:pPr>
            <w:r>
              <w:t>2 818</w:t>
            </w:r>
          </w:p>
        </w:tc>
        <w:tc>
          <w:tcPr>
            <w:tcW w:w="1021" w:type="dxa"/>
            <w:tcBorders>
              <w:top w:val="nil"/>
              <w:bottom w:val="nil"/>
            </w:tcBorders>
          </w:tcPr>
          <w:p w:rsidR="00000000" w:rsidRDefault="00000000">
            <w:pPr>
              <w:pStyle w:val="aa"/>
              <w:spacing w:line="336" w:lineRule="auto"/>
              <w:ind w:right="113"/>
              <w:jc w:val="right"/>
            </w:pPr>
            <w:r>
              <w:t>7 201</w:t>
            </w:r>
          </w:p>
        </w:tc>
        <w:tc>
          <w:tcPr>
            <w:tcW w:w="1020" w:type="dxa"/>
            <w:tcBorders>
              <w:top w:val="nil"/>
              <w:bottom w:val="nil"/>
            </w:tcBorders>
          </w:tcPr>
          <w:p w:rsidR="00000000" w:rsidRDefault="00000000">
            <w:pPr>
              <w:pStyle w:val="aa"/>
              <w:spacing w:line="336" w:lineRule="auto"/>
              <w:ind w:right="113"/>
              <w:jc w:val="right"/>
            </w:pPr>
            <w:r>
              <w:t>8 499</w:t>
            </w:r>
          </w:p>
        </w:tc>
        <w:tc>
          <w:tcPr>
            <w:tcW w:w="1021" w:type="dxa"/>
            <w:tcBorders>
              <w:top w:val="nil"/>
              <w:bottom w:val="nil"/>
            </w:tcBorders>
          </w:tcPr>
          <w:p w:rsidR="00000000" w:rsidRDefault="00000000">
            <w:pPr>
              <w:pStyle w:val="aa"/>
              <w:spacing w:line="336" w:lineRule="auto"/>
              <w:ind w:right="113"/>
              <w:jc w:val="right"/>
            </w:pPr>
            <w:r>
              <w:t>10 488</w:t>
            </w:r>
          </w:p>
        </w:tc>
        <w:tc>
          <w:tcPr>
            <w:tcW w:w="1021" w:type="dxa"/>
            <w:tcBorders>
              <w:top w:val="nil"/>
              <w:bottom w:val="nil"/>
            </w:tcBorders>
          </w:tcPr>
          <w:p w:rsidR="00000000" w:rsidRDefault="00000000">
            <w:pPr>
              <w:pStyle w:val="aa"/>
              <w:spacing w:line="336" w:lineRule="auto"/>
              <w:ind w:right="113"/>
              <w:jc w:val="right"/>
            </w:pPr>
            <w:r>
              <w:t>11 917</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pPr>
            <w:r>
              <w:t>H.</w:t>
            </w:r>
            <w:r>
              <w:tab/>
            </w:r>
            <w:r>
              <w:rPr>
                <w:rFonts w:hint="eastAsia"/>
              </w:rPr>
              <w:t>餐饮和旅馆业</w:t>
            </w:r>
          </w:p>
        </w:tc>
        <w:tc>
          <w:tcPr>
            <w:tcW w:w="1020" w:type="dxa"/>
            <w:tcBorders>
              <w:top w:val="nil"/>
              <w:bottom w:val="nil"/>
            </w:tcBorders>
          </w:tcPr>
          <w:p w:rsidR="00000000" w:rsidRDefault="00000000">
            <w:pPr>
              <w:pStyle w:val="aa"/>
              <w:spacing w:line="336" w:lineRule="auto"/>
              <w:ind w:right="113"/>
              <w:jc w:val="right"/>
            </w:pPr>
            <w:r>
              <w:t>2 671</w:t>
            </w:r>
          </w:p>
        </w:tc>
        <w:tc>
          <w:tcPr>
            <w:tcW w:w="1021" w:type="dxa"/>
            <w:tcBorders>
              <w:top w:val="nil"/>
              <w:bottom w:val="nil"/>
            </w:tcBorders>
          </w:tcPr>
          <w:p w:rsidR="00000000" w:rsidRDefault="00000000">
            <w:pPr>
              <w:pStyle w:val="aa"/>
              <w:spacing w:line="336" w:lineRule="auto"/>
              <w:ind w:right="113"/>
              <w:jc w:val="right"/>
            </w:pPr>
            <w:r>
              <w:t>7 352</w:t>
            </w:r>
          </w:p>
        </w:tc>
        <w:tc>
          <w:tcPr>
            <w:tcW w:w="1020" w:type="dxa"/>
            <w:tcBorders>
              <w:top w:val="nil"/>
              <w:bottom w:val="nil"/>
            </w:tcBorders>
          </w:tcPr>
          <w:p w:rsidR="00000000" w:rsidRDefault="00000000">
            <w:pPr>
              <w:pStyle w:val="aa"/>
              <w:spacing w:line="336" w:lineRule="auto"/>
              <w:ind w:right="113"/>
              <w:jc w:val="right"/>
            </w:pPr>
            <w:r>
              <w:t>8 487</w:t>
            </w:r>
          </w:p>
        </w:tc>
        <w:tc>
          <w:tcPr>
            <w:tcW w:w="1021" w:type="dxa"/>
            <w:tcBorders>
              <w:top w:val="nil"/>
              <w:bottom w:val="nil"/>
            </w:tcBorders>
          </w:tcPr>
          <w:p w:rsidR="00000000" w:rsidRDefault="00000000">
            <w:pPr>
              <w:pStyle w:val="aa"/>
              <w:spacing w:line="336" w:lineRule="auto"/>
              <w:ind w:right="113"/>
              <w:jc w:val="right"/>
            </w:pPr>
            <w:r>
              <w:t>8 297</w:t>
            </w:r>
          </w:p>
        </w:tc>
        <w:tc>
          <w:tcPr>
            <w:tcW w:w="1021" w:type="dxa"/>
            <w:tcBorders>
              <w:top w:val="nil"/>
              <w:bottom w:val="nil"/>
            </w:tcBorders>
          </w:tcPr>
          <w:p w:rsidR="00000000" w:rsidRDefault="00000000">
            <w:pPr>
              <w:pStyle w:val="aa"/>
              <w:spacing w:line="336" w:lineRule="auto"/>
              <w:ind w:right="113"/>
              <w:jc w:val="right"/>
            </w:pPr>
            <w:r>
              <w:t>8 940</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pPr>
            <w:r>
              <w:t>I.</w:t>
            </w:r>
            <w:r>
              <w:tab/>
            </w:r>
            <w:r>
              <w:rPr>
                <w:rFonts w:hint="eastAsia"/>
              </w:rPr>
              <w:t>运输、储存、邮政和电信</w:t>
            </w:r>
          </w:p>
        </w:tc>
        <w:tc>
          <w:tcPr>
            <w:tcW w:w="1020" w:type="dxa"/>
            <w:tcBorders>
              <w:top w:val="nil"/>
              <w:bottom w:val="nil"/>
            </w:tcBorders>
          </w:tcPr>
          <w:p w:rsidR="00000000" w:rsidRDefault="00000000">
            <w:pPr>
              <w:pStyle w:val="aa"/>
              <w:spacing w:line="336" w:lineRule="auto"/>
              <w:ind w:right="113"/>
              <w:jc w:val="right"/>
            </w:pPr>
            <w:r>
              <w:t>3 438</w:t>
            </w:r>
          </w:p>
        </w:tc>
        <w:tc>
          <w:tcPr>
            <w:tcW w:w="1021" w:type="dxa"/>
            <w:tcBorders>
              <w:top w:val="nil"/>
              <w:bottom w:val="nil"/>
            </w:tcBorders>
          </w:tcPr>
          <w:p w:rsidR="00000000" w:rsidRDefault="00000000">
            <w:pPr>
              <w:pStyle w:val="aa"/>
              <w:spacing w:line="336" w:lineRule="auto"/>
              <w:ind w:right="113"/>
              <w:jc w:val="right"/>
            </w:pPr>
            <w:r>
              <w:t>8 241</w:t>
            </w:r>
          </w:p>
        </w:tc>
        <w:tc>
          <w:tcPr>
            <w:tcW w:w="1020" w:type="dxa"/>
            <w:tcBorders>
              <w:top w:val="nil"/>
              <w:bottom w:val="nil"/>
            </w:tcBorders>
          </w:tcPr>
          <w:p w:rsidR="00000000" w:rsidRDefault="00000000">
            <w:pPr>
              <w:pStyle w:val="aa"/>
              <w:spacing w:line="336" w:lineRule="auto"/>
              <w:ind w:right="113"/>
              <w:jc w:val="right"/>
            </w:pPr>
            <w:r>
              <w:t>9 853</w:t>
            </w:r>
          </w:p>
        </w:tc>
        <w:tc>
          <w:tcPr>
            <w:tcW w:w="1021" w:type="dxa"/>
            <w:tcBorders>
              <w:top w:val="nil"/>
              <w:bottom w:val="nil"/>
            </w:tcBorders>
          </w:tcPr>
          <w:p w:rsidR="00000000" w:rsidRDefault="00000000">
            <w:pPr>
              <w:pStyle w:val="aa"/>
              <w:spacing w:line="336" w:lineRule="auto"/>
              <w:ind w:right="113"/>
              <w:jc w:val="right"/>
            </w:pPr>
            <w:r>
              <w:t>11 306</w:t>
            </w:r>
          </w:p>
        </w:tc>
        <w:tc>
          <w:tcPr>
            <w:tcW w:w="1021" w:type="dxa"/>
            <w:tcBorders>
              <w:top w:val="nil"/>
              <w:bottom w:val="nil"/>
            </w:tcBorders>
          </w:tcPr>
          <w:p w:rsidR="00000000" w:rsidRDefault="00000000">
            <w:pPr>
              <w:pStyle w:val="aa"/>
              <w:spacing w:line="336" w:lineRule="auto"/>
              <w:ind w:right="113"/>
              <w:jc w:val="right"/>
            </w:pPr>
            <w:r>
              <w:t>12 638</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rFonts w:hint="eastAsia"/>
              </w:rPr>
            </w:pPr>
            <w:r>
              <w:t>J.</w:t>
            </w:r>
            <w:r>
              <w:tab/>
            </w:r>
            <w:r>
              <w:rPr>
                <w:rFonts w:hint="eastAsia"/>
              </w:rPr>
              <w:t>金融中介</w:t>
            </w:r>
          </w:p>
        </w:tc>
        <w:tc>
          <w:tcPr>
            <w:tcW w:w="1020" w:type="dxa"/>
            <w:tcBorders>
              <w:top w:val="nil"/>
              <w:bottom w:val="nil"/>
            </w:tcBorders>
          </w:tcPr>
          <w:p w:rsidR="00000000" w:rsidRDefault="00000000">
            <w:pPr>
              <w:pStyle w:val="aa"/>
              <w:spacing w:line="336" w:lineRule="auto"/>
              <w:ind w:right="113"/>
              <w:jc w:val="right"/>
            </w:pPr>
            <w:r>
              <w:t>3 351</w:t>
            </w:r>
          </w:p>
        </w:tc>
        <w:tc>
          <w:tcPr>
            <w:tcW w:w="1021" w:type="dxa"/>
            <w:tcBorders>
              <w:top w:val="nil"/>
              <w:bottom w:val="nil"/>
            </w:tcBorders>
          </w:tcPr>
          <w:p w:rsidR="00000000" w:rsidRDefault="00000000">
            <w:pPr>
              <w:pStyle w:val="aa"/>
              <w:spacing w:line="336" w:lineRule="auto"/>
              <w:ind w:right="113"/>
              <w:jc w:val="right"/>
            </w:pPr>
            <w:r>
              <w:t>14 017</w:t>
            </w:r>
          </w:p>
        </w:tc>
        <w:tc>
          <w:tcPr>
            <w:tcW w:w="1020" w:type="dxa"/>
            <w:tcBorders>
              <w:top w:val="nil"/>
              <w:bottom w:val="nil"/>
            </w:tcBorders>
          </w:tcPr>
          <w:p w:rsidR="00000000" w:rsidRDefault="00000000">
            <w:pPr>
              <w:pStyle w:val="aa"/>
              <w:spacing w:line="336" w:lineRule="auto"/>
              <w:ind w:right="113"/>
              <w:jc w:val="right"/>
            </w:pPr>
            <w:r>
              <w:t>16 407</w:t>
            </w:r>
          </w:p>
        </w:tc>
        <w:tc>
          <w:tcPr>
            <w:tcW w:w="1021" w:type="dxa"/>
            <w:tcBorders>
              <w:top w:val="nil"/>
              <w:bottom w:val="nil"/>
            </w:tcBorders>
          </w:tcPr>
          <w:p w:rsidR="00000000" w:rsidRDefault="00000000">
            <w:pPr>
              <w:pStyle w:val="aa"/>
              <w:spacing w:line="336" w:lineRule="auto"/>
              <w:ind w:right="113"/>
              <w:jc w:val="right"/>
            </w:pPr>
            <w:r>
              <w:t>18 665</w:t>
            </w:r>
          </w:p>
        </w:tc>
        <w:tc>
          <w:tcPr>
            <w:tcW w:w="1021" w:type="dxa"/>
            <w:tcBorders>
              <w:top w:val="nil"/>
              <w:bottom w:val="nil"/>
            </w:tcBorders>
          </w:tcPr>
          <w:p w:rsidR="00000000" w:rsidRDefault="00000000">
            <w:pPr>
              <w:pStyle w:val="aa"/>
              <w:spacing w:line="336" w:lineRule="auto"/>
              <w:ind w:right="113"/>
              <w:jc w:val="right"/>
            </w:pPr>
            <w:r>
              <w:t>21 168</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pPr>
            <w:r>
              <w:t>K.</w:t>
            </w:r>
            <w:r>
              <w:tab/>
            </w:r>
            <w:r>
              <w:rPr>
                <w:rFonts w:hint="eastAsia"/>
              </w:rPr>
              <w:t>不动产、租赁、商业活动、研究开发</w:t>
            </w:r>
          </w:p>
        </w:tc>
        <w:tc>
          <w:tcPr>
            <w:tcW w:w="1020" w:type="dxa"/>
            <w:tcBorders>
              <w:top w:val="nil"/>
              <w:bottom w:val="nil"/>
            </w:tcBorders>
          </w:tcPr>
          <w:p w:rsidR="00000000" w:rsidRDefault="00000000">
            <w:pPr>
              <w:pStyle w:val="aa"/>
              <w:spacing w:line="336" w:lineRule="auto"/>
              <w:ind w:right="113"/>
              <w:jc w:val="right"/>
            </w:pPr>
            <w:r>
              <w:t>3 179</w:t>
            </w:r>
          </w:p>
        </w:tc>
        <w:tc>
          <w:tcPr>
            <w:tcW w:w="1021" w:type="dxa"/>
            <w:tcBorders>
              <w:top w:val="nil"/>
              <w:bottom w:val="nil"/>
            </w:tcBorders>
          </w:tcPr>
          <w:p w:rsidR="00000000" w:rsidRDefault="00000000">
            <w:pPr>
              <w:pStyle w:val="aa"/>
              <w:spacing w:line="336" w:lineRule="auto"/>
              <w:ind w:right="113"/>
              <w:jc w:val="right"/>
            </w:pPr>
            <w:r>
              <w:t>8 896</w:t>
            </w:r>
          </w:p>
        </w:tc>
        <w:tc>
          <w:tcPr>
            <w:tcW w:w="1020" w:type="dxa"/>
            <w:tcBorders>
              <w:top w:val="nil"/>
              <w:bottom w:val="nil"/>
            </w:tcBorders>
          </w:tcPr>
          <w:p w:rsidR="00000000" w:rsidRDefault="00000000">
            <w:pPr>
              <w:pStyle w:val="aa"/>
              <w:spacing w:line="336" w:lineRule="auto"/>
              <w:ind w:right="113"/>
              <w:jc w:val="right"/>
            </w:pPr>
            <w:r>
              <w:t>10 494</w:t>
            </w:r>
          </w:p>
        </w:tc>
        <w:tc>
          <w:tcPr>
            <w:tcW w:w="1021" w:type="dxa"/>
            <w:tcBorders>
              <w:top w:val="nil"/>
              <w:bottom w:val="nil"/>
            </w:tcBorders>
          </w:tcPr>
          <w:p w:rsidR="00000000" w:rsidRDefault="00000000">
            <w:pPr>
              <w:pStyle w:val="aa"/>
              <w:spacing w:line="336" w:lineRule="auto"/>
              <w:ind w:right="113"/>
              <w:jc w:val="right"/>
            </w:pPr>
            <w:r>
              <w:t>11 728</w:t>
            </w:r>
          </w:p>
        </w:tc>
        <w:tc>
          <w:tcPr>
            <w:tcW w:w="1021" w:type="dxa"/>
            <w:tcBorders>
              <w:top w:val="nil"/>
              <w:bottom w:val="nil"/>
            </w:tcBorders>
          </w:tcPr>
          <w:p w:rsidR="00000000" w:rsidRDefault="00000000">
            <w:pPr>
              <w:pStyle w:val="aa"/>
              <w:spacing w:line="336" w:lineRule="auto"/>
              <w:ind w:right="113"/>
              <w:jc w:val="right"/>
            </w:pPr>
            <w:r>
              <w:t>13 082</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pPr>
            <w:r>
              <w:t>L.</w:t>
            </w:r>
            <w:r>
              <w:tab/>
            </w:r>
            <w:r>
              <w:rPr>
                <w:rFonts w:hint="eastAsia"/>
              </w:rPr>
              <w:t>公务员、国防、强制社会保障</w:t>
            </w:r>
          </w:p>
        </w:tc>
        <w:tc>
          <w:tcPr>
            <w:tcW w:w="1020" w:type="dxa"/>
            <w:tcBorders>
              <w:top w:val="nil"/>
              <w:bottom w:val="nil"/>
            </w:tcBorders>
          </w:tcPr>
          <w:p w:rsidR="00000000" w:rsidRDefault="00000000">
            <w:pPr>
              <w:pStyle w:val="aa"/>
              <w:spacing w:line="336" w:lineRule="auto"/>
              <w:ind w:right="113"/>
              <w:jc w:val="right"/>
            </w:pPr>
            <w:r>
              <w:t>3 299</w:t>
            </w:r>
          </w:p>
        </w:tc>
        <w:tc>
          <w:tcPr>
            <w:tcW w:w="1021" w:type="dxa"/>
            <w:tcBorders>
              <w:top w:val="nil"/>
              <w:bottom w:val="nil"/>
            </w:tcBorders>
          </w:tcPr>
          <w:p w:rsidR="00000000" w:rsidRDefault="00000000">
            <w:pPr>
              <w:pStyle w:val="aa"/>
              <w:spacing w:line="336" w:lineRule="auto"/>
              <w:ind w:right="113"/>
              <w:jc w:val="right"/>
            </w:pPr>
            <w:r>
              <w:t>9 608</w:t>
            </w:r>
          </w:p>
        </w:tc>
        <w:tc>
          <w:tcPr>
            <w:tcW w:w="1020" w:type="dxa"/>
            <w:tcBorders>
              <w:top w:val="nil"/>
              <w:bottom w:val="nil"/>
            </w:tcBorders>
          </w:tcPr>
          <w:p w:rsidR="00000000" w:rsidRDefault="00000000">
            <w:pPr>
              <w:pStyle w:val="aa"/>
              <w:spacing w:line="336" w:lineRule="auto"/>
              <w:ind w:right="113"/>
              <w:jc w:val="right"/>
            </w:pPr>
            <w:r>
              <w:t>11 460</w:t>
            </w:r>
          </w:p>
        </w:tc>
        <w:tc>
          <w:tcPr>
            <w:tcW w:w="1021" w:type="dxa"/>
            <w:tcBorders>
              <w:top w:val="nil"/>
              <w:bottom w:val="nil"/>
            </w:tcBorders>
          </w:tcPr>
          <w:p w:rsidR="00000000" w:rsidRDefault="00000000">
            <w:pPr>
              <w:pStyle w:val="aa"/>
              <w:spacing w:line="336" w:lineRule="auto"/>
              <w:ind w:right="113"/>
              <w:jc w:val="right"/>
            </w:pPr>
            <w:r>
              <w:t>11 788</w:t>
            </w:r>
          </w:p>
        </w:tc>
        <w:tc>
          <w:tcPr>
            <w:tcW w:w="1021" w:type="dxa"/>
            <w:tcBorders>
              <w:top w:val="nil"/>
              <w:bottom w:val="nil"/>
            </w:tcBorders>
          </w:tcPr>
          <w:p w:rsidR="00000000" w:rsidRDefault="00000000">
            <w:pPr>
              <w:pStyle w:val="aa"/>
              <w:spacing w:line="336" w:lineRule="auto"/>
              <w:ind w:right="113"/>
              <w:jc w:val="right"/>
            </w:pPr>
            <w:r>
              <w:t>12 061</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rFonts w:hint="eastAsia"/>
              </w:rPr>
            </w:pPr>
            <w:r>
              <w:t>M.</w:t>
            </w:r>
            <w:r>
              <w:tab/>
            </w:r>
            <w:r>
              <w:rPr>
                <w:rFonts w:hint="eastAsia"/>
              </w:rPr>
              <w:t>教育</w:t>
            </w:r>
          </w:p>
        </w:tc>
        <w:tc>
          <w:tcPr>
            <w:tcW w:w="1020" w:type="dxa"/>
            <w:tcBorders>
              <w:top w:val="nil"/>
              <w:bottom w:val="nil"/>
            </w:tcBorders>
          </w:tcPr>
          <w:p w:rsidR="00000000" w:rsidRDefault="00000000">
            <w:pPr>
              <w:pStyle w:val="aa"/>
              <w:spacing w:line="336" w:lineRule="auto"/>
              <w:ind w:right="113"/>
              <w:jc w:val="right"/>
            </w:pPr>
            <w:r>
              <w:t>2 894</w:t>
            </w:r>
          </w:p>
        </w:tc>
        <w:tc>
          <w:tcPr>
            <w:tcW w:w="1021" w:type="dxa"/>
            <w:tcBorders>
              <w:top w:val="nil"/>
              <w:bottom w:val="nil"/>
            </w:tcBorders>
          </w:tcPr>
          <w:p w:rsidR="00000000" w:rsidRDefault="00000000">
            <w:pPr>
              <w:pStyle w:val="aa"/>
              <w:spacing w:line="336" w:lineRule="auto"/>
              <w:ind w:right="113"/>
              <w:jc w:val="right"/>
            </w:pPr>
            <w:r>
              <w:t>7 426</w:t>
            </w:r>
          </w:p>
        </w:tc>
        <w:tc>
          <w:tcPr>
            <w:tcW w:w="1020" w:type="dxa"/>
            <w:tcBorders>
              <w:top w:val="nil"/>
              <w:bottom w:val="nil"/>
            </w:tcBorders>
          </w:tcPr>
          <w:p w:rsidR="00000000" w:rsidRDefault="00000000">
            <w:pPr>
              <w:pStyle w:val="aa"/>
              <w:spacing w:line="336" w:lineRule="auto"/>
              <w:ind w:right="113"/>
              <w:jc w:val="right"/>
            </w:pPr>
            <w:r>
              <w:t>8 994</w:t>
            </w:r>
          </w:p>
        </w:tc>
        <w:tc>
          <w:tcPr>
            <w:tcW w:w="1021" w:type="dxa"/>
            <w:tcBorders>
              <w:top w:val="nil"/>
              <w:bottom w:val="nil"/>
            </w:tcBorders>
          </w:tcPr>
          <w:p w:rsidR="00000000" w:rsidRDefault="00000000">
            <w:pPr>
              <w:pStyle w:val="aa"/>
              <w:spacing w:line="336" w:lineRule="auto"/>
              <w:ind w:right="113"/>
              <w:jc w:val="right"/>
            </w:pPr>
            <w:r>
              <w:t>9 422</w:t>
            </w:r>
          </w:p>
        </w:tc>
        <w:tc>
          <w:tcPr>
            <w:tcW w:w="1021" w:type="dxa"/>
            <w:tcBorders>
              <w:top w:val="nil"/>
              <w:bottom w:val="nil"/>
            </w:tcBorders>
          </w:tcPr>
          <w:p w:rsidR="00000000" w:rsidRDefault="00000000">
            <w:pPr>
              <w:pStyle w:val="aa"/>
              <w:spacing w:line="336" w:lineRule="auto"/>
              <w:ind w:right="113"/>
              <w:jc w:val="right"/>
            </w:pPr>
            <w:r>
              <w:t>9 851</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pPr>
            <w:r>
              <w:t>N.</w:t>
            </w:r>
            <w:r>
              <w:tab/>
            </w:r>
            <w:r>
              <w:rPr>
                <w:rFonts w:hint="eastAsia"/>
              </w:rPr>
              <w:t>卫生保健</w:t>
            </w:r>
            <w:r>
              <w:t>：</w:t>
            </w:r>
            <w:r>
              <w:rPr>
                <w:rFonts w:hint="eastAsia"/>
              </w:rPr>
              <w:t>兽医和社会活动</w:t>
            </w:r>
          </w:p>
        </w:tc>
        <w:tc>
          <w:tcPr>
            <w:tcW w:w="1020" w:type="dxa"/>
            <w:tcBorders>
              <w:top w:val="nil"/>
              <w:bottom w:val="nil"/>
            </w:tcBorders>
          </w:tcPr>
          <w:p w:rsidR="00000000" w:rsidRDefault="00000000">
            <w:pPr>
              <w:pStyle w:val="aa"/>
              <w:spacing w:line="336" w:lineRule="auto"/>
              <w:ind w:right="113"/>
              <w:jc w:val="right"/>
            </w:pPr>
            <w:r>
              <w:t>3 043</w:t>
            </w:r>
          </w:p>
        </w:tc>
        <w:tc>
          <w:tcPr>
            <w:tcW w:w="1021" w:type="dxa"/>
            <w:tcBorders>
              <w:top w:val="nil"/>
              <w:bottom w:val="nil"/>
            </w:tcBorders>
          </w:tcPr>
          <w:p w:rsidR="00000000" w:rsidRDefault="00000000">
            <w:pPr>
              <w:pStyle w:val="aa"/>
              <w:spacing w:line="336" w:lineRule="auto"/>
              <w:ind w:right="113"/>
              <w:jc w:val="right"/>
            </w:pPr>
            <w:r>
              <w:t>7 529</w:t>
            </w:r>
          </w:p>
        </w:tc>
        <w:tc>
          <w:tcPr>
            <w:tcW w:w="1020" w:type="dxa"/>
            <w:tcBorders>
              <w:top w:val="nil"/>
              <w:bottom w:val="nil"/>
            </w:tcBorders>
          </w:tcPr>
          <w:p w:rsidR="00000000" w:rsidRDefault="00000000">
            <w:pPr>
              <w:pStyle w:val="aa"/>
              <w:spacing w:line="336" w:lineRule="auto"/>
              <w:ind w:right="113"/>
              <w:jc w:val="right"/>
            </w:pPr>
            <w:r>
              <w:t>9 068</w:t>
            </w:r>
          </w:p>
        </w:tc>
        <w:tc>
          <w:tcPr>
            <w:tcW w:w="1021" w:type="dxa"/>
            <w:tcBorders>
              <w:top w:val="nil"/>
              <w:bottom w:val="nil"/>
            </w:tcBorders>
          </w:tcPr>
          <w:p w:rsidR="00000000" w:rsidRDefault="00000000">
            <w:pPr>
              <w:pStyle w:val="aa"/>
              <w:spacing w:line="336" w:lineRule="auto"/>
              <w:ind w:right="113"/>
              <w:jc w:val="right"/>
            </w:pPr>
            <w:r>
              <w:t>9 622</w:t>
            </w:r>
          </w:p>
        </w:tc>
        <w:tc>
          <w:tcPr>
            <w:tcW w:w="1021" w:type="dxa"/>
            <w:tcBorders>
              <w:top w:val="nil"/>
              <w:bottom w:val="nil"/>
            </w:tcBorders>
          </w:tcPr>
          <w:p w:rsidR="00000000" w:rsidRDefault="00000000">
            <w:pPr>
              <w:pStyle w:val="aa"/>
              <w:spacing w:line="336" w:lineRule="auto"/>
              <w:ind w:right="113"/>
              <w:jc w:val="right"/>
            </w:pPr>
            <w:r>
              <w:t>9 946</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pPr>
            <w:r>
              <w:t>O.</w:t>
            </w:r>
            <w:r>
              <w:tab/>
            </w:r>
            <w:r>
              <w:rPr>
                <w:rFonts w:hint="eastAsia"/>
              </w:rPr>
              <w:t>其他公共社会和个人服务行业</w:t>
            </w:r>
          </w:p>
        </w:tc>
        <w:tc>
          <w:tcPr>
            <w:tcW w:w="1020" w:type="dxa"/>
            <w:tcBorders>
              <w:top w:val="nil"/>
              <w:bottom w:val="nil"/>
            </w:tcBorders>
          </w:tcPr>
          <w:p w:rsidR="00000000" w:rsidRDefault="00000000">
            <w:pPr>
              <w:pStyle w:val="aa"/>
              <w:spacing w:line="336" w:lineRule="auto"/>
              <w:ind w:right="113"/>
              <w:jc w:val="right"/>
            </w:pPr>
            <w:r>
              <w:t>2 543</w:t>
            </w:r>
          </w:p>
        </w:tc>
        <w:tc>
          <w:tcPr>
            <w:tcW w:w="1021" w:type="dxa"/>
            <w:tcBorders>
              <w:top w:val="nil"/>
              <w:bottom w:val="nil"/>
            </w:tcBorders>
          </w:tcPr>
          <w:p w:rsidR="00000000" w:rsidRDefault="00000000">
            <w:pPr>
              <w:pStyle w:val="aa"/>
              <w:spacing w:line="336" w:lineRule="auto"/>
              <w:ind w:right="113"/>
              <w:jc w:val="right"/>
            </w:pPr>
            <w:r>
              <w:t>6 720</w:t>
            </w:r>
          </w:p>
        </w:tc>
        <w:tc>
          <w:tcPr>
            <w:tcW w:w="1020" w:type="dxa"/>
            <w:tcBorders>
              <w:top w:val="nil"/>
              <w:bottom w:val="nil"/>
            </w:tcBorders>
          </w:tcPr>
          <w:p w:rsidR="00000000" w:rsidRDefault="00000000">
            <w:pPr>
              <w:pStyle w:val="aa"/>
              <w:spacing w:line="336" w:lineRule="auto"/>
              <w:ind w:right="113"/>
              <w:jc w:val="right"/>
            </w:pPr>
            <w:r>
              <w:t>8 097</w:t>
            </w:r>
          </w:p>
        </w:tc>
        <w:tc>
          <w:tcPr>
            <w:tcW w:w="1021" w:type="dxa"/>
            <w:tcBorders>
              <w:top w:val="nil"/>
              <w:bottom w:val="nil"/>
            </w:tcBorders>
          </w:tcPr>
          <w:p w:rsidR="00000000" w:rsidRDefault="00000000">
            <w:pPr>
              <w:pStyle w:val="aa"/>
              <w:spacing w:line="336" w:lineRule="auto"/>
              <w:ind w:right="113"/>
              <w:jc w:val="right"/>
            </w:pPr>
            <w:r>
              <w:t>9 275</w:t>
            </w:r>
          </w:p>
        </w:tc>
        <w:tc>
          <w:tcPr>
            <w:tcW w:w="1021" w:type="dxa"/>
            <w:tcBorders>
              <w:top w:val="nil"/>
              <w:bottom w:val="nil"/>
            </w:tcBorders>
          </w:tcPr>
          <w:p w:rsidR="00000000" w:rsidRDefault="00000000">
            <w:pPr>
              <w:pStyle w:val="aa"/>
              <w:spacing w:line="336" w:lineRule="auto"/>
              <w:ind w:right="113"/>
              <w:jc w:val="right"/>
            </w:pPr>
            <w:r>
              <w:t>9 998</w:t>
            </w:r>
          </w:p>
        </w:tc>
      </w:tr>
      <w:tr w:rsidR="00000000">
        <w:tblPrEx>
          <w:tblCellMar>
            <w:top w:w="0" w:type="dxa"/>
            <w:bottom w:w="0" w:type="dxa"/>
          </w:tblCellMar>
        </w:tblPrEx>
        <w:tc>
          <w:tcPr>
            <w:tcW w:w="4349" w:type="dxa"/>
            <w:tcBorders>
              <w:top w:val="nil"/>
              <w:bottom w:val="nil"/>
            </w:tcBorders>
          </w:tcPr>
          <w:p w:rsidR="00000000" w:rsidRDefault="00000000">
            <w:pPr>
              <w:pStyle w:val="aa"/>
              <w:spacing w:line="336" w:lineRule="auto"/>
              <w:rPr>
                <w:rFonts w:hint="eastAsia"/>
              </w:rPr>
            </w:pPr>
            <w:r>
              <w:rPr>
                <w:rFonts w:hint="eastAsia"/>
              </w:rPr>
              <w:t>公共部门：总额</w:t>
            </w:r>
          </w:p>
        </w:tc>
        <w:tc>
          <w:tcPr>
            <w:tcW w:w="1020" w:type="dxa"/>
            <w:tcBorders>
              <w:top w:val="nil"/>
              <w:bottom w:val="nil"/>
            </w:tcBorders>
          </w:tcPr>
          <w:p w:rsidR="00000000" w:rsidRDefault="00000000">
            <w:pPr>
              <w:pStyle w:val="aa"/>
              <w:spacing w:line="336" w:lineRule="auto"/>
              <w:ind w:right="113"/>
              <w:jc w:val="right"/>
            </w:pPr>
            <w:r>
              <w:t>-</w:t>
            </w:r>
          </w:p>
        </w:tc>
        <w:tc>
          <w:tcPr>
            <w:tcW w:w="1021" w:type="dxa"/>
            <w:tcBorders>
              <w:top w:val="nil"/>
              <w:bottom w:val="nil"/>
            </w:tcBorders>
          </w:tcPr>
          <w:p w:rsidR="00000000" w:rsidRDefault="00000000">
            <w:pPr>
              <w:pStyle w:val="aa"/>
              <w:spacing w:line="336" w:lineRule="auto"/>
              <w:ind w:right="113"/>
              <w:jc w:val="right"/>
            </w:pPr>
            <w:r>
              <w:t>8 216</w:t>
            </w:r>
          </w:p>
        </w:tc>
        <w:tc>
          <w:tcPr>
            <w:tcW w:w="1020" w:type="dxa"/>
            <w:tcBorders>
              <w:top w:val="nil"/>
              <w:bottom w:val="nil"/>
            </w:tcBorders>
          </w:tcPr>
          <w:p w:rsidR="00000000" w:rsidRDefault="00000000">
            <w:pPr>
              <w:pStyle w:val="aa"/>
              <w:spacing w:line="336" w:lineRule="auto"/>
              <w:ind w:right="113"/>
              <w:jc w:val="right"/>
            </w:pPr>
            <w:r>
              <w:t>9 836</w:t>
            </w:r>
          </w:p>
        </w:tc>
        <w:tc>
          <w:tcPr>
            <w:tcW w:w="1021" w:type="dxa"/>
            <w:tcBorders>
              <w:top w:val="nil"/>
              <w:bottom w:val="nil"/>
            </w:tcBorders>
          </w:tcPr>
          <w:p w:rsidR="00000000" w:rsidRDefault="00000000">
            <w:pPr>
              <w:pStyle w:val="aa"/>
              <w:spacing w:line="336" w:lineRule="auto"/>
              <w:ind w:right="113"/>
              <w:jc w:val="right"/>
            </w:pPr>
            <w:r>
              <w:t>10 656</w:t>
            </w:r>
          </w:p>
        </w:tc>
        <w:tc>
          <w:tcPr>
            <w:tcW w:w="1021" w:type="dxa"/>
            <w:tcBorders>
              <w:top w:val="nil"/>
              <w:bottom w:val="nil"/>
            </w:tcBorders>
          </w:tcPr>
          <w:p w:rsidR="00000000" w:rsidRDefault="00000000">
            <w:pPr>
              <w:pStyle w:val="aa"/>
              <w:spacing w:line="336" w:lineRule="auto"/>
              <w:ind w:right="113"/>
              <w:jc w:val="right"/>
            </w:pPr>
            <w:r>
              <w:t>11 353</w:t>
            </w:r>
          </w:p>
        </w:tc>
      </w:tr>
      <w:tr w:rsidR="00000000">
        <w:tblPrEx>
          <w:tblCellMar>
            <w:top w:w="0" w:type="dxa"/>
            <w:bottom w:w="0" w:type="dxa"/>
          </w:tblCellMar>
        </w:tblPrEx>
        <w:tc>
          <w:tcPr>
            <w:tcW w:w="4349" w:type="dxa"/>
            <w:tcBorders>
              <w:top w:val="nil"/>
            </w:tcBorders>
          </w:tcPr>
          <w:p w:rsidR="00000000" w:rsidRDefault="00000000">
            <w:pPr>
              <w:pStyle w:val="aa"/>
              <w:spacing w:line="336" w:lineRule="auto"/>
              <w:rPr>
                <w:rFonts w:hint="eastAsia"/>
              </w:rPr>
            </w:pPr>
            <w:r>
              <w:rPr>
                <w:rFonts w:hint="eastAsia"/>
              </w:rPr>
              <w:t>私营部门：总额</w:t>
            </w:r>
          </w:p>
        </w:tc>
        <w:tc>
          <w:tcPr>
            <w:tcW w:w="1020" w:type="dxa"/>
            <w:tcBorders>
              <w:top w:val="nil"/>
            </w:tcBorders>
          </w:tcPr>
          <w:p w:rsidR="00000000" w:rsidRDefault="00000000">
            <w:pPr>
              <w:pStyle w:val="aa"/>
              <w:spacing w:line="336" w:lineRule="auto"/>
              <w:ind w:right="113"/>
              <w:jc w:val="right"/>
            </w:pPr>
            <w:r>
              <w:t>-</w:t>
            </w:r>
          </w:p>
        </w:tc>
        <w:tc>
          <w:tcPr>
            <w:tcW w:w="1021" w:type="dxa"/>
            <w:tcBorders>
              <w:top w:val="nil"/>
            </w:tcBorders>
          </w:tcPr>
          <w:p w:rsidR="00000000" w:rsidRDefault="00000000">
            <w:pPr>
              <w:pStyle w:val="aa"/>
              <w:spacing w:line="336" w:lineRule="auto"/>
              <w:ind w:right="113"/>
              <w:jc w:val="right"/>
            </w:pPr>
            <w:r>
              <w:t>8 130</w:t>
            </w:r>
          </w:p>
        </w:tc>
        <w:tc>
          <w:tcPr>
            <w:tcW w:w="1020" w:type="dxa"/>
            <w:tcBorders>
              <w:top w:val="nil"/>
            </w:tcBorders>
          </w:tcPr>
          <w:p w:rsidR="00000000" w:rsidRDefault="00000000">
            <w:pPr>
              <w:pStyle w:val="aa"/>
              <w:spacing w:line="336" w:lineRule="auto"/>
              <w:ind w:right="113"/>
              <w:jc w:val="right"/>
            </w:pPr>
            <w:r>
              <w:t>9 665</w:t>
            </w:r>
          </w:p>
        </w:tc>
        <w:tc>
          <w:tcPr>
            <w:tcW w:w="1021" w:type="dxa"/>
            <w:tcBorders>
              <w:top w:val="nil"/>
            </w:tcBorders>
          </w:tcPr>
          <w:p w:rsidR="00000000" w:rsidRDefault="00000000">
            <w:pPr>
              <w:pStyle w:val="aa"/>
              <w:spacing w:line="336" w:lineRule="auto"/>
              <w:ind w:right="113"/>
              <w:jc w:val="right"/>
            </w:pPr>
            <w:r>
              <w:t>10 709</w:t>
            </w:r>
          </w:p>
        </w:tc>
        <w:tc>
          <w:tcPr>
            <w:tcW w:w="1021" w:type="dxa"/>
            <w:tcBorders>
              <w:top w:val="nil"/>
            </w:tcBorders>
          </w:tcPr>
          <w:p w:rsidR="00000000" w:rsidRDefault="00000000">
            <w:pPr>
              <w:pStyle w:val="aa"/>
              <w:spacing w:line="336" w:lineRule="auto"/>
              <w:ind w:right="113"/>
              <w:jc w:val="right"/>
            </w:pPr>
            <w:r>
              <w:t>11 861</w:t>
            </w:r>
          </w:p>
        </w:tc>
      </w:tr>
    </w:tbl>
    <w:p w:rsidR="00000000" w:rsidRDefault="00000000">
      <w:pPr>
        <w:pStyle w:val="FootnoteText"/>
        <w:spacing w:before="160"/>
        <w:ind w:left="1587" w:hanging="1077"/>
        <w:rPr>
          <w:rFonts w:hint="eastAsia"/>
          <w:sz w:val="21"/>
        </w:rPr>
      </w:pPr>
      <w:r>
        <w:rPr>
          <w:rFonts w:hint="eastAsia"/>
          <w:sz w:val="21"/>
          <w:u w:val="single"/>
        </w:rPr>
        <w:t>资料来源</w:t>
      </w:r>
      <w:r>
        <w:rPr>
          <w:rFonts w:hint="eastAsia"/>
          <w:sz w:val="21"/>
        </w:rPr>
        <w:t>：捷克共和国统计年鉴，</w:t>
      </w:r>
      <w:r>
        <w:rPr>
          <w:rFonts w:hint="eastAsia"/>
          <w:sz w:val="21"/>
        </w:rPr>
        <w:t>1999</w:t>
      </w:r>
      <w:r>
        <w:rPr>
          <w:rFonts w:hint="eastAsia"/>
          <w:sz w:val="21"/>
        </w:rPr>
        <w:t>年。</w:t>
      </w:r>
    </w:p>
    <w:p w:rsidR="00000000" w:rsidRDefault="00000000">
      <w:pPr>
        <w:pStyle w:val="FootnoteText"/>
        <w:spacing w:after="320"/>
        <w:ind w:left="1587" w:hanging="387"/>
        <w:rPr>
          <w:rFonts w:hint="eastAsia"/>
          <w:sz w:val="21"/>
        </w:rPr>
      </w:pPr>
      <w:r>
        <w:rPr>
          <w:sz w:val="21"/>
        </w:rPr>
        <w:t>a</w:t>
      </w:r>
      <w:r>
        <w:rPr>
          <w:sz w:val="21"/>
        </w:rPr>
        <w:tab/>
      </w:r>
      <w:r>
        <w:rPr>
          <w:rFonts w:hint="eastAsia"/>
          <w:sz w:val="21"/>
        </w:rPr>
        <w:t>初步数据。</w:t>
      </w:r>
    </w:p>
    <w:p w:rsidR="00000000" w:rsidRDefault="00000000">
      <w:pPr>
        <w:spacing w:after="320"/>
        <w:rPr>
          <w:rFonts w:hint="eastAsia"/>
          <w:snapToGrid/>
          <w:szCs w:val="28"/>
        </w:rPr>
      </w:pPr>
      <w:r>
        <w:rPr>
          <w:rFonts w:hint="eastAsia"/>
          <w:snapToGrid/>
          <w:szCs w:val="24"/>
        </w:rPr>
        <w:tab/>
      </w:r>
      <w:r>
        <w:rPr>
          <w:snapToGrid/>
          <w:szCs w:val="24"/>
        </w:rPr>
        <w:t xml:space="preserve">256.  </w:t>
      </w:r>
      <w:r>
        <w:rPr>
          <w:rFonts w:hint="eastAsia"/>
          <w:snapToGrid/>
          <w:szCs w:val="24"/>
        </w:rPr>
        <w:t>《劳动法》、《工资法》和《薪金法》规定工资</w:t>
      </w:r>
      <w:r>
        <w:rPr>
          <w:snapToGrid/>
          <w:szCs w:val="24"/>
        </w:rPr>
        <w:t>(</w:t>
      </w:r>
      <w:r>
        <w:rPr>
          <w:rFonts w:hint="eastAsia"/>
          <w:snapToGrid/>
          <w:szCs w:val="24"/>
        </w:rPr>
        <w:t>薪金</w:t>
      </w:r>
      <w:r>
        <w:rPr>
          <w:snapToGrid/>
          <w:szCs w:val="24"/>
        </w:rPr>
        <w:t>)</w:t>
      </w:r>
      <w:r>
        <w:rPr>
          <w:rFonts w:hint="eastAsia"/>
          <w:snapToGrid/>
          <w:szCs w:val="24"/>
        </w:rPr>
        <w:t>不得低于最低工资。这一规定同等适用于所有私营和公共部门企业。最低工资由政府法律确定。</w:t>
      </w:r>
      <w:r>
        <w:rPr>
          <w:snapToGrid/>
          <w:szCs w:val="24"/>
        </w:rPr>
        <w:t>1999</w:t>
      </w:r>
      <w:r>
        <w:rPr>
          <w:rFonts w:hint="eastAsia"/>
          <w:snapToGrid/>
          <w:szCs w:val="24"/>
        </w:rPr>
        <w:t>年</w:t>
      </w:r>
      <w:r>
        <w:rPr>
          <w:snapToGrid/>
          <w:szCs w:val="24"/>
        </w:rPr>
        <w:t>7</w:t>
      </w:r>
      <w:r>
        <w:rPr>
          <w:rFonts w:hint="eastAsia"/>
          <w:snapToGrid/>
          <w:szCs w:val="24"/>
        </w:rPr>
        <w:t>月</w:t>
      </w:r>
      <w:r>
        <w:rPr>
          <w:snapToGrid/>
          <w:szCs w:val="24"/>
        </w:rPr>
        <w:t>，</w:t>
      </w:r>
      <w:r>
        <w:rPr>
          <w:rFonts w:hint="eastAsia"/>
          <w:snapToGrid/>
          <w:szCs w:val="24"/>
        </w:rPr>
        <w:t>月工资工人的最低工资为</w:t>
      </w:r>
      <w:r>
        <w:rPr>
          <w:snapToGrid/>
          <w:szCs w:val="24"/>
        </w:rPr>
        <w:t>3600</w:t>
      </w:r>
      <w:r>
        <w:rPr>
          <w:rFonts w:hint="eastAsia"/>
          <w:snapToGrid/>
          <w:szCs w:val="24"/>
        </w:rPr>
        <w:t>捷克克朗</w:t>
      </w:r>
      <w:r>
        <w:rPr>
          <w:snapToGrid/>
          <w:szCs w:val="24"/>
        </w:rPr>
        <w:t>，</w:t>
      </w:r>
      <w:r>
        <w:rPr>
          <w:rFonts w:hint="eastAsia"/>
          <w:snapToGrid/>
          <w:szCs w:val="24"/>
        </w:rPr>
        <w:t>在指定工作时间内工作的工人每小时最低工资为</w:t>
      </w:r>
      <w:r>
        <w:rPr>
          <w:snapToGrid/>
          <w:szCs w:val="24"/>
        </w:rPr>
        <w:t>22</w:t>
      </w:r>
      <w:r>
        <w:rPr>
          <w:rFonts w:hint="eastAsia"/>
          <w:snapToGrid/>
          <w:szCs w:val="24"/>
        </w:rPr>
        <w:t>捷克克朗。自</w:t>
      </w:r>
      <w:r>
        <w:rPr>
          <w:rFonts w:hint="eastAsia"/>
          <w:snapToGrid/>
          <w:szCs w:val="24"/>
        </w:rPr>
        <w:t>2000</w:t>
      </w:r>
      <w:r>
        <w:rPr>
          <w:rFonts w:hint="eastAsia"/>
          <w:snapToGrid/>
          <w:szCs w:val="24"/>
        </w:rPr>
        <w:t>年</w:t>
      </w:r>
      <w:r>
        <w:rPr>
          <w:rFonts w:hint="eastAsia"/>
          <w:snapToGrid/>
          <w:szCs w:val="24"/>
        </w:rPr>
        <w:t>1</w:t>
      </w:r>
      <w:r>
        <w:rPr>
          <w:rFonts w:hint="eastAsia"/>
          <w:snapToGrid/>
          <w:szCs w:val="24"/>
        </w:rPr>
        <w:t>月</w:t>
      </w:r>
      <w:r>
        <w:rPr>
          <w:rFonts w:hint="eastAsia"/>
          <w:snapToGrid/>
          <w:szCs w:val="24"/>
        </w:rPr>
        <w:t>1</w:t>
      </w:r>
      <w:r>
        <w:rPr>
          <w:rFonts w:hint="eastAsia"/>
          <w:snapToGrid/>
          <w:szCs w:val="24"/>
        </w:rPr>
        <w:t>日起，月工资工人的最低工资为</w:t>
      </w:r>
      <w:r>
        <w:rPr>
          <w:rFonts w:hint="eastAsia"/>
          <w:snapToGrid/>
          <w:szCs w:val="24"/>
        </w:rPr>
        <w:t>4000</w:t>
      </w:r>
      <w:r>
        <w:rPr>
          <w:rFonts w:hint="eastAsia"/>
          <w:snapToGrid/>
          <w:szCs w:val="24"/>
        </w:rPr>
        <w:t>捷克克朗，在指定工作时间内工作的工人每小时最低工资为</w:t>
      </w:r>
      <w:r>
        <w:rPr>
          <w:rFonts w:hint="eastAsia"/>
          <w:snapToGrid/>
          <w:szCs w:val="24"/>
        </w:rPr>
        <w:t>22.30</w:t>
      </w:r>
      <w:r>
        <w:rPr>
          <w:rFonts w:hint="eastAsia"/>
          <w:snapToGrid/>
          <w:szCs w:val="24"/>
        </w:rPr>
        <w:t>捷克克朗。预计</w:t>
      </w:r>
      <w:r>
        <w:rPr>
          <w:snapToGrid/>
          <w:szCs w:val="24"/>
        </w:rPr>
        <w:t>2000</w:t>
      </w:r>
      <w:r>
        <w:rPr>
          <w:rFonts w:hint="eastAsia"/>
          <w:snapToGrid/>
          <w:szCs w:val="24"/>
        </w:rPr>
        <w:t>年</w:t>
      </w:r>
      <w:r>
        <w:rPr>
          <w:rFonts w:hint="eastAsia"/>
          <w:snapToGrid/>
          <w:szCs w:val="24"/>
        </w:rPr>
        <w:t>7</w:t>
      </w:r>
      <w:r>
        <w:rPr>
          <w:rFonts w:hint="eastAsia"/>
          <w:snapToGrid/>
          <w:szCs w:val="24"/>
        </w:rPr>
        <w:t>月</w:t>
      </w:r>
      <w:r>
        <w:rPr>
          <w:snapToGrid/>
          <w:szCs w:val="24"/>
        </w:rPr>
        <w:t>1</w:t>
      </w:r>
      <w:r>
        <w:rPr>
          <w:rFonts w:hint="eastAsia"/>
          <w:snapToGrid/>
          <w:szCs w:val="24"/>
        </w:rPr>
        <w:t>日将再次增加最低工资</w:t>
      </w:r>
      <w:r>
        <w:rPr>
          <w:snapToGrid/>
          <w:szCs w:val="24"/>
        </w:rPr>
        <w:t>，</w:t>
      </w:r>
      <w:r>
        <w:rPr>
          <w:rFonts w:hint="eastAsia"/>
          <w:snapToGrid/>
          <w:szCs w:val="24"/>
        </w:rPr>
        <w:t>以促进逐步实现《国家就业计划》的目标</w:t>
      </w:r>
      <w:r>
        <w:rPr>
          <w:snapToGrid/>
          <w:szCs w:val="24"/>
        </w:rPr>
        <w:t>，</w:t>
      </w:r>
      <w:r>
        <w:rPr>
          <w:rFonts w:hint="eastAsia"/>
          <w:snapToGrid/>
          <w:szCs w:val="24"/>
        </w:rPr>
        <w:t>即将最低工资增加到单独生活的成人最低生活水平以上。</w:t>
      </w:r>
      <w:r>
        <w:rPr>
          <w:rStyle w:val="EndnoteReference"/>
          <w:snapToGrid/>
        </w:rPr>
        <w:endnoteReference w:id="165"/>
      </w:r>
      <w:r>
        <w:rPr>
          <w:rFonts w:hint="eastAsia"/>
          <w:snapToGrid/>
          <w:szCs w:val="24"/>
        </w:rPr>
        <w:t xml:space="preserve">  </w:t>
      </w:r>
      <w:r>
        <w:rPr>
          <w:rFonts w:hint="eastAsia"/>
          <w:snapToGrid/>
          <w:szCs w:val="24"/>
        </w:rPr>
        <w:t>自</w:t>
      </w:r>
      <w:r>
        <w:rPr>
          <w:snapToGrid/>
          <w:szCs w:val="24"/>
        </w:rPr>
        <w:t>2000</w:t>
      </w:r>
      <w:r>
        <w:rPr>
          <w:rFonts w:hint="eastAsia"/>
          <w:snapToGrid/>
          <w:szCs w:val="24"/>
        </w:rPr>
        <w:t>年</w:t>
      </w:r>
      <w:r>
        <w:rPr>
          <w:snapToGrid/>
          <w:szCs w:val="24"/>
        </w:rPr>
        <w:t>1</w:t>
      </w:r>
      <w:r>
        <w:rPr>
          <w:rFonts w:hint="eastAsia"/>
          <w:snapToGrid/>
          <w:szCs w:val="24"/>
        </w:rPr>
        <w:t>月</w:t>
      </w:r>
      <w:r>
        <w:rPr>
          <w:snapToGrid/>
          <w:szCs w:val="24"/>
        </w:rPr>
        <w:t>1</w:t>
      </w:r>
      <w:r>
        <w:rPr>
          <w:rFonts w:hint="eastAsia"/>
          <w:snapToGrid/>
          <w:szCs w:val="24"/>
        </w:rPr>
        <w:t>日以</w:t>
      </w:r>
      <w:r>
        <w:rPr>
          <w:rFonts w:hint="eastAsia"/>
          <w:snapToGrid/>
          <w:szCs w:val="28"/>
        </w:rPr>
        <w:t>来</w:t>
      </w:r>
      <w:r>
        <w:rPr>
          <w:snapToGrid/>
          <w:szCs w:val="28"/>
        </w:rPr>
        <w:t>，</w:t>
      </w:r>
      <w:r>
        <w:rPr>
          <w:rFonts w:hint="eastAsia"/>
          <w:snapToGrid/>
          <w:szCs w:val="28"/>
        </w:rPr>
        <w:t>扣缴社会和卫生保险以及预付收入税后</w:t>
      </w:r>
      <w:r>
        <w:rPr>
          <w:snapToGrid/>
          <w:szCs w:val="28"/>
        </w:rPr>
        <w:t>，</w:t>
      </w:r>
      <w:r>
        <w:rPr>
          <w:rFonts w:hint="eastAsia"/>
          <w:snapToGrid/>
          <w:szCs w:val="28"/>
        </w:rPr>
        <w:t>领取最低工资工人的实得工资为单独生活的成人最低生活水准费用的</w:t>
      </w:r>
      <w:r>
        <w:rPr>
          <w:rFonts w:hint="eastAsia"/>
          <w:snapToGrid/>
          <w:szCs w:val="28"/>
        </w:rPr>
        <w:t>99.5%</w:t>
      </w:r>
      <w:r>
        <w:rPr>
          <w:rFonts w:hint="eastAsia"/>
          <w:snapToGrid/>
          <w:szCs w:val="28"/>
        </w:rPr>
        <w:t>。</w:t>
      </w:r>
    </w:p>
    <w:p w:rsidR="00000000" w:rsidRDefault="00000000">
      <w:pPr>
        <w:pStyle w:val="a8"/>
        <w:pageBreakBefore/>
        <w:rPr>
          <w:rFonts w:hint="eastAsia"/>
        </w:rPr>
      </w:pPr>
      <w:r>
        <w:rPr>
          <w:rFonts w:ascii="Times New Roman" w:eastAsia="SimSun" w:hAnsi="Times New Roman" w:hint="eastAsia"/>
          <w:color w:val="000000"/>
          <w:kern w:val="28"/>
          <w:u w:val="single"/>
        </w:rPr>
        <w:t>与平均工资和最低生活水平相比最低工资的增长</w:t>
      </w:r>
      <w:r>
        <w:rPr>
          <w:rFonts w:ascii="Times New Roman" w:eastAsia="SimSun" w:hAnsi="Times New Roman"/>
          <w:color w:val="000000"/>
          <w:kern w:val="28"/>
          <w:u w:val="single"/>
        </w:rPr>
        <w:br/>
      </w:r>
      <w:r>
        <w:rPr>
          <w:rFonts w:ascii="Times New Roman" w:eastAsia="KaiTi_GB2312" w:hAnsi="Times New Roman" w:hint="eastAsia"/>
          <w:spacing w:val="0"/>
          <w:kern w:val="0"/>
        </w:rPr>
        <w:t>(</w:t>
      </w:r>
      <w:r>
        <w:rPr>
          <w:rFonts w:ascii="Times New Roman" w:eastAsia="KaiTi_GB2312" w:hAnsi="Times New Roman" w:hint="eastAsia"/>
          <w:spacing w:val="0"/>
          <w:kern w:val="0"/>
        </w:rPr>
        <w:t>年平均</w:t>
      </w:r>
      <w:r>
        <w:rPr>
          <w:rFonts w:ascii="Times New Roman" w:eastAsia="KaiTi_GB2312" w:hAnsi="Times New Roman" w:hint="eastAsia"/>
          <w:spacing w:val="0"/>
          <w:kern w:val="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243"/>
        <w:gridCol w:w="1430"/>
        <w:gridCol w:w="1560"/>
        <w:gridCol w:w="1690"/>
        <w:gridCol w:w="1946"/>
      </w:tblGrid>
      <w:tr w:rsidR="00000000">
        <w:tblPrEx>
          <w:tblCellMar>
            <w:top w:w="0" w:type="dxa"/>
            <w:bottom w:w="0" w:type="dxa"/>
          </w:tblCellMar>
        </w:tblPrEx>
        <w:trPr>
          <w:cantSplit/>
        </w:trPr>
        <w:tc>
          <w:tcPr>
            <w:tcW w:w="1487" w:type="dxa"/>
            <w:vMerge w:val="restart"/>
          </w:tcPr>
          <w:p w:rsidR="00000000" w:rsidRDefault="00000000">
            <w:pPr>
              <w:pStyle w:val="aa"/>
              <w:jc w:val="center"/>
              <w:rPr>
                <w:rFonts w:hint="eastAsia"/>
              </w:rPr>
            </w:pPr>
            <w:r>
              <w:rPr>
                <w:rFonts w:hint="eastAsia"/>
              </w:rPr>
              <w:t>年份</w:t>
            </w:r>
          </w:p>
        </w:tc>
        <w:tc>
          <w:tcPr>
            <w:tcW w:w="2673" w:type="dxa"/>
            <w:gridSpan w:val="2"/>
          </w:tcPr>
          <w:p w:rsidR="00000000" w:rsidRDefault="00000000">
            <w:pPr>
              <w:pStyle w:val="aa"/>
              <w:jc w:val="center"/>
              <w:rPr>
                <w:rFonts w:hint="eastAsia"/>
              </w:rPr>
            </w:pPr>
            <w:r>
              <w:rPr>
                <w:rFonts w:hint="eastAsia"/>
              </w:rPr>
              <w:t>捷克共和国最低工资</w:t>
            </w:r>
          </w:p>
        </w:tc>
        <w:tc>
          <w:tcPr>
            <w:tcW w:w="1560" w:type="dxa"/>
            <w:vMerge w:val="restart"/>
          </w:tcPr>
          <w:p w:rsidR="00000000" w:rsidRDefault="00000000">
            <w:pPr>
              <w:pStyle w:val="aa"/>
              <w:jc w:val="center"/>
              <w:rPr>
                <w:rFonts w:hint="eastAsia"/>
              </w:rPr>
            </w:pPr>
            <w:r>
              <w:rPr>
                <w:rFonts w:hint="eastAsia"/>
              </w:rPr>
              <w:t>平均工资净额</w:t>
            </w:r>
          </w:p>
        </w:tc>
        <w:tc>
          <w:tcPr>
            <w:tcW w:w="1690" w:type="dxa"/>
            <w:vMerge w:val="restart"/>
          </w:tcPr>
          <w:p w:rsidR="00000000" w:rsidRDefault="00000000">
            <w:pPr>
              <w:pStyle w:val="aa"/>
              <w:jc w:val="center"/>
              <w:rPr>
                <w:rFonts w:hint="eastAsia"/>
              </w:rPr>
            </w:pPr>
            <w:r>
              <w:rPr>
                <w:rFonts w:hint="eastAsia"/>
              </w:rPr>
              <w:t>最低生活水平</w:t>
            </w:r>
          </w:p>
        </w:tc>
        <w:tc>
          <w:tcPr>
            <w:tcW w:w="1946" w:type="dxa"/>
            <w:vMerge w:val="restart"/>
          </w:tcPr>
          <w:p w:rsidR="00000000" w:rsidRDefault="00000000">
            <w:pPr>
              <w:pStyle w:val="aa"/>
              <w:jc w:val="center"/>
              <w:rPr>
                <w:vertAlign w:val="superscript"/>
              </w:rPr>
            </w:pPr>
            <w:r>
              <w:rPr>
                <w:rFonts w:hint="eastAsia"/>
              </w:rPr>
              <w:t>平均月工资</w:t>
            </w:r>
            <w:r>
              <w:rPr>
                <w:vertAlign w:val="superscript"/>
              </w:rPr>
              <w:t>a</w:t>
            </w:r>
            <w:r>
              <w:t>/</w:t>
            </w:r>
            <w:r>
              <w:rPr>
                <w:rFonts w:hint="eastAsia"/>
              </w:rPr>
              <w:t>个人最低生活水平</w:t>
            </w:r>
            <w:r>
              <w:rPr>
                <w:vertAlign w:val="superscript"/>
              </w:rPr>
              <w:t>b</w:t>
            </w:r>
          </w:p>
        </w:tc>
      </w:tr>
      <w:tr w:rsidR="00000000">
        <w:tblPrEx>
          <w:tblCellMar>
            <w:top w:w="0" w:type="dxa"/>
            <w:bottom w:w="0" w:type="dxa"/>
          </w:tblCellMar>
        </w:tblPrEx>
        <w:trPr>
          <w:cantSplit/>
        </w:trPr>
        <w:tc>
          <w:tcPr>
            <w:tcW w:w="1487" w:type="dxa"/>
            <w:vMerge/>
            <w:tcBorders>
              <w:bottom w:val="single" w:sz="4" w:space="0" w:color="auto"/>
            </w:tcBorders>
          </w:tcPr>
          <w:p w:rsidR="00000000" w:rsidRDefault="00000000">
            <w:pPr>
              <w:pStyle w:val="aa"/>
            </w:pPr>
          </w:p>
        </w:tc>
        <w:tc>
          <w:tcPr>
            <w:tcW w:w="1243" w:type="dxa"/>
            <w:tcBorders>
              <w:bottom w:val="single" w:sz="4" w:space="0" w:color="auto"/>
            </w:tcBorders>
          </w:tcPr>
          <w:p w:rsidR="00000000" w:rsidRDefault="00000000">
            <w:pPr>
              <w:pStyle w:val="aa"/>
              <w:jc w:val="center"/>
              <w:rPr>
                <w:rFonts w:hint="eastAsia"/>
              </w:rPr>
            </w:pPr>
            <w:r>
              <w:rPr>
                <w:rFonts w:hint="eastAsia"/>
              </w:rPr>
              <w:t>毛额</w:t>
            </w:r>
          </w:p>
        </w:tc>
        <w:tc>
          <w:tcPr>
            <w:tcW w:w="1430" w:type="dxa"/>
            <w:tcBorders>
              <w:bottom w:val="single" w:sz="4" w:space="0" w:color="auto"/>
            </w:tcBorders>
          </w:tcPr>
          <w:p w:rsidR="00000000" w:rsidRDefault="00000000">
            <w:pPr>
              <w:pStyle w:val="aa"/>
              <w:jc w:val="center"/>
              <w:rPr>
                <w:rFonts w:hint="eastAsia"/>
              </w:rPr>
            </w:pPr>
            <w:r>
              <w:rPr>
                <w:rFonts w:hint="eastAsia"/>
              </w:rPr>
              <w:t>净额</w:t>
            </w:r>
          </w:p>
        </w:tc>
        <w:tc>
          <w:tcPr>
            <w:tcW w:w="1560" w:type="dxa"/>
            <w:vMerge/>
            <w:tcBorders>
              <w:bottom w:val="single" w:sz="4" w:space="0" w:color="auto"/>
            </w:tcBorders>
          </w:tcPr>
          <w:p w:rsidR="00000000" w:rsidRDefault="00000000">
            <w:pPr>
              <w:pStyle w:val="aa"/>
            </w:pPr>
          </w:p>
        </w:tc>
        <w:tc>
          <w:tcPr>
            <w:tcW w:w="1690" w:type="dxa"/>
            <w:vMerge/>
            <w:tcBorders>
              <w:bottom w:val="single" w:sz="4" w:space="0" w:color="auto"/>
            </w:tcBorders>
          </w:tcPr>
          <w:p w:rsidR="00000000" w:rsidRDefault="00000000">
            <w:pPr>
              <w:pStyle w:val="aa"/>
            </w:pPr>
          </w:p>
        </w:tc>
        <w:tc>
          <w:tcPr>
            <w:tcW w:w="1946" w:type="dxa"/>
            <w:vMerge/>
            <w:tcBorders>
              <w:bottom w:val="single" w:sz="4" w:space="0" w:color="auto"/>
            </w:tcBorders>
          </w:tcPr>
          <w:p w:rsidR="00000000" w:rsidRDefault="00000000">
            <w:pPr>
              <w:pStyle w:val="aa"/>
            </w:pPr>
          </w:p>
        </w:tc>
      </w:tr>
      <w:tr w:rsidR="00000000">
        <w:tblPrEx>
          <w:tblCellMar>
            <w:top w:w="0" w:type="dxa"/>
            <w:bottom w:w="0" w:type="dxa"/>
          </w:tblCellMar>
        </w:tblPrEx>
        <w:tc>
          <w:tcPr>
            <w:tcW w:w="1487" w:type="dxa"/>
            <w:tcBorders>
              <w:bottom w:val="nil"/>
            </w:tcBorders>
          </w:tcPr>
          <w:p w:rsidR="00000000" w:rsidRDefault="00000000">
            <w:pPr>
              <w:pStyle w:val="aa"/>
            </w:pPr>
            <w:r>
              <w:t>1992</w:t>
            </w:r>
          </w:p>
        </w:tc>
        <w:tc>
          <w:tcPr>
            <w:tcW w:w="1243" w:type="dxa"/>
            <w:tcBorders>
              <w:bottom w:val="nil"/>
            </w:tcBorders>
          </w:tcPr>
          <w:p w:rsidR="00000000" w:rsidRDefault="00000000">
            <w:pPr>
              <w:pStyle w:val="aa"/>
              <w:ind w:right="152"/>
              <w:jc w:val="right"/>
            </w:pPr>
            <w:r>
              <w:t>2 200</w:t>
            </w:r>
          </w:p>
        </w:tc>
        <w:tc>
          <w:tcPr>
            <w:tcW w:w="1430" w:type="dxa"/>
            <w:tcBorders>
              <w:bottom w:val="nil"/>
            </w:tcBorders>
          </w:tcPr>
          <w:p w:rsidR="00000000" w:rsidRDefault="00000000">
            <w:pPr>
              <w:pStyle w:val="aa"/>
              <w:ind w:right="282"/>
              <w:jc w:val="right"/>
            </w:pPr>
            <w:r>
              <w:t>1 802</w:t>
            </w:r>
          </w:p>
        </w:tc>
        <w:tc>
          <w:tcPr>
            <w:tcW w:w="1560" w:type="dxa"/>
            <w:tcBorders>
              <w:bottom w:val="nil"/>
            </w:tcBorders>
          </w:tcPr>
          <w:p w:rsidR="00000000" w:rsidRDefault="00000000">
            <w:pPr>
              <w:pStyle w:val="aa"/>
              <w:ind w:right="412"/>
              <w:jc w:val="right"/>
            </w:pPr>
            <w:r>
              <w:t>3 715</w:t>
            </w:r>
          </w:p>
        </w:tc>
        <w:tc>
          <w:tcPr>
            <w:tcW w:w="1690" w:type="dxa"/>
            <w:tcBorders>
              <w:bottom w:val="nil"/>
            </w:tcBorders>
          </w:tcPr>
          <w:p w:rsidR="00000000" w:rsidRDefault="00000000">
            <w:pPr>
              <w:pStyle w:val="aa"/>
              <w:ind w:right="542"/>
              <w:jc w:val="right"/>
            </w:pPr>
            <w:r>
              <w:t>1 700</w:t>
            </w:r>
          </w:p>
        </w:tc>
        <w:tc>
          <w:tcPr>
            <w:tcW w:w="1946" w:type="dxa"/>
            <w:tcBorders>
              <w:bottom w:val="nil"/>
            </w:tcBorders>
          </w:tcPr>
          <w:p w:rsidR="00000000" w:rsidRDefault="00000000">
            <w:pPr>
              <w:pStyle w:val="aa"/>
              <w:ind w:right="538"/>
              <w:jc w:val="right"/>
            </w:pPr>
            <w:r>
              <w:t>106.0</w:t>
            </w:r>
          </w:p>
        </w:tc>
      </w:tr>
      <w:tr w:rsidR="00000000">
        <w:tblPrEx>
          <w:tblCellMar>
            <w:top w:w="0" w:type="dxa"/>
            <w:bottom w:w="0" w:type="dxa"/>
          </w:tblCellMar>
        </w:tblPrEx>
        <w:tc>
          <w:tcPr>
            <w:tcW w:w="1487" w:type="dxa"/>
            <w:tcBorders>
              <w:top w:val="nil"/>
              <w:bottom w:val="nil"/>
            </w:tcBorders>
          </w:tcPr>
          <w:p w:rsidR="00000000" w:rsidRDefault="00000000">
            <w:pPr>
              <w:pStyle w:val="aa"/>
            </w:pPr>
            <w:r>
              <w:t>1993</w:t>
            </w:r>
          </w:p>
        </w:tc>
        <w:tc>
          <w:tcPr>
            <w:tcW w:w="1243" w:type="dxa"/>
            <w:tcBorders>
              <w:top w:val="nil"/>
              <w:bottom w:val="nil"/>
            </w:tcBorders>
          </w:tcPr>
          <w:p w:rsidR="00000000" w:rsidRDefault="00000000">
            <w:pPr>
              <w:pStyle w:val="aa"/>
              <w:ind w:right="152"/>
              <w:jc w:val="right"/>
            </w:pPr>
            <w:r>
              <w:t>2 200</w:t>
            </w:r>
          </w:p>
        </w:tc>
        <w:tc>
          <w:tcPr>
            <w:tcW w:w="1430" w:type="dxa"/>
            <w:tcBorders>
              <w:top w:val="nil"/>
              <w:bottom w:val="nil"/>
            </w:tcBorders>
          </w:tcPr>
          <w:p w:rsidR="00000000" w:rsidRDefault="00000000">
            <w:pPr>
              <w:pStyle w:val="aa"/>
              <w:ind w:right="282"/>
              <w:jc w:val="right"/>
            </w:pPr>
            <w:r>
              <w:t>1 902</w:t>
            </w:r>
          </w:p>
        </w:tc>
        <w:tc>
          <w:tcPr>
            <w:tcW w:w="1560" w:type="dxa"/>
            <w:tcBorders>
              <w:top w:val="nil"/>
              <w:bottom w:val="nil"/>
            </w:tcBorders>
          </w:tcPr>
          <w:p w:rsidR="00000000" w:rsidRDefault="00000000">
            <w:pPr>
              <w:pStyle w:val="aa"/>
              <w:ind w:right="412"/>
              <w:jc w:val="right"/>
            </w:pPr>
            <w:r>
              <w:t>4 613</w:t>
            </w:r>
          </w:p>
        </w:tc>
        <w:tc>
          <w:tcPr>
            <w:tcW w:w="1690" w:type="dxa"/>
            <w:tcBorders>
              <w:top w:val="nil"/>
              <w:bottom w:val="nil"/>
            </w:tcBorders>
          </w:tcPr>
          <w:p w:rsidR="00000000" w:rsidRDefault="00000000">
            <w:pPr>
              <w:pStyle w:val="aa"/>
              <w:ind w:right="542"/>
              <w:jc w:val="right"/>
            </w:pPr>
            <w:r>
              <w:t>1 917</w:t>
            </w:r>
          </w:p>
        </w:tc>
        <w:tc>
          <w:tcPr>
            <w:tcW w:w="1946" w:type="dxa"/>
            <w:tcBorders>
              <w:top w:val="nil"/>
              <w:bottom w:val="nil"/>
            </w:tcBorders>
          </w:tcPr>
          <w:p w:rsidR="00000000" w:rsidRDefault="00000000">
            <w:pPr>
              <w:pStyle w:val="aa"/>
              <w:ind w:right="538"/>
              <w:jc w:val="right"/>
            </w:pPr>
            <w:r>
              <w:t>99.2</w:t>
            </w:r>
          </w:p>
        </w:tc>
      </w:tr>
      <w:tr w:rsidR="00000000">
        <w:tblPrEx>
          <w:tblCellMar>
            <w:top w:w="0" w:type="dxa"/>
            <w:bottom w:w="0" w:type="dxa"/>
          </w:tblCellMar>
        </w:tblPrEx>
        <w:tc>
          <w:tcPr>
            <w:tcW w:w="1487" w:type="dxa"/>
            <w:tcBorders>
              <w:top w:val="nil"/>
              <w:bottom w:val="nil"/>
            </w:tcBorders>
          </w:tcPr>
          <w:p w:rsidR="00000000" w:rsidRDefault="00000000">
            <w:pPr>
              <w:pStyle w:val="aa"/>
            </w:pPr>
            <w:r>
              <w:t>1994</w:t>
            </w:r>
          </w:p>
        </w:tc>
        <w:tc>
          <w:tcPr>
            <w:tcW w:w="1243" w:type="dxa"/>
            <w:tcBorders>
              <w:top w:val="nil"/>
              <w:bottom w:val="nil"/>
            </w:tcBorders>
          </w:tcPr>
          <w:p w:rsidR="00000000" w:rsidRDefault="00000000">
            <w:pPr>
              <w:pStyle w:val="aa"/>
              <w:ind w:right="152"/>
              <w:jc w:val="right"/>
            </w:pPr>
            <w:r>
              <w:t>2 200</w:t>
            </w:r>
          </w:p>
        </w:tc>
        <w:tc>
          <w:tcPr>
            <w:tcW w:w="1430" w:type="dxa"/>
            <w:tcBorders>
              <w:top w:val="nil"/>
              <w:bottom w:val="nil"/>
            </w:tcBorders>
          </w:tcPr>
          <w:p w:rsidR="00000000" w:rsidRDefault="00000000">
            <w:pPr>
              <w:pStyle w:val="aa"/>
              <w:ind w:right="282"/>
              <w:jc w:val="right"/>
            </w:pPr>
            <w:r>
              <w:t>1 878</w:t>
            </w:r>
          </w:p>
        </w:tc>
        <w:tc>
          <w:tcPr>
            <w:tcW w:w="1560" w:type="dxa"/>
            <w:tcBorders>
              <w:top w:val="nil"/>
              <w:bottom w:val="nil"/>
            </w:tcBorders>
          </w:tcPr>
          <w:p w:rsidR="00000000" w:rsidRDefault="00000000">
            <w:pPr>
              <w:pStyle w:val="aa"/>
              <w:ind w:right="412"/>
              <w:jc w:val="right"/>
            </w:pPr>
            <w:r>
              <w:t>5 398</w:t>
            </w:r>
          </w:p>
        </w:tc>
        <w:tc>
          <w:tcPr>
            <w:tcW w:w="1690" w:type="dxa"/>
            <w:tcBorders>
              <w:top w:val="nil"/>
              <w:bottom w:val="nil"/>
            </w:tcBorders>
          </w:tcPr>
          <w:p w:rsidR="00000000" w:rsidRDefault="00000000">
            <w:pPr>
              <w:pStyle w:val="aa"/>
              <w:ind w:right="542"/>
              <w:jc w:val="right"/>
            </w:pPr>
            <w:r>
              <w:t>2 143</w:t>
            </w:r>
          </w:p>
        </w:tc>
        <w:tc>
          <w:tcPr>
            <w:tcW w:w="1946" w:type="dxa"/>
            <w:tcBorders>
              <w:top w:val="nil"/>
              <w:bottom w:val="nil"/>
            </w:tcBorders>
          </w:tcPr>
          <w:p w:rsidR="00000000" w:rsidRDefault="00000000">
            <w:pPr>
              <w:pStyle w:val="aa"/>
              <w:ind w:right="538"/>
              <w:jc w:val="right"/>
            </w:pPr>
            <w:r>
              <w:t>87.6</w:t>
            </w:r>
          </w:p>
        </w:tc>
      </w:tr>
      <w:tr w:rsidR="00000000">
        <w:tblPrEx>
          <w:tblCellMar>
            <w:top w:w="0" w:type="dxa"/>
            <w:bottom w:w="0" w:type="dxa"/>
          </w:tblCellMar>
        </w:tblPrEx>
        <w:tc>
          <w:tcPr>
            <w:tcW w:w="1487" w:type="dxa"/>
            <w:tcBorders>
              <w:top w:val="nil"/>
              <w:bottom w:val="nil"/>
            </w:tcBorders>
          </w:tcPr>
          <w:p w:rsidR="00000000" w:rsidRDefault="00000000">
            <w:pPr>
              <w:pStyle w:val="aa"/>
            </w:pPr>
            <w:r>
              <w:t>1995</w:t>
            </w:r>
          </w:p>
        </w:tc>
        <w:tc>
          <w:tcPr>
            <w:tcW w:w="1243" w:type="dxa"/>
            <w:tcBorders>
              <w:top w:val="nil"/>
              <w:bottom w:val="nil"/>
            </w:tcBorders>
          </w:tcPr>
          <w:p w:rsidR="00000000" w:rsidRDefault="00000000">
            <w:pPr>
              <w:pStyle w:val="aa"/>
              <w:ind w:right="152"/>
              <w:jc w:val="right"/>
            </w:pPr>
            <w:r>
              <w:t>2 200</w:t>
            </w:r>
          </w:p>
        </w:tc>
        <w:tc>
          <w:tcPr>
            <w:tcW w:w="1430" w:type="dxa"/>
            <w:tcBorders>
              <w:top w:val="nil"/>
              <w:bottom w:val="nil"/>
            </w:tcBorders>
          </w:tcPr>
          <w:p w:rsidR="00000000" w:rsidRDefault="00000000">
            <w:pPr>
              <w:pStyle w:val="aa"/>
              <w:ind w:right="282"/>
              <w:jc w:val="right"/>
            </w:pPr>
            <w:r>
              <w:t>1 908</w:t>
            </w:r>
          </w:p>
        </w:tc>
        <w:tc>
          <w:tcPr>
            <w:tcW w:w="1560" w:type="dxa"/>
            <w:tcBorders>
              <w:top w:val="nil"/>
              <w:bottom w:val="nil"/>
            </w:tcBorders>
          </w:tcPr>
          <w:p w:rsidR="00000000" w:rsidRDefault="00000000">
            <w:pPr>
              <w:pStyle w:val="aa"/>
              <w:ind w:right="412"/>
              <w:jc w:val="right"/>
            </w:pPr>
            <w:r>
              <w:t>6 341</w:t>
            </w:r>
          </w:p>
        </w:tc>
        <w:tc>
          <w:tcPr>
            <w:tcW w:w="1690" w:type="dxa"/>
            <w:tcBorders>
              <w:top w:val="nil"/>
              <w:bottom w:val="nil"/>
            </w:tcBorders>
          </w:tcPr>
          <w:p w:rsidR="00000000" w:rsidRDefault="00000000">
            <w:pPr>
              <w:pStyle w:val="aa"/>
              <w:ind w:right="542"/>
              <w:jc w:val="right"/>
            </w:pPr>
            <w:r>
              <w:t>2 440</w:t>
            </w:r>
          </w:p>
        </w:tc>
        <w:tc>
          <w:tcPr>
            <w:tcW w:w="1946" w:type="dxa"/>
            <w:tcBorders>
              <w:top w:val="nil"/>
              <w:bottom w:val="nil"/>
            </w:tcBorders>
          </w:tcPr>
          <w:p w:rsidR="00000000" w:rsidRDefault="00000000">
            <w:pPr>
              <w:pStyle w:val="aa"/>
              <w:ind w:right="538"/>
              <w:jc w:val="right"/>
            </w:pPr>
            <w:r>
              <w:t>78.2</w:t>
            </w:r>
          </w:p>
        </w:tc>
      </w:tr>
      <w:tr w:rsidR="00000000">
        <w:tblPrEx>
          <w:tblCellMar>
            <w:top w:w="0" w:type="dxa"/>
            <w:bottom w:w="0" w:type="dxa"/>
          </w:tblCellMar>
        </w:tblPrEx>
        <w:tc>
          <w:tcPr>
            <w:tcW w:w="1487" w:type="dxa"/>
            <w:tcBorders>
              <w:top w:val="nil"/>
              <w:bottom w:val="nil"/>
            </w:tcBorders>
          </w:tcPr>
          <w:p w:rsidR="00000000" w:rsidRDefault="00000000">
            <w:pPr>
              <w:pStyle w:val="aa"/>
            </w:pPr>
            <w:r>
              <w:t>1996</w:t>
            </w:r>
          </w:p>
        </w:tc>
        <w:tc>
          <w:tcPr>
            <w:tcW w:w="1243" w:type="dxa"/>
            <w:tcBorders>
              <w:top w:val="nil"/>
              <w:bottom w:val="nil"/>
            </w:tcBorders>
          </w:tcPr>
          <w:p w:rsidR="00000000" w:rsidRDefault="00000000">
            <w:pPr>
              <w:pStyle w:val="aa"/>
              <w:ind w:right="152"/>
              <w:jc w:val="right"/>
            </w:pPr>
            <w:r>
              <w:t>2 500</w:t>
            </w:r>
          </w:p>
        </w:tc>
        <w:tc>
          <w:tcPr>
            <w:tcW w:w="1430" w:type="dxa"/>
            <w:tcBorders>
              <w:top w:val="nil"/>
              <w:bottom w:val="nil"/>
            </w:tcBorders>
          </w:tcPr>
          <w:p w:rsidR="00000000" w:rsidRDefault="00000000">
            <w:pPr>
              <w:pStyle w:val="aa"/>
              <w:ind w:right="282"/>
              <w:jc w:val="right"/>
            </w:pPr>
            <w:r>
              <w:t>2 188</w:t>
            </w:r>
          </w:p>
        </w:tc>
        <w:tc>
          <w:tcPr>
            <w:tcW w:w="1560" w:type="dxa"/>
            <w:tcBorders>
              <w:top w:val="nil"/>
              <w:bottom w:val="nil"/>
            </w:tcBorders>
          </w:tcPr>
          <w:p w:rsidR="00000000" w:rsidRDefault="00000000">
            <w:pPr>
              <w:pStyle w:val="aa"/>
              <w:ind w:right="412"/>
              <w:jc w:val="right"/>
            </w:pPr>
            <w:r>
              <w:t>7 538</w:t>
            </w:r>
          </w:p>
        </w:tc>
        <w:tc>
          <w:tcPr>
            <w:tcW w:w="1690" w:type="dxa"/>
            <w:tcBorders>
              <w:top w:val="nil"/>
              <w:bottom w:val="nil"/>
            </w:tcBorders>
          </w:tcPr>
          <w:p w:rsidR="00000000" w:rsidRDefault="00000000">
            <w:pPr>
              <w:pStyle w:val="aa"/>
              <w:ind w:right="542"/>
              <w:jc w:val="right"/>
            </w:pPr>
            <w:r>
              <w:t>2 718</w:t>
            </w:r>
          </w:p>
        </w:tc>
        <w:tc>
          <w:tcPr>
            <w:tcW w:w="1946" w:type="dxa"/>
            <w:tcBorders>
              <w:top w:val="nil"/>
              <w:bottom w:val="nil"/>
            </w:tcBorders>
          </w:tcPr>
          <w:p w:rsidR="00000000" w:rsidRDefault="00000000">
            <w:pPr>
              <w:pStyle w:val="aa"/>
              <w:ind w:right="538"/>
              <w:jc w:val="right"/>
            </w:pPr>
            <w:r>
              <w:t>80.5</w:t>
            </w:r>
          </w:p>
        </w:tc>
      </w:tr>
      <w:tr w:rsidR="00000000">
        <w:tblPrEx>
          <w:tblCellMar>
            <w:top w:w="0" w:type="dxa"/>
            <w:bottom w:w="0" w:type="dxa"/>
          </w:tblCellMar>
        </w:tblPrEx>
        <w:tc>
          <w:tcPr>
            <w:tcW w:w="1487" w:type="dxa"/>
            <w:tcBorders>
              <w:top w:val="nil"/>
              <w:bottom w:val="nil"/>
            </w:tcBorders>
          </w:tcPr>
          <w:p w:rsidR="00000000" w:rsidRDefault="00000000">
            <w:pPr>
              <w:pStyle w:val="aa"/>
            </w:pPr>
            <w:r>
              <w:t>1997</w:t>
            </w:r>
          </w:p>
        </w:tc>
        <w:tc>
          <w:tcPr>
            <w:tcW w:w="1243" w:type="dxa"/>
            <w:tcBorders>
              <w:top w:val="nil"/>
              <w:bottom w:val="nil"/>
            </w:tcBorders>
          </w:tcPr>
          <w:p w:rsidR="00000000" w:rsidRDefault="00000000">
            <w:pPr>
              <w:pStyle w:val="aa"/>
              <w:ind w:right="152"/>
              <w:jc w:val="right"/>
            </w:pPr>
            <w:r>
              <w:t>2 500</w:t>
            </w:r>
          </w:p>
        </w:tc>
        <w:tc>
          <w:tcPr>
            <w:tcW w:w="1430" w:type="dxa"/>
            <w:tcBorders>
              <w:top w:val="nil"/>
              <w:bottom w:val="nil"/>
            </w:tcBorders>
          </w:tcPr>
          <w:p w:rsidR="00000000" w:rsidRDefault="00000000">
            <w:pPr>
              <w:pStyle w:val="aa"/>
              <w:ind w:right="282"/>
              <w:jc w:val="right"/>
            </w:pPr>
            <w:r>
              <w:t>2 188</w:t>
            </w:r>
          </w:p>
        </w:tc>
        <w:tc>
          <w:tcPr>
            <w:tcW w:w="1560" w:type="dxa"/>
            <w:tcBorders>
              <w:top w:val="nil"/>
              <w:bottom w:val="nil"/>
            </w:tcBorders>
          </w:tcPr>
          <w:p w:rsidR="00000000" w:rsidRDefault="00000000">
            <w:pPr>
              <w:pStyle w:val="aa"/>
              <w:ind w:right="412"/>
              <w:jc w:val="right"/>
            </w:pPr>
            <w:r>
              <w:t>8 115</w:t>
            </w:r>
          </w:p>
        </w:tc>
        <w:tc>
          <w:tcPr>
            <w:tcW w:w="1690" w:type="dxa"/>
            <w:tcBorders>
              <w:top w:val="nil"/>
              <w:bottom w:val="nil"/>
            </w:tcBorders>
          </w:tcPr>
          <w:p w:rsidR="00000000" w:rsidRDefault="00000000">
            <w:pPr>
              <w:pStyle w:val="aa"/>
              <w:ind w:right="542"/>
              <w:jc w:val="right"/>
            </w:pPr>
            <w:r>
              <w:t>2 965</w:t>
            </w:r>
          </w:p>
        </w:tc>
        <w:tc>
          <w:tcPr>
            <w:tcW w:w="1946" w:type="dxa"/>
            <w:tcBorders>
              <w:top w:val="nil"/>
              <w:bottom w:val="nil"/>
            </w:tcBorders>
          </w:tcPr>
          <w:p w:rsidR="00000000" w:rsidRDefault="00000000">
            <w:pPr>
              <w:pStyle w:val="aa"/>
              <w:ind w:right="538"/>
              <w:jc w:val="right"/>
            </w:pPr>
            <w:r>
              <w:t>73.8</w:t>
            </w:r>
          </w:p>
        </w:tc>
      </w:tr>
      <w:tr w:rsidR="00000000">
        <w:tblPrEx>
          <w:tblCellMar>
            <w:top w:w="0" w:type="dxa"/>
            <w:bottom w:w="0" w:type="dxa"/>
          </w:tblCellMar>
        </w:tblPrEx>
        <w:tc>
          <w:tcPr>
            <w:tcW w:w="1487" w:type="dxa"/>
            <w:tcBorders>
              <w:top w:val="nil"/>
              <w:bottom w:val="nil"/>
            </w:tcBorders>
          </w:tcPr>
          <w:p w:rsidR="00000000" w:rsidRDefault="00000000">
            <w:pPr>
              <w:pStyle w:val="aa"/>
            </w:pPr>
            <w:r>
              <w:t>1998</w:t>
            </w:r>
          </w:p>
        </w:tc>
        <w:tc>
          <w:tcPr>
            <w:tcW w:w="1243" w:type="dxa"/>
            <w:tcBorders>
              <w:top w:val="nil"/>
              <w:bottom w:val="nil"/>
            </w:tcBorders>
          </w:tcPr>
          <w:p w:rsidR="00000000" w:rsidRDefault="00000000">
            <w:pPr>
              <w:pStyle w:val="aa"/>
              <w:ind w:right="152"/>
              <w:jc w:val="right"/>
            </w:pPr>
            <w:r>
              <w:t>2 650</w:t>
            </w:r>
          </w:p>
        </w:tc>
        <w:tc>
          <w:tcPr>
            <w:tcW w:w="1430" w:type="dxa"/>
            <w:tcBorders>
              <w:top w:val="nil"/>
              <w:bottom w:val="nil"/>
            </w:tcBorders>
          </w:tcPr>
          <w:p w:rsidR="00000000" w:rsidRDefault="00000000">
            <w:pPr>
              <w:pStyle w:val="aa"/>
              <w:ind w:right="282"/>
              <w:jc w:val="right"/>
            </w:pPr>
            <w:r>
              <w:t>2 319</w:t>
            </w:r>
          </w:p>
        </w:tc>
        <w:tc>
          <w:tcPr>
            <w:tcW w:w="1560" w:type="dxa"/>
            <w:tcBorders>
              <w:top w:val="nil"/>
              <w:bottom w:val="nil"/>
            </w:tcBorders>
          </w:tcPr>
          <w:p w:rsidR="00000000" w:rsidRDefault="00000000">
            <w:pPr>
              <w:pStyle w:val="aa"/>
              <w:ind w:right="412"/>
              <w:jc w:val="right"/>
            </w:pPr>
            <w:r>
              <w:t>8 820</w:t>
            </w:r>
          </w:p>
        </w:tc>
        <w:tc>
          <w:tcPr>
            <w:tcW w:w="1690" w:type="dxa"/>
            <w:tcBorders>
              <w:top w:val="nil"/>
              <w:bottom w:val="nil"/>
            </w:tcBorders>
          </w:tcPr>
          <w:p w:rsidR="00000000" w:rsidRDefault="00000000">
            <w:pPr>
              <w:pStyle w:val="aa"/>
              <w:ind w:right="542"/>
              <w:jc w:val="right"/>
            </w:pPr>
            <w:r>
              <w:t>3 333</w:t>
            </w:r>
          </w:p>
        </w:tc>
        <w:tc>
          <w:tcPr>
            <w:tcW w:w="1946" w:type="dxa"/>
            <w:tcBorders>
              <w:top w:val="nil"/>
              <w:bottom w:val="nil"/>
            </w:tcBorders>
          </w:tcPr>
          <w:p w:rsidR="00000000" w:rsidRDefault="00000000">
            <w:pPr>
              <w:pStyle w:val="aa"/>
              <w:ind w:right="538"/>
              <w:jc w:val="right"/>
            </w:pPr>
            <w:r>
              <w:t>69.6</w:t>
            </w:r>
          </w:p>
        </w:tc>
      </w:tr>
      <w:tr w:rsidR="00000000">
        <w:tblPrEx>
          <w:tblCellMar>
            <w:top w:w="0" w:type="dxa"/>
            <w:bottom w:w="0" w:type="dxa"/>
          </w:tblCellMar>
        </w:tblPrEx>
        <w:tc>
          <w:tcPr>
            <w:tcW w:w="1487" w:type="dxa"/>
            <w:tcBorders>
              <w:top w:val="nil"/>
            </w:tcBorders>
          </w:tcPr>
          <w:p w:rsidR="00000000" w:rsidRDefault="00000000">
            <w:pPr>
              <w:pStyle w:val="aa"/>
              <w:rPr>
                <w:vertAlign w:val="superscript"/>
              </w:rPr>
            </w:pPr>
            <w:r>
              <w:t>1999</w:t>
            </w:r>
            <w:r>
              <w:rPr>
                <w:vertAlign w:val="superscript"/>
              </w:rPr>
              <w:t>c</w:t>
            </w:r>
          </w:p>
        </w:tc>
        <w:tc>
          <w:tcPr>
            <w:tcW w:w="1243" w:type="dxa"/>
            <w:tcBorders>
              <w:top w:val="nil"/>
            </w:tcBorders>
          </w:tcPr>
          <w:p w:rsidR="00000000" w:rsidRDefault="00000000">
            <w:pPr>
              <w:pStyle w:val="aa"/>
              <w:ind w:right="152"/>
              <w:jc w:val="right"/>
            </w:pPr>
            <w:r>
              <w:t>3 425</w:t>
            </w:r>
          </w:p>
        </w:tc>
        <w:tc>
          <w:tcPr>
            <w:tcW w:w="1430" w:type="dxa"/>
            <w:tcBorders>
              <w:top w:val="nil"/>
            </w:tcBorders>
          </w:tcPr>
          <w:p w:rsidR="00000000" w:rsidRDefault="00000000">
            <w:pPr>
              <w:pStyle w:val="aa"/>
              <w:ind w:right="282"/>
              <w:jc w:val="right"/>
            </w:pPr>
            <w:r>
              <w:t>2 963</w:t>
            </w:r>
          </w:p>
        </w:tc>
        <w:tc>
          <w:tcPr>
            <w:tcW w:w="1560" w:type="dxa"/>
            <w:tcBorders>
              <w:top w:val="nil"/>
            </w:tcBorders>
          </w:tcPr>
          <w:p w:rsidR="00000000" w:rsidRDefault="00000000">
            <w:pPr>
              <w:pStyle w:val="aa"/>
              <w:ind w:right="412"/>
              <w:jc w:val="right"/>
            </w:pPr>
            <w:r>
              <w:t>9 558</w:t>
            </w:r>
          </w:p>
        </w:tc>
        <w:tc>
          <w:tcPr>
            <w:tcW w:w="1690" w:type="dxa"/>
            <w:tcBorders>
              <w:top w:val="nil"/>
            </w:tcBorders>
          </w:tcPr>
          <w:p w:rsidR="00000000" w:rsidRDefault="00000000">
            <w:pPr>
              <w:pStyle w:val="aa"/>
              <w:ind w:right="542"/>
              <w:jc w:val="right"/>
            </w:pPr>
            <w:r>
              <w:t>3 430</w:t>
            </w:r>
          </w:p>
        </w:tc>
        <w:tc>
          <w:tcPr>
            <w:tcW w:w="1946" w:type="dxa"/>
            <w:tcBorders>
              <w:top w:val="nil"/>
            </w:tcBorders>
          </w:tcPr>
          <w:p w:rsidR="00000000" w:rsidRDefault="00000000">
            <w:pPr>
              <w:pStyle w:val="aa"/>
              <w:ind w:right="538"/>
              <w:jc w:val="right"/>
            </w:pPr>
            <w:r>
              <w:t>86.4</w:t>
            </w:r>
          </w:p>
        </w:tc>
      </w:tr>
    </w:tbl>
    <w:p w:rsidR="00000000" w:rsidRDefault="00000000">
      <w:pPr>
        <w:ind w:left="510"/>
        <w:rPr>
          <w:rFonts w:hint="eastAsia"/>
        </w:rPr>
      </w:pPr>
    </w:p>
    <w:p w:rsidR="00000000" w:rsidRDefault="00000000">
      <w:pPr>
        <w:spacing w:line="288" w:lineRule="auto"/>
        <w:ind w:left="510"/>
        <w:rPr>
          <w:rFonts w:eastAsia="KaiTi_GB2312"/>
          <w:snapToGrid/>
          <w:spacing w:val="0"/>
        </w:rPr>
      </w:pPr>
      <w:r>
        <w:rPr>
          <w:rFonts w:eastAsia="KaiTi_GB2312" w:hint="eastAsia"/>
          <w:snapToGrid/>
          <w:spacing w:val="0"/>
          <w:u w:val="single"/>
        </w:rPr>
        <w:t>资料来源</w:t>
      </w:r>
      <w:r>
        <w:rPr>
          <w:rFonts w:eastAsia="KaiTi_GB2312" w:hint="eastAsia"/>
          <w:snapToGrid/>
          <w:spacing w:val="0"/>
        </w:rPr>
        <w:t>：劳动和社会事务部。</w:t>
      </w:r>
    </w:p>
    <w:p w:rsidR="00000000" w:rsidRDefault="00000000">
      <w:pPr>
        <w:tabs>
          <w:tab w:val="left" w:pos="1690"/>
        </w:tabs>
        <w:spacing w:line="288" w:lineRule="auto"/>
        <w:ind w:left="510" w:firstLine="790"/>
        <w:rPr>
          <w:rFonts w:eastAsia="KaiTi_GB2312"/>
          <w:snapToGrid/>
          <w:spacing w:val="-4"/>
        </w:rPr>
      </w:pPr>
      <w:r>
        <w:rPr>
          <w:rFonts w:eastAsia="KaiTi_GB2312"/>
          <w:snapToGrid/>
          <w:spacing w:val="0"/>
        </w:rPr>
        <w:t>a</w:t>
      </w:r>
      <w:r>
        <w:rPr>
          <w:rFonts w:eastAsia="KaiTi_GB2312" w:hint="eastAsia"/>
          <w:snapToGrid/>
          <w:spacing w:val="0"/>
        </w:rPr>
        <w:tab/>
      </w:r>
      <w:r>
        <w:rPr>
          <w:rFonts w:eastAsia="KaiTi_GB2312" w:hint="eastAsia"/>
          <w:snapToGrid/>
          <w:spacing w:val="-4"/>
        </w:rPr>
        <w:t>净月工资。从</w:t>
      </w:r>
      <w:r>
        <w:rPr>
          <w:rFonts w:eastAsia="KaiTi_GB2312"/>
          <w:snapToGrid/>
          <w:spacing w:val="-4"/>
        </w:rPr>
        <w:t>1997</w:t>
      </w:r>
      <w:r>
        <w:rPr>
          <w:rFonts w:eastAsia="KaiTi_GB2312" w:hint="eastAsia"/>
          <w:snapToGrid/>
          <w:spacing w:val="-4"/>
        </w:rPr>
        <w:t>年开始</w:t>
      </w:r>
      <w:r>
        <w:rPr>
          <w:rFonts w:eastAsia="KaiTi_GB2312"/>
          <w:snapToGrid/>
          <w:spacing w:val="-4"/>
        </w:rPr>
        <w:t>，</w:t>
      </w:r>
      <w:r>
        <w:rPr>
          <w:rFonts w:eastAsia="KaiTi_GB2312" w:hint="eastAsia"/>
          <w:snapToGrid/>
          <w:spacing w:val="-4"/>
        </w:rPr>
        <w:t>将</w:t>
      </w:r>
      <w:r>
        <w:rPr>
          <w:rFonts w:eastAsia="KaiTi_GB2312"/>
          <w:snapToGrid/>
          <w:spacing w:val="-4"/>
        </w:rPr>
        <w:t>20</w:t>
      </w:r>
      <w:r>
        <w:rPr>
          <w:rFonts w:eastAsia="KaiTi_GB2312" w:hint="eastAsia"/>
          <w:snapToGrid/>
          <w:spacing w:val="-4"/>
        </w:rPr>
        <w:t>人以上小公司工人的工资也包括在内。</w:t>
      </w:r>
    </w:p>
    <w:p w:rsidR="00000000" w:rsidRDefault="00000000">
      <w:pPr>
        <w:tabs>
          <w:tab w:val="left" w:pos="1690"/>
        </w:tabs>
        <w:spacing w:line="288" w:lineRule="auto"/>
        <w:ind w:left="510" w:firstLine="790"/>
        <w:rPr>
          <w:rFonts w:eastAsia="KaiTi_GB2312"/>
          <w:snapToGrid/>
          <w:spacing w:val="0"/>
        </w:rPr>
      </w:pPr>
      <w:r>
        <w:rPr>
          <w:rFonts w:eastAsia="KaiTi_GB2312"/>
          <w:snapToGrid/>
          <w:spacing w:val="0"/>
        </w:rPr>
        <w:t>b</w:t>
      </w:r>
      <w:r>
        <w:rPr>
          <w:rFonts w:eastAsia="KaiTi_GB2312" w:hint="eastAsia"/>
          <w:snapToGrid/>
          <w:spacing w:val="0"/>
        </w:rPr>
        <w:tab/>
      </w:r>
      <w:r>
        <w:rPr>
          <w:rFonts w:eastAsia="KaiTi_GB2312" w:hint="eastAsia"/>
          <w:snapToGrid/>
          <w:spacing w:val="0"/>
        </w:rPr>
        <w:t>个人最低生活水平。</w:t>
      </w:r>
    </w:p>
    <w:p w:rsidR="00000000" w:rsidRDefault="00000000">
      <w:pPr>
        <w:tabs>
          <w:tab w:val="left" w:pos="1690"/>
        </w:tabs>
        <w:spacing w:line="288" w:lineRule="auto"/>
        <w:ind w:left="510" w:firstLine="790"/>
        <w:rPr>
          <w:rFonts w:eastAsia="KaiTi_GB2312" w:hint="eastAsia"/>
          <w:snapToGrid/>
          <w:spacing w:val="0"/>
        </w:rPr>
      </w:pPr>
      <w:r>
        <w:rPr>
          <w:rFonts w:eastAsia="KaiTi_GB2312"/>
          <w:snapToGrid/>
          <w:spacing w:val="0"/>
        </w:rPr>
        <w:t>c</w:t>
      </w:r>
      <w:r>
        <w:rPr>
          <w:rFonts w:eastAsia="KaiTi_GB2312" w:hint="eastAsia"/>
          <w:snapToGrid/>
          <w:spacing w:val="0"/>
        </w:rPr>
        <w:tab/>
      </w:r>
      <w:r>
        <w:rPr>
          <w:rFonts w:eastAsia="KaiTi_GB2312"/>
          <w:snapToGrid/>
          <w:spacing w:val="0"/>
        </w:rPr>
        <w:t>1999</w:t>
      </w:r>
      <w:r>
        <w:rPr>
          <w:rFonts w:eastAsia="KaiTi_GB2312" w:hint="eastAsia"/>
          <w:snapToGrid/>
          <w:spacing w:val="0"/>
        </w:rPr>
        <w:t>年数据是</w:t>
      </w:r>
      <w:r>
        <w:rPr>
          <w:rFonts w:eastAsia="KaiTi_GB2312"/>
          <w:snapToGrid/>
          <w:spacing w:val="0"/>
        </w:rPr>
        <w:t>1999</w:t>
      </w:r>
      <w:r>
        <w:rPr>
          <w:rFonts w:eastAsia="KaiTi_GB2312" w:hint="eastAsia"/>
          <w:snapToGrid/>
          <w:spacing w:val="0"/>
        </w:rPr>
        <w:t>年名义工资年增长的估计数</w:t>
      </w:r>
      <w:r>
        <w:rPr>
          <w:rFonts w:eastAsia="KaiTi_GB2312"/>
          <w:snapToGrid/>
          <w:spacing w:val="0"/>
        </w:rPr>
        <w:t>+8.3%</w:t>
      </w:r>
      <w:r>
        <w:rPr>
          <w:rFonts w:eastAsia="KaiTi_GB2312" w:hint="eastAsia"/>
          <w:snapToGrid/>
          <w:spacing w:val="0"/>
        </w:rPr>
        <w:t>。</w:t>
      </w:r>
    </w:p>
    <w:p w:rsidR="00000000" w:rsidRDefault="00000000">
      <w:pPr>
        <w:tabs>
          <w:tab w:val="left" w:pos="1690"/>
        </w:tabs>
        <w:ind w:left="510" w:firstLine="660"/>
        <w:rPr>
          <w:rFonts w:eastAsia="KaiTi_GB2312" w:hint="eastAsia"/>
          <w:snapToGrid/>
          <w:spacing w:val="0"/>
        </w:rPr>
      </w:pPr>
    </w:p>
    <w:p w:rsidR="00000000" w:rsidRDefault="00000000">
      <w:r>
        <w:tab/>
        <w:t xml:space="preserve">257.  </w:t>
      </w:r>
      <w:r>
        <w:rPr>
          <w:rFonts w:hint="eastAsia"/>
        </w:rPr>
        <w:t>首次找到工作或建立类似就业关系的</w:t>
      </w:r>
      <w:r>
        <w:t>l8-21</w:t>
      </w:r>
      <w:r>
        <w:rPr>
          <w:rFonts w:hint="eastAsia"/>
        </w:rPr>
        <w:t>岁的青年</w:t>
      </w:r>
      <w:r>
        <w:t>，</w:t>
      </w:r>
      <w:r>
        <w:rPr>
          <w:rFonts w:hint="eastAsia"/>
        </w:rPr>
        <w:t>其最低工资是所规定数额的</w:t>
      </w:r>
      <w:r>
        <w:t>90%</w:t>
      </w:r>
      <w:r>
        <w:t>，</w:t>
      </w:r>
      <w:r>
        <w:rPr>
          <w:rFonts w:hint="eastAsia"/>
        </w:rPr>
        <w:t>未成年雇员为</w:t>
      </w:r>
      <w:r>
        <w:t>80%</w:t>
      </w:r>
      <w:r>
        <w:t>，</w:t>
      </w:r>
      <w:r>
        <w:rPr>
          <w:rFonts w:hint="eastAsia"/>
        </w:rPr>
        <w:t>领取部分残疾津贴的雇员为</w:t>
      </w:r>
      <w:r>
        <w:t>75%</w:t>
      </w:r>
      <w:r>
        <w:t>，</w:t>
      </w:r>
      <w:r>
        <w:rPr>
          <w:rFonts w:hint="eastAsia"/>
        </w:rPr>
        <w:t>领取全部残疾津贴或完全残疾但不领取全额残疾津贴的雇员为</w:t>
      </w:r>
      <w:r>
        <w:t>50%</w:t>
      </w:r>
      <w:r>
        <w:rPr>
          <w:rFonts w:hint="eastAsia"/>
        </w:rPr>
        <w:t>。集体协议可自己制定较高的最低工资</w:t>
      </w:r>
      <w:r>
        <w:t>，</w:t>
      </w:r>
      <w:r>
        <w:rPr>
          <w:rFonts w:hint="eastAsia"/>
        </w:rPr>
        <w:t>这一做法很通行。</w:t>
      </w:r>
    </w:p>
    <w:p w:rsidR="00000000" w:rsidRDefault="00000000">
      <w:pPr>
        <w:rPr>
          <w:rFonts w:hint="eastAsia"/>
        </w:rPr>
      </w:pPr>
      <w:r>
        <w:tab/>
        <w:t xml:space="preserve">258.  </w:t>
      </w:r>
      <w:r>
        <w:rPr>
          <w:rFonts w:hint="eastAsia"/>
        </w:rPr>
        <w:t>目前</w:t>
      </w:r>
      <w:r>
        <w:t>，</w:t>
      </w:r>
      <w:r>
        <w:rPr>
          <w:rFonts w:hint="eastAsia"/>
        </w:rPr>
        <w:t>政府高度重视最低工资问题</w:t>
      </w:r>
      <w:r>
        <w:t>，</w:t>
      </w:r>
      <w:r>
        <w:rPr>
          <w:rFonts w:hint="eastAsia"/>
        </w:rPr>
        <w:t>并在计划宣言中</w:t>
      </w:r>
      <w:r>
        <w:rPr>
          <w:rStyle w:val="EndnoteReference"/>
          <w:snapToGrid/>
        </w:rPr>
        <w:endnoteReference w:id="166"/>
      </w:r>
      <w:r>
        <w:rPr>
          <w:rFonts w:hint="eastAsia"/>
          <w:vertAlign w:val="superscript"/>
        </w:rPr>
        <w:t xml:space="preserve">  </w:t>
      </w:r>
      <w:r>
        <w:rPr>
          <w:rFonts w:hint="eastAsia"/>
        </w:rPr>
        <w:t>承诺将最低工资逐步增加到单独生活的成人的最低生活水平以上</w:t>
      </w:r>
      <w:r>
        <w:t>(</w:t>
      </w:r>
      <w:r>
        <w:rPr>
          <w:rFonts w:hint="eastAsia"/>
        </w:rPr>
        <w:t>最迟为</w:t>
      </w:r>
      <w:r>
        <w:rPr>
          <w:rFonts w:hint="eastAsia"/>
        </w:rPr>
        <w:t>2002</w:t>
      </w:r>
      <w:r>
        <w:rPr>
          <w:rFonts w:hint="eastAsia"/>
        </w:rPr>
        <w:t>年</w:t>
      </w:r>
      <w:r>
        <w:rPr>
          <w:rFonts w:hint="eastAsia"/>
        </w:rPr>
        <w:t>)</w:t>
      </w:r>
      <w:r>
        <w:rPr>
          <w:rFonts w:hint="eastAsia"/>
        </w:rPr>
        <w:t>。《国家就业计划》也包含了增加最低工资的内容，目的是在参加经济活动人口与不参加经济活动之间给予前者更多的利益</w:t>
      </w:r>
      <w:r>
        <w:t>，</w:t>
      </w:r>
      <w:r>
        <w:rPr>
          <w:rFonts w:hint="eastAsia"/>
        </w:rPr>
        <w:t>或增加工作收入对福利收入的比例。</w:t>
      </w:r>
    </w:p>
    <w:p w:rsidR="00000000" w:rsidRDefault="00000000">
      <w:r>
        <w:rPr>
          <w:rFonts w:hint="eastAsia"/>
        </w:rPr>
        <w:tab/>
      </w:r>
      <w:r>
        <w:t>259.</w:t>
      </w:r>
      <w:r>
        <w:rPr>
          <w:rFonts w:hint="eastAsia"/>
        </w:rPr>
        <w:t xml:space="preserve">  </w:t>
      </w:r>
      <w:r>
        <w:rPr>
          <w:rFonts w:hint="eastAsia"/>
        </w:rPr>
        <w:t>在未订立集体协议或集体协议未规定工资数额的私营企业中，《工资、待命工作报酬和平均收入法》规定了最低工资等级</w:t>
      </w:r>
      <w:r>
        <w:t>，</w:t>
      </w:r>
      <w:r>
        <w:rPr>
          <w:rFonts w:hint="eastAsia"/>
        </w:rPr>
        <w:t>对工人给予更多的保护</w:t>
      </w:r>
      <w:r>
        <w:t>，</w:t>
      </w:r>
      <w:r>
        <w:rPr>
          <w:rFonts w:hint="eastAsia"/>
        </w:rPr>
        <w:t>防止工人工资过低。</w:t>
      </w:r>
      <w:r>
        <w:rPr>
          <w:rStyle w:val="EndnoteReference"/>
          <w:snapToGrid/>
        </w:rPr>
        <w:endnoteReference w:id="167"/>
      </w:r>
      <w:r>
        <w:rPr>
          <w:rFonts w:hint="eastAsia"/>
        </w:rPr>
        <w:t xml:space="preserve"> </w:t>
      </w:r>
      <w:r>
        <w:rPr>
          <w:rFonts w:hint="eastAsia"/>
        </w:rPr>
        <w:t>在单个工资等级内依工作的复杂性、责任和难度划定最低工资的级差。单个级别由政府法令确定</w:t>
      </w:r>
      <w:r>
        <w:t>，</w:t>
      </w:r>
      <w:r>
        <w:rPr>
          <w:rFonts w:hint="eastAsia"/>
        </w:rPr>
        <w:t>最简单工作的第一级最低工资数额与最低工资相同。</w:t>
      </w:r>
    </w:p>
    <w:p w:rsidR="00000000" w:rsidRDefault="00000000">
      <w:r>
        <w:rPr>
          <w:rFonts w:hint="eastAsia"/>
        </w:rPr>
        <w:tab/>
      </w:r>
      <w:r>
        <w:t>260.</w:t>
      </w:r>
      <w:r>
        <w:rPr>
          <w:rFonts w:hint="eastAsia"/>
        </w:rPr>
        <w:t xml:space="preserve">  </w:t>
      </w:r>
      <w:r>
        <w:rPr>
          <w:rFonts w:hint="eastAsia"/>
        </w:rPr>
        <w:t>从事最低工资和最低工资级别工作的工人人数很少。约覆盖</w:t>
      </w:r>
      <w:r>
        <w:t>l</w:t>
      </w:r>
      <w:r>
        <w:rPr>
          <w:rFonts w:hint="eastAsia"/>
        </w:rPr>
        <w:t>00</w:t>
      </w:r>
      <w:r>
        <w:rPr>
          <w:rFonts w:hint="eastAsia"/>
        </w:rPr>
        <w:t>万工人的劳动和社会事务部信息系统的数据表明</w:t>
      </w:r>
      <w:r>
        <w:t>，</w:t>
      </w:r>
      <w:r>
        <w:t>1999</w:t>
      </w:r>
      <w:r>
        <w:rPr>
          <w:rFonts w:hint="eastAsia"/>
        </w:rPr>
        <w:t>年第二季度仅有</w:t>
      </w:r>
      <w:r>
        <w:t>0.3%</w:t>
      </w:r>
      <w:r>
        <w:rPr>
          <w:rFonts w:hint="eastAsia"/>
        </w:rPr>
        <w:t>的工人每小时工资为</w:t>
      </w:r>
      <w:r>
        <w:t>23</w:t>
      </w:r>
      <w:r>
        <w:rPr>
          <w:rFonts w:hint="eastAsia"/>
        </w:rPr>
        <w:t>捷克克朗</w:t>
      </w:r>
      <w:r>
        <w:t>，</w:t>
      </w:r>
      <w:r>
        <w:rPr>
          <w:rFonts w:hint="eastAsia"/>
        </w:rPr>
        <w:t>即月工资最多为</w:t>
      </w:r>
      <w:r>
        <w:t>4140</w:t>
      </w:r>
      <w:r>
        <w:rPr>
          <w:rFonts w:hint="eastAsia"/>
        </w:rPr>
        <w:t>捷克克朗。根据劳动局</w:t>
      </w:r>
      <w:r>
        <w:t>1999</w:t>
      </w:r>
      <w:r>
        <w:rPr>
          <w:rFonts w:hint="eastAsia"/>
        </w:rPr>
        <w:t>年</w:t>
      </w:r>
      <w:r>
        <w:t>3</w:t>
      </w:r>
      <w:r>
        <w:rPr>
          <w:rFonts w:hint="eastAsia"/>
        </w:rPr>
        <w:t>月进行的调查</w:t>
      </w:r>
      <w:r>
        <w:t>，</w:t>
      </w:r>
      <w:r>
        <w:rPr>
          <w:rFonts w:hint="eastAsia"/>
        </w:rPr>
        <w:t>在小企业、特别是在</w:t>
      </w:r>
      <w:r>
        <w:t>50</w:t>
      </w:r>
      <w:r>
        <w:rPr>
          <w:rFonts w:hint="eastAsia"/>
        </w:rPr>
        <w:t>人以下企业中低工资较为常见</w:t>
      </w:r>
      <w:r>
        <w:t>：</w:t>
      </w:r>
      <w:r>
        <w:rPr>
          <w:rFonts w:hint="eastAsia"/>
        </w:rPr>
        <w:t>约有</w:t>
      </w:r>
      <w:r>
        <w:t>4.7%</w:t>
      </w:r>
      <w:r>
        <w:rPr>
          <w:rFonts w:hint="eastAsia"/>
        </w:rPr>
        <w:t>的雇员的月工资最多为</w:t>
      </w:r>
      <w:r>
        <w:t>4000</w:t>
      </w:r>
      <w:r>
        <w:rPr>
          <w:rFonts w:hint="eastAsia"/>
        </w:rPr>
        <w:t>捷克克朗。</w:t>
      </w:r>
    </w:p>
    <w:p w:rsidR="00000000" w:rsidRDefault="00000000">
      <w:pPr>
        <w:spacing w:after="320"/>
      </w:pPr>
      <w:r>
        <w:rPr>
          <w:rFonts w:hint="eastAsia"/>
        </w:rPr>
        <w:tab/>
      </w:r>
      <w:r>
        <w:t>261.</w:t>
      </w:r>
      <w:r>
        <w:rPr>
          <w:rFonts w:hint="eastAsia"/>
        </w:rPr>
        <w:t xml:space="preserve">  </w:t>
      </w:r>
      <w:r>
        <w:rPr>
          <w:rFonts w:hint="eastAsia"/>
        </w:rPr>
        <w:t>捷克共和国制定了最低生活水平</w:t>
      </w:r>
      <w:r>
        <w:t>，</w:t>
      </w:r>
      <w:r>
        <w:rPr>
          <w:rFonts w:hint="eastAsia"/>
        </w:rPr>
        <w:t>从而保证公民及其家庭过上可说得过去的生活。</w:t>
      </w:r>
      <w:r>
        <w:rPr>
          <w:rStyle w:val="EndnoteReference"/>
          <w:snapToGrid/>
        </w:rPr>
        <w:endnoteReference w:id="168"/>
      </w:r>
      <w:r>
        <w:rPr>
          <w:rFonts w:hint="eastAsia"/>
        </w:rPr>
        <w:t xml:space="preserve"> </w:t>
      </w:r>
      <w:r>
        <w:rPr>
          <w:rFonts w:hint="eastAsia"/>
        </w:rPr>
        <w:t>最低生活水准是社会承认的最低收入水平，在其之下便无法满足物质需求。它规定了暂时满足个人和家庭基本物质需求所需要的数额。对于有孩子的常见家庭而言（四口之家</w:t>
      </w:r>
      <w:r>
        <w:t>，</w:t>
      </w:r>
      <w:r>
        <w:rPr>
          <w:rFonts w:hint="eastAsia"/>
        </w:rPr>
        <w:t>两个孩子、两个大人）</w:t>
      </w:r>
      <w:r>
        <w:t>，</w:t>
      </w:r>
      <w:r>
        <w:rPr>
          <w:rFonts w:hint="eastAsia"/>
        </w:rPr>
        <w:t>依所抚育孩子的年龄</w:t>
      </w:r>
      <w:r>
        <w:t>，</w:t>
      </w:r>
      <w:r>
        <w:t>1999</w:t>
      </w:r>
      <w:r>
        <w:rPr>
          <w:rFonts w:hint="eastAsia"/>
        </w:rPr>
        <w:t>年最低生活水平为每月</w:t>
      </w:r>
      <w:r>
        <w:t>9490</w:t>
      </w:r>
      <w:r>
        <w:rPr>
          <w:rFonts w:hint="eastAsia"/>
        </w:rPr>
        <w:t>至</w:t>
      </w:r>
      <w:r>
        <w:t>10870</w:t>
      </w:r>
      <w:r>
        <w:rPr>
          <w:rFonts w:hint="eastAsia"/>
        </w:rPr>
        <w:t>捷克克朗</w:t>
      </w:r>
      <w:r>
        <w:t>(</w:t>
      </w:r>
      <w:r>
        <w:rPr>
          <w:rFonts w:hint="eastAsia"/>
        </w:rPr>
        <w:t>见执行《公约》第</w:t>
      </w:r>
      <w:r>
        <w:t>9</w:t>
      </w:r>
      <w:r>
        <w:rPr>
          <w:rFonts w:hint="eastAsia"/>
        </w:rPr>
        <w:t>条的部分</w:t>
      </w:r>
      <w:r>
        <w:t>)</w:t>
      </w:r>
      <w:r>
        <w:rPr>
          <w:rFonts w:hint="eastAsia"/>
        </w:rPr>
        <w:t>。</w:t>
      </w:r>
      <w:r>
        <w:t>1999</w:t>
      </w:r>
      <w:r>
        <w:rPr>
          <w:rFonts w:hint="eastAsia"/>
        </w:rPr>
        <w:t>年上半年平均月毛工资达到</w:t>
      </w:r>
      <w:r>
        <w:t>12063</w:t>
      </w:r>
      <w:r>
        <w:rPr>
          <w:rFonts w:hint="eastAsia"/>
        </w:rPr>
        <w:t>捷克克朗。最低生活水平与平均毛工资的比率在单职工家庭中为</w:t>
      </w:r>
      <w:r>
        <w:t>78.7%</w:t>
      </w:r>
      <w:r>
        <w:rPr>
          <w:rFonts w:hint="eastAsia"/>
        </w:rPr>
        <w:t>到</w:t>
      </w:r>
      <w:r>
        <w:t>90.1%</w:t>
      </w:r>
      <w:r>
        <w:t>，</w:t>
      </w:r>
      <w:r>
        <w:rPr>
          <w:rFonts w:hint="eastAsia"/>
        </w:rPr>
        <w:t>在双职工家庭中为</w:t>
      </w:r>
      <w:r>
        <w:t>39.3%</w:t>
      </w:r>
      <w:r>
        <w:rPr>
          <w:rFonts w:hint="eastAsia"/>
        </w:rPr>
        <w:t>到</w:t>
      </w:r>
      <w:r>
        <w:t>45.1%</w:t>
      </w:r>
      <w:r>
        <w:rPr>
          <w:rFonts w:hint="eastAsia"/>
        </w:rPr>
        <w:t>。</w:t>
      </w:r>
    </w:p>
    <w:p w:rsidR="00000000" w:rsidRDefault="00000000">
      <w:pPr>
        <w:pStyle w:val="a8"/>
        <w:rPr>
          <w:rFonts w:ascii="Times New Roman" w:eastAsia="KaiTi_GB2312" w:hAnsi="Times New Roman"/>
          <w:spacing w:val="0"/>
          <w:kern w:val="0"/>
        </w:rPr>
      </w:pPr>
      <w:r>
        <w:rPr>
          <w:rFonts w:ascii="Times New Roman" w:eastAsia="SimSun" w:hAnsi="Times New Roman"/>
          <w:color w:val="000000"/>
          <w:kern w:val="28"/>
          <w:u w:val="single"/>
        </w:rPr>
        <w:t>1998</w:t>
      </w:r>
      <w:r>
        <w:rPr>
          <w:rFonts w:ascii="Times New Roman" w:eastAsia="SimSun" w:hAnsi="Times New Roman" w:hint="eastAsia"/>
          <w:color w:val="000000"/>
          <w:kern w:val="28"/>
          <w:u w:val="single"/>
        </w:rPr>
        <w:t>年职工家庭收入</w:t>
      </w:r>
      <w:r>
        <w:rPr>
          <w:rFonts w:ascii="Times New Roman" w:eastAsia="SimSun" w:hAnsi="Times New Roman"/>
          <w:color w:val="000000"/>
          <w:kern w:val="28"/>
          <w:u w:val="single"/>
        </w:rPr>
        <w:br/>
      </w:r>
      <w:r>
        <w:rPr>
          <w:rFonts w:ascii="Times New Roman" w:eastAsia="KaiTi_GB2312" w:hAnsi="Times New Roman"/>
          <w:spacing w:val="0"/>
          <w:kern w:val="0"/>
        </w:rPr>
        <w:t>(</w:t>
      </w:r>
      <w:r>
        <w:rPr>
          <w:rFonts w:ascii="Times New Roman" w:eastAsia="KaiTi_GB2312" w:hAnsi="Times New Roman" w:hint="eastAsia"/>
          <w:spacing w:val="0"/>
          <w:kern w:val="0"/>
        </w:rPr>
        <w:t>单职工或双职工有孩子的四口之家的平均月收入</w:t>
      </w:r>
      <w:r>
        <w:rPr>
          <w:rFonts w:ascii="Times New Roman" w:eastAsia="KaiTi_GB2312" w:hAnsi="Times New Roman"/>
          <w:spacing w:val="0"/>
          <w:kern w:val="0"/>
        </w:rPr>
        <w:t>(</w:t>
      </w:r>
      <w:r>
        <w:rPr>
          <w:rFonts w:ascii="Times New Roman" w:eastAsia="KaiTi_GB2312" w:hAnsi="Times New Roman" w:hint="eastAsia"/>
          <w:spacing w:val="0"/>
          <w:kern w:val="0"/>
        </w:rPr>
        <w:t>捷克克朗）</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694"/>
        <w:gridCol w:w="2693"/>
      </w:tblGrid>
      <w:tr w:rsidR="00000000">
        <w:tblPrEx>
          <w:tblCellMar>
            <w:top w:w="0" w:type="dxa"/>
            <w:bottom w:w="0" w:type="dxa"/>
          </w:tblCellMar>
        </w:tblPrEx>
        <w:tc>
          <w:tcPr>
            <w:tcW w:w="3969" w:type="dxa"/>
            <w:tcBorders>
              <w:bottom w:val="single" w:sz="4" w:space="0" w:color="auto"/>
            </w:tcBorders>
          </w:tcPr>
          <w:p w:rsidR="00000000" w:rsidRDefault="00000000">
            <w:pPr>
              <w:pStyle w:val="aa"/>
              <w:spacing w:before="120" w:line="360" w:lineRule="auto"/>
              <w:jc w:val="center"/>
            </w:pPr>
          </w:p>
        </w:tc>
        <w:tc>
          <w:tcPr>
            <w:tcW w:w="2694" w:type="dxa"/>
            <w:tcBorders>
              <w:bottom w:val="single" w:sz="4" w:space="0" w:color="auto"/>
            </w:tcBorders>
          </w:tcPr>
          <w:p w:rsidR="00000000" w:rsidRDefault="00000000">
            <w:pPr>
              <w:pStyle w:val="aa"/>
              <w:spacing w:before="120" w:line="360" w:lineRule="auto"/>
              <w:jc w:val="center"/>
              <w:rPr>
                <w:rFonts w:hint="eastAsia"/>
              </w:rPr>
            </w:pPr>
            <w:r>
              <w:rPr>
                <w:rFonts w:hint="eastAsia"/>
              </w:rPr>
              <w:t>单职工家庭</w:t>
            </w:r>
          </w:p>
        </w:tc>
        <w:tc>
          <w:tcPr>
            <w:tcW w:w="2693" w:type="dxa"/>
            <w:tcBorders>
              <w:bottom w:val="single" w:sz="4" w:space="0" w:color="auto"/>
            </w:tcBorders>
          </w:tcPr>
          <w:p w:rsidR="00000000" w:rsidRDefault="00000000">
            <w:pPr>
              <w:pStyle w:val="aa"/>
              <w:spacing w:before="120" w:line="360" w:lineRule="auto"/>
              <w:jc w:val="center"/>
              <w:rPr>
                <w:rFonts w:hint="eastAsia"/>
              </w:rPr>
            </w:pPr>
            <w:r>
              <w:rPr>
                <w:rFonts w:hint="eastAsia"/>
              </w:rPr>
              <w:t>双职工家庭</w:t>
            </w:r>
          </w:p>
        </w:tc>
      </w:tr>
      <w:tr w:rsidR="00000000">
        <w:tblPrEx>
          <w:tblCellMar>
            <w:top w:w="0" w:type="dxa"/>
            <w:bottom w:w="0" w:type="dxa"/>
          </w:tblCellMar>
        </w:tblPrEx>
        <w:tc>
          <w:tcPr>
            <w:tcW w:w="3969" w:type="dxa"/>
            <w:tcBorders>
              <w:bottom w:val="nil"/>
            </w:tcBorders>
          </w:tcPr>
          <w:p w:rsidR="00000000" w:rsidRDefault="00000000">
            <w:pPr>
              <w:pStyle w:val="aa"/>
              <w:rPr>
                <w:rFonts w:hint="eastAsia"/>
              </w:rPr>
            </w:pPr>
            <w:r>
              <w:rPr>
                <w:rFonts w:hint="eastAsia"/>
              </w:rPr>
              <w:t>货币毛收入</w:t>
            </w:r>
          </w:p>
        </w:tc>
        <w:tc>
          <w:tcPr>
            <w:tcW w:w="2694" w:type="dxa"/>
            <w:tcBorders>
              <w:bottom w:val="nil"/>
            </w:tcBorders>
          </w:tcPr>
          <w:p w:rsidR="00000000" w:rsidRDefault="00000000">
            <w:pPr>
              <w:pStyle w:val="aa"/>
              <w:jc w:val="center"/>
            </w:pPr>
            <w:r>
              <w:t>21 364</w:t>
            </w:r>
          </w:p>
        </w:tc>
        <w:tc>
          <w:tcPr>
            <w:tcW w:w="2693" w:type="dxa"/>
            <w:tcBorders>
              <w:bottom w:val="nil"/>
            </w:tcBorders>
          </w:tcPr>
          <w:p w:rsidR="00000000" w:rsidRDefault="00000000">
            <w:pPr>
              <w:pStyle w:val="aa"/>
              <w:jc w:val="center"/>
            </w:pPr>
            <w:r>
              <w:t>29 522</w:t>
            </w:r>
          </w:p>
        </w:tc>
      </w:tr>
      <w:tr w:rsidR="00000000">
        <w:tblPrEx>
          <w:tblCellMar>
            <w:top w:w="0" w:type="dxa"/>
            <w:bottom w:w="0" w:type="dxa"/>
          </w:tblCellMar>
        </w:tblPrEx>
        <w:tc>
          <w:tcPr>
            <w:tcW w:w="3969" w:type="dxa"/>
            <w:tcBorders>
              <w:top w:val="nil"/>
              <w:bottom w:val="nil"/>
            </w:tcBorders>
          </w:tcPr>
          <w:p w:rsidR="00000000" w:rsidRDefault="00000000">
            <w:pPr>
              <w:pStyle w:val="aa"/>
              <w:rPr>
                <w:rFonts w:hint="eastAsia"/>
              </w:rPr>
            </w:pPr>
            <w:r>
              <w:t xml:space="preserve">  </w:t>
            </w:r>
            <w:r>
              <w:rPr>
                <w:rFonts w:hint="eastAsia"/>
              </w:rPr>
              <w:t>其中：工资毛收入</w:t>
            </w:r>
          </w:p>
        </w:tc>
        <w:tc>
          <w:tcPr>
            <w:tcW w:w="2694" w:type="dxa"/>
            <w:tcBorders>
              <w:top w:val="nil"/>
              <w:bottom w:val="nil"/>
            </w:tcBorders>
          </w:tcPr>
          <w:p w:rsidR="00000000" w:rsidRDefault="00000000">
            <w:pPr>
              <w:pStyle w:val="aa"/>
              <w:jc w:val="center"/>
            </w:pPr>
            <w:r>
              <w:t>15 937</w:t>
            </w:r>
          </w:p>
        </w:tc>
        <w:tc>
          <w:tcPr>
            <w:tcW w:w="2693" w:type="dxa"/>
            <w:tcBorders>
              <w:top w:val="nil"/>
              <w:bottom w:val="nil"/>
            </w:tcBorders>
          </w:tcPr>
          <w:p w:rsidR="00000000" w:rsidRDefault="00000000">
            <w:pPr>
              <w:pStyle w:val="aa"/>
              <w:jc w:val="center"/>
            </w:pPr>
            <w:r>
              <w:t>25 896</w:t>
            </w:r>
          </w:p>
        </w:tc>
      </w:tr>
      <w:tr w:rsidR="00000000">
        <w:tblPrEx>
          <w:tblCellMar>
            <w:top w:w="0" w:type="dxa"/>
            <w:bottom w:w="0" w:type="dxa"/>
          </w:tblCellMar>
        </w:tblPrEx>
        <w:tc>
          <w:tcPr>
            <w:tcW w:w="3969" w:type="dxa"/>
            <w:tcBorders>
              <w:top w:val="nil"/>
              <w:bottom w:val="nil"/>
            </w:tcBorders>
          </w:tcPr>
          <w:p w:rsidR="00000000" w:rsidRDefault="00000000">
            <w:pPr>
              <w:pStyle w:val="aa"/>
              <w:rPr>
                <w:rFonts w:hint="eastAsia"/>
              </w:rPr>
            </w:pPr>
            <w:r>
              <w:rPr>
                <w:rFonts w:hint="eastAsia"/>
              </w:rPr>
              <w:t>净收入总额（包括实物）</w:t>
            </w:r>
          </w:p>
        </w:tc>
        <w:tc>
          <w:tcPr>
            <w:tcW w:w="2694" w:type="dxa"/>
            <w:tcBorders>
              <w:top w:val="nil"/>
              <w:bottom w:val="nil"/>
            </w:tcBorders>
          </w:tcPr>
          <w:p w:rsidR="00000000" w:rsidRDefault="00000000">
            <w:pPr>
              <w:pStyle w:val="aa"/>
              <w:jc w:val="center"/>
            </w:pPr>
            <w:r>
              <w:t>19 731</w:t>
            </w:r>
          </w:p>
        </w:tc>
        <w:tc>
          <w:tcPr>
            <w:tcW w:w="2693" w:type="dxa"/>
            <w:tcBorders>
              <w:top w:val="nil"/>
              <w:bottom w:val="nil"/>
            </w:tcBorders>
          </w:tcPr>
          <w:p w:rsidR="00000000" w:rsidRDefault="00000000">
            <w:pPr>
              <w:pStyle w:val="aa"/>
              <w:jc w:val="center"/>
            </w:pPr>
            <w:r>
              <w:t>25 081</w:t>
            </w:r>
          </w:p>
        </w:tc>
      </w:tr>
      <w:tr w:rsidR="00000000">
        <w:tblPrEx>
          <w:tblCellMar>
            <w:top w:w="0" w:type="dxa"/>
            <w:bottom w:w="0" w:type="dxa"/>
          </w:tblCellMar>
        </w:tblPrEx>
        <w:tc>
          <w:tcPr>
            <w:tcW w:w="3969" w:type="dxa"/>
            <w:tcBorders>
              <w:top w:val="nil"/>
            </w:tcBorders>
          </w:tcPr>
          <w:p w:rsidR="00000000" w:rsidRDefault="00000000">
            <w:pPr>
              <w:pStyle w:val="aa"/>
              <w:rPr>
                <w:rFonts w:hint="eastAsia"/>
              </w:rPr>
            </w:pPr>
            <w:r>
              <w:t xml:space="preserve">  </w:t>
            </w:r>
            <w:r>
              <w:rPr>
                <w:rFonts w:hint="eastAsia"/>
              </w:rPr>
              <w:t>其中货币净收入</w:t>
            </w:r>
          </w:p>
        </w:tc>
        <w:tc>
          <w:tcPr>
            <w:tcW w:w="2694" w:type="dxa"/>
            <w:tcBorders>
              <w:top w:val="nil"/>
            </w:tcBorders>
          </w:tcPr>
          <w:p w:rsidR="00000000" w:rsidRDefault="00000000">
            <w:pPr>
              <w:pStyle w:val="aa"/>
              <w:jc w:val="center"/>
            </w:pPr>
            <w:r>
              <w:t>18 147</w:t>
            </w:r>
          </w:p>
        </w:tc>
        <w:tc>
          <w:tcPr>
            <w:tcW w:w="2693" w:type="dxa"/>
            <w:tcBorders>
              <w:top w:val="nil"/>
            </w:tcBorders>
          </w:tcPr>
          <w:p w:rsidR="00000000" w:rsidRDefault="00000000">
            <w:pPr>
              <w:pStyle w:val="aa"/>
              <w:jc w:val="center"/>
            </w:pPr>
            <w:r>
              <w:t>23 967</w:t>
            </w:r>
          </w:p>
        </w:tc>
      </w:tr>
    </w:tbl>
    <w:p w:rsidR="00000000" w:rsidRDefault="00000000">
      <w:pPr>
        <w:pStyle w:val="FootnoteText"/>
        <w:spacing w:before="160" w:after="320"/>
        <w:ind w:left="1587" w:hanging="1077"/>
        <w:rPr>
          <w:sz w:val="21"/>
        </w:rPr>
      </w:pPr>
      <w:r>
        <w:rPr>
          <w:rFonts w:hint="eastAsia"/>
          <w:sz w:val="21"/>
          <w:u w:val="single"/>
        </w:rPr>
        <w:t>资料来源</w:t>
      </w:r>
      <w:r>
        <w:rPr>
          <w:rFonts w:hint="eastAsia"/>
          <w:sz w:val="21"/>
        </w:rPr>
        <w:t>：家庭预算统计，捷克统计局。</w:t>
      </w:r>
    </w:p>
    <w:p w:rsidR="00000000" w:rsidRDefault="00000000">
      <w:pPr>
        <w:rPr>
          <w:snapToGrid/>
        </w:rPr>
      </w:pPr>
      <w:r>
        <w:rPr>
          <w:rFonts w:hint="eastAsia"/>
          <w:snapToGrid/>
        </w:rPr>
        <w:tab/>
      </w:r>
      <w:r>
        <w:rPr>
          <w:snapToGrid/>
        </w:rPr>
        <w:t xml:space="preserve">262.  </w:t>
      </w:r>
      <w:r>
        <w:rPr>
          <w:rFonts w:hint="eastAsia"/>
          <w:snapToGrid/>
        </w:rPr>
        <w:t>家庭最低生活水平与家庭从就业中得到的货币净收入的比率在单职工家庭中为</w:t>
      </w:r>
      <w:r>
        <w:rPr>
          <w:snapToGrid/>
        </w:rPr>
        <w:t>52.3</w:t>
      </w:r>
      <w:r>
        <w:rPr>
          <w:rFonts w:hint="eastAsia"/>
          <w:snapToGrid/>
        </w:rPr>
        <w:t>至</w:t>
      </w:r>
      <w:r>
        <w:rPr>
          <w:snapToGrid/>
        </w:rPr>
        <w:t>59.9%</w:t>
      </w:r>
      <w:r>
        <w:rPr>
          <w:snapToGrid/>
        </w:rPr>
        <w:t>，</w:t>
      </w:r>
      <w:r>
        <w:rPr>
          <w:rFonts w:hint="eastAsia"/>
          <w:snapToGrid/>
        </w:rPr>
        <w:t>在双职工家庭中为</w:t>
      </w:r>
      <w:r>
        <w:rPr>
          <w:snapToGrid/>
        </w:rPr>
        <w:t>39.6</w:t>
      </w:r>
      <w:r>
        <w:rPr>
          <w:rFonts w:hint="eastAsia"/>
          <w:snapToGrid/>
        </w:rPr>
        <w:t>至</w:t>
      </w:r>
      <w:r>
        <w:rPr>
          <w:snapToGrid/>
        </w:rPr>
        <w:t>45.4%</w:t>
      </w:r>
      <w:r>
        <w:rPr>
          <w:rFonts w:hint="eastAsia"/>
          <w:snapToGrid/>
        </w:rPr>
        <w:t>。</w:t>
      </w:r>
    </w:p>
    <w:p w:rsidR="00000000" w:rsidRDefault="00000000">
      <w:pPr>
        <w:rPr>
          <w:snapToGrid/>
        </w:rPr>
      </w:pPr>
      <w:r>
        <w:rPr>
          <w:rFonts w:hint="eastAsia"/>
          <w:snapToGrid/>
        </w:rPr>
        <w:tab/>
      </w:r>
      <w:r>
        <w:rPr>
          <w:snapToGrid/>
        </w:rPr>
        <w:t xml:space="preserve">263.  </w:t>
      </w:r>
      <w:r>
        <w:rPr>
          <w:rFonts w:hint="eastAsia"/>
          <w:snapToGrid/>
          <w:spacing w:val="4"/>
        </w:rPr>
        <w:t>根据同工同酬的原则</w:t>
      </w:r>
      <w:r>
        <w:rPr>
          <w:snapToGrid/>
          <w:spacing w:val="4"/>
        </w:rPr>
        <w:t>，</w:t>
      </w:r>
      <w:r>
        <w:rPr>
          <w:rFonts w:hint="eastAsia"/>
          <w:snapToGrid/>
          <w:spacing w:val="4"/>
        </w:rPr>
        <w:t>妇女享有与男人同等的工作地位。但是</w:t>
      </w:r>
      <w:r>
        <w:rPr>
          <w:snapToGrid/>
          <w:spacing w:val="4"/>
        </w:rPr>
        <w:t>，</w:t>
      </w:r>
      <w:r>
        <w:rPr>
          <w:rFonts w:hint="eastAsia"/>
          <w:snapToGrid/>
          <w:spacing w:val="4"/>
        </w:rPr>
        <w:t>《劳动法》和关于报酬的其他条例没有明确地规定男女从事相同工作或同等价值工作有权获得同等报酬。由于男女之间平均</w:t>
      </w:r>
      <w:r>
        <w:rPr>
          <w:snapToGrid/>
          <w:spacing w:val="4"/>
        </w:rPr>
        <w:t>(</w:t>
      </w:r>
      <w:r>
        <w:rPr>
          <w:rFonts w:hint="eastAsia"/>
          <w:snapToGrid/>
          <w:spacing w:val="4"/>
        </w:rPr>
        <w:t>小时</w:t>
      </w:r>
      <w:r>
        <w:rPr>
          <w:snapToGrid/>
          <w:spacing w:val="4"/>
        </w:rPr>
        <w:t>)</w:t>
      </w:r>
      <w:r>
        <w:rPr>
          <w:rFonts w:hint="eastAsia"/>
          <w:snapToGrid/>
          <w:spacing w:val="4"/>
        </w:rPr>
        <w:t>工资的差距逐年加大，这一缺陷更加显而易见。</w:t>
      </w:r>
    </w:p>
    <w:p w:rsidR="00000000" w:rsidRDefault="00000000">
      <w:pPr>
        <w:rPr>
          <w:snapToGrid/>
        </w:rPr>
      </w:pPr>
      <w:r>
        <w:rPr>
          <w:rFonts w:hint="eastAsia"/>
          <w:snapToGrid/>
        </w:rPr>
        <w:tab/>
      </w:r>
      <w:r>
        <w:rPr>
          <w:snapToGrid/>
        </w:rPr>
        <w:t xml:space="preserve">264.  </w:t>
      </w:r>
      <w:r>
        <w:rPr>
          <w:rFonts w:hint="eastAsia"/>
          <w:snapToGrid/>
        </w:rPr>
        <w:t>对《劳动法》、《工资、待命工作报酬和平均收入法》和《关于预算拨款组织及某些其他组织和机构工资和待命工作报酬法》</w:t>
      </w:r>
      <w:r>
        <w:rPr>
          <w:rFonts w:hint="eastAsia"/>
          <w:snapToGrid/>
        </w:rPr>
        <w:t>(</w:t>
      </w:r>
      <w:r>
        <w:rPr>
          <w:rFonts w:hint="eastAsia"/>
          <w:snapToGrid/>
        </w:rPr>
        <w:t>另见关于执行《公约》第</w:t>
      </w:r>
      <w:r>
        <w:rPr>
          <w:snapToGrid/>
        </w:rPr>
        <w:t>3</w:t>
      </w:r>
      <w:r>
        <w:rPr>
          <w:rFonts w:hint="eastAsia"/>
          <w:snapToGrid/>
        </w:rPr>
        <w:t>条部分</w:t>
      </w:r>
      <w:r>
        <w:rPr>
          <w:rFonts w:hint="eastAsia"/>
          <w:snapToGrid/>
        </w:rPr>
        <w:t>)</w:t>
      </w:r>
      <w:r>
        <w:rPr>
          <w:rFonts w:hint="eastAsia"/>
          <w:snapToGrid/>
        </w:rPr>
        <w:t>在行修正后，预计将有助于执行同工同酬原则。</w:t>
      </w:r>
      <w:r>
        <w:rPr>
          <w:rStyle w:val="EndnoteReference"/>
          <w:snapToGrid/>
        </w:rPr>
        <w:endnoteReference w:id="169"/>
      </w:r>
      <w:r>
        <w:rPr>
          <w:rFonts w:hint="eastAsia"/>
          <w:snapToGrid/>
        </w:rPr>
        <w:t xml:space="preserve">  </w:t>
      </w:r>
      <w:r>
        <w:rPr>
          <w:rFonts w:hint="eastAsia"/>
          <w:snapToGrid/>
        </w:rPr>
        <w:t>这些法律的修正案将直接规定男女同工同酬原则</w:t>
      </w:r>
      <w:r>
        <w:rPr>
          <w:snapToGrid/>
        </w:rPr>
        <w:t>(</w:t>
      </w:r>
      <w:r>
        <w:rPr>
          <w:rFonts w:hint="eastAsia"/>
          <w:snapToGrid/>
        </w:rPr>
        <w:t>同等工作或同等价值工作享有同等报酬</w:t>
      </w:r>
      <w:r>
        <w:rPr>
          <w:rFonts w:hint="eastAsia"/>
          <w:snapToGrid/>
        </w:rPr>
        <w:t>)</w:t>
      </w:r>
      <w:r>
        <w:rPr>
          <w:rFonts w:hint="eastAsia"/>
          <w:snapToGrid/>
        </w:rPr>
        <w:t>。</w:t>
      </w:r>
    </w:p>
    <w:p w:rsidR="00000000" w:rsidRDefault="00000000">
      <w:pPr>
        <w:rPr>
          <w:rFonts w:hint="eastAsia"/>
          <w:snapToGrid/>
        </w:rPr>
      </w:pPr>
      <w:r>
        <w:rPr>
          <w:rFonts w:hint="eastAsia"/>
          <w:snapToGrid/>
        </w:rPr>
        <w:tab/>
      </w:r>
      <w:r>
        <w:rPr>
          <w:snapToGrid/>
        </w:rPr>
        <w:t xml:space="preserve">265.  </w:t>
      </w:r>
      <w:r>
        <w:rPr>
          <w:rFonts w:hint="eastAsia"/>
          <w:snapToGrid/>
        </w:rPr>
        <w:t>关于工资的所有法律和其他法规都遵循所有工人同酬原则和同工同酬原则。工资条例一般虽称雇员为“他”，但是平等适用于两性。工作评价制度、工作目录和工资等级规定都是“中性的，不涉及性别和其他问题”，坚持非歧视原则</w:t>
      </w:r>
      <w:r>
        <w:rPr>
          <w:snapToGrid/>
        </w:rPr>
        <w:t>(</w:t>
      </w:r>
      <w:r>
        <w:rPr>
          <w:rFonts w:hint="eastAsia"/>
          <w:snapToGrid/>
        </w:rPr>
        <w:t>工作复杂性、责任和难度</w:t>
      </w:r>
      <w:r>
        <w:rPr>
          <w:rFonts w:hint="eastAsia"/>
          <w:snapToGrid/>
        </w:rPr>
        <w:t>)</w:t>
      </w:r>
      <w:r>
        <w:rPr>
          <w:rFonts w:hint="eastAsia"/>
          <w:snapToGrid/>
        </w:rPr>
        <w:t>。劳动局向认为受歧视的职工提供求诉法庭纠正错误的机会。</w:t>
      </w:r>
    </w:p>
    <w:p w:rsidR="00000000" w:rsidRDefault="00000000">
      <w:pPr>
        <w:rPr>
          <w:snapToGrid/>
        </w:rPr>
      </w:pPr>
      <w:r>
        <w:rPr>
          <w:rFonts w:hint="eastAsia"/>
          <w:snapToGrid/>
        </w:rPr>
        <w:tab/>
      </w:r>
      <w:r>
        <w:rPr>
          <w:snapToGrid/>
        </w:rPr>
        <w:t xml:space="preserve">266.  </w:t>
      </w:r>
      <w:r>
        <w:rPr>
          <w:rFonts w:hint="eastAsia"/>
          <w:snapToGrid/>
        </w:rPr>
        <w:t>劳动和社会事务部通过随机抽样调查获取评价同酬情况的统计数据</w:t>
      </w:r>
      <w:r>
        <w:rPr>
          <w:snapToGrid/>
        </w:rPr>
        <w:t>，</w:t>
      </w:r>
      <w:r>
        <w:rPr>
          <w:rFonts w:hint="eastAsia"/>
          <w:snapToGrid/>
        </w:rPr>
        <w:t>每季度汇编一次，目前约有</w:t>
      </w:r>
      <w:r>
        <w:rPr>
          <w:snapToGrid/>
        </w:rPr>
        <w:t>40%</w:t>
      </w:r>
      <w:r>
        <w:rPr>
          <w:rFonts w:hint="eastAsia"/>
          <w:snapToGrid/>
        </w:rPr>
        <w:t>的职工数据。除劳动和社会事务部的调查外</w:t>
      </w:r>
      <w:r>
        <w:rPr>
          <w:snapToGrid/>
        </w:rPr>
        <w:t>，</w:t>
      </w:r>
      <w:r>
        <w:rPr>
          <w:rFonts w:hint="eastAsia"/>
          <w:snapToGrid/>
        </w:rPr>
        <w:t>捷克统计局还针对工资组织年度特别随机抽样调查。</w:t>
      </w:r>
    </w:p>
    <w:p w:rsidR="00000000" w:rsidRDefault="00000000">
      <w:pPr>
        <w:rPr>
          <w:snapToGrid/>
        </w:rPr>
      </w:pPr>
      <w:r>
        <w:rPr>
          <w:rFonts w:hint="eastAsia"/>
          <w:snapToGrid/>
        </w:rPr>
        <w:tab/>
      </w:r>
      <w:r>
        <w:rPr>
          <w:snapToGrid/>
        </w:rPr>
        <w:t xml:space="preserve">267.  </w:t>
      </w:r>
      <w:r>
        <w:rPr>
          <w:rFonts w:hint="eastAsia"/>
          <w:snapToGrid/>
        </w:rPr>
        <w:t>根据可获得的最新资料</w:t>
      </w:r>
      <w:r>
        <w:rPr>
          <w:rFonts w:hint="eastAsia"/>
          <w:snapToGrid/>
        </w:rPr>
        <w:t>(</w:t>
      </w:r>
      <w:r>
        <w:rPr>
          <w:snapToGrid/>
        </w:rPr>
        <w:t>1999</w:t>
      </w:r>
      <w:r>
        <w:rPr>
          <w:rFonts w:hint="eastAsia"/>
          <w:snapToGrid/>
        </w:rPr>
        <w:t>年上半年</w:t>
      </w:r>
      <w:r>
        <w:rPr>
          <w:rFonts w:hint="eastAsia"/>
          <w:snapToGrid/>
        </w:rPr>
        <w:t>)</w:t>
      </w:r>
      <w:r>
        <w:rPr>
          <w:snapToGrid/>
        </w:rPr>
        <w:t>，</w:t>
      </w:r>
      <w:r>
        <w:rPr>
          <w:rFonts w:hint="eastAsia"/>
          <w:snapToGrid/>
        </w:rPr>
        <w:t>妇女的小时工资平均比男子低</w:t>
      </w:r>
      <w:r>
        <w:rPr>
          <w:snapToGrid/>
        </w:rPr>
        <w:t>26.3%</w:t>
      </w:r>
      <w:r>
        <w:rPr>
          <w:rFonts w:hint="eastAsia"/>
          <w:snapToGrid/>
        </w:rPr>
        <w:t>。男女报酬的差异趋于逐步缩小</w:t>
      </w:r>
      <w:r>
        <w:rPr>
          <w:snapToGrid/>
        </w:rPr>
        <w:t>(</w:t>
      </w:r>
      <w:r>
        <w:rPr>
          <w:rFonts w:hint="eastAsia"/>
          <w:snapToGrid/>
        </w:rPr>
        <w:t>另见关于执行《公约》第</w:t>
      </w:r>
      <w:r>
        <w:rPr>
          <w:snapToGrid/>
        </w:rPr>
        <w:t>3</w:t>
      </w:r>
      <w:r>
        <w:rPr>
          <w:rFonts w:hint="eastAsia"/>
          <w:snapToGrid/>
        </w:rPr>
        <w:t>条部分</w:t>
      </w:r>
      <w:r>
        <w:rPr>
          <w:rFonts w:hint="eastAsia"/>
          <w:snapToGrid/>
        </w:rPr>
        <w:t>)</w:t>
      </w:r>
      <w:r>
        <w:rPr>
          <w:rFonts w:hint="eastAsia"/>
          <w:snapToGrid/>
        </w:rPr>
        <w:t>。</w:t>
      </w:r>
    </w:p>
    <w:p w:rsidR="00000000" w:rsidRDefault="00000000">
      <w:pPr>
        <w:rPr>
          <w:snapToGrid/>
        </w:rPr>
      </w:pPr>
      <w:r>
        <w:rPr>
          <w:rFonts w:hint="eastAsia"/>
          <w:snapToGrid/>
        </w:rPr>
        <w:tab/>
      </w:r>
      <w:r>
        <w:rPr>
          <w:snapToGrid/>
        </w:rPr>
        <w:t xml:space="preserve">268.  </w:t>
      </w:r>
      <w:r>
        <w:rPr>
          <w:rFonts w:hint="eastAsia"/>
          <w:snapToGrid/>
        </w:rPr>
        <w:t>男女收入差异最小的是从事不需要接受高等教育的简单工作的工人或从事需要高等教育的更简单工作的工人。男女之间收入差异最大的是从事专门职业或中等技术工作的雇员</w:t>
      </w:r>
      <w:r>
        <w:rPr>
          <w:snapToGrid/>
        </w:rPr>
        <w:t>，</w:t>
      </w:r>
      <w:r>
        <w:rPr>
          <w:rFonts w:hint="eastAsia"/>
          <w:snapToGrid/>
        </w:rPr>
        <w:t>以及从事需要高等教育的复杂工作的雇员。</w:t>
      </w:r>
    </w:p>
    <w:p w:rsidR="00000000" w:rsidRDefault="00000000">
      <w:pPr>
        <w:rPr>
          <w:snapToGrid/>
        </w:rPr>
      </w:pPr>
      <w:r>
        <w:rPr>
          <w:rFonts w:hint="eastAsia"/>
          <w:snapToGrid/>
        </w:rPr>
        <w:tab/>
      </w:r>
      <w:r>
        <w:rPr>
          <w:snapToGrid/>
        </w:rPr>
        <w:t xml:space="preserve">269.  </w:t>
      </w:r>
      <w:r>
        <w:rPr>
          <w:rFonts w:hint="eastAsia"/>
          <w:snapToGrid/>
        </w:rPr>
        <w:t>妇女比男子平均工资低</w:t>
      </w:r>
      <w:r>
        <w:rPr>
          <w:snapToGrid/>
        </w:rPr>
        <w:t>，</w:t>
      </w:r>
      <w:r>
        <w:rPr>
          <w:rFonts w:hint="eastAsia"/>
          <w:snapToGrid/>
        </w:rPr>
        <w:t>主要是受她们扶养子女和承担家务的影响</w:t>
      </w:r>
      <w:r>
        <w:rPr>
          <w:snapToGrid/>
        </w:rPr>
        <w:t>，</w:t>
      </w:r>
      <w:r>
        <w:rPr>
          <w:rFonts w:hint="eastAsia"/>
          <w:snapToGrid/>
        </w:rPr>
        <w:t>家庭责任</w:t>
      </w:r>
      <w:r>
        <w:rPr>
          <w:snapToGrid/>
        </w:rPr>
        <w:t>(</w:t>
      </w:r>
      <w:r>
        <w:rPr>
          <w:rFonts w:hint="eastAsia"/>
          <w:snapToGrid/>
        </w:rPr>
        <w:t>产假和照顾生病儿童等</w:t>
      </w:r>
      <w:r>
        <w:rPr>
          <w:rFonts w:hint="eastAsia"/>
          <w:snapToGrid/>
        </w:rPr>
        <w:t>)</w:t>
      </w:r>
      <w:r>
        <w:rPr>
          <w:rFonts w:hint="eastAsia"/>
          <w:snapToGrid/>
        </w:rPr>
        <w:t>使她们的职业生涯出现了空白。这些空白也造成职业和工作经验积累较少</w:t>
      </w:r>
      <w:r>
        <w:rPr>
          <w:snapToGrid/>
        </w:rPr>
        <w:t>，</w:t>
      </w:r>
      <w:r>
        <w:rPr>
          <w:rFonts w:hint="eastAsia"/>
          <w:snapToGrid/>
        </w:rPr>
        <w:t>影响妇女从事需要更多时间和更大责任的工作。</w:t>
      </w:r>
    </w:p>
    <w:p w:rsidR="00000000" w:rsidRDefault="00000000">
      <w:pPr>
        <w:rPr>
          <w:snapToGrid/>
        </w:rPr>
      </w:pPr>
      <w:r>
        <w:rPr>
          <w:rFonts w:hint="eastAsia"/>
          <w:snapToGrid/>
        </w:rPr>
        <w:tab/>
      </w:r>
      <w:r>
        <w:rPr>
          <w:snapToGrid/>
        </w:rPr>
        <w:t xml:space="preserve">270.  </w:t>
      </w:r>
      <w:r>
        <w:rPr>
          <w:rFonts w:hint="eastAsia"/>
          <w:snapToGrid/>
        </w:rPr>
        <w:t>法规为妇女工作创造了条件</w:t>
      </w:r>
      <w:r>
        <w:rPr>
          <w:snapToGrid/>
        </w:rPr>
        <w:t>，</w:t>
      </w:r>
      <w:r>
        <w:rPr>
          <w:rFonts w:hint="eastAsia"/>
          <w:snapToGrid/>
        </w:rPr>
        <w:t>便于她们从事适合身体条件</w:t>
      </w:r>
      <w:r>
        <w:rPr>
          <w:snapToGrid/>
        </w:rPr>
        <w:t>，</w:t>
      </w:r>
      <w:r>
        <w:rPr>
          <w:rFonts w:hint="eastAsia"/>
          <w:snapToGrid/>
        </w:rPr>
        <w:t>又能承担抚育子女义务的工作。但是</w:t>
      </w:r>
      <w:r>
        <w:rPr>
          <w:snapToGrid/>
        </w:rPr>
        <w:t>，</w:t>
      </w:r>
      <w:r>
        <w:rPr>
          <w:rFonts w:hint="eastAsia"/>
          <w:snapToGrid/>
        </w:rPr>
        <w:t>必须指出</w:t>
      </w:r>
      <w:r>
        <w:rPr>
          <w:snapToGrid/>
        </w:rPr>
        <w:t>，</w:t>
      </w:r>
      <w:r>
        <w:rPr>
          <w:rFonts w:hint="eastAsia"/>
          <w:snapToGrid/>
        </w:rPr>
        <w:t>许多《劳动法》条款过去曾有某些保护妇女的禁令</w:t>
      </w:r>
      <w:r>
        <w:rPr>
          <w:snapToGrid/>
        </w:rPr>
        <w:t>，</w:t>
      </w:r>
      <w:r>
        <w:rPr>
          <w:rFonts w:hint="eastAsia"/>
          <w:snapToGrid/>
        </w:rPr>
        <w:t>现在对《劳动法》修订后</w:t>
      </w:r>
      <w:r>
        <w:rPr>
          <w:snapToGrid/>
        </w:rPr>
        <w:t>，</w:t>
      </w:r>
      <w:r>
        <w:rPr>
          <w:rFonts w:hint="eastAsia"/>
          <w:snapToGrid/>
        </w:rPr>
        <w:t>有所改变</w:t>
      </w:r>
      <w:r>
        <w:rPr>
          <w:snapToGrid/>
        </w:rPr>
        <w:t>，</w:t>
      </w:r>
      <w:r>
        <w:rPr>
          <w:rFonts w:hint="eastAsia"/>
          <w:snapToGrid/>
        </w:rPr>
        <w:t>妇女可以但不必利用所提供的保护机会。由于捷克法律与欧洲共同体法律相统一</w:t>
      </w:r>
      <w:r>
        <w:rPr>
          <w:rFonts w:hint="eastAsia"/>
          <w:snapToGrid/>
        </w:rPr>
        <w:t>(</w:t>
      </w:r>
      <w:r>
        <w:rPr>
          <w:rFonts w:hint="eastAsia"/>
          <w:snapToGrid/>
        </w:rPr>
        <w:t>特别是关于男女平等待遇的法令</w:t>
      </w:r>
      <w:r>
        <w:rPr>
          <w:rFonts w:hint="eastAsia"/>
          <w:snapToGrid/>
        </w:rPr>
        <w:t>)</w:t>
      </w:r>
      <w:r>
        <w:rPr>
          <w:snapToGrid/>
        </w:rPr>
        <w:t>，</w:t>
      </w:r>
      <w:r>
        <w:rPr>
          <w:rFonts w:hint="eastAsia"/>
          <w:snapToGrid/>
        </w:rPr>
        <w:t>只有在具体情况下</w:t>
      </w:r>
      <w:r>
        <w:rPr>
          <w:snapToGrid/>
        </w:rPr>
        <w:t>，</w:t>
      </w:r>
      <w:r>
        <w:rPr>
          <w:rFonts w:hint="eastAsia"/>
          <w:snapToGrid/>
        </w:rPr>
        <w:t>才向妇女提供特别保护。</w:t>
      </w:r>
    </w:p>
    <w:p w:rsidR="00000000" w:rsidRDefault="00000000">
      <w:pPr>
        <w:rPr>
          <w:snapToGrid/>
        </w:rPr>
      </w:pPr>
      <w:r>
        <w:rPr>
          <w:rFonts w:hint="eastAsia"/>
          <w:snapToGrid/>
        </w:rPr>
        <w:tab/>
      </w:r>
      <w:r>
        <w:rPr>
          <w:snapToGrid/>
        </w:rPr>
        <w:t xml:space="preserve">271.  </w:t>
      </w:r>
      <w:r>
        <w:rPr>
          <w:rFonts w:hint="eastAsia"/>
          <w:snapToGrid/>
        </w:rPr>
        <w:t>捷克共和国对妇女的特别保护机制</w:t>
      </w:r>
      <w:r>
        <w:rPr>
          <w:snapToGrid/>
        </w:rPr>
        <w:t>，</w:t>
      </w:r>
      <w:r>
        <w:rPr>
          <w:rFonts w:hint="eastAsia"/>
          <w:snapToGrid/>
        </w:rPr>
        <w:t>与欧洲发达国家不完全吻合。需要特别保护的领域在逐步缩小</w:t>
      </w:r>
      <w:r>
        <w:rPr>
          <w:snapToGrid/>
        </w:rPr>
        <w:t>，</w:t>
      </w:r>
      <w:r>
        <w:rPr>
          <w:rFonts w:hint="eastAsia"/>
          <w:snapToGrid/>
        </w:rPr>
        <w:t>由于科学技术的发展</w:t>
      </w:r>
      <w:r>
        <w:rPr>
          <w:snapToGrid/>
        </w:rPr>
        <w:t>，</w:t>
      </w:r>
      <w:r>
        <w:rPr>
          <w:rFonts w:hint="eastAsia"/>
          <w:snapToGrid/>
        </w:rPr>
        <w:t>人们普遍认为对妇女的保护已开始没有必要</w:t>
      </w:r>
      <w:r>
        <w:rPr>
          <w:snapToGrid/>
        </w:rPr>
        <w:t>，</w:t>
      </w:r>
      <w:r>
        <w:rPr>
          <w:rFonts w:hint="eastAsia"/>
          <w:snapToGrid/>
        </w:rPr>
        <w:t>但怀孕或给孩子喂奶或生产不久的妇女不在此列。</w:t>
      </w:r>
    </w:p>
    <w:p w:rsidR="00000000" w:rsidRDefault="00000000">
      <w:pPr>
        <w:rPr>
          <w:snapToGrid/>
        </w:rPr>
      </w:pPr>
      <w:r>
        <w:rPr>
          <w:rFonts w:hint="eastAsia"/>
          <w:snapToGrid/>
        </w:rPr>
        <w:tab/>
      </w:r>
      <w:r>
        <w:rPr>
          <w:snapToGrid/>
        </w:rPr>
        <w:t xml:space="preserve">272.  </w:t>
      </w:r>
      <w:r>
        <w:rPr>
          <w:rFonts w:hint="eastAsia"/>
          <w:snapToGrid/>
        </w:rPr>
        <w:t>根据男女在就业上平等待遇原则对《劳动法》修订后</w:t>
      </w:r>
      <w:r>
        <w:rPr>
          <w:snapToGrid/>
        </w:rPr>
        <w:t>，</w:t>
      </w:r>
      <w:r>
        <w:rPr>
          <w:rFonts w:hint="eastAsia"/>
          <w:snapToGrid/>
        </w:rPr>
        <w:t>规定了抚养儿童权利的条件</w:t>
      </w:r>
      <w:r>
        <w:rPr>
          <w:snapToGrid/>
        </w:rPr>
        <w:t>，</w:t>
      </w:r>
      <w:r>
        <w:rPr>
          <w:rFonts w:hint="eastAsia"/>
          <w:snapToGrid/>
        </w:rPr>
        <w:t>以便父母双方可以平等享受这一权利</w:t>
      </w:r>
      <w:r>
        <w:rPr>
          <w:snapToGrid/>
        </w:rPr>
        <w:t>(</w:t>
      </w:r>
      <w:r>
        <w:rPr>
          <w:rFonts w:hint="eastAsia"/>
          <w:snapToGrid/>
        </w:rPr>
        <w:t>如将追加产假改为父母假</w:t>
      </w:r>
      <w:r>
        <w:rPr>
          <w:snapToGrid/>
        </w:rPr>
        <w:t>)</w:t>
      </w:r>
      <w:r>
        <w:rPr>
          <w:rFonts w:hint="eastAsia"/>
          <w:snapToGrid/>
        </w:rPr>
        <w:t>。除了平等待遇原则</w:t>
      </w:r>
      <w:r>
        <w:rPr>
          <w:snapToGrid/>
        </w:rPr>
        <w:t>，</w:t>
      </w:r>
      <w:r>
        <w:rPr>
          <w:rFonts w:hint="eastAsia"/>
          <w:snapToGrid/>
        </w:rPr>
        <w:t>仍有无法替代母亲作用的抚养儿童权利</w:t>
      </w:r>
      <w:r>
        <w:rPr>
          <w:snapToGrid/>
        </w:rPr>
        <w:t>(</w:t>
      </w:r>
      <w:r>
        <w:rPr>
          <w:rFonts w:hint="eastAsia"/>
          <w:snapToGrid/>
        </w:rPr>
        <w:t>如产假</w:t>
      </w:r>
      <w:r>
        <w:rPr>
          <w:snapToGrid/>
        </w:rPr>
        <w:t>)</w:t>
      </w:r>
      <w:r>
        <w:rPr>
          <w:rFonts w:hint="eastAsia"/>
          <w:snapToGrid/>
        </w:rPr>
        <w:t>。</w:t>
      </w:r>
    </w:p>
    <w:p w:rsidR="00000000" w:rsidRDefault="00000000">
      <w:pPr>
        <w:rPr>
          <w:rFonts w:hint="eastAsia"/>
          <w:snapToGrid/>
        </w:rPr>
      </w:pPr>
      <w:r>
        <w:rPr>
          <w:rFonts w:hint="eastAsia"/>
          <w:snapToGrid/>
        </w:rPr>
        <w:tab/>
      </w:r>
      <w:r>
        <w:rPr>
          <w:snapToGrid/>
        </w:rPr>
        <w:t xml:space="preserve">273.  </w:t>
      </w:r>
      <w:r>
        <w:rPr>
          <w:rFonts w:hint="eastAsia"/>
          <w:snapToGrid/>
        </w:rPr>
        <w:t>关于这一问题</w:t>
      </w:r>
      <w:r>
        <w:rPr>
          <w:snapToGrid/>
        </w:rPr>
        <w:t>，</w:t>
      </w:r>
      <w:r>
        <w:rPr>
          <w:snapToGrid/>
        </w:rPr>
        <w:t>1998</w:t>
      </w:r>
      <w:r>
        <w:rPr>
          <w:rFonts w:hint="eastAsia"/>
          <w:snapToGrid/>
        </w:rPr>
        <w:t>年</w:t>
      </w:r>
      <w:r>
        <w:rPr>
          <w:snapToGrid/>
        </w:rPr>
        <w:t>，</w:t>
      </w:r>
      <w:r>
        <w:rPr>
          <w:rFonts w:hint="eastAsia"/>
          <w:snapToGrid/>
        </w:rPr>
        <w:t>捷克共和国向国际劳工组织提交了关于执行第</w:t>
      </w:r>
      <w:r>
        <w:rPr>
          <w:snapToGrid/>
        </w:rPr>
        <w:t>100</w:t>
      </w:r>
      <w:r>
        <w:rPr>
          <w:rFonts w:hint="eastAsia"/>
          <w:snapToGrid/>
        </w:rPr>
        <w:t>号《同酬公约》情况的报告</w:t>
      </w:r>
      <w:r>
        <w:rPr>
          <w:snapToGrid/>
        </w:rPr>
        <w:t>，</w:t>
      </w:r>
      <w:r>
        <w:rPr>
          <w:rFonts w:hint="eastAsia"/>
          <w:snapToGrid/>
        </w:rPr>
        <w:t>详见参考材料。</w:t>
      </w:r>
    </w:p>
    <w:p w:rsidR="00000000" w:rsidRDefault="00000000">
      <w:pPr>
        <w:rPr>
          <w:snapToGrid/>
          <w:szCs w:val="26"/>
        </w:rPr>
      </w:pPr>
      <w:r>
        <w:rPr>
          <w:rFonts w:hint="eastAsia"/>
          <w:snapToGrid/>
          <w:szCs w:val="26"/>
        </w:rPr>
        <w:tab/>
      </w:r>
      <w:r>
        <w:rPr>
          <w:snapToGrid/>
          <w:szCs w:val="26"/>
        </w:rPr>
        <w:t xml:space="preserve">274.  </w:t>
      </w:r>
      <w:r>
        <w:rPr>
          <w:rFonts w:hint="eastAsia"/>
          <w:snapToGrid/>
          <w:szCs w:val="26"/>
        </w:rPr>
        <w:t>在公司和企业的实践中</w:t>
      </w:r>
      <w:r>
        <w:rPr>
          <w:snapToGrid/>
          <w:szCs w:val="26"/>
        </w:rPr>
        <w:t>，</w:t>
      </w:r>
      <w:r>
        <w:rPr>
          <w:rFonts w:hint="eastAsia"/>
          <w:snapToGrid/>
          <w:szCs w:val="26"/>
        </w:rPr>
        <w:t>有的雇主不履行对雇员的基本义务</w:t>
      </w:r>
      <w:r>
        <w:rPr>
          <w:snapToGrid/>
          <w:szCs w:val="26"/>
        </w:rPr>
        <w:t>，</w:t>
      </w:r>
      <w:r>
        <w:rPr>
          <w:rFonts w:hint="eastAsia"/>
          <w:snapToGrid/>
          <w:szCs w:val="26"/>
        </w:rPr>
        <w:t>而这些基本义务在《宪章》、《劳动法》和其他法律</w:t>
      </w:r>
      <w:r>
        <w:rPr>
          <w:snapToGrid/>
          <w:szCs w:val="26"/>
        </w:rPr>
        <w:t>，</w:t>
      </w:r>
      <w:r>
        <w:rPr>
          <w:rFonts w:hint="eastAsia"/>
          <w:snapToGrid/>
          <w:szCs w:val="26"/>
        </w:rPr>
        <w:t>特别是在有关工资</w:t>
      </w:r>
      <w:r>
        <w:rPr>
          <w:rFonts w:hint="eastAsia"/>
          <w:snapToGrid/>
          <w:szCs w:val="26"/>
        </w:rPr>
        <w:t>(</w:t>
      </w:r>
      <w:r>
        <w:rPr>
          <w:rFonts w:hint="eastAsia"/>
          <w:snapToGrid/>
          <w:szCs w:val="26"/>
        </w:rPr>
        <w:t>薪金</w:t>
      </w:r>
      <w:r>
        <w:rPr>
          <w:rFonts w:hint="eastAsia"/>
          <w:snapToGrid/>
          <w:szCs w:val="26"/>
        </w:rPr>
        <w:t>)</w:t>
      </w:r>
      <w:r>
        <w:rPr>
          <w:rFonts w:hint="eastAsia"/>
          <w:snapToGrid/>
          <w:szCs w:val="26"/>
        </w:rPr>
        <w:t>、待命工作报酬和平均收入法律中有明确规定</w:t>
      </w:r>
      <w:r>
        <w:rPr>
          <w:snapToGrid/>
          <w:szCs w:val="26"/>
        </w:rPr>
        <w:t>：</w:t>
      </w:r>
      <w:r>
        <w:rPr>
          <w:rFonts w:hint="eastAsia"/>
          <w:snapToGrid/>
          <w:szCs w:val="26"/>
        </w:rPr>
        <w:t>雇主有义务对雇员从事的工作提供工资</w:t>
      </w:r>
      <w:r>
        <w:rPr>
          <w:snapToGrid/>
          <w:szCs w:val="26"/>
        </w:rPr>
        <w:t>(</w:t>
      </w:r>
      <w:r>
        <w:rPr>
          <w:rFonts w:hint="eastAsia"/>
          <w:snapToGrid/>
          <w:szCs w:val="26"/>
        </w:rPr>
        <w:t>薪合</w:t>
      </w:r>
      <w:r>
        <w:rPr>
          <w:rFonts w:hint="eastAsia"/>
          <w:snapToGrid/>
          <w:szCs w:val="26"/>
        </w:rPr>
        <w:t>)</w:t>
      </w:r>
      <w:r>
        <w:rPr>
          <w:rFonts w:hint="eastAsia"/>
          <w:snapToGrid/>
          <w:szCs w:val="26"/>
        </w:rPr>
        <w:t>。在此种情况下</w:t>
      </w:r>
      <w:r>
        <w:rPr>
          <w:snapToGrid/>
          <w:szCs w:val="26"/>
        </w:rPr>
        <w:t>，</w:t>
      </w:r>
      <w:r>
        <w:rPr>
          <w:rFonts w:hint="eastAsia"/>
          <w:snapToGrid/>
          <w:szCs w:val="26"/>
        </w:rPr>
        <w:t>法规没有给予雇员足够的保护。关于保障赔偿雇员索赔雇主未付工资的现行法律安排</w:t>
      </w:r>
      <w:r>
        <w:rPr>
          <w:snapToGrid/>
          <w:szCs w:val="26"/>
        </w:rPr>
        <w:t>，</w:t>
      </w:r>
      <w:r>
        <w:rPr>
          <w:rFonts w:hint="eastAsia"/>
          <w:snapToGrid/>
          <w:szCs w:val="26"/>
        </w:rPr>
        <w:t>仅在《破产和清算法》的范围内适用。</w:t>
      </w:r>
      <w:r>
        <w:rPr>
          <w:rStyle w:val="EndnoteReference"/>
          <w:snapToGrid/>
        </w:rPr>
        <w:endnoteReference w:id="170"/>
      </w:r>
      <w:r>
        <w:rPr>
          <w:rFonts w:hint="eastAsia"/>
          <w:snapToGrid/>
          <w:szCs w:val="26"/>
        </w:rPr>
        <w:t xml:space="preserve">  </w:t>
      </w:r>
      <w:r>
        <w:rPr>
          <w:rFonts w:hint="eastAsia"/>
          <w:snapToGrid/>
          <w:szCs w:val="26"/>
        </w:rPr>
        <w:t>当然</w:t>
      </w:r>
      <w:r>
        <w:rPr>
          <w:snapToGrid/>
          <w:szCs w:val="26"/>
        </w:rPr>
        <w:t>，</w:t>
      </w:r>
      <w:r>
        <w:rPr>
          <w:rFonts w:hint="eastAsia"/>
          <w:snapToGrid/>
          <w:szCs w:val="26"/>
        </w:rPr>
        <w:t>这一保护尽管可以将雇员的工资索赔列在破产诉讼中的优先位置</w:t>
      </w:r>
      <w:r>
        <w:rPr>
          <w:snapToGrid/>
          <w:szCs w:val="26"/>
        </w:rPr>
        <w:t>，</w:t>
      </w:r>
      <w:r>
        <w:rPr>
          <w:rFonts w:hint="eastAsia"/>
          <w:snapToGrid/>
          <w:szCs w:val="26"/>
        </w:rPr>
        <w:t>但时间冗长、困难</w:t>
      </w:r>
      <w:r>
        <w:rPr>
          <w:snapToGrid/>
          <w:szCs w:val="26"/>
        </w:rPr>
        <w:t>，</w:t>
      </w:r>
      <w:r>
        <w:rPr>
          <w:rFonts w:hint="eastAsia"/>
          <w:snapToGrid/>
          <w:szCs w:val="26"/>
        </w:rPr>
        <w:t>不十分有效。</w:t>
      </w:r>
    </w:p>
    <w:p w:rsidR="00000000" w:rsidRDefault="00000000">
      <w:pPr>
        <w:rPr>
          <w:snapToGrid/>
          <w:szCs w:val="26"/>
        </w:rPr>
      </w:pPr>
      <w:r>
        <w:rPr>
          <w:rFonts w:hint="eastAsia"/>
          <w:snapToGrid/>
          <w:szCs w:val="26"/>
        </w:rPr>
        <w:tab/>
      </w:r>
      <w:r>
        <w:rPr>
          <w:snapToGrid/>
          <w:szCs w:val="26"/>
        </w:rPr>
        <w:t xml:space="preserve">275.  </w:t>
      </w:r>
      <w:r>
        <w:rPr>
          <w:rFonts w:hint="eastAsia"/>
          <w:snapToGrid/>
          <w:szCs w:val="26"/>
        </w:rPr>
        <w:t>欧洲委员会</w:t>
      </w:r>
      <w:r>
        <w:rPr>
          <w:snapToGrid/>
          <w:szCs w:val="26"/>
        </w:rPr>
        <w:t>1999</w:t>
      </w:r>
      <w:r>
        <w:rPr>
          <w:rFonts w:hint="eastAsia"/>
          <w:snapToGrid/>
          <w:szCs w:val="26"/>
        </w:rPr>
        <w:t>年关于捷克共和国的定期报告中批评说对已完成的工作领取工资权利缺少足够的保障。为此</w:t>
      </w:r>
      <w:r>
        <w:rPr>
          <w:snapToGrid/>
          <w:szCs w:val="26"/>
        </w:rPr>
        <w:t>，</w:t>
      </w:r>
      <w:r>
        <w:rPr>
          <w:rFonts w:hint="eastAsia"/>
          <w:snapToGrid/>
          <w:szCs w:val="26"/>
        </w:rPr>
        <w:t>劳动和社会事务部于</w:t>
      </w:r>
      <w:r>
        <w:rPr>
          <w:snapToGrid/>
          <w:szCs w:val="26"/>
        </w:rPr>
        <w:t>1999</w:t>
      </w:r>
      <w:r>
        <w:rPr>
          <w:rFonts w:hint="eastAsia"/>
          <w:snapToGrid/>
          <w:szCs w:val="26"/>
        </w:rPr>
        <w:t>年</w:t>
      </w:r>
      <w:r>
        <w:rPr>
          <w:snapToGrid/>
          <w:szCs w:val="26"/>
        </w:rPr>
        <w:t>12</w:t>
      </w:r>
      <w:r>
        <w:rPr>
          <w:rFonts w:hint="eastAsia"/>
          <w:snapToGrid/>
          <w:szCs w:val="26"/>
        </w:rPr>
        <w:t>月根据政府立法计划</w:t>
      </w:r>
      <w:r>
        <w:rPr>
          <w:snapToGrid/>
          <w:szCs w:val="26"/>
        </w:rPr>
        <w:t>，</w:t>
      </w:r>
      <w:r>
        <w:rPr>
          <w:rStyle w:val="EndnoteReference"/>
          <w:snapToGrid/>
        </w:rPr>
        <w:endnoteReference w:id="171"/>
      </w:r>
      <w:r>
        <w:rPr>
          <w:rFonts w:hint="eastAsia"/>
          <w:snapToGrid/>
          <w:szCs w:val="26"/>
        </w:rPr>
        <w:t xml:space="preserve">  </w:t>
      </w:r>
      <w:r>
        <w:rPr>
          <w:rFonts w:hint="eastAsia"/>
          <w:snapToGrid/>
          <w:szCs w:val="26"/>
        </w:rPr>
        <w:t>提交了关于在雇主破产时保护雇员的法律草案。从统一国内法与欧洲共同体法律的角度</w:t>
      </w:r>
      <w:r>
        <w:rPr>
          <w:snapToGrid/>
          <w:szCs w:val="26"/>
        </w:rPr>
        <w:t>，</w:t>
      </w:r>
      <w:r>
        <w:rPr>
          <w:rFonts w:hint="eastAsia"/>
          <w:snapToGrid/>
          <w:szCs w:val="26"/>
        </w:rPr>
        <w:t>这项法律草案也是必要的。</w:t>
      </w:r>
      <w:r>
        <w:rPr>
          <w:rStyle w:val="EndnoteReference"/>
          <w:snapToGrid/>
        </w:rPr>
        <w:endnoteReference w:id="172"/>
      </w:r>
      <w:r>
        <w:rPr>
          <w:rFonts w:hint="eastAsia"/>
          <w:snapToGrid/>
          <w:szCs w:val="26"/>
        </w:rPr>
        <w:t xml:space="preserve">  </w:t>
      </w:r>
      <w:r>
        <w:rPr>
          <w:rFonts w:hint="eastAsia"/>
          <w:snapToGrid/>
          <w:szCs w:val="26"/>
        </w:rPr>
        <w:t>根据拟议的法律</w:t>
      </w:r>
      <w:r>
        <w:rPr>
          <w:snapToGrid/>
          <w:szCs w:val="26"/>
        </w:rPr>
        <w:t>，</w:t>
      </w:r>
      <w:r>
        <w:rPr>
          <w:rFonts w:hint="eastAsia"/>
          <w:snapToGrid/>
          <w:szCs w:val="26"/>
        </w:rPr>
        <w:t>国家是捷克共和国雇主发生破产时保护雇员利益的机构。</w:t>
      </w:r>
    </w:p>
    <w:p w:rsidR="00000000" w:rsidRDefault="00000000">
      <w:pPr>
        <w:rPr>
          <w:snapToGrid/>
          <w:szCs w:val="26"/>
        </w:rPr>
      </w:pPr>
      <w:r>
        <w:rPr>
          <w:rFonts w:hint="eastAsia"/>
          <w:snapToGrid/>
          <w:szCs w:val="26"/>
        </w:rPr>
        <w:tab/>
      </w:r>
      <w:r>
        <w:rPr>
          <w:snapToGrid/>
          <w:szCs w:val="26"/>
        </w:rPr>
        <w:t xml:space="preserve">276.  </w:t>
      </w:r>
      <w:r>
        <w:rPr>
          <w:rFonts w:hint="eastAsia"/>
          <w:snapToGrid/>
          <w:szCs w:val="26"/>
        </w:rPr>
        <w:t>法律草案根据《破产和清算法》确定无偿还能力。它将应付工资索赔的裁定管辖权转到劳动局</w:t>
      </w:r>
      <w:r>
        <w:rPr>
          <w:snapToGrid/>
          <w:szCs w:val="26"/>
        </w:rPr>
        <w:t>，</w:t>
      </w:r>
      <w:r>
        <w:rPr>
          <w:rFonts w:hint="eastAsia"/>
          <w:snapToGrid/>
          <w:szCs w:val="26"/>
        </w:rPr>
        <w:t>而非临时破产信托人。草案还确定法律不适用的主体以及工资索赔的概念。为了加速赔偿工资索赔和限制雇员及其家属的资金损失</w:t>
      </w:r>
      <w:r>
        <w:rPr>
          <w:snapToGrid/>
          <w:szCs w:val="26"/>
        </w:rPr>
        <w:t>，</w:t>
      </w:r>
      <w:r>
        <w:rPr>
          <w:rFonts w:hint="eastAsia"/>
          <w:snapToGrid/>
          <w:szCs w:val="26"/>
        </w:rPr>
        <w:t>劳动局将确认无争议案件中的索赔</w:t>
      </w:r>
      <w:r>
        <w:rPr>
          <w:snapToGrid/>
          <w:szCs w:val="26"/>
        </w:rPr>
        <w:t>，</w:t>
      </w:r>
      <w:r>
        <w:rPr>
          <w:rFonts w:hint="eastAsia"/>
          <w:snapToGrid/>
          <w:szCs w:val="26"/>
        </w:rPr>
        <w:t>确保付款。对于其他案件</w:t>
      </w:r>
      <w:r>
        <w:rPr>
          <w:snapToGrid/>
          <w:szCs w:val="26"/>
        </w:rPr>
        <w:t>，</w:t>
      </w:r>
      <w:r>
        <w:rPr>
          <w:rFonts w:hint="eastAsia"/>
          <w:snapToGrid/>
          <w:szCs w:val="26"/>
        </w:rPr>
        <w:t>它则根据雇主或破产信托人和雇员提出的证据来作出决定。这项法律预计</w:t>
      </w:r>
      <w:r>
        <w:rPr>
          <w:snapToGrid/>
          <w:szCs w:val="26"/>
        </w:rPr>
        <w:t>2000</w:t>
      </w:r>
      <w:r>
        <w:rPr>
          <w:rFonts w:hint="eastAsia"/>
          <w:snapToGrid/>
          <w:szCs w:val="26"/>
        </w:rPr>
        <w:t>年</w:t>
      </w:r>
      <w:r>
        <w:rPr>
          <w:snapToGrid/>
          <w:szCs w:val="26"/>
        </w:rPr>
        <w:t>7</w:t>
      </w:r>
      <w:r>
        <w:rPr>
          <w:rFonts w:hint="eastAsia"/>
          <w:snapToGrid/>
          <w:szCs w:val="26"/>
        </w:rPr>
        <w:t>月</w:t>
      </w:r>
      <w:r>
        <w:rPr>
          <w:snapToGrid/>
          <w:szCs w:val="26"/>
        </w:rPr>
        <w:t>1</w:t>
      </w:r>
      <w:r>
        <w:rPr>
          <w:rFonts w:hint="eastAsia"/>
          <w:snapToGrid/>
          <w:szCs w:val="26"/>
        </w:rPr>
        <w:t>日生效。</w:t>
      </w:r>
    </w:p>
    <w:p w:rsidR="00000000" w:rsidRDefault="00000000">
      <w:pPr>
        <w:spacing w:after="320"/>
        <w:rPr>
          <w:snapToGrid/>
          <w:szCs w:val="26"/>
        </w:rPr>
      </w:pPr>
      <w:r>
        <w:rPr>
          <w:rFonts w:hint="eastAsia"/>
          <w:snapToGrid/>
          <w:szCs w:val="26"/>
        </w:rPr>
        <w:tab/>
      </w:r>
      <w:r>
        <w:rPr>
          <w:snapToGrid/>
          <w:szCs w:val="26"/>
        </w:rPr>
        <w:t xml:space="preserve">277.  </w:t>
      </w:r>
      <w:r>
        <w:rPr>
          <w:rFonts w:hint="eastAsia"/>
          <w:snapToGrid/>
          <w:szCs w:val="26"/>
        </w:rPr>
        <w:t>关于保证人人及其家人享有象样生活的必要最低收入的条例和措施</w:t>
      </w:r>
      <w:r>
        <w:rPr>
          <w:snapToGrid/>
          <w:szCs w:val="26"/>
        </w:rPr>
        <w:t>，</w:t>
      </w:r>
      <w:r>
        <w:rPr>
          <w:rFonts w:hint="eastAsia"/>
          <w:snapToGrid/>
          <w:szCs w:val="26"/>
        </w:rPr>
        <w:t>请参见依《公约》第</w:t>
      </w:r>
      <w:r>
        <w:rPr>
          <w:snapToGrid/>
          <w:szCs w:val="26"/>
        </w:rPr>
        <w:t>9</w:t>
      </w:r>
      <w:r>
        <w:rPr>
          <w:rFonts w:hint="eastAsia"/>
          <w:snapToGrid/>
          <w:szCs w:val="26"/>
        </w:rPr>
        <w:t>条提出的关于社会保障制度的报告。</w:t>
      </w:r>
    </w:p>
    <w:p w:rsidR="00000000" w:rsidRDefault="00000000">
      <w:pPr>
        <w:pStyle w:val="Heading4"/>
      </w:pPr>
      <w:r>
        <w:rPr>
          <w:rFonts w:hint="eastAsia"/>
        </w:rPr>
        <w:t>安全卫生和工作环境</w:t>
      </w:r>
    </w:p>
    <w:p w:rsidR="00000000" w:rsidRDefault="00000000">
      <w:pPr>
        <w:rPr>
          <w:snapToGrid/>
          <w:szCs w:val="26"/>
        </w:rPr>
      </w:pPr>
      <w:r>
        <w:rPr>
          <w:rFonts w:hint="eastAsia"/>
          <w:snapToGrid/>
          <w:szCs w:val="26"/>
        </w:rPr>
        <w:tab/>
      </w:r>
      <w:r>
        <w:rPr>
          <w:snapToGrid/>
          <w:szCs w:val="26"/>
        </w:rPr>
        <w:t xml:space="preserve">278.  </w:t>
      </w:r>
      <w:r>
        <w:rPr>
          <w:rFonts w:hint="eastAsia"/>
          <w:snapToGrid/>
          <w:szCs w:val="26"/>
        </w:rPr>
        <w:t>关于评价遵守《公约》第</w:t>
      </w:r>
      <w:r>
        <w:rPr>
          <w:snapToGrid/>
          <w:szCs w:val="26"/>
        </w:rPr>
        <w:t>7</w:t>
      </w:r>
      <w:r>
        <w:rPr>
          <w:rFonts w:hint="eastAsia"/>
          <w:snapToGrid/>
          <w:szCs w:val="26"/>
        </w:rPr>
        <w:t>条</w:t>
      </w:r>
      <w:r>
        <w:rPr>
          <w:snapToGrid/>
          <w:szCs w:val="26"/>
        </w:rPr>
        <w:t>(b)</w:t>
      </w:r>
      <w:r>
        <w:rPr>
          <w:rFonts w:hint="eastAsia"/>
          <w:snapToGrid/>
          <w:szCs w:val="26"/>
        </w:rPr>
        <w:t>款的情况</w:t>
      </w:r>
      <w:r>
        <w:rPr>
          <w:snapToGrid/>
          <w:szCs w:val="26"/>
        </w:rPr>
        <w:t>，</w:t>
      </w:r>
      <w:r>
        <w:rPr>
          <w:rFonts w:hint="eastAsia"/>
          <w:snapToGrid/>
          <w:szCs w:val="26"/>
        </w:rPr>
        <w:t>请参见所提交的执行劳工组织第</w:t>
      </w:r>
      <w:r>
        <w:rPr>
          <w:snapToGrid/>
          <w:szCs w:val="26"/>
        </w:rPr>
        <w:t>155</w:t>
      </w:r>
      <w:r>
        <w:rPr>
          <w:rFonts w:hint="eastAsia"/>
          <w:snapToGrid/>
          <w:szCs w:val="26"/>
        </w:rPr>
        <w:t>号公约的报告。</w:t>
      </w:r>
    </w:p>
    <w:p w:rsidR="00000000" w:rsidRDefault="00000000">
      <w:pPr>
        <w:rPr>
          <w:snapToGrid/>
          <w:szCs w:val="26"/>
        </w:rPr>
      </w:pPr>
      <w:r>
        <w:rPr>
          <w:rFonts w:hint="eastAsia"/>
          <w:snapToGrid/>
          <w:szCs w:val="26"/>
        </w:rPr>
        <w:tab/>
      </w:r>
      <w:r>
        <w:rPr>
          <w:snapToGrid/>
          <w:szCs w:val="26"/>
        </w:rPr>
        <w:t xml:space="preserve">279.  </w:t>
      </w:r>
      <w:r>
        <w:rPr>
          <w:rFonts w:hint="eastAsia"/>
          <w:snapToGrid/>
          <w:szCs w:val="26"/>
        </w:rPr>
        <w:t>职工安全卫生的主要法规如下</w:t>
      </w:r>
      <w:r>
        <w:rPr>
          <w:snapToGrid/>
          <w:szCs w:val="26"/>
        </w:rPr>
        <w:t>：</w:t>
      </w:r>
    </w:p>
    <w:p w:rsidR="00000000" w:rsidRDefault="00000000">
      <w:pPr>
        <w:pStyle w:val="a6"/>
        <w:tabs>
          <w:tab w:val="num" w:pos="510"/>
        </w:tabs>
        <w:ind w:left="1530"/>
        <w:rPr>
          <w:snapToGrid/>
        </w:rPr>
      </w:pPr>
      <w:r>
        <w:rPr>
          <w:rFonts w:hint="eastAsia"/>
          <w:snapToGrid/>
        </w:rPr>
        <w:t>《劳动法》</w:t>
      </w:r>
      <w:r>
        <w:rPr>
          <w:snapToGrid/>
        </w:rPr>
        <w:t>；</w:t>
      </w:r>
    </w:p>
    <w:p w:rsidR="00000000" w:rsidRDefault="00000000">
      <w:pPr>
        <w:pStyle w:val="a6"/>
        <w:tabs>
          <w:tab w:val="num" w:pos="510"/>
        </w:tabs>
        <w:ind w:left="1530"/>
        <w:rPr>
          <w:snapToGrid/>
        </w:rPr>
      </w:pPr>
      <w:r>
        <w:rPr>
          <w:rFonts w:hint="eastAsia"/>
          <w:snapToGrid/>
        </w:rPr>
        <w:t>《国家专门监督劳动安全法》</w:t>
      </w:r>
      <w:r>
        <w:rPr>
          <w:snapToGrid/>
        </w:rPr>
        <w:t>；</w:t>
      </w:r>
      <w:r>
        <w:rPr>
          <w:rStyle w:val="EndnoteReference"/>
          <w:snapToGrid/>
        </w:rPr>
        <w:endnoteReference w:id="173"/>
      </w:r>
    </w:p>
    <w:p w:rsidR="00000000" w:rsidRDefault="00000000">
      <w:pPr>
        <w:pStyle w:val="a6"/>
        <w:tabs>
          <w:tab w:val="num" w:pos="510"/>
        </w:tabs>
        <w:ind w:left="1530"/>
        <w:rPr>
          <w:snapToGrid/>
        </w:rPr>
      </w:pPr>
      <w:r>
        <w:rPr>
          <w:rFonts w:hint="eastAsia"/>
          <w:snapToGrid/>
        </w:rPr>
        <w:t>《公共卫生法》</w:t>
      </w:r>
      <w:r>
        <w:rPr>
          <w:snapToGrid/>
        </w:rPr>
        <w:t>；</w:t>
      </w:r>
      <w:r>
        <w:rPr>
          <w:rStyle w:val="EndnoteReference"/>
          <w:snapToGrid/>
        </w:rPr>
        <w:endnoteReference w:id="174"/>
      </w:r>
    </w:p>
    <w:p w:rsidR="00000000" w:rsidRDefault="00000000">
      <w:pPr>
        <w:pStyle w:val="a6"/>
        <w:tabs>
          <w:tab w:val="num" w:pos="510"/>
        </w:tabs>
        <w:ind w:left="1530"/>
        <w:rPr>
          <w:snapToGrid/>
        </w:rPr>
      </w:pPr>
      <w:r>
        <w:rPr>
          <w:rFonts w:hint="eastAsia"/>
          <w:snapToGrid/>
        </w:rPr>
        <w:t>《采矿活动、爆炸品和国家矿务局法》</w:t>
      </w:r>
      <w:r>
        <w:rPr>
          <w:snapToGrid/>
        </w:rPr>
        <w:t>；</w:t>
      </w:r>
      <w:r>
        <w:rPr>
          <w:rStyle w:val="EndnoteReference"/>
          <w:snapToGrid/>
        </w:rPr>
        <w:endnoteReference w:id="175"/>
      </w:r>
    </w:p>
    <w:p w:rsidR="00000000" w:rsidRDefault="00000000">
      <w:pPr>
        <w:pStyle w:val="a6"/>
        <w:tabs>
          <w:tab w:val="num" w:pos="510"/>
        </w:tabs>
        <w:ind w:left="1530"/>
        <w:rPr>
          <w:rFonts w:hint="eastAsia"/>
          <w:snapToGrid/>
        </w:rPr>
      </w:pPr>
      <w:r>
        <w:rPr>
          <w:rFonts w:hint="eastAsia"/>
          <w:snapToGrid/>
        </w:rPr>
        <w:t>《创造和保护有益健康的生活条件令》</w:t>
      </w:r>
      <w:r>
        <w:rPr>
          <w:snapToGrid/>
        </w:rPr>
        <w:t>；</w:t>
      </w:r>
      <w:r>
        <w:rPr>
          <w:rStyle w:val="EndnoteReference"/>
          <w:snapToGrid/>
        </w:rPr>
        <w:endnoteReference w:id="176"/>
      </w:r>
    </w:p>
    <w:p w:rsidR="00000000" w:rsidRDefault="00000000">
      <w:pPr>
        <w:pStyle w:val="a6"/>
        <w:tabs>
          <w:tab w:val="num" w:pos="510"/>
        </w:tabs>
        <w:ind w:left="1530"/>
        <w:rPr>
          <w:snapToGrid/>
        </w:rPr>
      </w:pPr>
      <w:r>
        <w:rPr>
          <w:rFonts w:hint="eastAsia"/>
          <w:snapToGrid/>
        </w:rPr>
        <w:t>《关于工伤记录和登记以及操作失误</w:t>
      </w:r>
      <w:r>
        <w:rPr>
          <w:rFonts w:hint="eastAsia"/>
          <w:snapToGrid/>
        </w:rPr>
        <w:t>(</w:t>
      </w:r>
      <w:r>
        <w:rPr>
          <w:rFonts w:hint="eastAsia"/>
          <w:snapToGrid/>
        </w:rPr>
        <w:t>事故</w:t>
      </w:r>
      <w:r>
        <w:rPr>
          <w:rFonts w:hint="eastAsia"/>
          <w:snapToGrid/>
        </w:rPr>
        <w:t>)</w:t>
      </w:r>
      <w:r>
        <w:rPr>
          <w:rFonts w:hint="eastAsia"/>
          <w:snapToGrid/>
        </w:rPr>
        <w:t>和技术设备故障报告的规定》</w:t>
      </w:r>
      <w:r>
        <w:rPr>
          <w:snapToGrid/>
        </w:rPr>
        <w:t>；</w:t>
      </w:r>
      <w:r>
        <w:rPr>
          <w:rStyle w:val="EndnoteReference"/>
          <w:snapToGrid/>
        </w:rPr>
        <w:endnoteReference w:id="177"/>
      </w:r>
    </w:p>
    <w:p w:rsidR="00000000" w:rsidRDefault="00000000">
      <w:pPr>
        <w:pStyle w:val="a6"/>
        <w:tabs>
          <w:tab w:val="num" w:pos="510"/>
        </w:tabs>
        <w:ind w:left="1530"/>
        <w:rPr>
          <w:snapToGrid/>
        </w:rPr>
      </w:pPr>
      <w:r>
        <w:rPr>
          <w:rFonts w:hint="eastAsia"/>
          <w:snapToGrid/>
        </w:rPr>
        <w:t>《关于提供个人劳动保护设备以及洗涤、清洁和消毒物品的范围和条件的规定》；</w:t>
      </w:r>
      <w:r>
        <w:rPr>
          <w:rStyle w:val="EndnoteReference"/>
          <w:snapToGrid/>
        </w:rPr>
        <w:endnoteReference w:id="178"/>
      </w:r>
    </w:p>
    <w:p w:rsidR="00000000" w:rsidRDefault="00000000">
      <w:pPr>
        <w:pStyle w:val="a6"/>
        <w:tabs>
          <w:tab w:val="num" w:pos="510"/>
        </w:tabs>
        <w:ind w:left="1530"/>
        <w:rPr>
          <w:snapToGrid/>
        </w:rPr>
      </w:pPr>
      <w:r>
        <w:rPr>
          <w:rFonts w:hint="eastAsia"/>
          <w:snapToGrid/>
        </w:rPr>
        <w:t>《关于确保工作安全以及技术设备安全的基本要求》。</w:t>
      </w:r>
      <w:r>
        <w:rPr>
          <w:rStyle w:val="EndnoteReference"/>
          <w:snapToGrid/>
        </w:rPr>
        <w:endnoteReference w:id="179"/>
      </w:r>
    </w:p>
    <w:p w:rsidR="00000000" w:rsidRDefault="00000000">
      <w:r>
        <w:rPr>
          <w:rFonts w:hint="eastAsia"/>
          <w:snapToGrid/>
        </w:rPr>
        <w:tab/>
      </w:r>
      <w:r>
        <w:rPr>
          <w:rFonts w:hint="eastAsia"/>
          <w:snapToGrid/>
        </w:rPr>
        <w:t>除了这些法规外</w:t>
      </w:r>
      <w:r>
        <w:rPr>
          <w:snapToGrid/>
        </w:rPr>
        <w:t>，</w:t>
      </w:r>
      <w:r>
        <w:rPr>
          <w:rFonts w:hint="eastAsia"/>
          <w:snapToGrid/>
        </w:rPr>
        <w:t>许多其他法律和技术标准也保障工人在工作中的安全。捷克共和国在关于执行劳工组织第</w:t>
      </w:r>
      <w:r>
        <w:rPr>
          <w:snapToGrid/>
        </w:rPr>
        <w:t>155</w:t>
      </w:r>
      <w:r>
        <w:rPr>
          <w:rFonts w:hint="eastAsia"/>
          <w:snapToGrid/>
        </w:rPr>
        <w:t>号和第</w:t>
      </w:r>
      <w:r>
        <w:rPr>
          <w:snapToGrid/>
        </w:rPr>
        <w:t>148</w:t>
      </w:r>
      <w:r>
        <w:rPr>
          <w:rFonts w:hint="eastAsia"/>
          <w:snapToGrid/>
        </w:rPr>
        <w:t>号公约的报告中引述了这些法规。</w:t>
      </w:r>
    </w:p>
    <w:p w:rsidR="00000000" w:rsidRDefault="00000000">
      <w:pPr>
        <w:rPr>
          <w:snapToGrid/>
        </w:rPr>
      </w:pPr>
      <w:r>
        <w:rPr>
          <w:rFonts w:hint="eastAsia"/>
          <w:snapToGrid/>
        </w:rPr>
        <w:tab/>
      </w:r>
      <w:r>
        <w:rPr>
          <w:snapToGrid/>
        </w:rPr>
        <w:t xml:space="preserve">280.  </w:t>
      </w:r>
      <w:r>
        <w:rPr>
          <w:rFonts w:hint="eastAsia"/>
          <w:snapToGrid/>
        </w:rPr>
        <w:t>享有卫生的工作环境权产生于以下规定</w:t>
      </w:r>
      <w:r>
        <w:rPr>
          <w:snapToGrid/>
        </w:rPr>
        <w:t>：</w:t>
      </w:r>
    </w:p>
    <w:p w:rsidR="00000000" w:rsidRDefault="00000000">
      <w:pPr>
        <w:numPr>
          <w:ilvl w:val="0"/>
          <w:numId w:val="146"/>
        </w:numPr>
      </w:pPr>
      <w:r>
        <w:rPr>
          <w:rFonts w:hint="eastAsia"/>
        </w:rPr>
        <w:t>《宪章》第</w:t>
      </w:r>
      <w:r>
        <w:t>31</w:t>
      </w:r>
      <w:r>
        <w:rPr>
          <w:rFonts w:hint="eastAsia"/>
        </w:rPr>
        <w:t>条规定了保护健康权</w:t>
      </w:r>
      <w:r>
        <w:t>；</w:t>
      </w:r>
      <w:r>
        <w:t>“</w:t>
      </w:r>
      <w:r>
        <w:rPr>
          <w:rFonts w:hint="eastAsia"/>
        </w:rPr>
        <w:t>人人有权保护自己的健康。公民有权在公共保险的基础上</w:t>
      </w:r>
      <w:r>
        <w:t>，</w:t>
      </w:r>
      <w:r>
        <w:rPr>
          <w:rFonts w:hint="eastAsia"/>
        </w:rPr>
        <w:t>根据法律规定的条件免费享受医疗和医疗辅助设备。”</w:t>
      </w:r>
    </w:p>
    <w:p w:rsidR="00000000" w:rsidRDefault="00000000">
      <w:pPr>
        <w:numPr>
          <w:ilvl w:val="0"/>
          <w:numId w:val="146"/>
        </w:numPr>
      </w:pPr>
      <w:r>
        <w:rPr>
          <w:rFonts w:hint="eastAsia"/>
        </w:rPr>
        <w:t>有权根据上述《宪章》第</w:t>
      </w:r>
      <w:r>
        <w:t>28</w:t>
      </w:r>
      <w:r>
        <w:rPr>
          <w:rFonts w:hint="eastAsia"/>
        </w:rPr>
        <w:t>条</w:t>
      </w:r>
      <w:r>
        <w:t>，</w:t>
      </w:r>
      <w:r>
        <w:rPr>
          <w:rFonts w:hint="eastAsia"/>
        </w:rPr>
        <w:t>享受令人满意的工作条件；</w:t>
      </w:r>
    </w:p>
    <w:p w:rsidR="00000000" w:rsidRDefault="00000000">
      <w:pPr>
        <w:numPr>
          <w:ilvl w:val="0"/>
          <w:numId w:val="146"/>
        </w:numPr>
      </w:pPr>
      <w:r>
        <w:rPr>
          <w:rFonts w:hint="eastAsia"/>
        </w:rPr>
        <w:t>《宪章》第</w:t>
      </w:r>
      <w:r>
        <w:t>29</w:t>
      </w:r>
      <w:r>
        <w:rPr>
          <w:rFonts w:hint="eastAsia"/>
        </w:rPr>
        <w:t>条规定对妇女、青少年和有健康问题的人给予更多的保护；</w:t>
      </w:r>
    </w:p>
    <w:p w:rsidR="00000000" w:rsidRDefault="00000000">
      <w:pPr>
        <w:pStyle w:val="a5"/>
        <w:ind w:left="2080" w:hanging="776"/>
        <w:rPr>
          <w:snapToGrid/>
        </w:rPr>
      </w:pPr>
      <w:r>
        <w:rPr>
          <w:rFonts w:hint="eastAsia"/>
          <w:snapToGrid/>
        </w:rPr>
        <w:t>“</w:t>
      </w:r>
      <w:r>
        <w:rPr>
          <w:rFonts w:hint="eastAsia"/>
          <w:snapToGrid/>
        </w:rPr>
        <w:t>(</w:t>
      </w:r>
      <w:r>
        <w:rPr>
          <w:snapToGrid/>
        </w:rPr>
        <w:t>l</w:t>
      </w:r>
      <w:r>
        <w:rPr>
          <w:rFonts w:hint="eastAsia"/>
          <w:snapToGrid/>
        </w:rPr>
        <w:t>)</w:t>
      </w:r>
      <w:r>
        <w:rPr>
          <w:rFonts w:hint="eastAsia"/>
          <w:snapToGrid/>
        </w:rPr>
        <w:tab/>
      </w:r>
      <w:r>
        <w:rPr>
          <w:rFonts w:hint="eastAsia"/>
          <w:snapToGrid/>
        </w:rPr>
        <w:t>妇女、青少年和有健康问题的人有权在工作中得到更多的健康保护</w:t>
      </w:r>
      <w:r>
        <w:rPr>
          <w:snapToGrid/>
        </w:rPr>
        <w:t>，</w:t>
      </w:r>
      <w:r>
        <w:rPr>
          <w:rFonts w:hint="eastAsia"/>
          <w:snapToGrid/>
        </w:rPr>
        <w:t>享有特别的工作条件。</w:t>
      </w:r>
    </w:p>
    <w:p w:rsidR="00000000" w:rsidRDefault="00000000">
      <w:pPr>
        <w:pStyle w:val="a5"/>
        <w:ind w:left="2080" w:hanging="776"/>
        <w:rPr>
          <w:rFonts w:hint="eastAsia"/>
          <w:snapToGrid/>
        </w:rPr>
      </w:pPr>
      <w:r>
        <w:rPr>
          <w:rFonts w:hint="eastAsia"/>
          <w:snapToGrid/>
        </w:rPr>
        <w:t>“</w:t>
      </w:r>
      <w:r>
        <w:rPr>
          <w:snapToGrid/>
        </w:rPr>
        <w:t>(2)</w:t>
      </w:r>
      <w:r>
        <w:rPr>
          <w:rFonts w:hint="eastAsia"/>
          <w:snapToGrid/>
        </w:rPr>
        <w:tab/>
      </w:r>
      <w:r>
        <w:rPr>
          <w:rFonts w:hint="eastAsia"/>
          <w:snapToGrid/>
        </w:rPr>
        <w:t>青少年和有健康问题的人有权在劳动关系上得到特别保护</w:t>
      </w:r>
      <w:r>
        <w:rPr>
          <w:snapToGrid/>
        </w:rPr>
        <w:t>，</w:t>
      </w:r>
      <w:r>
        <w:rPr>
          <w:rFonts w:hint="eastAsia"/>
          <w:snapToGrid/>
        </w:rPr>
        <w:t>在职业培训上得到协助。”</w:t>
      </w:r>
    </w:p>
    <w:p w:rsidR="00000000" w:rsidRDefault="00000000">
      <w:pPr>
        <w:rPr>
          <w:snapToGrid/>
        </w:rPr>
      </w:pPr>
      <w:r>
        <w:rPr>
          <w:rFonts w:hint="eastAsia"/>
          <w:snapToGrid/>
        </w:rPr>
        <w:tab/>
      </w:r>
      <w:r>
        <w:rPr>
          <w:snapToGrid/>
        </w:rPr>
        <w:t xml:space="preserve">281.  </w:t>
      </w:r>
      <w:r>
        <w:rPr>
          <w:rFonts w:hint="eastAsia"/>
          <w:snapToGrid/>
        </w:rPr>
        <w:t>雇员在完成工作任务或从事与之直接相关的事务时负伤</w:t>
      </w:r>
      <w:r>
        <w:rPr>
          <w:snapToGrid/>
        </w:rPr>
        <w:t>，</w:t>
      </w:r>
      <w:r>
        <w:rPr>
          <w:rFonts w:hint="eastAsia"/>
          <w:snapToGrid/>
        </w:rPr>
        <w:t>雇主有义务对该雇员所受到的伤害给予补偿。雇员应该遵守关于在工作中确保安全卫生的规章</w:t>
      </w:r>
      <w:r>
        <w:rPr>
          <w:rFonts w:hint="eastAsia"/>
          <w:snapToGrid/>
        </w:rPr>
        <w:t>(</w:t>
      </w:r>
      <w:r>
        <w:rPr>
          <w:rFonts w:hint="eastAsia"/>
          <w:snapToGrid/>
        </w:rPr>
        <w:t>《劳动法》第</w:t>
      </w:r>
      <w:r>
        <w:rPr>
          <w:snapToGrid/>
        </w:rPr>
        <w:t>73</w:t>
      </w:r>
      <w:r>
        <w:rPr>
          <w:rFonts w:hint="eastAsia"/>
          <w:snapToGrid/>
        </w:rPr>
        <w:t>条第</w:t>
      </w:r>
      <w:r>
        <w:rPr>
          <w:snapToGrid/>
        </w:rPr>
        <w:t>l</w:t>
      </w:r>
      <w:r>
        <w:rPr>
          <w:rFonts w:hint="eastAsia"/>
          <w:snapToGrid/>
        </w:rPr>
        <w:t>款</w:t>
      </w:r>
      <w:r>
        <w:rPr>
          <w:snapToGrid/>
        </w:rPr>
        <w:t>(c)</w:t>
      </w:r>
      <w:r>
        <w:rPr>
          <w:rFonts w:hint="eastAsia"/>
          <w:snapToGrid/>
        </w:rPr>
        <w:t>项</w:t>
      </w:r>
      <w:r>
        <w:rPr>
          <w:rFonts w:hint="eastAsia"/>
          <w:snapToGrid/>
        </w:rPr>
        <w:t>)</w:t>
      </w:r>
      <w:r>
        <w:rPr>
          <w:snapToGrid/>
        </w:rPr>
        <w:t>，</w:t>
      </w:r>
      <w:r>
        <w:rPr>
          <w:rFonts w:hint="eastAsia"/>
          <w:snapToGrid/>
        </w:rPr>
        <w:t>监督人员应该确保这一安全和保护</w:t>
      </w:r>
      <w:r>
        <w:rPr>
          <w:rFonts w:hint="eastAsia"/>
          <w:snapToGrid/>
        </w:rPr>
        <w:t>(</w:t>
      </w:r>
      <w:r>
        <w:rPr>
          <w:rFonts w:hint="eastAsia"/>
          <w:snapToGrid/>
        </w:rPr>
        <w:t>《劳动法》第</w:t>
      </w:r>
      <w:r>
        <w:rPr>
          <w:snapToGrid/>
        </w:rPr>
        <w:t>74</w:t>
      </w:r>
      <w:r>
        <w:rPr>
          <w:rFonts w:hint="eastAsia"/>
          <w:snapToGrid/>
        </w:rPr>
        <w:t>条</w:t>
      </w:r>
      <w:r>
        <w:rPr>
          <w:snapToGrid/>
        </w:rPr>
        <w:t>)</w:t>
      </w:r>
      <w:r>
        <w:rPr>
          <w:rFonts w:hint="eastAsia"/>
          <w:snapToGrid/>
        </w:rPr>
        <w:t>。雇员了解劳动安全卫生规章是就业的先决条件之一。《劳动法》第</w:t>
      </w:r>
      <w:r>
        <w:rPr>
          <w:snapToGrid/>
        </w:rPr>
        <w:t>133</w:t>
      </w:r>
      <w:r>
        <w:rPr>
          <w:rFonts w:hint="eastAsia"/>
          <w:snapToGrid/>
        </w:rPr>
        <w:t>条至第</w:t>
      </w:r>
      <w:r>
        <w:rPr>
          <w:snapToGrid/>
        </w:rPr>
        <w:t>136</w:t>
      </w:r>
      <w:r>
        <w:rPr>
          <w:rFonts w:hint="eastAsia"/>
          <w:snapToGrid/>
        </w:rPr>
        <w:t>条详细规定了雇主和雇员的权利和义务。</w:t>
      </w:r>
    </w:p>
    <w:p w:rsidR="00000000" w:rsidRDefault="00000000">
      <w:pPr>
        <w:rPr>
          <w:rFonts w:hint="eastAsia"/>
          <w:snapToGrid/>
        </w:rPr>
      </w:pPr>
      <w:r>
        <w:rPr>
          <w:rFonts w:hint="eastAsia"/>
          <w:snapToGrid/>
        </w:rPr>
        <w:tab/>
        <w:t xml:space="preserve">282.  </w:t>
      </w:r>
      <w:r>
        <w:rPr>
          <w:rFonts w:hint="eastAsia"/>
          <w:snapToGrid/>
        </w:rPr>
        <w:t>“确保工作中的安全和卫生”一词应被理解是指关于保护生命和健康的所有规章、卫生和防治流行病规章、技术设备安全和技术标准规章、运输规章、防火规章以及关于处理易燃和易爆物品、武器、放射性材料、有毒和其他有害健康物品的规章。它们包括中央机构或雇主与国家工作和技术设备安全监督机构以及与有关工会协商发布的工作中的安全和健康保护法规</w:t>
      </w:r>
      <w:r>
        <w:rPr>
          <w:snapToGrid/>
        </w:rPr>
        <w:t>(</w:t>
      </w:r>
      <w:r>
        <w:rPr>
          <w:rFonts w:hint="eastAsia"/>
          <w:snapToGrid/>
        </w:rPr>
        <w:t>《劳动法》第</w:t>
      </w:r>
      <w:r>
        <w:rPr>
          <w:snapToGrid/>
        </w:rPr>
        <w:t>273</w:t>
      </w:r>
      <w:r>
        <w:rPr>
          <w:rFonts w:hint="eastAsia"/>
          <w:snapToGrid/>
        </w:rPr>
        <w:t>条</w:t>
      </w:r>
      <w:r>
        <w:rPr>
          <w:rFonts w:hint="eastAsia"/>
          <w:snapToGrid/>
        </w:rPr>
        <w:t>)</w:t>
      </w:r>
      <w:r>
        <w:rPr>
          <w:rFonts w:hint="eastAsia"/>
          <w:snapToGrid/>
        </w:rPr>
        <w:t>。</w:t>
      </w:r>
    </w:p>
    <w:p w:rsidR="00000000" w:rsidRDefault="00000000">
      <w:pPr>
        <w:rPr>
          <w:snapToGrid/>
          <w:szCs w:val="12"/>
        </w:rPr>
      </w:pPr>
      <w:r>
        <w:rPr>
          <w:rFonts w:hint="eastAsia"/>
          <w:snapToGrid/>
          <w:szCs w:val="12"/>
        </w:rPr>
        <w:tab/>
      </w:r>
      <w:r>
        <w:rPr>
          <w:snapToGrid/>
          <w:szCs w:val="12"/>
        </w:rPr>
        <w:t xml:space="preserve">283.  </w:t>
      </w:r>
      <w:r>
        <w:rPr>
          <w:rFonts w:hint="eastAsia"/>
          <w:snapToGrid/>
          <w:szCs w:val="12"/>
        </w:rPr>
        <w:t>主管工作中安全和卫生的国家监督机构有</w:t>
      </w:r>
      <w:r>
        <w:rPr>
          <w:snapToGrid/>
          <w:szCs w:val="12"/>
        </w:rPr>
        <w:t>：</w:t>
      </w:r>
    </w:p>
    <w:p w:rsidR="00000000" w:rsidRDefault="00000000">
      <w:pPr>
        <w:numPr>
          <w:ilvl w:val="0"/>
          <w:numId w:val="147"/>
        </w:numPr>
        <w:rPr>
          <w:rFonts w:hint="eastAsia"/>
          <w:snapToGrid/>
        </w:rPr>
      </w:pPr>
      <w:r>
        <w:rPr>
          <w:rFonts w:hint="eastAsia"/>
          <w:snapToGrid/>
        </w:rPr>
        <w:t>捷克共和国劳动和社会事务部及其所属捷克劳动安全局</w:t>
      </w:r>
      <w:r>
        <w:rPr>
          <w:snapToGrid/>
        </w:rPr>
        <w:t>，</w:t>
      </w:r>
      <w:r>
        <w:rPr>
          <w:rFonts w:hint="eastAsia"/>
          <w:snapToGrid/>
        </w:rPr>
        <w:t>通过劳动安全检查进行；</w:t>
      </w:r>
    </w:p>
    <w:p w:rsidR="00000000" w:rsidRDefault="00000000">
      <w:pPr>
        <w:numPr>
          <w:ilvl w:val="0"/>
          <w:numId w:val="147"/>
        </w:numPr>
        <w:rPr>
          <w:rFonts w:hint="eastAsia"/>
          <w:snapToGrid/>
        </w:rPr>
      </w:pPr>
      <w:r>
        <w:rPr>
          <w:rFonts w:hint="eastAsia"/>
          <w:snapToGrid/>
        </w:rPr>
        <w:t>捷克矿务总局</w:t>
      </w:r>
      <w:r>
        <w:rPr>
          <w:snapToGrid/>
        </w:rPr>
        <w:t>，</w:t>
      </w:r>
      <w:r>
        <w:rPr>
          <w:rFonts w:hint="eastAsia"/>
          <w:snapToGrid/>
        </w:rPr>
        <w:t>通过各矿务局进行；</w:t>
      </w:r>
    </w:p>
    <w:p w:rsidR="00000000" w:rsidRDefault="00000000">
      <w:pPr>
        <w:numPr>
          <w:ilvl w:val="0"/>
          <w:numId w:val="147"/>
        </w:numPr>
        <w:rPr>
          <w:snapToGrid/>
        </w:rPr>
      </w:pPr>
      <w:r>
        <w:rPr>
          <w:rFonts w:hint="eastAsia"/>
          <w:snapToGrid/>
        </w:rPr>
        <w:t>工会</w:t>
      </w:r>
      <w:r>
        <w:rPr>
          <w:rFonts w:hint="eastAsia"/>
          <w:snapToGrid/>
        </w:rPr>
        <w:t>(</w:t>
      </w:r>
      <w:r>
        <w:rPr>
          <w:rFonts w:hint="eastAsia"/>
          <w:snapToGrid/>
        </w:rPr>
        <w:t>《劳动法》第</w:t>
      </w:r>
      <w:r>
        <w:rPr>
          <w:snapToGrid/>
        </w:rPr>
        <w:t>136</w:t>
      </w:r>
      <w:r>
        <w:rPr>
          <w:rFonts w:hint="eastAsia"/>
          <w:snapToGrid/>
        </w:rPr>
        <w:t>条</w:t>
      </w:r>
      <w:r>
        <w:rPr>
          <w:rFonts w:hint="eastAsia"/>
          <w:snapToGrid/>
        </w:rPr>
        <w:t>)</w:t>
      </w:r>
      <w:r>
        <w:rPr>
          <w:rFonts w:hint="eastAsia"/>
          <w:snapToGrid/>
        </w:rPr>
        <w:t>；</w:t>
      </w:r>
    </w:p>
    <w:p w:rsidR="00000000" w:rsidRDefault="00000000">
      <w:pPr>
        <w:numPr>
          <w:ilvl w:val="0"/>
          <w:numId w:val="147"/>
        </w:numPr>
        <w:rPr>
          <w:snapToGrid/>
        </w:rPr>
      </w:pPr>
      <w:r>
        <w:rPr>
          <w:rFonts w:hint="eastAsia"/>
          <w:snapToGrid/>
        </w:rPr>
        <w:t>国家卫生检查总局所属机构</w:t>
      </w:r>
      <w:r>
        <w:rPr>
          <w:rFonts w:hint="eastAsia"/>
          <w:snapToGrid/>
        </w:rPr>
        <w:t>(</w:t>
      </w:r>
      <w:r>
        <w:rPr>
          <w:rFonts w:hint="eastAsia"/>
          <w:snapToGrid/>
        </w:rPr>
        <w:t>《公共卫生法》</w:t>
      </w:r>
      <w:r>
        <w:rPr>
          <w:rFonts w:hint="eastAsia"/>
          <w:snapToGrid/>
        </w:rPr>
        <w:t>)</w:t>
      </w:r>
      <w:r>
        <w:rPr>
          <w:rFonts w:hint="eastAsia"/>
          <w:snapToGrid/>
        </w:rPr>
        <w:t>。</w:t>
      </w:r>
    </w:p>
    <w:p w:rsidR="00000000" w:rsidRDefault="00000000">
      <w:pPr>
        <w:spacing w:after="320"/>
        <w:rPr>
          <w:snapToGrid/>
          <w:szCs w:val="12"/>
        </w:rPr>
      </w:pPr>
      <w:r>
        <w:rPr>
          <w:rFonts w:hint="eastAsia"/>
          <w:snapToGrid/>
          <w:szCs w:val="12"/>
        </w:rPr>
        <w:tab/>
      </w:r>
      <w:r>
        <w:rPr>
          <w:snapToGrid/>
          <w:szCs w:val="12"/>
        </w:rPr>
        <w:t xml:space="preserve">284.  </w:t>
      </w:r>
      <w:r>
        <w:rPr>
          <w:rFonts w:hint="eastAsia"/>
          <w:snapToGrid/>
          <w:szCs w:val="12"/>
        </w:rPr>
        <w:t>过去根据《国际劳工组织章程》第</w:t>
      </w:r>
      <w:r>
        <w:rPr>
          <w:snapToGrid/>
          <w:szCs w:val="12"/>
        </w:rPr>
        <w:t>19</w:t>
      </w:r>
      <w:r>
        <w:rPr>
          <w:rFonts w:hint="eastAsia"/>
          <w:snapToGrid/>
          <w:szCs w:val="12"/>
        </w:rPr>
        <w:t>条向劳工组织监督机构提交的关于未批准公约的报告中详细介绍了执行国际劳工组织劳动监察问题文书</w:t>
      </w:r>
      <w:r>
        <w:rPr>
          <w:rFonts w:hint="eastAsia"/>
          <w:snapToGrid/>
          <w:szCs w:val="12"/>
        </w:rPr>
        <w:t>(</w:t>
      </w:r>
      <w:r>
        <w:rPr>
          <w:rFonts w:hint="eastAsia"/>
          <w:snapToGrid/>
          <w:szCs w:val="12"/>
        </w:rPr>
        <w:t>关于劳动监察的第</w:t>
      </w:r>
      <w:r>
        <w:rPr>
          <w:snapToGrid/>
          <w:szCs w:val="12"/>
        </w:rPr>
        <w:t>81</w:t>
      </w:r>
      <w:r>
        <w:rPr>
          <w:rFonts w:hint="eastAsia"/>
          <w:snapToGrid/>
          <w:szCs w:val="12"/>
        </w:rPr>
        <w:t>号公约和第</w:t>
      </w:r>
      <w:r>
        <w:rPr>
          <w:snapToGrid/>
          <w:szCs w:val="12"/>
        </w:rPr>
        <w:t>81</w:t>
      </w:r>
      <w:r>
        <w:rPr>
          <w:rFonts w:hint="eastAsia"/>
          <w:snapToGrid/>
          <w:szCs w:val="12"/>
        </w:rPr>
        <w:t>号建议书；关于农业劳动监察的第</w:t>
      </w:r>
      <w:r>
        <w:rPr>
          <w:snapToGrid/>
          <w:szCs w:val="12"/>
        </w:rPr>
        <w:t>129</w:t>
      </w:r>
      <w:r>
        <w:rPr>
          <w:rFonts w:hint="eastAsia"/>
          <w:snapToGrid/>
          <w:szCs w:val="12"/>
        </w:rPr>
        <w:t>号公约和第</w:t>
      </w:r>
      <w:r>
        <w:rPr>
          <w:snapToGrid/>
          <w:szCs w:val="12"/>
        </w:rPr>
        <w:t>133</w:t>
      </w:r>
      <w:r>
        <w:rPr>
          <w:rFonts w:hint="eastAsia"/>
          <w:snapToGrid/>
          <w:szCs w:val="12"/>
        </w:rPr>
        <w:t>号建议书</w:t>
      </w:r>
      <w:r>
        <w:rPr>
          <w:rFonts w:hint="eastAsia"/>
          <w:snapToGrid/>
          <w:szCs w:val="12"/>
        </w:rPr>
        <w:t>)</w:t>
      </w:r>
      <w:r>
        <w:rPr>
          <w:rFonts w:hint="eastAsia"/>
          <w:snapToGrid/>
          <w:szCs w:val="12"/>
        </w:rPr>
        <w:t>的法律和实践情况。</w:t>
      </w:r>
    </w:p>
    <w:p w:rsidR="00000000" w:rsidRDefault="00000000">
      <w:pPr>
        <w:pStyle w:val="Heading3"/>
        <w:rPr>
          <w:rFonts w:hint="eastAsia"/>
        </w:rPr>
      </w:pPr>
      <w:r>
        <w:rPr>
          <w:rFonts w:hint="eastAsia"/>
        </w:rPr>
        <w:t>捷克共和国的工伤情况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1417"/>
        <w:gridCol w:w="1418"/>
        <w:gridCol w:w="1418"/>
      </w:tblGrid>
      <w:tr w:rsidR="00000000">
        <w:tblPrEx>
          <w:tblCellMar>
            <w:top w:w="0" w:type="dxa"/>
            <w:bottom w:w="0" w:type="dxa"/>
          </w:tblCellMar>
        </w:tblPrEx>
        <w:tc>
          <w:tcPr>
            <w:tcW w:w="5103" w:type="dxa"/>
            <w:tcBorders>
              <w:bottom w:val="single" w:sz="4" w:space="0" w:color="auto"/>
            </w:tcBorders>
          </w:tcPr>
          <w:p w:rsidR="00000000" w:rsidRDefault="00000000">
            <w:pPr>
              <w:pStyle w:val="aa"/>
              <w:spacing w:before="120" w:line="360" w:lineRule="auto"/>
              <w:jc w:val="center"/>
            </w:pPr>
          </w:p>
        </w:tc>
        <w:tc>
          <w:tcPr>
            <w:tcW w:w="1417" w:type="dxa"/>
            <w:tcBorders>
              <w:bottom w:val="single" w:sz="4" w:space="0" w:color="auto"/>
            </w:tcBorders>
          </w:tcPr>
          <w:p w:rsidR="00000000" w:rsidRDefault="00000000">
            <w:pPr>
              <w:pStyle w:val="aa"/>
              <w:spacing w:before="120" w:line="360" w:lineRule="auto"/>
              <w:jc w:val="center"/>
            </w:pPr>
            <w:r>
              <w:t>1993</w:t>
            </w:r>
          </w:p>
        </w:tc>
        <w:tc>
          <w:tcPr>
            <w:tcW w:w="1418" w:type="dxa"/>
            <w:tcBorders>
              <w:bottom w:val="single" w:sz="4" w:space="0" w:color="auto"/>
            </w:tcBorders>
          </w:tcPr>
          <w:p w:rsidR="00000000" w:rsidRDefault="00000000">
            <w:pPr>
              <w:pStyle w:val="aa"/>
              <w:spacing w:before="120" w:line="360" w:lineRule="auto"/>
              <w:jc w:val="center"/>
            </w:pPr>
            <w:r>
              <w:t>1995</w:t>
            </w:r>
          </w:p>
        </w:tc>
        <w:tc>
          <w:tcPr>
            <w:tcW w:w="1418" w:type="dxa"/>
            <w:tcBorders>
              <w:bottom w:val="single" w:sz="4" w:space="0" w:color="auto"/>
            </w:tcBorders>
          </w:tcPr>
          <w:p w:rsidR="00000000" w:rsidRDefault="00000000">
            <w:pPr>
              <w:pStyle w:val="aa"/>
              <w:spacing w:before="120" w:line="360" w:lineRule="auto"/>
              <w:jc w:val="center"/>
            </w:pPr>
            <w:r>
              <w:t>1998</w:t>
            </w:r>
          </w:p>
        </w:tc>
      </w:tr>
      <w:tr w:rsidR="00000000">
        <w:tblPrEx>
          <w:tblCellMar>
            <w:top w:w="0" w:type="dxa"/>
            <w:bottom w:w="0" w:type="dxa"/>
          </w:tblCellMar>
        </w:tblPrEx>
        <w:tc>
          <w:tcPr>
            <w:tcW w:w="5103" w:type="dxa"/>
            <w:tcBorders>
              <w:bottom w:val="nil"/>
            </w:tcBorders>
          </w:tcPr>
          <w:p w:rsidR="00000000" w:rsidRDefault="00000000">
            <w:pPr>
              <w:pStyle w:val="aa"/>
              <w:rPr>
                <w:rFonts w:hint="eastAsia"/>
              </w:rPr>
            </w:pPr>
            <w:r>
              <w:rPr>
                <w:rFonts w:hint="eastAsia"/>
              </w:rPr>
              <w:t>新报告的工伤件数</w:t>
            </w:r>
          </w:p>
        </w:tc>
        <w:tc>
          <w:tcPr>
            <w:tcW w:w="1417" w:type="dxa"/>
            <w:tcBorders>
              <w:bottom w:val="nil"/>
            </w:tcBorders>
          </w:tcPr>
          <w:p w:rsidR="00000000" w:rsidRDefault="00000000">
            <w:pPr>
              <w:pStyle w:val="aa"/>
              <w:tabs>
                <w:tab w:val="left" w:pos="899"/>
              </w:tabs>
              <w:ind w:right="302"/>
              <w:jc w:val="right"/>
            </w:pPr>
            <w:r>
              <w:t>109 908</w:t>
            </w:r>
          </w:p>
        </w:tc>
        <w:tc>
          <w:tcPr>
            <w:tcW w:w="1418" w:type="dxa"/>
            <w:tcBorders>
              <w:bottom w:val="nil"/>
            </w:tcBorders>
          </w:tcPr>
          <w:p w:rsidR="00000000" w:rsidRDefault="00000000">
            <w:pPr>
              <w:pStyle w:val="aa"/>
              <w:tabs>
                <w:tab w:val="left" w:pos="899"/>
              </w:tabs>
              <w:ind w:right="302"/>
              <w:jc w:val="right"/>
            </w:pPr>
            <w:r>
              <w:t>106 275</w:t>
            </w:r>
          </w:p>
        </w:tc>
        <w:tc>
          <w:tcPr>
            <w:tcW w:w="1418" w:type="dxa"/>
            <w:tcBorders>
              <w:bottom w:val="nil"/>
            </w:tcBorders>
          </w:tcPr>
          <w:p w:rsidR="00000000" w:rsidRDefault="00000000">
            <w:pPr>
              <w:pStyle w:val="aa"/>
              <w:tabs>
                <w:tab w:val="left" w:pos="899"/>
              </w:tabs>
              <w:ind w:right="302"/>
              <w:jc w:val="right"/>
            </w:pPr>
            <w:r>
              <w:t>107 175</w:t>
            </w:r>
          </w:p>
        </w:tc>
      </w:tr>
      <w:tr w:rsidR="00000000">
        <w:tblPrEx>
          <w:tblCellMar>
            <w:top w:w="0" w:type="dxa"/>
            <w:bottom w:w="0" w:type="dxa"/>
          </w:tblCellMar>
        </w:tblPrEx>
        <w:tc>
          <w:tcPr>
            <w:tcW w:w="5103" w:type="dxa"/>
            <w:tcBorders>
              <w:top w:val="nil"/>
            </w:tcBorders>
          </w:tcPr>
          <w:p w:rsidR="00000000" w:rsidRDefault="00000000">
            <w:pPr>
              <w:pStyle w:val="aa"/>
            </w:pPr>
            <w:r>
              <w:rPr>
                <w:rFonts w:hint="eastAsia"/>
              </w:rPr>
              <w:t>每</w:t>
            </w:r>
            <w:r>
              <w:rPr>
                <w:rFonts w:hint="eastAsia"/>
              </w:rPr>
              <w:t>100</w:t>
            </w:r>
            <w:r>
              <w:rPr>
                <w:rFonts w:hint="eastAsia"/>
              </w:rPr>
              <w:t>名雇员中的工伤件数</w:t>
            </w:r>
          </w:p>
        </w:tc>
        <w:tc>
          <w:tcPr>
            <w:tcW w:w="1417" w:type="dxa"/>
            <w:tcBorders>
              <w:top w:val="nil"/>
            </w:tcBorders>
          </w:tcPr>
          <w:p w:rsidR="00000000" w:rsidRDefault="00000000">
            <w:pPr>
              <w:pStyle w:val="aa"/>
              <w:tabs>
                <w:tab w:val="left" w:pos="899"/>
              </w:tabs>
              <w:ind w:right="302"/>
              <w:jc w:val="right"/>
            </w:pPr>
            <w:r>
              <w:t>2.33</w:t>
            </w:r>
          </w:p>
        </w:tc>
        <w:tc>
          <w:tcPr>
            <w:tcW w:w="1418" w:type="dxa"/>
            <w:tcBorders>
              <w:top w:val="nil"/>
            </w:tcBorders>
          </w:tcPr>
          <w:p w:rsidR="00000000" w:rsidRDefault="00000000">
            <w:pPr>
              <w:pStyle w:val="aa"/>
              <w:tabs>
                <w:tab w:val="left" w:pos="899"/>
              </w:tabs>
              <w:ind w:right="302"/>
              <w:jc w:val="right"/>
            </w:pPr>
            <w:r>
              <w:t>2.26</w:t>
            </w:r>
          </w:p>
        </w:tc>
        <w:tc>
          <w:tcPr>
            <w:tcW w:w="1418" w:type="dxa"/>
            <w:tcBorders>
              <w:top w:val="nil"/>
            </w:tcBorders>
          </w:tcPr>
          <w:p w:rsidR="00000000" w:rsidRDefault="00000000">
            <w:pPr>
              <w:pStyle w:val="aa"/>
              <w:tabs>
                <w:tab w:val="left" w:pos="899"/>
              </w:tabs>
              <w:ind w:right="302"/>
              <w:jc w:val="right"/>
            </w:pPr>
            <w:r>
              <w:t>2.24</w:t>
            </w:r>
          </w:p>
        </w:tc>
      </w:tr>
    </w:tbl>
    <w:p w:rsidR="00000000" w:rsidRDefault="00000000">
      <w:pPr>
        <w:pStyle w:val="FootnoteText"/>
        <w:spacing w:before="160" w:after="320"/>
        <w:ind w:left="1020" w:hanging="510"/>
        <w:rPr>
          <w:sz w:val="21"/>
        </w:rPr>
      </w:pPr>
      <w:r>
        <w:rPr>
          <w:rFonts w:hint="eastAsia"/>
          <w:sz w:val="21"/>
          <w:u w:val="single"/>
        </w:rPr>
        <w:t>注</w:t>
      </w:r>
      <w:r>
        <w:rPr>
          <w:sz w:val="21"/>
        </w:rPr>
        <w:t>：</w:t>
      </w:r>
      <w:r>
        <w:rPr>
          <w:sz w:val="21"/>
        </w:rPr>
        <w:tab/>
        <w:t>1993</w:t>
      </w:r>
      <w:r>
        <w:rPr>
          <w:rFonts w:hint="eastAsia"/>
          <w:sz w:val="21"/>
        </w:rPr>
        <w:t>年</w:t>
      </w:r>
      <w:r>
        <w:rPr>
          <w:sz w:val="21"/>
        </w:rPr>
        <w:t>，</w:t>
      </w:r>
      <w:r>
        <w:rPr>
          <w:rFonts w:hint="eastAsia"/>
          <w:sz w:val="21"/>
        </w:rPr>
        <w:t>致命工伤为</w:t>
      </w:r>
      <w:r>
        <w:rPr>
          <w:sz w:val="21"/>
        </w:rPr>
        <w:t>369</w:t>
      </w:r>
      <w:r>
        <w:rPr>
          <w:rFonts w:hint="eastAsia"/>
          <w:sz w:val="21"/>
        </w:rPr>
        <w:t>件</w:t>
      </w:r>
      <w:r>
        <w:rPr>
          <w:sz w:val="21"/>
        </w:rPr>
        <w:t>，</w:t>
      </w:r>
      <w:r>
        <w:rPr>
          <w:sz w:val="21"/>
        </w:rPr>
        <w:t>1995</w:t>
      </w:r>
      <w:r>
        <w:rPr>
          <w:rFonts w:hint="eastAsia"/>
          <w:sz w:val="21"/>
        </w:rPr>
        <w:t>年为</w:t>
      </w:r>
      <w:r>
        <w:rPr>
          <w:sz w:val="21"/>
        </w:rPr>
        <w:t>257</w:t>
      </w:r>
      <w:r>
        <w:rPr>
          <w:rFonts w:hint="eastAsia"/>
          <w:sz w:val="21"/>
        </w:rPr>
        <w:t>件</w:t>
      </w:r>
      <w:r>
        <w:rPr>
          <w:sz w:val="21"/>
        </w:rPr>
        <w:t>，</w:t>
      </w:r>
      <w:r>
        <w:rPr>
          <w:sz w:val="21"/>
        </w:rPr>
        <w:t>1998</w:t>
      </w:r>
      <w:r>
        <w:rPr>
          <w:rFonts w:hint="eastAsia"/>
          <w:sz w:val="21"/>
        </w:rPr>
        <w:t>年为</w:t>
      </w:r>
      <w:r>
        <w:rPr>
          <w:sz w:val="21"/>
        </w:rPr>
        <w:t>267</w:t>
      </w:r>
      <w:r>
        <w:rPr>
          <w:rFonts w:hint="eastAsia"/>
          <w:sz w:val="21"/>
        </w:rPr>
        <w:t>件。遭受致命工伤者中约有</w:t>
      </w:r>
      <w:r>
        <w:rPr>
          <w:sz w:val="21"/>
        </w:rPr>
        <w:t>10%</w:t>
      </w:r>
      <w:r>
        <w:rPr>
          <w:rFonts w:hint="eastAsia"/>
          <w:sz w:val="21"/>
        </w:rPr>
        <w:t>为妇女。</w:t>
      </w:r>
    </w:p>
    <w:p w:rsidR="00000000" w:rsidRDefault="00000000">
      <w:pPr>
        <w:spacing w:after="320"/>
        <w:rPr>
          <w:snapToGrid/>
          <w:szCs w:val="12"/>
        </w:rPr>
      </w:pPr>
      <w:r>
        <w:rPr>
          <w:rFonts w:hint="eastAsia"/>
          <w:snapToGrid/>
          <w:szCs w:val="12"/>
        </w:rPr>
        <w:tab/>
      </w:r>
      <w:r>
        <w:rPr>
          <w:snapToGrid/>
          <w:szCs w:val="12"/>
        </w:rPr>
        <w:t xml:space="preserve">285.  </w:t>
      </w:r>
      <w:r>
        <w:rPr>
          <w:rFonts w:hint="eastAsia"/>
          <w:snapToGrid/>
          <w:szCs w:val="12"/>
        </w:rPr>
        <w:t>有关工作中的安全和卫生的规则适用于国家经济所有部门的工人。一切工作地点都应接受有关监察机构的审查。事实上</w:t>
      </w:r>
      <w:r>
        <w:rPr>
          <w:snapToGrid/>
          <w:szCs w:val="12"/>
        </w:rPr>
        <w:t>，</w:t>
      </w:r>
      <w:r>
        <w:rPr>
          <w:rFonts w:hint="eastAsia"/>
          <w:snapToGrid/>
          <w:szCs w:val="12"/>
        </w:rPr>
        <w:t>劳动安全法规的遵守水平很低</w:t>
      </w:r>
      <w:r>
        <w:rPr>
          <w:snapToGrid/>
          <w:szCs w:val="12"/>
        </w:rPr>
        <w:t>，</w:t>
      </w:r>
      <w:r>
        <w:rPr>
          <w:rFonts w:hint="eastAsia"/>
          <w:snapToGrid/>
          <w:szCs w:val="12"/>
        </w:rPr>
        <w:t>特别是在小型企业。为了依照欧洲共同体法规改进劳动法律关系和工作条件</w:t>
      </w:r>
      <w:r>
        <w:rPr>
          <w:snapToGrid/>
          <w:szCs w:val="12"/>
        </w:rPr>
        <w:t>，</w:t>
      </w:r>
      <w:r>
        <w:rPr>
          <w:rFonts w:hint="eastAsia"/>
          <w:snapToGrid/>
          <w:szCs w:val="12"/>
        </w:rPr>
        <w:t>劳动和社会事务部在未来一个时期将面临两个重要目标：建立行之有效的综合性劳动监察机构和创建新的工伤保险制度。完成这些任务与劳动和社会事务部的使命有关</w:t>
      </w:r>
      <w:r>
        <w:rPr>
          <w:snapToGrid/>
          <w:szCs w:val="12"/>
        </w:rPr>
        <w:t>；</w:t>
      </w:r>
      <w:r>
        <w:rPr>
          <w:rFonts w:hint="eastAsia"/>
          <w:snapToGrid/>
          <w:szCs w:val="12"/>
        </w:rPr>
        <w:t>因为现行法规仍然反映干预性管理的历史</w:t>
      </w:r>
      <w:r>
        <w:rPr>
          <w:snapToGrid/>
          <w:szCs w:val="12"/>
        </w:rPr>
        <w:t>，</w:t>
      </w:r>
      <w:r>
        <w:rPr>
          <w:rFonts w:hint="eastAsia"/>
          <w:snapToGrid/>
          <w:szCs w:val="12"/>
        </w:rPr>
        <w:t>所以需要重建现有劳动机构、劳动安全检查机构和卫生检查机构体系</w:t>
      </w:r>
      <w:r>
        <w:rPr>
          <w:snapToGrid/>
          <w:szCs w:val="12"/>
        </w:rPr>
        <w:t>；</w:t>
      </w:r>
      <w:r>
        <w:rPr>
          <w:rFonts w:hint="eastAsia"/>
          <w:snapToGrid/>
          <w:szCs w:val="12"/>
        </w:rPr>
        <w:t>还需要编制确保工作中的安全和卫生的综合性法规建议。一项重要任务是改革现有工伤保险制度</w:t>
      </w:r>
      <w:r>
        <w:rPr>
          <w:snapToGrid/>
          <w:szCs w:val="12"/>
        </w:rPr>
        <w:t>，</w:t>
      </w:r>
      <w:r>
        <w:rPr>
          <w:rFonts w:hint="eastAsia"/>
          <w:snapToGrid/>
          <w:szCs w:val="12"/>
        </w:rPr>
        <w:t>以便通过新制度积极鼓励雇主防止工作中发生工伤和其他健康伤害。目前的法规无法产生有的经济压力</w:t>
      </w:r>
      <w:r>
        <w:rPr>
          <w:snapToGrid/>
          <w:szCs w:val="12"/>
        </w:rPr>
        <w:t>，</w:t>
      </w:r>
      <w:r>
        <w:rPr>
          <w:rFonts w:hint="eastAsia"/>
          <w:snapToGrid/>
          <w:szCs w:val="12"/>
        </w:rPr>
        <w:t>迫使企业充分注意工作中的安全和卫生，在提供工作条件时考虑到工伤趋势。</w:t>
      </w:r>
    </w:p>
    <w:p w:rsidR="00000000" w:rsidRDefault="00000000">
      <w:pPr>
        <w:pStyle w:val="Heading4"/>
        <w:rPr>
          <w:rFonts w:hint="eastAsia"/>
        </w:rPr>
      </w:pPr>
      <w:r>
        <w:rPr>
          <w:rFonts w:hint="eastAsia"/>
        </w:rPr>
        <w:t>平等晋升机会</w:t>
      </w:r>
    </w:p>
    <w:p w:rsidR="00000000" w:rsidRDefault="00000000">
      <w:pPr>
        <w:rPr>
          <w:snapToGrid/>
          <w:szCs w:val="24"/>
        </w:rPr>
      </w:pPr>
      <w:r>
        <w:rPr>
          <w:rFonts w:hint="eastAsia"/>
          <w:snapToGrid/>
          <w:szCs w:val="24"/>
        </w:rPr>
        <w:tab/>
      </w:r>
      <w:r>
        <w:rPr>
          <w:snapToGrid/>
          <w:szCs w:val="24"/>
        </w:rPr>
        <w:t xml:space="preserve">286.  </w:t>
      </w:r>
      <w:r>
        <w:rPr>
          <w:rFonts w:hint="eastAsia"/>
          <w:snapToGrid/>
          <w:szCs w:val="24"/>
        </w:rPr>
        <w:t>《宪章》第</w:t>
      </w:r>
      <w:r>
        <w:rPr>
          <w:snapToGrid/>
          <w:szCs w:val="24"/>
        </w:rPr>
        <w:t>3</w:t>
      </w:r>
      <w:r>
        <w:rPr>
          <w:rFonts w:hint="eastAsia"/>
          <w:snapToGrid/>
          <w:szCs w:val="24"/>
        </w:rPr>
        <w:t>条规定</w:t>
      </w:r>
      <w:r>
        <w:rPr>
          <w:snapToGrid/>
          <w:szCs w:val="24"/>
        </w:rPr>
        <w:t>，</w:t>
      </w:r>
      <w:r>
        <w:rPr>
          <w:rFonts w:hint="eastAsia"/>
          <w:snapToGrid/>
          <w:szCs w:val="24"/>
        </w:rPr>
        <w:t>不加区别地保证人人享有权利和自由。这一原则也适用于就业上的晋升。晋升担任较高级职务主要依据所表现出来的能力、教育水平和经验。晋升前必须对雇员工作进行评价</w:t>
      </w:r>
      <w:r>
        <w:rPr>
          <w:rFonts w:hint="eastAsia"/>
          <w:snapToGrid/>
          <w:szCs w:val="24"/>
        </w:rPr>
        <w:t>(</w:t>
      </w:r>
      <w:r>
        <w:rPr>
          <w:rFonts w:hint="eastAsia"/>
          <w:snapToGrid/>
          <w:szCs w:val="24"/>
        </w:rPr>
        <w:t>《劳动法》第</w:t>
      </w:r>
      <w:r>
        <w:rPr>
          <w:snapToGrid/>
          <w:szCs w:val="24"/>
        </w:rPr>
        <w:t>74</w:t>
      </w:r>
      <w:r>
        <w:rPr>
          <w:rFonts w:hint="eastAsia"/>
          <w:snapToGrid/>
          <w:szCs w:val="24"/>
        </w:rPr>
        <w:t>条规定</w:t>
      </w:r>
      <w:r>
        <w:rPr>
          <w:snapToGrid/>
          <w:szCs w:val="24"/>
        </w:rPr>
        <w:t>，</w:t>
      </w:r>
      <w:r>
        <w:rPr>
          <w:rFonts w:hint="eastAsia"/>
          <w:snapToGrid/>
          <w:szCs w:val="24"/>
        </w:rPr>
        <w:t>雇主应该评价下属雇员的工作成绩</w:t>
      </w:r>
      <w:r>
        <w:rPr>
          <w:rFonts w:hint="eastAsia"/>
          <w:snapToGrid/>
          <w:szCs w:val="24"/>
        </w:rPr>
        <w:t>)</w:t>
      </w:r>
      <w:r>
        <w:rPr>
          <w:rFonts w:hint="eastAsia"/>
          <w:snapToGrid/>
          <w:szCs w:val="24"/>
        </w:rPr>
        <w:t>。</w:t>
      </w:r>
    </w:p>
    <w:p w:rsidR="00000000" w:rsidRDefault="00000000">
      <w:pPr>
        <w:rPr>
          <w:snapToGrid/>
          <w:szCs w:val="24"/>
        </w:rPr>
      </w:pPr>
      <w:r>
        <w:rPr>
          <w:rFonts w:hint="eastAsia"/>
          <w:snapToGrid/>
          <w:szCs w:val="24"/>
        </w:rPr>
        <w:tab/>
      </w:r>
      <w:r>
        <w:rPr>
          <w:snapToGrid/>
          <w:szCs w:val="24"/>
        </w:rPr>
        <w:t xml:space="preserve">287.  </w:t>
      </w:r>
      <w:r>
        <w:rPr>
          <w:rFonts w:hint="eastAsia"/>
          <w:snapToGrid/>
          <w:szCs w:val="24"/>
        </w:rPr>
        <w:t>雇主应该与雇员一起讨论工作成绩评定结果</w:t>
      </w:r>
      <w:r>
        <w:rPr>
          <w:snapToGrid/>
          <w:szCs w:val="24"/>
        </w:rPr>
        <w:t>，</w:t>
      </w:r>
      <w:r>
        <w:rPr>
          <w:rFonts w:hint="eastAsia"/>
          <w:snapToGrid/>
          <w:szCs w:val="24"/>
        </w:rPr>
        <w:t>如果雇员索要</w:t>
      </w:r>
      <w:r>
        <w:rPr>
          <w:snapToGrid/>
          <w:szCs w:val="24"/>
        </w:rPr>
        <w:t>，</w:t>
      </w:r>
      <w:r>
        <w:rPr>
          <w:rFonts w:hint="eastAsia"/>
          <w:snapToGrid/>
          <w:szCs w:val="24"/>
        </w:rPr>
        <w:t>应该给予其一份。如果雇员不同意所做评价</w:t>
      </w:r>
      <w:r>
        <w:rPr>
          <w:snapToGrid/>
          <w:szCs w:val="24"/>
        </w:rPr>
        <w:t>，</w:t>
      </w:r>
      <w:r>
        <w:rPr>
          <w:rFonts w:hint="eastAsia"/>
          <w:snapToGrid/>
          <w:szCs w:val="24"/>
        </w:rPr>
        <w:t>可以向法院起诉</w:t>
      </w:r>
      <w:r>
        <w:rPr>
          <w:snapToGrid/>
          <w:szCs w:val="24"/>
        </w:rPr>
        <w:t>(</w:t>
      </w:r>
      <w:r>
        <w:rPr>
          <w:rFonts w:hint="eastAsia"/>
          <w:snapToGrid/>
          <w:szCs w:val="24"/>
        </w:rPr>
        <w:t>《劳动法》第</w:t>
      </w:r>
      <w:r>
        <w:rPr>
          <w:snapToGrid/>
          <w:szCs w:val="24"/>
        </w:rPr>
        <w:t>60</w:t>
      </w:r>
      <w:r>
        <w:rPr>
          <w:rFonts w:hint="eastAsia"/>
          <w:snapToGrid/>
          <w:szCs w:val="24"/>
        </w:rPr>
        <w:t>条</w:t>
      </w:r>
      <w:r>
        <w:rPr>
          <w:snapToGrid/>
          <w:szCs w:val="24"/>
        </w:rPr>
        <w:t>)</w:t>
      </w:r>
      <w:r>
        <w:rPr>
          <w:rFonts w:hint="eastAsia"/>
          <w:snapToGrid/>
          <w:szCs w:val="24"/>
        </w:rPr>
        <w:t>。</w:t>
      </w:r>
    </w:p>
    <w:p w:rsidR="00000000" w:rsidRDefault="00000000">
      <w:pPr>
        <w:rPr>
          <w:snapToGrid/>
          <w:szCs w:val="24"/>
        </w:rPr>
      </w:pPr>
      <w:r>
        <w:rPr>
          <w:rFonts w:hint="eastAsia"/>
          <w:snapToGrid/>
          <w:szCs w:val="24"/>
        </w:rPr>
        <w:tab/>
      </w:r>
      <w:r>
        <w:rPr>
          <w:snapToGrid/>
          <w:szCs w:val="24"/>
        </w:rPr>
        <w:t xml:space="preserve">288.  </w:t>
      </w:r>
      <w:r>
        <w:rPr>
          <w:rFonts w:hint="eastAsia"/>
          <w:snapToGrid/>
          <w:szCs w:val="24"/>
        </w:rPr>
        <w:t>《宪章》第</w:t>
      </w:r>
      <w:r>
        <w:rPr>
          <w:snapToGrid/>
          <w:szCs w:val="24"/>
        </w:rPr>
        <w:t>26</w:t>
      </w:r>
      <w:r>
        <w:rPr>
          <w:rFonts w:hint="eastAsia"/>
          <w:snapToGrid/>
          <w:szCs w:val="24"/>
        </w:rPr>
        <w:t>条规定</w:t>
      </w:r>
      <w:r>
        <w:rPr>
          <w:snapToGrid/>
          <w:szCs w:val="24"/>
        </w:rPr>
        <w:t>，</w:t>
      </w:r>
      <w:r>
        <w:rPr>
          <w:rFonts w:hint="eastAsia"/>
          <w:snapToGrid/>
          <w:szCs w:val="24"/>
        </w:rPr>
        <w:t>“可以依法对从业于某些职业和活动的权利施加条件和限制。”</w:t>
      </w:r>
      <w:r>
        <w:rPr>
          <w:snapToGrid/>
          <w:szCs w:val="24"/>
        </w:rPr>
        <w:t>1991</w:t>
      </w:r>
      <w:r>
        <w:rPr>
          <w:rFonts w:hint="eastAsia"/>
          <w:snapToGrid/>
          <w:szCs w:val="24"/>
        </w:rPr>
        <w:t>年</w:t>
      </w:r>
      <w:r>
        <w:rPr>
          <w:snapToGrid/>
          <w:szCs w:val="24"/>
        </w:rPr>
        <w:t>，</w:t>
      </w:r>
      <w:r>
        <w:rPr>
          <w:rFonts w:hint="eastAsia"/>
          <w:snapToGrid/>
          <w:szCs w:val="24"/>
        </w:rPr>
        <w:t>根据这一规定通过了第</w:t>
      </w:r>
      <w:r>
        <w:rPr>
          <w:snapToGrid/>
          <w:szCs w:val="24"/>
        </w:rPr>
        <w:t>451/l991 Coll</w:t>
      </w:r>
      <w:r>
        <w:rPr>
          <w:rFonts w:hint="eastAsia"/>
          <w:snapToGrid/>
          <w:szCs w:val="24"/>
        </w:rPr>
        <w:t>号法律</w:t>
      </w:r>
      <w:r>
        <w:rPr>
          <w:snapToGrid/>
          <w:szCs w:val="24"/>
        </w:rPr>
        <w:t>，</w:t>
      </w:r>
      <w:r>
        <w:rPr>
          <w:rFonts w:hint="eastAsia"/>
          <w:snapToGrid/>
          <w:szCs w:val="24"/>
        </w:rPr>
        <w:t>规定在捷克斯洛伐克联邦共和国、捷克共和国和斯洛伐克共和国国家机关和机构中担任某些职务的具体条件。在进一步评价这项</w:t>
      </w:r>
      <w:r>
        <w:rPr>
          <w:snapToGrid/>
          <w:szCs w:val="24"/>
        </w:rPr>
        <w:t>“</w:t>
      </w:r>
      <w:r>
        <w:rPr>
          <w:rFonts w:hint="eastAsia"/>
          <w:snapToGrid/>
          <w:szCs w:val="24"/>
        </w:rPr>
        <w:t>清理法”时</w:t>
      </w:r>
      <w:r>
        <w:rPr>
          <w:snapToGrid/>
          <w:szCs w:val="24"/>
        </w:rPr>
        <w:t>，</w:t>
      </w:r>
      <w:r>
        <w:rPr>
          <w:rFonts w:hint="eastAsia"/>
          <w:snapToGrid/>
          <w:szCs w:val="24"/>
        </w:rPr>
        <w:t>谨请注意在波希米亚、摩拉维亚和西里西亚工会联合会提出违反劳工组织第</w:t>
      </w:r>
      <w:r>
        <w:rPr>
          <w:snapToGrid/>
          <w:szCs w:val="24"/>
        </w:rPr>
        <w:t>111</w:t>
      </w:r>
      <w:r>
        <w:rPr>
          <w:rFonts w:hint="eastAsia"/>
          <w:snapToGrid/>
          <w:szCs w:val="24"/>
        </w:rPr>
        <w:t>号公约指控后向劳工组织监察机构提交的意见</w:t>
      </w:r>
      <w:r>
        <w:rPr>
          <w:snapToGrid/>
          <w:szCs w:val="24"/>
        </w:rPr>
        <w:t>，</w:t>
      </w:r>
      <w:r>
        <w:rPr>
          <w:rFonts w:hint="eastAsia"/>
          <w:snapToGrid/>
          <w:szCs w:val="24"/>
        </w:rPr>
        <w:t>还请注意关于执行《公约》第</w:t>
      </w:r>
      <w:r>
        <w:rPr>
          <w:snapToGrid/>
          <w:szCs w:val="24"/>
        </w:rPr>
        <w:t>6</w:t>
      </w:r>
      <w:r>
        <w:rPr>
          <w:rFonts w:hint="eastAsia"/>
          <w:snapToGrid/>
          <w:szCs w:val="24"/>
        </w:rPr>
        <w:t>条的部分。</w:t>
      </w:r>
    </w:p>
    <w:p w:rsidR="00000000" w:rsidRDefault="00000000">
      <w:pPr>
        <w:rPr>
          <w:snapToGrid/>
          <w:szCs w:val="24"/>
        </w:rPr>
      </w:pPr>
      <w:r>
        <w:rPr>
          <w:rFonts w:hint="eastAsia"/>
          <w:snapToGrid/>
          <w:szCs w:val="24"/>
        </w:rPr>
        <w:tab/>
      </w:r>
      <w:r>
        <w:rPr>
          <w:snapToGrid/>
          <w:szCs w:val="24"/>
        </w:rPr>
        <w:t xml:space="preserve">289.  </w:t>
      </w:r>
      <w:r>
        <w:rPr>
          <w:rFonts w:hint="eastAsia"/>
          <w:snapToGrid/>
          <w:szCs w:val="24"/>
        </w:rPr>
        <w:t>另一项关于在职业晋升上享有平等机会的重要法律文书</w:t>
      </w:r>
      <w:r>
        <w:rPr>
          <w:rFonts w:hint="eastAsia"/>
          <w:snapToGrid/>
          <w:szCs w:val="24"/>
        </w:rPr>
        <w:t>(</w:t>
      </w:r>
      <w:r>
        <w:rPr>
          <w:rFonts w:hint="eastAsia"/>
          <w:snapToGrid/>
          <w:szCs w:val="24"/>
        </w:rPr>
        <w:t>在捷克共和国直接生效</w:t>
      </w:r>
      <w:r>
        <w:rPr>
          <w:rFonts w:hint="eastAsia"/>
          <w:snapToGrid/>
          <w:szCs w:val="24"/>
        </w:rPr>
        <w:t>)</w:t>
      </w:r>
      <w:r>
        <w:rPr>
          <w:rFonts w:hint="eastAsia"/>
          <w:snapToGrid/>
          <w:szCs w:val="24"/>
        </w:rPr>
        <w:t>是劳工组织第</w:t>
      </w:r>
      <w:r>
        <w:rPr>
          <w:snapToGrid/>
          <w:szCs w:val="24"/>
        </w:rPr>
        <w:t>111</w:t>
      </w:r>
      <w:r>
        <w:rPr>
          <w:rFonts w:hint="eastAsia"/>
          <w:snapToGrid/>
          <w:szCs w:val="24"/>
        </w:rPr>
        <w:t>号公约</w:t>
      </w:r>
      <w:r>
        <w:rPr>
          <w:snapToGrid/>
          <w:szCs w:val="24"/>
        </w:rPr>
        <w:t>，</w:t>
      </w:r>
      <w:r>
        <w:rPr>
          <w:rFonts w:hint="eastAsia"/>
          <w:snapToGrid/>
          <w:szCs w:val="24"/>
        </w:rPr>
        <w:t>其中第</w:t>
      </w:r>
      <w:r>
        <w:rPr>
          <w:snapToGrid/>
          <w:szCs w:val="24"/>
        </w:rPr>
        <w:t>2</w:t>
      </w:r>
      <w:r>
        <w:rPr>
          <w:rFonts w:hint="eastAsia"/>
          <w:snapToGrid/>
          <w:szCs w:val="24"/>
        </w:rPr>
        <w:t>条规定国家有义务不加区别地确保职工在就业和职业问题上享有同等机会和同等待遇。职业和就业还意味着获得专门培训、就业以及各种职业和工作条件。由于某一职业的必要资格要求而有所区别、排斥或偏爱不应视为歧视。</w:t>
      </w:r>
    </w:p>
    <w:p w:rsidR="00000000" w:rsidRDefault="00000000">
      <w:pPr>
        <w:spacing w:after="320"/>
        <w:rPr>
          <w:snapToGrid/>
          <w:szCs w:val="24"/>
        </w:rPr>
      </w:pPr>
      <w:r>
        <w:rPr>
          <w:rFonts w:hint="eastAsia"/>
          <w:snapToGrid/>
          <w:szCs w:val="24"/>
        </w:rPr>
        <w:tab/>
      </w:r>
      <w:r>
        <w:rPr>
          <w:snapToGrid/>
          <w:szCs w:val="24"/>
        </w:rPr>
        <w:t xml:space="preserve">290.  </w:t>
      </w:r>
      <w:r>
        <w:rPr>
          <w:rFonts w:hint="eastAsia"/>
          <w:snapToGrid/>
          <w:szCs w:val="24"/>
        </w:rPr>
        <w:t>公民</w:t>
      </w:r>
      <w:r>
        <w:rPr>
          <w:snapToGrid/>
          <w:szCs w:val="24"/>
        </w:rPr>
        <w:t>(</w:t>
      </w:r>
      <w:r>
        <w:rPr>
          <w:rFonts w:hint="eastAsia"/>
          <w:snapToGrid/>
          <w:szCs w:val="24"/>
        </w:rPr>
        <w:t>职工</w:t>
      </w:r>
      <w:r>
        <w:rPr>
          <w:rFonts w:hint="eastAsia"/>
          <w:snapToGrid/>
          <w:szCs w:val="24"/>
        </w:rPr>
        <w:t>)</w:t>
      </w:r>
      <w:r>
        <w:rPr>
          <w:rFonts w:hint="eastAsia"/>
          <w:snapToGrid/>
          <w:szCs w:val="24"/>
        </w:rPr>
        <w:t>可以援引《宪章》第</w:t>
      </w:r>
      <w:r>
        <w:rPr>
          <w:snapToGrid/>
          <w:szCs w:val="24"/>
        </w:rPr>
        <w:t>3</w:t>
      </w:r>
      <w:r>
        <w:rPr>
          <w:rFonts w:hint="eastAsia"/>
          <w:snapToGrid/>
          <w:szCs w:val="24"/>
        </w:rPr>
        <w:t>条或直接引述第</w:t>
      </w:r>
      <w:r>
        <w:rPr>
          <w:snapToGrid/>
          <w:szCs w:val="24"/>
        </w:rPr>
        <w:t>111</w:t>
      </w:r>
      <w:r>
        <w:rPr>
          <w:rFonts w:hint="eastAsia"/>
          <w:snapToGrid/>
          <w:szCs w:val="24"/>
        </w:rPr>
        <w:t>号公约和《公约》第</w:t>
      </w:r>
      <w:r>
        <w:rPr>
          <w:snapToGrid/>
          <w:szCs w:val="24"/>
        </w:rPr>
        <w:t>7</w:t>
      </w:r>
      <w:r>
        <w:rPr>
          <w:rFonts w:hint="eastAsia"/>
          <w:snapToGrid/>
          <w:szCs w:val="24"/>
        </w:rPr>
        <w:t>条</w:t>
      </w:r>
      <w:r>
        <w:rPr>
          <w:snapToGrid/>
          <w:szCs w:val="24"/>
        </w:rPr>
        <w:t>，</w:t>
      </w:r>
      <w:r>
        <w:rPr>
          <w:rFonts w:hint="eastAsia"/>
          <w:snapToGrid/>
          <w:szCs w:val="24"/>
        </w:rPr>
        <w:t>要求法院确保平等晋升机会。</w:t>
      </w:r>
    </w:p>
    <w:p w:rsidR="00000000" w:rsidRDefault="00000000">
      <w:pPr>
        <w:pStyle w:val="Heading4"/>
      </w:pPr>
      <w:r>
        <w:rPr>
          <w:rFonts w:hint="eastAsia"/>
        </w:rPr>
        <w:t>休息、自由时间、有限的工作时数、带薪休假、带薪法定假日</w:t>
      </w:r>
    </w:p>
    <w:p w:rsidR="00000000" w:rsidRDefault="00000000">
      <w:pPr>
        <w:rPr>
          <w:snapToGrid/>
          <w:szCs w:val="24"/>
        </w:rPr>
      </w:pPr>
      <w:r>
        <w:rPr>
          <w:rFonts w:hint="eastAsia"/>
          <w:snapToGrid/>
          <w:szCs w:val="24"/>
        </w:rPr>
        <w:tab/>
      </w:r>
      <w:r>
        <w:rPr>
          <w:snapToGrid/>
          <w:szCs w:val="24"/>
        </w:rPr>
        <w:t xml:space="preserve">291.  </w:t>
      </w:r>
      <w:r>
        <w:rPr>
          <w:rFonts w:hint="eastAsia"/>
          <w:snapToGrid/>
          <w:szCs w:val="24"/>
        </w:rPr>
        <w:t>以上事项所涉法律规定如下</w:t>
      </w:r>
      <w:r>
        <w:rPr>
          <w:snapToGrid/>
          <w:szCs w:val="24"/>
        </w:rPr>
        <w:t>：</w:t>
      </w:r>
    </w:p>
    <w:p w:rsidR="00000000" w:rsidRDefault="00000000">
      <w:pPr>
        <w:pStyle w:val="a6"/>
        <w:tabs>
          <w:tab w:val="num" w:pos="510"/>
        </w:tabs>
        <w:ind w:left="1530"/>
        <w:rPr>
          <w:snapToGrid/>
        </w:rPr>
      </w:pPr>
      <w:r>
        <w:rPr>
          <w:rFonts w:hint="eastAsia"/>
          <w:snapToGrid/>
        </w:rPr>
        <w:t>《劳动法》</w:t>
      </w:r>
      <w:r>
        <w:rPr>
          <w:snapToGrid/>
        </w:rPr>
        <w:t>，</w:t>
      </w:r>
      <w:r>
        <w:rPr>
          <w:rFonts w:hint="eastAsia"/>
          <w:snapToGrid/>
        </w:rPr>
        <w:t>特别是第</w:t>
      </w:r>
      <w:r>
        <w:rPr>
          <w:snapToGrid/>
        </w:rPr>
        <w:t>83</w:t>
      </w:r>
      <w:r>
        <w:rPr>
          <w:rFonts w:hint="eastAsia"/>
          <w:snapToGrid/>
        </w:rPr>
        <w:t>条、第</w:t>
      </w:r>
      <w:r>
        <w:rPr>
          <w:snapToGrid/>
        </w:rPr>
        <w:t>96</w:t>
      </w:r>
      <w:r>
        <w:rPr>
          <w:rFonts w:hint="eastAsia"/>
          <w:snapToGrid/>
        </w:rPr>
        <w:t>条和第</w:t>
      </w:r>
      <w:r>
        <w:rPr>
          <w:snapToGrid/>
        </w:rPr>
        <w:t>100</w:t>
      </w:r>
      <w:r>
        <w:rPr>
          <w:rFonts w:hint="eastAsia"/>
          <w:snapToGrid/>
        </w:rPr>
        <w:t>条；</w:t>
      </w:r>
      <w:r>
        <w:rPr>
          <w:rStyle w:val="EndnoteReference"/>
          <w:snapToGrid/>
        </w:rPr>
        <w:endnoteReference w:id="180"/>
      </w:r>
    </w:p>
    <w:p w:rsidR="00000000" w:rsidRDefault="00000000">
      <w:pPr>
        <w:pStyle w:val="a6"/>
        <w:tabs>
          <w:tab w:val="num" w:pos="510"/>
        </w:tabs>
        <w:ind w:left="1530"/>
        <w:rPr>
          <w:snapToGrid/>
        </w:rPr>
      </w:pPr>
      <w:r>
        <w:rPr>
          <w:rFonts w:hint="eastAsia"/>
          <w:snapToGrid/>
        </w:rPr>
        <w:t>《关于缩短每周工作时间和实行五天工作周作业及工作制度的原则》；</w:t>
      </w:r>
      <w:r>
        <w:rPr>
          <w:rStyle w:val="EndnoteReference"/>
          <w:snapToGrid/>
        </w:rPr>
        <w:endnoteReference w:id="181"/>
      </w:r>
    </w:p>
    <w:p w:rsidR="00000000" w:rsidRDefault="00000000">
      <w:pPr>
        <w:pStyle w:val="a6"/>
        <w:tabs>
          <w:tab w:val="num" w:pos="510"/>
        </w:tabs>
        <w:ind w:left="1530"/>
        <w:rPr>
          <w:snapToGrid/>
        </w:rPr>
      </w:pPr>
      <w:r>
        <w:rPr>
          <w:rFonts w:hint="eastAsia"/>
          <w:snapToGrid/>
        </w:rPr>
        <w:t>关于执行《劳动法》的第</w:t>
      </w:r>
      <w:r>
        <w:rPr>
          <w:snapToGrid/>
        </w:rPr>
        <w:t>108/1994</w:t>
      </w:r>
      <w:r>
        <w:rPr>
          <w:rFonts w:hint="eastAsia"/>
          <w:snapToGrid/>
        </w:rPr>
        <w:t xml:space="preserve"> </w:t>
      </w:r>
      <w:r>
        <w:rPr>
          <w:snapToGrid/>
        </w:rPr>
        <w:t>Coll.</w:t>
      </w:r>
      <w:r>
        <w:rPr>
          <w:rFonts w:hint="eastAsia"/>
          <w:snapToGrid/>
        </w:rPr>
        <w:t>号政府令</w:t>
      </w:r>
      <w:r>
        <w:rPr>
          <w:snapToGrid/>
        </w:rPr>
        <w:t>；</w:t>
      </w:r>
    </w:p>
    <w:p w:rsidR="00000000" w:rsidRDefault="00000000">
      <w:pPr>
        <w:pStyle w:val="a6"/>
        <w:tabs>
          <w:tab w:val="num" w:pos="510"/>
        </w:tabs>
        <w:ind w:left="1530"/>
        <w:rPr>
          <w:snapToGrid/>
        </w:rPr>
      </w:pPr>
      <w:r>
        <w:rPr>
          <w:rFonts w:hint="eastAsia"/>
          <w:snapToGrid/>
        </w:rPr>
        <w:t>《关于国家法定假日、非工作日、纪念日和重要日期法》</w:t>
      </w:r>
      <w:r>
        <w:rPr>
          <w:snapToGrid/>
        </w:rPr>
        <w:t>；</w:t>
      </w:r>
      <w:r>
        <w:rPr>
          <w:rStyle w:val="EndnoteReference"/>
          <w:snapToGrid/>
        </w:rPr>
        <w:endnoteReference w:id="182"/>
      </w:r>
    </w:p>
    <w:p w:rsidR="00000000" w:rsidRDefault="00000000">
      <w:pPr>
        <w:pStyle w:val="a6"/>
        <w:tabs>
          <w:tab w:val="num" w:pos="510"/>
        </w:tabs>
        <w:ind w:left="1530"/>
        <w:rPr>
          <w:snapToGrid/>
        </w:rPr>
      </w:pPr>
      <w:r>
        <w:rPr>
          <w:rFonts w:hint="eastAsia"/>
          <w:snapToGrid/>
        </w:rPr>
        <w:t>《工资法》；</w:t>
      </w:r>
      <w:r>
        <w:rPr>
          <w:rStyle w:val="EndnoteReference"/>
          <w:snapToGrid/>
        </w:rPr>
        <w:endnoteReference w:id="183"/>
      </w:r>
    </w:p>
    <w:p w:rsidR="00000000" w:rsidRDefault="00000000">
      <w:pPr>
        <w:pStyle w:val="a6"/>
        <w:tabs>
          <w:tab w:val="num" w:pos="510"/>
        </w:tabs>
        <w:ind w:left="1530"/>
        <w:rPr>
          <w:snapToGrid/>
        </w:rPr>
      </w:pPr>
      <w:r>
        <w:rPr>
          <w:rFonts w:hint="eastAsia"/>
          <w:snapToGrid/>
        </w:rPr>
        <w:t>《薪资法》。</w:t>
      </w:r>
      <w:r>
        <w:rPr>
          <w:rStyle w:val="EndnoteReference"/>
          <w:snapToGrid/>
        </w:rPr>
        <w:endnoteReference w:id="184"/>
      </w:r>
    </w:p>
    <w:p w:rsidR="00000000" w:rsidRDefault="00000000">
      <w:pPr>
        <w:rPr>
          <w:rFonts w:hint="eastAsia"/>
          <w:snapToGrid/>
        </w:rPr>
      </w:pPr>
      <w:r>
        <w:rPr>
          <w:rFonts w:hint="eastAsia"/>
          <w:snapToGrid/>
        </w:rPr>
        <w:t>关于每周最多劳动时数和带薪休假的法律规定</w:t>
      </w:r>
      <w:r>
        <w:rPr>
          <w:snapToGrid/>
        </w:rPr>
        <w:t>，</w:t>
      </w:r>
      <w:r>
        <w:rPr>
          <w:rFonts w:hint="eastAsia"/>
          <w:snapToGrid/>
        </w:rPr>
        <w:t>确保了休息权利。</w:t>
      </w:r>
    </w:p>
    <w:p w:rsidR="00000000" w:rsidRDefault="00000000">
      <w:pPr>
        <w:rPr>
          <w:snapToGrid/>
          <w:szCs w:val="18"/>
        </w:rPr>
      </w:pPr>
      <w:r>
        <w:rPr>
          <w:rFonts w:hint="eastAsia"/>
          <w:snapToGrid/>
          <w:szCs w:val="18"/>
        </w:rPr>
        <w:tab/>
      </w:r>
      <w:r>
        <w:rPr>
          <w:snapToGrid/>
          <w:szCs w:val="18"/>
        </w:rPr>
        <w:t xml:space="preserve">292.  </w:t>
      </w:r>
      <w:r>
        <w:rPr>
          <w:rFonts w:hint="eastAsia"/>
          <w:snapToGrid/>
          <w:szCs w:val="18"/>
        </w:rPr>
        <w:t>关于两班之间不间断休息</w:t>
      </w:r>
      <w:r>
        <w:rPr>
          <w:snapToGrid/>
          <w:szCs w:val="18"/>
        </w:rPr>
        <w:t>，</w:t>
      </w:r>
      <w:r>
        <w:rPr>
          <w:rFonts w:hint="eastAsia"/>
          <w:snapToGrid/>
          <w:szCs w:val="18"/>
        </w:rPr>
        <w:t>雇主应该根据《劳动法》安排工作时间</w:t>
      </w:r>
      <w:r>
        <w:rPr>
          <w:snapToGrid/>
          <w:szCs w:val="18"/>
        </w:rPr>
        <w:t>，</w:t>
      </w:r>
      <w:r>
        <w:rPr>
          <w:rFonts w:hint="eastAsia"/>
          <w:snapToGrid/>
          <w:szCs w:val="18"/>
        </w:rPr>
        <w:t>以便劳动者在一班结束后和下一班开始前至少有</w:t>
      </w:r>
      <w:r>
        <w:rPr>
          <w:snapToGrid/>
          <w:szCs w:val="18"/>
        </w:rPr>
        <w:t>12</w:t>
      </w:r>
      <w:r>
        <w:rPr>
          <w:rFonts w:hint="eastAsia"/>
          <w:snapToGrid/>
          <w:szCs w:val="18"/>
        </w:rPr>
        <w:t>小时的休息。年满</w:t>
      </w:r>
      <w:r>
        <w:rPr>
          <w:snapToGrid/>
          <w:szCs w:val="18"/>
        </w:rPr>
        <w:t>l8</w:t>
      </w:r>
      <w:r>
        <w:rPr>
          <w:rFonts w:hint="eastAsia"/>
          <w:snapToGrid/>
          <w:szCs w:val="18"/>
        </w:rPr>
        <w:t>岁的工人在以下情况下可缩短此休息时间为</w:t>
      </w:r>
      <w:r>
        <w:rPr>
          <w:snapToGrid/>
          <w:szCs w:val="18"/>
        </w:rPr>
        <w:t>8</w:t>
      </w:r>
      <w:r>
        <w:rPr>
          <w:rFonts w:hint="eastAsia"/>
          <w:snapToGrid/>
          <w:szCs w:val="18"/>
        </w:rPr>
        <w:t>小时</w:t>
      </w:r>
      <w:r>
        <w:rPr>
          <w:snapToGrid/>
          <w:szCs w:val="18"/>
        </w:rPr>
        <w:t>；</w:t>
      </w:r>
    </w:p>
    <w:p w:rsidR="00000000" w:rsidRDefault="00000000">
      <w:pPr>
        <w:numPr>
          <w:ilvl w:val="0"/>
          <w:numId w:val="149"/>
        </w:numPr>
        <w:rPr>
          <w:snapToGrid/>
        </w:rPr>
      </w:pPr>
      <w:r>
        <w:rPr>
          <w:rFonts w:hint="eastAsia"/>
          <w:snapToGrid/>
        </w:rPr>
        <w:t>在连续性作业和转换班次中</w:t>
      </w:r>
      <w:r>
        <w:rPr>
          <w:snapToGrid/>
        </w:rPr>
        <w:t>；</w:t>
      </w:r>
    </w:p>
    <w:p w:rsidR="00000000" w:rsidRDefault="00000000">
      <w:pPr>
        <w:numPr>
          <w:ilvl w:val="0"/>
          <w:numId w:val="149"/>
        </w:numPr>
        <w:rPr>
          <w:snapToGrid/>
        </w:rPr>
      </w:pPr>
      <w:r>
        <w:rPr>
          <w:rFonts w:hint="eastAsia"/>
          <w:snapToGrid/>
        </w:rPr>
        <w:t>在农业</w:t>
      </w:r>
      <w:r>
        <w:rPr>
          <w:snapToGrid/>
        </w:rPr>
        <w:t>；</w:t>
      </w:r>
    </w:p>
    <w:p w:rsidR="00000000" w:rsidRDefault="00000000">
      <w:pPr>
        <w:numPr>
          <w:ilvl w:val="0"/>
          <w:numId w:val="149"/>
        </w:numPr>
        <w:rPr>
          <w:snapToGrid/>
        </w:rPr>
      </w:pPr>
      <w:r>
        <w:rPr>
          <w:rFonts w:hint="eastAsia"/>
          <w:snapToGrid/>
        </w:rPr>
        <w:t>在公共餐饮业和文化设施中</w:t>
      </w:r>
      <w:r>
        <w:rPr>
          <w:snapToGrid/>
        </w:rPr>
        <w:t>；</w:t>
      </w:r>
    </w:p>
    <w:p w:rsidR="00000000" w:rsidRDefault="00000000">
      <w:pPr>
        <w:numPr>
          <w:ilvl w:val="0"/>
          <w:numId w:val="149"/>
        </w:numPr>
        <w:rPr>
          <w:snapToGrid/>
        </w:rPr>
      </w:pPr>
      <w:r>
        <w:rPr>
          <w:rFonts w:hint="eastAsia"/>
          <w:snapToGrid/>
        </w:rPr>
        <w:t>为避免工人的生命或健康危险而进行紧急维修</w:t>
      </w:r>
      <w:r>
        <w:rPr>
          <w:snapToGrid/>
        </w:rPr>
        <w:t>；</w:t>
      </w:r>
    </w:p>
    <w:p w:rsidR="00000000" w:rsidRDefault="00000000">
      <w:pPr>
        <w:numPr>
          <w:ilvl w:val="0"/>
          <w:numId w:val="149"/>
        </w:numPr>
        <w:spacing w:after="320"/>
        <w:rPr>
          <w:snapToGrid/>
        </w:rPr>
      </w:pPr>
      <w:r>
        <w:rPr>
          <w:rFonts w:hint="eastAsia"/>
          <w:snapToGrid/>
        </w:rPr>
        <w:t>自然灾害和其他类似意外事件</w:t>
      </w:r>
      <w:r>
        <w:rPr>
          <w:snapToGrid/>
        </w:rPr>
        <w:t>(</w:t>
      </w:r>
      <w:r>
        <w:rPr>
          <w:rFonts w:hint="eastAsia"/>
          <w:snapToGrid/>
        </w:rPr>
        <w:t>《劳动法》第</w:t>
      </w:r>
      <w:r>
        <w:rPr>
          <w:snapToGrid/>
        </w:rPr>
        <w:t>90</w:t>
      </w:r>
      <w:r>
        <w:rPr>
          <w:rFonts w:hint="eastAsia"/>
          <w:snapToGrid/>
        </w:rPr>
        <w:t>条</w:t>
      </w:r>
      <w:r>
        <w:rPr>
          <w:rFonts w:hint="eastAsia"/>
          <w:snapToGrid/>
        </w:rPr>
        <w:t>)</w:t>
      </w:r>
      <w:r>
        <w:rPr>
          <w:rFonts w:hint="eastAsia"/>
          <w:snapToGrid/>
        </w:rPr>
        <w:t>。</w:t>
      </w:r>
    </w:p>
    <w:p w:rsidR="00000000" w:rsidRDefault="00000000">
      <w:pPr>
        <w:pStyle w:val="Heading4"/>
        <w:ind w:left="500"/>
      </w:pPr>
      <w:r>
        <w:rPr>
          <w:rFonts w:hint="eastAsia"/>
        </w:rPr>
        <w:t>每周的不间断休息</w:t>
      </w:r>
    </w:p>
    <w:p w:rsidR="00000000" w:rsidRDefault="00000000">
      <w:pPr>
        <w:rPr>
          <w:snapToGrid/>
          <w:szCs w:val="18"/>
        </w:rPr>
      </w:pPr>
      <w:r>
        <w:rPr>
          <w:rFonts w:hint="eastAsia"/>
          <w:snapToGrid/>
          <w:szCs w:val="18"/>
        </w:rPr>
        <w:tab/>
      </w:r>
      <w:r>
        <w:rPr>
          <w:snapToGrid/>
          <w:szCs w:val="18"/>
        </w:rPr>
        <w:t xml:space="preserve">293.  </w:t>
      </w:r>
      <w:r>
        <w:rPr>
          <w:rFonts w:hint="eastAsia"/>
          <w:snapToGrid/>
          <w:szCs w:val="18"/>
        </w:rPr>
        <w:t>职工有权每周至少不间断地休息</w:t>
      </w:r>
      <w:r>
        <w:rPr>
          <w:snapToGrid/>
          <w:szCs w:val="18"/>
        </w:rPr>
        <w:t>32</w:t>
      </w:r>
      <w:r>
        <w:rPr>
          <w:rFonts w:hint="eastAsia"/>
          <w:snapToGrid/>
          <w:szCs w:val="18"/>
        </w:rPr>
        <w:t>小时。如果企业业务允许</w:t>
      </w:r>
      <w:r>
        <w:rPr>
          <w:snapToGrid/>
          <w:szCs w:val="18"/>
        </w:rPr>
        <w:t>，</w:t>
      </w:r>
      <w:r>
        <w:rPr>
          <w:rFonts w:hint="eastAsia"/>
          <w:snapToGrid/>
          <w:szCs w:val="18"/>
        </w:rPr>
        <w:t>所有职工每周的不间断休息应该安排在同一天</w:t>
      </w:r>
      <w:r>
        <w:rPr>
          <w:snapToGrid/>
          <w:szCs w:val="18"/>
        </w:rPr>
        <w:t>，</w:t>
      </w:r>
      <w:r>
        <w:rPr>
          <w:rFonts w:hint="eastAsia"/>
          <w:snapToGrid/>
          <w:szCs w:val="18"/>
        </w:rPr>
        <w:t>以便包括星期天在内。如果由于以下业务原因无法安排工人不间断休息</w:t>
      </w:r>
      <w:r>
        <w:rPr>
          <w:snapToGrid/>
          <w:szCs w:val="18"/>
        </w:rPr>
        <w:t>，</w:t>
      </w:r>
      <w:r>
        <w:rPr>
          <w:rFonts w:hint="eastAsia"/>
          <w:snapToGrid/>
          <w:szCs w:val="18"/>
        </w:rPr>
        <w:t>雇主可以安排工作时间；以便至少休息</w:t>
      </w:r>
      <w:r>
        <w:rPr>
          <w:snapToGrid/>
          <w:szCs w:val="18"/>
        </w:rPr>
        <w:t>24</w:t>
      </w:r>
      <w:r>
        <w:rPr>
          <w:rFonts w:hint="eastAsia"/>
          <w:snapToGrid/>
          <w:szCs w:val="18"/>
        </w:rPr>
        <w:t>小时</w:t>
      </w:r>
      <w:r>
        <w:rPr>
          <w:snapToGrid/>
          <w:szCs w:val="18"/>
        </w:rPr>
        <w:t>：</w:t>
      </w:r>
    </w:p>
    <w:p w:rsidR="00000000" w:rsidRDefault="00000000">
      <w:pPr>
        <w:numPr>
          <w:ilvl w:val="0"/>
          <w:numId w:val="151"/>
        </w:numPr>
        <w:rPr>
          <w:snapToGrid/>
          <w:szCs w:val="18"/>
        </w:rPr>
      </w:pPr>
      <w:r>
        <w:rPr>
          <w:rFonts w:hint="eastAsia"/>
          <w:snapToGrid/>
          <w:szCs w:val="18"/>
        </w:rPr>
        <w:t>季节和突击性工作</w:t>
      </w:r>
      <w:r>
        <w:rPr>
          <w:snapToGrid/>
          <w:szCs w:val="18"/>
        </w:rPr>
        <w:t>；</w:t>
      </w:r>
    </w:p>
    <w:p w:rsidR="00000000" w:rsidRDefault="00000000">
      <w:pPr>
        <w:numPr>
          <w:ilvl w:val="0"/>
          <w:numId w:val="151"/>
        </w:numPr>
        <w:rPr>
          <w:snapToGrid/>
          <w:szCs w:val="18"/>
        </w:rPr>
      </w:pPr>
      <w:r>
        <w:rPr>
          <w:rFonts w:hint="eastAsia"/>
          <w:snapToGrid/>
          <w:szCs w:val="18"/>
        </w:rPr>
        <w:t>运输、通信、文化设施、无间歇作业部门的工作</w:t>
      </w:r>
      <w:r>
        <w:rPr>
          <w:snapToGrid/>
          <w:szCs w:val="18"/>
        </w:rPr>
        <w:t>；</w:t>
      </w:r>
      <w:r>
        <w:rPr>
          <w:rFonts w:hint="eastAsia"/>
          <w:snapToGrid/>
          <w:szCs w:val="18"/>
        </w:rPr>
        <w:t>但每三周必须安排工人至少有</w:t>
      </w:r>
      <w:r>
        <w:rPr>
          <w:snapToGrid/>
          <w:szCs w:val="18"/>
        </w:rPr>
        <w:t>32</w:t>
      </w:r>
      <w:r>
        <w:rPr>
          <w:rFonts w:hint="eastAsia"/>
          <w:snapToGrid/>
          <w:szCs w:val="18"/>
        </w:rPr>
        <w:t>小时的不间断休息。</w:t>
      </w:r>
    </w:p>
    <w:p w:rsidR="00000000" w:rsidRDefault="00000000">
      <w:pPr>
        <w:rPr>
          <w:rFonts w:hint="eastAsia"/>
          <w:snapToGrid/>
          <w:szCs w:val="18"/>
        </w:rPr>
      </w:pPr>
      <w:r>
        <w:rPr>
          <w:rFonts w:hint="eastAsia"/>
          <w:snapToGrid/>
          <w:szCs w:val="18"/>
        </w:rPr>
        <w:tab/>
      </w:r>
      <w:r>
        <w:rPr>
          <w:snapToGrid/>
          <w:szCs w:val="18"/>
        </w:rPr>
        <w:t xml:space="preserve">294.  </w:t>
      </w:r>
      <w:r>
        <w:rPr>
          <w:rFonts w:hint="eastAsia"/>
          <w:snapToGrid/>
          <w:szCs w:val="18"/>
        </w:rPr>
        <w:t>无法在整个日历年安排固定工作时间的工作或在农业</w:t>
      </w:r>
      <w:r>
        <w:rPr>
          <w:snapToGrid/>
          <w:szCs w:val="18"/>
        </w:rPr>
        <w:t>，</w:t>
      </w:r>
      <w:r>
        <w:rPr>
          <w:rFonts w:hint="eastAsia"/>
          <w:snapToGrid/>
          <w:szCs w:val="18"/>
        </w:rPr>
        <w:t>雇主可以根据国家中央行政机构的指导意见安排工作时间</w:t>
      </w:r>
      <w:r>
        <w:rPr>
          <w:snapToGrid/>
          <w:szCs w:val="18"/>
        </w:rPr>
        <w:t>，</w:t>
      </w:r>
      <w:r>
        <w:rPr>
          <w:rFonts w:hint="eastAsia"/>
          <w:snapToGrid/>
          <w:szCs w:val="18"/>
        </w:rPr>
        <w:t>但每个工人每两周应至少有</w:t>
      </w:r>
      <w:r>
        <w:rPr>
          <w:snapToGrid/>
          <w:szCs w:val="18"/>
        </w:rPr>
        <w:t>32</w:t>
      </w:r>
      <w:r>
        <w:rPr>
          <w:rFonts w:hint="eastAsia"/>
          <w:snapToGrid/>
          <w:szCs w:val="18"/>
        </w:rPr>
        <w:t>小时的不间断休息。邮局和旅行社司机每周的不间断休息可以缩短到</w:t>
      </w:r>
      <w:r>
        <w:rPr>
          <w:snapToGrid/>
          <w:szCs w:val="18"/>
        </w:rPr>
        <w:t>18</w:t>
      </w:r>
      <w:r>
        <w:rPr>
          <w:rFonts w:hint="eastAsia"/>
          <w:snapToGrid/>
          <w:szCs w:val="18"/>
        </w:rPr>
        <w:t>小时。</w:t>
      </w:r>
    </w:p>
    <w:p w:rsidR="00000000" w:rsidRDefault="00000000">
      <w:pPr>
        <w:rPr>
          <w:snapToGrid/>
          <w:szCs w:val="18"/>
        </w:rPr>
      </w:pPr>
      <w:r>
        <w:rPr>
          <w:rFonts w:hint="eastAsia"/>
          <w:snapToGrid/>
          <w:szCs w:val="18"/>
        </w:rPr>
        <w:tab/>
      </w:r>
      <w:r>
        <w:rPr>
          <w:snapToGrid/>
          <w:szCs w:val="18"/>
        </w:rPr>
        <w:t xml:space="preserve">295.  </w:t>
      </w:r>
      <w:r>
        <w:rPr>
          <w:rFonts w:hint="eastAsia"/>
          <w:snapToGrid/>
          <w:szCs w:val="18"/>
        </w:rPr>
        <w:t>只能在例外情况下才能安排在非工作日</w:t>
      </w:r>
      <w:r>
        <w:rPr>
          <w:rFonts w:hint="eastAsia"/>
          <w:snapToGrid/>
          <w:szCs w:val="18"/>
        </w:rPr>
        <w:t>(</w:t>
      </w:r>
      <w:r>
        <w:rPr>
          <w:rFonts w:hint="eastAsia"/>
          <w:snapToGrid/>
          <w:szCs w:val="18"/>
        </w:rPr>
        <w:t>即每周或假日的不间断休息时间</w:t>
      </w:r>
      <w:r>
        <w:rPr>
          <w:rFonts w:hint="eastAsia"/>
          <w:snapToGrid/>
          <w:szCs w:val="18"/>
        </w:rPr>
        <w:t>)</w:t>
      </w:r>
      <w:r>
        <w:rPr>
          <w:rFonts w:hint="eastAsia"/>
          <w:snapToGrid/>
          <w:szCs w:val="18"/>
        </w:rPr>
        <w:t>工作。这涉及到必须在工作日之外完成的工作</w:t>
      </w:r>
      <w:r>
        <w:rPr>
          <w:snapToGrid/>
          <w:szCs w:val="18"/>
        </w:rPr>
        <w:t>，</w:t>
      </w:r>
      <w:r>
        <w:rPr>
          <w:rFonts w:hint="eastAsia"/>
          <w:snapToGrid/>
          <w:szCs w:val="18"/>
        </w:rPr>
        <w:t>如</w:t>
      </w:r>
      <w:r>
        <w:rPr>
          <w:snapToGrid/>
          <w:szCs w:val="18"/>
        </w:rPr>
        <w:t>：</w:t>
      </w:r>
    </w:p>
    <w:p w:rsidR="00000000" w:rsidRDefault="00000000">
      <w:pPr>
        <w:pStyle w:val="a6"/>
        <w:tabs>
          <w:tab w:val="num" w:pos="510"/>
        </w:tabs>
        <w:ind w:left="1530"/>
        <w:rPr>
          <w:snapToGrid/>
        </w:rPr>
      </w:pPr>
      <w:r>
        <w:rPr>
          <w:rFonts w:hint="eastAsia"/>
          <w:snapToGrid/>
        </w:rPr>
        <w:t>避免危及生命或健康的工作或在自然灾害和其他类似例外情况下的工作；</w:t>
      </w:r>
    </w:p>
    <w:p w:rsidR="00000000" w:rsidRDefault="00000000">
      <w:pPr>
        <w:pStyle w:val="a6"/>
        <w:tabs>
          <w:tab w:val="num" w:pos="510"/>
        </w:tabs>
        <w:spacing w:after="320"/>
        <w:ind w:left="1530"/>
        <w:rPr>
          <w:snapToGrid/>
        </w:rPr>
      </w:pPr>
      <w:r>
        <w:rPr>
          <w:rFonts w:hint="eastAsia"/>
          <w:snapToGrid/>
        </w:rPr>
        <w:t>为满足人口生活、保健和文化需求的必要工作</w:t>
      </w:r>
      <w:r>
        <w:rPr>
          <w:rFonts w:hint="eastAsia"/>
          <w:snapToGrid/>
        </w:rPr>
        <w:t>(</w:t>
      </w:r>
      <w:r>
        <w:rPr>
          <w:rFonts w:hint="eastAsia"/>
          <w:snapToGrid/>
        </w:rPr>
        <w:t>见《劳动法》第</w:t>
      </w:r>
      <w:r>
        <w:rPr>
          <w:snapToGrid/>
        </w:rPr>
        <w:t>91</w:t>
      </w:r>
      <w:r>
        <w:rPr>
          <w:rFonts w:hint="eastAsia"/>
          <w:snapToGrid/>
        </w:rPr>
        <w:t>条</w:t>
      </w:r>
      <w:r>
        <w:rPr>
          <w:snapToGrid/>
        </w:rPr>
        <w:t>)</w:t>
      </w:r>
      <w:r>
        <w:rPr>
          <w:rFonts w:hint="eastAsia"/>
          <w:snapToGrid/>
        </w:rPr>
        <w:t>。</w:t>
      </w:r>
    </w:p>
    <w:p w:rsidR="00000000" w:rsidRDefault="00000000">
      <w:pPr>
        <w:pStyle w:val="Heading4"/>
        <w:ind w:left="500"/>
      </w:pPr>
      <w:r>
        <w:rPr>
          <w:rFonts w:hint="eastAsia"/>
        </w:rPr>
        <w:t>具体工作时数</w:t>
      </w:r>
    </w:p>
    <w:p w:rsidR="00000000" w:rsidRDefault="00000000">
      <w:pPr>
        <w:rPr>
          <w:snapToGrid/>
          <w:szCs w:val="26"/>
        </w:rPr>
      </w:pPr>
      <w:r>
        <w:rPr>
          <w:rFonts w:hint="eastAsia"/>
          <w:snapToGrid/>
          <w:szCs w:val="18"/>
        </w:rPr>
        <w:tab/>
      </w:r>
      <w:r>
        <w:rPr>
          <w:snapToGrid/>
          <w:szCs w:val="18"/>
        </w:rPr>
        <w:t>296.  1968</w:t>
      </w:r>
      <w:r>
        <w:rPr>
          <w:rFonts w:hint="eastAsia"/>
          <w:snapToGrid/>
          <w:szCs w:val="18"/>
        </w:rPr>
        <w:t>年</w:t>
      </w:r>
      <w:r>
        <w:rPr>
          <w:snapToGrid/>
          <w:szCs w:val="18"/>
        </w:rPr>
        <w:t>，</w:t>
      </w:r>
      <w:r>
        <w:rPr>
          <w:rFonts w:hint="eastAsia"/>
          <w:snapToGrid/>
          <w:szCs w:val="18"/>
        </w:rPr>
        <w:t>根据劳动和社会事务部《关于缩短每周工作时间和实行五天工作周作业及工作制度的原则》</w:t>
      </w:r>
      <w:r>
        <w:rPr>
          <w:snapToGrid/>
          <w:szCs w:val="18"/>
        </w:rPr>
        <w:t>，</w:t>
      </w:r>
      <w:r>
        <w:rPr>
          <w:rFonts w:hint="eastAsia"/>
          <w:snapToGrid/>
          <w:szCs w:val="18"/>
        </w:rPr>
        <w:t>每周工作时间从</w:t>
      </w:r>
      <w:r>
        <w:rPr>
          <w:snapToGrid/>
          <w:szCs w:val="18"/>
        </w:rPr>
        <w:t>42.5</w:t>
      </w:r>
      <w:r>
        <w:rPr>
          <w:rFonts w:hint="eastAsia"/>
          <w:snapToGrid/>
          <w:szCs w:val="18"/>
        </w:rPr>
        <w:t>小时缩短到</w:t>
      </w:r>
      <w:r>
        <w:rPr>
          <w:snapToGrid/>
          <w:szCs w:val="18"/>
        </w:rPr>
        <w:t>40</w:t>
      </w:r>
      <w:r>
        <w:rPr>
          <w:rFonts w:hint="eastAsia"/>
          <w:snapToGrid/>
          <w:szCs w:val="18"/>
        </w:rPr>
        <w:t>小时。每周工作五天</w:t>
      </w:r>
      <w:r>
        <w:rPr>
          <w:snapToGrid/>
          <w:szCs w:val="18"/>
        </w:rPr>
        <w:t>，</w:t>
      </w:r>
      <w:r>
        <w:rPr>
          <w:rFonts w:hint="eastAsia"/>
          <w:snapToGrid/>
          <w:szCs w:val="18"/>
        </w:rPr>
        <w:t>星期六和星期天为非工作日。《劳动法》第</w:t>
      </w:r>
      <w:r>
        <w:rPr>
          <w:snapToGrid/>
          <w:szCs w:val="18"/>
        </w:rPr>
        <w:t>83</w:t>
      </w:r>
      <w:r>
        <w:rPr>
          <w:rFonts w:hint="eastAsia"/>
          <w:snapToGrid/>
          <w:szCs w:val="18"/>
        </w:rPr>
        <w:t>条第</w:t>
      </w:r>
      <w:r>
        <w:rPr>
          <w:snapToGrid/>
          <w:szCs w:val="18"/>
        </w:rPr>
        <w:t>1</w:t>
      </w:r>
      <w:r>
        <w:rPr>
          <w:rFonts w:hint="eastAsia"/>
          <w:snapToGrid/>
          <w:szCs w:val="18"/>
        </w:rPr>
        <w:t>款规</w:t>
      </w:r>
      <w:r>
        <w:rPr>
          <w:rFonts w:hint="eastAsia"/>
          <w:snapToGrid/>
          <w:szCs w:val="26"/>
        </w:rPr>
        <w:t>定</w:t>
      </w:r>
      <w:r>
        <w:rPr>
          <w:snapToGrid/>
          <w:szCs w:val="26"/>
        </w:rPr>
        <w:t>，</w:t>
      </w:r>
      <w:r>
        <w:rPr>
          <w:rFonts w:hint="eastAsia"/>
          <w:snapToGrid/>
          <w:szCs w:val="26"/>
        </w:rPr>
        <w:t>工作时间最多为每周</w:t>
      </w:r>
      <w:r>
        <w:rPr>
          <w:snapToGrid/>
          <w:szCs w:val="26"/>
        </w:rPr>
        <w:t>43</w:t>
      </w:r>
      <w:r>
        <w:rPr>
          <w:rFonts w:hint="eastAsia"/>
          <w:snapToGrid/>
          <w:szCs w:val="26"/>
        </w:rPr>
        <w:t>小时</w:t>
      </w:r>
      <w:r>
        <w:rPr>
          <w:snapToGrid/>
          <w:szCs w:val="26"/>
        </w:rPr>
        <w:t>，</w:t>
      </w:r>
      <w:r>
        <w:rPr>
          <w:snapToGrid/>
          <w:szCs w:val="26"/>
        </w:rPr>
        <w:t>16</w:t>
      </w:r>
      <w:r>
        <w:rPr>
          <w:rFonts w:hint="eastAsia"/>
          <w:snapToGrid/>
          <w:szCs w:val="26"/>
        </w:rPr>
        <w:t>岁以下的青年工人每周工作时间最多为</w:t>
      </w:r>
      <w:r>
        <w:rPr>
          <w:snapToGrid/>
          <w:szCs w:val="26"/>
        </w:rPr>
        <w:t>33</w:t>
      </w:r>
      <w:r>
        <w:rPr>
          <w:rFonts w:hint="eastAsia"/>
          <w:snapToGrid/>
          <w:szCs w:val="26"/>
        </w:rPr>
        <w:t>小时。</w:t>
      </w:r>
    </w:p>
    <w:p w:rsidR="00000000" w:rsidRDefault="00000000">
      <w:pPr>
        <w:rPr>
          <w:snapToGrid/>
          <w:szCs w:val="26"/>
        </w:rPr>
      </w:pPr>
      <w:r>
        <w:rPr>
          <w:rFonts w:hint="eastAsia"/>
          <w:snapToGrid/>
          <w:szCs w:val="26"/>
        </w:rPr>
        <w:tab/>
      </w:r>
      <w:r>
        <w:rPr>
          <w:snapToGrid/>
          <w:szCs w:val="26"/>
        </w:rPr>
        <w:t xml:space="preserve">297.  </w:t>
      </w:r>
      <w:r>
        <w:rPr>
          <w:rFonts w:hint="eastAsia"/>
          <w:snapToGrid/>
          <w:szCs w:val="26"/>
        </w:rPr>
        <w:t>雇主与公司工会讨论后决定每周工作时间的安排。安排每周工作时间时</w:t>
      </w:r>
      <w:r>
        <w:rPr>
          <w:snapToGrid/>
          <w:szCs w:val="26"/>
        </w:rPr>
        <w:t>，</w:t>
      </w:r>
      <w:r>
        <w:rPr>
          <w:rFonts w:hint="eastAsia"/>
          <w:snapToGrid/>
          <w:szCs w:val="26"/>
        </w:rPr>
        <w:t>应保证一周内每天的工作时间不得超过</w:t>
      </w:r>
      <w:r>
        <w:rPr>
          <w:snapToGrid/>
          <w:szCs w:val="26"/>
        </w:rPr>
        <w:t>9.5</w:t>
      </w:r>
      <w:r>
        <w:rPr>
          <w:rFonts w:hint="eastAsia"/>
          <w:snapToGrid/>
          <w:szCs w:val="26"/>
        </w:rPr>
        <w:t>小时</w:t>
      </w:r>
      <w:r>
        <w:rPr>
          <w:snapToGrid/>
          <w:szCs w:val="26"/>
        </w:rPr>
        <w:t>(</w:t>
      </w:r>
      <w:r>
        <w:rPr>
          <w:rFonts w:hint="eastAsia"/>
          <w:snapToGrid/>
          <w:szCs w:val="26"/>
        </w:rPr>
        <w:t>《劳动法》第</w:t>
      </w:r>
      <w:r>
        <w:rPr>
          <w:snapToGrid/>
          <w:szCs w:val="26"/>
        </w:rPr>
        <w:t>84</w:t>
      </w:r>
      <w:r>
        <w:rPr>
          <w:rFonts w:hint="eastAsia"/>
          <w:snapToGrid/>
          <w:szCs w:val="26"/>
        </w:rPr>
        <w:t>条</w:t>
      </w:r>
      <w:r>
        <w:rPr>
          <w:snapToGrid/>
          <w:szCs w:val="26"/>
        </w:rPr>
        <w:t>)</w:t>
      </w:r>
      <w:r>
        <w:rPr>
          <w:rFonts w:hint="eastAsia"/>
          <w:snapToGrid/>
          <w:szCs w:val="26"/>
        </w:rPr>
        <w:t>。如果工作性质或作业条件不允许在各周内平均分配工作时间</w:t>
      </w:r>
      <w:r>
        <w:rPr>
          <w:snapToGrid/>
          <w:szCs w:val="26"/>
        </w:rPr>
        <w:t>，</w:t>
      </w:r>
      <w:r>
        <w:rPr>
          <w:rFonts w:hint="eastAsia"/>
          <w:snapToGrid/>
          <w:szCs w:val="26"/>
        </w:rPr>
        <w:t>那么雇主可以另行安排</w:t>
      </w:r>
      <w:r>
        <w:rPr>
          <w:snapToGrid/>
          <w:szCs w:val="26"/>
        </w:rPr>
        <w:t>(</w:t>
      </w:r>
      <w:r>
        <w:rPr>
          <w:rFonts w:hint="eastAsia"/>
          <w:snapToGrid/>
          <w:szCs w:val="26"/>
        </w:rPr>
        <w:t>《劳动法》第</w:t>
      </w:r>
      <w:r>
        <w:rPr>
          <w:snapToGrid/>
          <w:szCs w:val="26"/>
        </w:rPr>
        <w:t>85</w:t>
      </w:r>
      <w:r>
        <w:rPr>
          <w:rFonts w:hint="eastAsia"/>
          <w:snapToGrid/>
          <w:szCs w:val="26"/>
        </w:rPr>
        <w:t>条</w:t>
      </w:r>
      <w:r>
        <w:rPr>
          <w:snapToGrid/>
          <w:szCs w:val="26"/>
        </w:rPr>
        <w:t>)</w:t>
      </w:r>
      <w:r>
        <w:rPr>
          <w:snapToGrid/>
          <w:szCs w:val="26"/>
        </w:rPr>
        <w:t>；</w:t>
      </w:r>
      <w:r>
        <w:rPr>
          <w:rFonts w:hint="eastAsia"/>
          <w:snapToGrid/>
          <w:szCs w:val="26"/>
        </w:rPr>
        <w:t>但是</w:t>
      </w:r>
      <w:r>
        <w:rPr>
          <w:snapToGrid/>
          <w:szCs w:val="26"/>
        </w:rPr>
        <w:t>，</w:t>
      </w:r>
      <w:r>
        <w:rPr>
          <w:rFonts w:hint="eastAsia"/>
          <w:snapToGrid/>
          <w:szCs w:val="26"/>
        </w:rPr>
        <w:t>在某一时期</w:t>
      </w:r>
      <w:r>
        <w:rPr>
          <w:snapToGrid/>
          <w:szCs w:val="26"/>
        </w:rPr>
        <w:t>，</w:t>
      </w:r>
      <w:r>
        <w:rPr>
          <w:rFonts w:hint="eastAsia"/>
          <w:snapToGrid/>
          <w:szCs w:val="26"/>
        </w:rPr>
        <w:t>通常在</w:t>
      </w:r>
      <w:r>
        <w:rPr>
          <w:snapToGrid/>
          <w:szCs w:val="26"/>
        </w:rPr>
        <w:t>4</w:t>
      </w:r>
      <w:r>
        <w:rPr>
          <w:rFonts w:hint="eastAsia"/>
          <w:snapToGrid/>
          <w:szCs w:val="26"/>
        </w:rPr>
        <w:t>天内</w:t>
      </w:r>
      <w:r>
        <w:rPr>
          <w:snapToGrid/>
          <w:szCs w:val="26"/>
        </w:rPr>
        <w:t>，</w:t>
      </w:r>
      <w:r>
        <w:rPr>
          <w:rFonts w:hint="eastAsia"/>
          <w:snapToGrid/>
          <w:szCs w:val="26"/>
        </w:rPr>
        <w:t>平均工作小时不得超过每周工作时间的限度。</w:t>
      </w:r>
    </w:p>
    <w:p w:rsidR="00000000" w:rsidRDefault="00000000">
      <w:pPr>
        <w:spacing w:after="320"/>
        <w:rPr>
          <w:snapToGrid/>
          <w:szCs w:val="26"/>
        </w:rPr>
      </w:pPr>
      <w:r>
        <w:rPr>
          <w:rFonts w:hint="eastAsia"/>
          <w:snapToGrid/>
          <w:szCs w:val="26"/>
        </w:rPr>
        <w:tab/>
      </w:r>
      <w:r>
        <w:rPr>
          <w:snapToGrid/>
          <w:szCs w:val="26"/>
        </w:rPr>
        <w:t xml:space="preserve">298.  </w:t>
      </w:r>
      <w:r>
        <w:rPr>
          <w:rFonts w:hint="eastAsia"/>
          <w:snapToGrid/>
          <w:szCs w:val="26"/>
        </w:rPr>
        <w:t>超时工作是指在雇主的指示下或经其同意</w:t>
      </w:r>
      <w:r>
        <w:rPr>
          <w:snapToGrid/>
          <w:szCs w:val="26"/>
        </w:rPr>
        <w:t>，</w:t>
      </w:r>
      <w:r>
        <w:rPr>
          <w:rFonts w:hint="eastAsia"/>
          <w:snapToGrid/>
          <w:szCs w:val="26"/>
        </w:rPr>
        <w:t>在以前所分配的每周工作时间或所排定的工作班次之外从事的工作。雇主只能在有紧急社会需要的例外情况下命令超时工作。工人的超时工作时间每周不得超过</w:t>
      </w:r>
      <w:r>
        <w:rPr>
          <w:snapToGrid/>
          <w:szCs w:val="26"/>
        </w:rPr>
        <w:t>8</w:t>
      </w:r>
      <w:r>
        <w:rPr>
          <w:rFonts w:hint="eastAsia"/>
          <w:snapToGrid/>
          <w:szCs w:val="26"/>
        </w:rPr>
        <w:t>小时</w:t>
      </w:r>
      <w:r>
        <w:rPr>
          <w:snapToGrid/>
          <w:szCs w:val="26"/>
        </w:rPr>
        <w:t>(</w:t>
      </w:r>
      <w:r>
        <w:rPr>
          <w:rFonts w:hint="eastAsia"/>
          <w:snapToGrid/>
          <w:szCs w:val="26"/>
        </w:rPr>
        <w:t>这一限制不适用于季节或突击性工作、运输、通信、特别作业、与供给有关的工作等</w:t>
      </w:r>
      <w:r>
        <w:rPr>
          <w:snapToGrid/>
          <w:szCs w:val="26"/>
        </w:rPr>
        <w:t>)</w:t>
      </w:r>
      <w:r>
        <w:rPr>
          <w:rFonts w:hint="eastAsia"/>
          <w:snapToGrid/>
          <w:szCs w:val="26"/>
        </w:rPr>
        <w:t>。每日历年分配工人超时工作不得超过</w:t>
      </w:r>
      <w:r>
        <w:rPr>
          <w:snapToGrid/>
          <w:szCs w:val="26"/>
        </w:rPr>
        <w:t>150</w:t>
      </w:r>
      <w:r>
        <w:rPr>
          <w:rFonts w:hint="eastAsia"/>
          <w:snapToGrid/>
          <w:szCs w:val="26"/>
        </w:rPr>
        <w:t>小时。劳动局经与工会协商后</w:t>
      </w:r>
      <w:r>
        <w:rPr>
          <w:snapToGrid/>
          <w:szCs w:val="26"/>
        </w:rPr>
        <w:t>，</w:t>
      </w:r>
      <w:r>
        <w:rPr>
          <w:rFonts w:hint="eastAsia"/>
          <w:snapToGrid/>
          <w:szCs w:val="26"/>
        </w:rPr>
        <w:t>可允许某些活动在某种限度内超过这一时限</w:t>
      </w:r>
      <w:r>
        <w:rPr>
          <w:snapToGrid/>
          <w:szCs w:val="26"/>
        </w:rPr>
        <w:t>，</w:t>
      </w:r>
      <w:r>
        <w:rPr>
          <w:rFonts w:hint="eastAsia"/>
          <w:snapToGrid/>
          <w:szCs w:val="26"/>
        </w:rPr>
        <w:t>但雇主必须与雇员代表</w:t>
      </w:r>
      <w:r>
        <w:rPr>
          <w:snapToGrid/>
          <w:szCs w:val="26"/>
        </w:rPr>
        <w:t>(</w:t>
      </w:r>
      <w:r>
        <w:rPr>
          <w:rFonts w:hint="eastAsia"/>
          <w:snapToGrid/>
          <w:szCs w:val="26"/>
        </w:rPr>
        <w:t>即公司的工会</w:t>
      </w:r>
      <w:r>
        <w:rPr>
          <w:snapToGrid/>
          <w:szCs w:val="26"/>
        </w:rPr>
        <w:t>)</w:t>
      </w:r>
      <w:r>
        <w:rPr>
          <w:rFonts w:hint="eastAsia"/>
          <w:snapToGrid/>
          <w:szCs w:val="26"/>
        </w:rPr>
        <w:t>就此超时工作达成协议。不得分配怀孕妇女和照顾一岁以下幼儿和</w:t>
      </w:r>
      <w:r>
        <w:rPr>
          <w:snapToGrid/>
          <w:szCs w:val="26"/>
        </w:rPr>
        <w:t>18</w:t>
      </w:r>
      <w:r>
        <w:rPr>
          <w:rFonts w:hint="eastAsia"/>
          <w:snapToGrid/>
          <w:szCs w:val="26"/>
        </w:rPr>
        <w:t>岁以下少年的妇女超时工作</w:t>
      </w:r>
      <w:r>
        <w:rPr>
          <w:snapToGrid/>
          <w:szCs w:val="26"/>
        </w:rPr>
        <w:t>(</w:t>
      </w:r>
      <w:r>
        <w:rPr>
          <w:rFonts w:hint="eastAsia"/>
          <w:snapToGrid/>
          <w:szCs w:val="26"/>
        </w:rPr>
        <w:t>《劳动法》第</w:t>
      </w:r>
      <w:r>
        <w:rPr>
          <w:snapToGrid/>
          <w:szCs w:val="26"/>
        </w:rPr>
        <w:t>156</w:t>
      </w:r>
      <w:r>
        <w:rPr>
          <w:rFonts w:hint="eastAsia"/>
          <w:snapToGrid/>
          <w:szCs w:val="26"/>
        </w:rPr>
        <w:t>条第</w:t>
      </w:r>
      <w:r>
        <w:rPr>
          <w:snapToGrid/>
          <w:szCs w:val="26"/>
        </w:rPr>
        <w:t>3</w:t>
      </w:r>
      <w:r>
        <w:rPr>
          <w:rFonts w:hint="eastAsia"/>
          <w:snapToGrid/>
          <w:szCs w:val="26"/>
        </w:rPr>
        <w:t>款和第</w:t>
      </w:r>
      <w:r>
        <w:rPr>
          <w:snapToGrid/>
          <w:szCs w:val="26"/>
        </w:rPr>
        <w:t>166</w:t>
      </w:r>
      <w:r>
        <w:rPr>
          <w:rFonts w:hint="eastAsia"/>
          <w:snapToGrid/>
          <w:szCs w:val="26"/>
        </w:rPr>
        <w:t>条第</w:t>
      </w:r>
      <w:r>
        <w:rPr>
          <w:rFonts w:hint="eastAsia"/>
          <w:snapToGrid/>
          <w:szCs w:val="26"/>
        </w:rPr>
        <w:t>1</w:t>
      </w:r>
      <w:r>
        <w:rPr>
          <w:rFonts w:hint="eastAsia"/>
          <w:snapToGrid/>
          <w:szCs w:val="26"/>
        </w:rPr>
        <w:t>款</w:t>
      </w:r>
      <w:r>
        <w:rPr>
          <w:rFonts w:hint="eastAsia"/>
          <w:snapToGrid/>
          <w:szCs w:val="26"/>
        </w:rPr>
        <w:t>)</w:t>
      </w:r>
      <w:r>
        <w:rPr>
          <w:rFonts w:hint="eastAsia"/>
          <w:snapToGrid/>
          <w:szCs w:val="26"/>
        </w:rPr>
        <w:t>。</w:t>
      </w:r>
    </w:p>
    <w:p w:rsidR="00000000" w:rsidRDefault="00000000">
      <w:pPr>
        <w:pStyle w:val="Heading4"/>
        <w:ind w:left="500"/>
      </w:pPr>
      <w:r>
        <w:rPr>
          <w:rFonts w:hint="eastAsia"/>
        </w:rPr>
        <w:t>带薪休假</w:t>
      </w:r>
    </w:p>
    <w:p w:rsidR="00000000" w:rsidRDefault="00000000">
      <w:pPr>
        <w:spacing w:after="320"/>
        <w:rPr>
          <w:snapToGrid/>
          <w:szCs w:val="26"/>
        </w:rPr>
      </w:pPr>
      <w:r>
        <w:rPr>
          <w:rFonts w:hint="eastAsia"/>
          <w:snapToGrid/>
          <w:szCs w:val="26"/>
        </w:rPr>
        <w:tab/>
      </w:r>
      <w:r>
        <w:rPr>
          <w:snapToGrid/>
          <w:szCs w:val="26"/>
        </w:rPr>
        <w:t xml:space="preserve">299.  </w:t>
      </w:r>
      <w:r>
        <w:rPr>
          <w:rFonts w:hint="eastAsia"/>
          <w:snapToGrid/>
          <w:szCs w:val="26"/>
        </w:rPr>
        <w:t>基本年假为每日历年三周。</w:t>
      </w:r>
      <w:r>
        <w:rPr>
          <w:snapToGrid/>
          <w:szCs w:val="26"/>
        </w:rPr>
        <w:t>18</w:t>
      </w:r>
      <w:r>
        <w:rPr>
          <w:rFonts w:hint="eastAsia"/>
          <w:snapToGrid/>
          <w:szCs w:val="26"/>
        </w:rPr>
        <w:t>岁后在某日历年底工作满</w:t>
      </w:r>
      <w:r>
        <w:rPr>
          <w:snapToGrid/>
          <w:szCs w:val="26"/>
        </w:rPr>
        <w:t>15</w:t>
      </w:r>
      <w:r>
        <w:rPr>
          <w:rFonts w:hint="eastAsia"/>
          <w:snapToGrid/>
          <w:szCs w:val="26"/>
        </w:rPr>
        <w:t>年的职工有权休假四周。在从事经营活动的企业</w:t>
      </w:r>
      <w:r>
        <w:rPr>
          <w:snapToGrid/>
          <w:szCs w:val="26"/>
        </w:rPr>
        <w:t>，</w:t>
      </w:r>
      <w:r>
        <w:rPr>
          <w:rFonts w:hint="eastAsia"/>
          <w:snapToGrid/>
          <w:szCs w:val="26"/>
        </w:rPr>
        <w:t>集体协议或内部条例可以延长雇员的以上休假周数。在不从事经营活动的企业</w:t>
      </w:r>
      <w:r>
        <w:rPr>
          <w:snapToGrid/>
          <w:szCs w:val="26"/>
        </w:rPr>
        <w:t>，</w:t>
      </w:r>
      <w:r>
        <w:rPr>
          <w:rFonts w:hint="eastAsia"/>
          <w:snapToGrid/>
          <w:szCs w:val="26"/>
        </w:rPr>
        <w:t>雇员可以增加休假一周</w:t>
      </w:r>
      <w:r>
        <w:rPr>
          <w:snapToGrid/>
          <w:szCs w:val="26"/>
        </w:rPr>
        <w:t>(</w:t>
      </w:r>
      <w:r>
        <w:rPr>
          <w:rFonts w:hint="eastAsia"/>
          <w:snapToGrid/>
          <w:szCs w:val="26"/>
        </w:rPr>
        <w:t>公用事业机构、国家机关等</w:t>
      </w:r>
      <w:r>
        <w:rPr>
          <w:rFonts w:hint="eastAsia"/>
          <w:snapToGrid/>
          <w:szCs w:val="26"/>
        </w:rPr>
        <w:t>)</w:t>
      </w:r>
      <w:r>
        <w:rPr>
          <w:rFonts w:hint="eastAsia"/>
          <w:snapToGrid/>
          <w:szCs w:val="26"/>
        </w:rPr>
        <w:t>。在一个日历年与同一雇主订有不间断的就业关系且工作满</w:t>
      </w:r>
      <w:r>
        <w:rPr>
          <w:snapToGrid/>
          <w:szCs w:val="26"/>
        </w:rPr>
        <w:t>60</w:t>
      </w:r>
      <w:r>
        <w:rPr>
          <w:rFonts w:hint="eastAsia"/>
          <w:snapToGrid/>
          <w:szCs w:val="26"/>
        </w:rPr>
        <w:t>天的雇员</w:t>
      </w:r>
      <w:r>
        <w:rPr>
          <w:snapToGrid/>
          <w:szCs w:val="26"/>
        </w:rPr>
        <w:t>，</w:t>
      </w:r>
      <w:r>
        <w:rPr>
          <w:rFonts w:hint="eastAsia"/>
          <w:snapToGrid/>
          <w:szCs w:val="26"/>
        </w:rPr>
        <w:t>有权休假。《劳动法》修正草案规定基本年休假时间为四周。</w:t>
      </w:r>
    </w:p>
    <w:p w:rsidR="00000000" w:rsidRDefault="00000000">
      <w:pPr>
        <w:pStyle w:val="Heading4"/>
        <w:ind w:left="500"/>
      </w:pPr>
      <w:r>
        <w:rPr>
          <w:rFonts w:hint="eastAsia"/>
        </w:rPr>
        <w:t>带薪法定假日</w:t>
      </w:r>
    </w:p>
    <w:p w:rsidR="00000000" w:rsidRDefault="00000000">
      <w:pPr>
        <w:rPr>
          <w:snapToGrid/>
          <w:szCs w:val="26"/>
        </w:rPr>
      </w:pPr>
      <w:r>
        <w:rPr>
          <w:rFonts w:hint="eastAsia"/>
          <w:snapToGrid/>
          <w:szCs w:val="26"/>
        </w:rPr>
        <w:tab/>
      </w:r>
      <w:r>
        <w:rPr>
          <w:snapToGrid/>
          <w:szCs w:val="26"/>
        </w:rPr>
        <w:t xml:space="preserve">300.  </w:t>
      </w:r>
      <w:r>
        <w:rPr>
          <w:rFonts w:hint="eastAsia"/>
          <w:snapToGrid/>
          <w:szCs w:val="26"/>
        </w:rPr>
        <w:t>《劳动法》第</w:t>
      </w:r>
      <w:r>
        <w:rPr>
          <w:snapToGrid/>
          <w:szCs w:val="26"/>
        </w:rPr>
        <w:t>91</w:t>
      </w:r>
      <w:r>
        <w:rPr>
          <w:rFonts w:hint="eastAsia"/>
          <w:snapToGrid/>
          <w:szCs w:val="26"/>
        </w:rPr>
        <w:t>条规定</w:t>
      </w:r>
      <w:r>
        <w:rPr>
          <w:snapToGrid/>
          <w:szCs w:val="26"/>
        </w:rPr>
        <w:t>，</w:t>
      </w:r>
      <w:r>
        <w:rPr>
          <w:rFonts w:hint="eastAsia"/>
          <w:snapToGrid/>
          <w:szCs w:val="26"/>
        </w:rPr>
        <w:t>假日为非工作日</w:t>
      </w:r>
      <w:r>
        <w:rPr>
          <w:snapToGrid/>
          <w:szCs w:val="26"/>
        </w:rPr>
        <w:t>，</w:t>
      </w:r>
      <w:r>
        <w:rPr>
          <w:rFonts w:hint="eastAsia"/>
          <w:snapToGrid/>
          <w:szCs w:val="26"/>
        </w:rPr>
        <w:t>只能在例外情况安排工作</w:t>
      </w:r>
      <w:r>
        <w:rPr>
          <w:snapToGrid/>
          <w:szCs w:val="26"/>
        </w:rPr>
        <w:t>，</w:t>
      </w:r>
      <w:r>
        <w:rPr>
          <w:rFonts w:hint="eastAsia"/>
          <w:snapToGrid/>
          <w:szCs w:val="26"/>
        </w:rPr>
        <w:t>可安排工作种类为一周内休息日不能间断的工作、无间歇作业和维护雇主设施所必要的工作。职工在假日工作的每个小时</w:t>
      </w:r>
      <w:r>
        <w:rPr>
          <w:snapToGrid/>
          <w:szCs w:val="26"/>
        </w:rPr>
        <w:t>，</w:t>
      </w:r>
      <w:r>
        <w:rPr>
          <w:rFonts w:hint="eastAsia"/>
          <w:snapToGrid/>
          <w:szCs w:val="26"/>
        </w:rPr>
        <w:t>都有权在每小时平均收入外获得额外报酬。</w:t>
      </w:r>
    </w:p>
    <w:p w:rsidR="00000000" w:rsidRDefault="00000000">
      <w:pPr>
        <w:rPr>
          <w:rFonts w:hint="eastAsia"/>
          <w:snapToGrid/>
          <w:szCs w:val="26"/>
        </w:rPr>
      </w:pPr>
      <w:r>
        <w:rPr>
          <w:rFonts w:hint="eastAsia"/>
          <w:snapToGrid/>
          <w:szCs w:val="26"/>
        </w:rPr>
        <w:tab/>
      </w:r>
      <w:r>
        <w:rPr>
          <w:snapToGrid/>
          <w:szCs w:val="26"/>
        </w:rPr>
        <w:t xml:space="preserve">301.  </w:t>
      </w:r>
      <w:r>
        <w:rPr>
          <w:rFonts w:hint="eastAsia"/>
          <w:snapToGrid/>
          <w:szCs w:val="26"/>
        </w:rPr>
        <w:t>法定假日的休息时间不得扣减月工资</w:t>
      </w:r>
      <w:r>
        <w:rPr>
          <w:snapToGrid/>
          <w:szCs w:val="26"/>
        </w:rPr>
        <w:t>；</w:t>
      </w:r>
      <w:r>
        <w:rPr>
          <w:rFonts w:hint="eastAsia"/>
          <w:snapToGrid/>
          <w:szCs w:val="26"/>
        </w:rPr>
        <w:t>因假日为正常工作日</w:t>
      </w:r>
      <w:r>
        <w:rPr>
          <w:snapToGrid/>
          <w:szCs w:val="26"/>
        </w:rPr>
        <w:t>，</w:t>
      </w:r>
      <w:r>
        <w:rPr>
          <w:rFonts w:hint="eastAsia"/>
          <w:snapToGrid/>
          <w:szCs w:val="26"/>
        </w:rPr>
        <w:t>职工在不工作的时间工作</w:t>
      </w:r>
      <w:r>
        <w:rPr>
          <w:snapToGrid/>
          <w:szCs w:val="26"/>
        </w:rPr>
        <w:t>，</w:t>
      </w:r>
      <w:r>
        <w:rPr>
          <w:rFonts w:hint="eastAsia"/>
          <w:snapToGrid/>
          <w:szCs w:val="26"/>
        </w:rPr>
        <w:t>应以平均收入额加以补偿。</w:t>
      </w:r>
    </w:p>
    <w:p w:rsidR="00000000" w:rsidRDefault="00000000">
      <w:pPr>
        <w:spacing w:after="320"/>
        <w:rPr>
          <w:snapToGrid/>
          <w:szCs w:val="24"/>
        </w:rPr>
      </w:pPr>
      <w:r>
        <w:rPr>
          <w:rFonts w:hint="eastAsia"/>
          <w:snapToGrid/>
          <w:szCs w:val="24"/>
        </w:rPr>
        <w:tab/>
      </w:r>
      <w:r>
        <w:rPr>
          <w:snapToGrid/>
          <w:szCs w:val="24"/>
        </w:rPr>
        <w:t xml:space="preserve">302.  </w:t>
      </w:r>
      <w:r>
        <w:rPr>
          <w:rFonts w:hint="eastAsia"/>
          <w:snapToGrid/>
          <w:szCs w:val="24"/>
        </w:rPr>
        <w:t>此外</w:t>
      </w:r>
      <w:r>
        <w:rPr>
          <w:snapToGrid/>
          <w:szCs w:val="24"/>
        </w:rPr>
        <w:t>，</w:t>
      </w:r>
      <w:r>
        <w:rPr>
          <w:rFonts w:hint="eastAsia"/>
          <w:snapToGrid/>
          <w:szCs w:val="24"/>
        </w:rPr>
        <w:t>还请注意</w:t>
      </w:r>
      <w:r>
        <w:rPr>
          <w:snapToGrid/>
          <w:szCs w:val="24"/>
        </w:rPr>
        <w:t>1998</w:t>
      </w:r>
      <w:r>
        <w:rPr>
          <w:rFonts w:hint="eastAsia"/>
          <w:snapToGrid/>
          <w:szCs w:val="24"/>
        </w:rPr>
        <w:t>年提交劳工组织专家委员会的关于执行第</w:t>
      </w:r>
      <w:r>
        <w:rPr>
          <w:rFonts w:hint="eastAsia"/>
          <w:snapToGrid/>
          <w:szCs w:val="24"/>
        </w:rPr>
        <w:t>132</w:t>
      </w:r>
      <w:r>
        <w:rPr>
          <w:rFonts w:hint="eastAsia"/>
          <w:snapToGrid/>
          <w:szCs w:val="24"/>
        </w:rPr>
        <w:t>号《带薪休假公约</w:t>
      </w:r>
      <w:r>
        <w:rPr>
          <w:rFonts w:hint="eastAsia"/>
          <w:snapToGrid/>
          <w:szCs w:val="24"/>
        </w:rPr>
        <w:t>(</w:t>
      </w:r>
      <w:r>
        <w:rPr>
          <w:rFonts w:hint="eastAsia"/>
          <w:snapToGrid/>
          <w:szCs w:val="24"/>
        </w:rPr>
        <w:t>修订本</w:t>
      </w:r>
      <w:r>
        <w:rPr>
          <w:rFonts w:hint="eastAsia"/>
          <w:snapToGrid/>
          <w:szCs w:val="24"/>
        </w:rPr>
        <w:t>)</w:t>
      </w:r>
      <w:r>
        <w:rPr>
          <w:rFonts w:hint="eastAsia"/>
          <w:snapToGrid/>
          <w:szCs w:val="24"/>
        </w:rPr>
        <w:t>》的首次报告。</w:t>
      </w:r>
    </w:p>
    <w:p w:rsidR="00000000" w:rsidRDefault="00000000">
      <w:pPr>
        <w:pStyle w:val="Heading3"/>
      </w:pPr>
      <w:r>
        <w:rPr>
          <w:rFonts w:hint="eastAsia"/>
        </w:rPr>
        <w:t>第</w:t>
      </w:r>
      <w:r>
        <w:t xml:space="preserve"> </w:t>
      </w:r>
      <w:r>
        <w:rPr>
          <w:bCs/>
        </w:rPr>
        <w:t>8</w:t>
      </w:r>
      <w:r>
        <w:t xml:space="preserve"> </w:t>
      </w:r>
      <w:r>
        <w:rPr>
          <w:rFonts w:hint="eastAsia"/>
        </w:rPr>
        <w:t>条</w:t>
      </w:r>
    </w:p>
    <w:p w:rsidR="00000000" w:rsidRDefault="00000000">
      <w:pPr>
        <w:rPr>
          <w:rFonts w:hint="eastAsia"/>
          <w:snapToGrid/>
          <w:szCs w:val="24"/>
        </w:rPr>
      </w:pPr>
      <w:r>
        <w:rPr>
          <w:snapToGrid/>
          <w:szCs w:val="24"/>
        </w:rPr>
        <w:tab/>
        <w:t xml:space="preserve">303.  </w:t>
      </w:r>
      <w:r>
        <w:rPr>
          <w:rFonts w:hint="eastAsia"/>
          <w:snapToGrid/>
          <w:szCs w:val="24"/>
        </w:rPr>
        <w:t>《基本权利和自由宪章》规定了结社成立工会权利的一般法规原则。其中第</w:t>
      </w:r>
      <w:r>
        <w:rPr>
          <w:snapToGrid/>
          <w:szCs w:val="24"/>
        </w:rPr>
        <w:t>27</w:t>
      </w:r>
      <w:r>
        <w:rPr>
          <w:rFonts w:hint="eastAsia"/>
          <w:snapToGrid/>
          <w:szCs w:val="24"/>
        </w:rPr>
        <w:t>条指出</w:t>
      </w:r>
      <w:r>
        <w:rPr>
          <w:snapToGrid/>
          <w:szCs w:val="24"/>
        </w:rPr>
        <w:t>：</w:t>
      </w:r>
    </w:p>
    <w:p w:rsidR="00000000" w:rsidRDefault="00000000">
      <w:pPr>
        <w:pStyle w:val="a5"/>
        <w:ind w:left="1820" w:hanging="799"/>
        <w:rPr>
          <w:rFonts w:hint="eastAsia"/>
          <w:snapToGrid/>
        </w:rPr>
      </w:pPr>
      <w:r>
        <w:rPr>
          <w:rFonts w:hint="eastAsia"/>
          <w:snapToGrid/>
        </w:rPr>
        <w:t>“</w:t>
      </w:r>
      <w:r>
        <w:rPr>
          <w:rFonts w:hint="eastAsia"/>
          <w:snapToGrid/>
        </w:rPr>
        <w:t>(</w:t>
      </w:r>
      <w:r>
        <w:rPr>
          <w:snapToGrid/>
        </w:rPr>
        <w:t>l</w:t>
      </w:r>
      <w:r>
        <w:rPr>
          <w:rFonts w:hint="eastAsia"/>
          <w:snapToGrid/>
        </w:rPr>
        <w:t>)</w:t>
      </w:r>
      <w:r>
        <w:rPr>
          <w:rFonts w:hint="eastAsia"/>
          <w:snapToGrid/>
        </w:rPr>
        <w:tab/>
      </w:r>
      <w:r>
        <w:rPr>
          <w:rFonts w:hint="eastAsia"/>
          <w:snapToGrid/>
        </w:rPr>
        <w:t>人人有权与他人自由结社</w:t>
      </w:r>
      <w:r>
        <w:rPr>
          <w:snapToGrid/>
        </w:rPr>
        <w:t>，</w:t>
      </w:r>
      <w:r>
        <w:rPr>
          <w:rFonts w:hint="eastAsia"/>
          <w:snapToGrid/>
        </w:rPr>
        <w:t>以保护其经济和社会利益；</w:t>
      </w:r>
    </w:p>
    <w:p w:rsidR="00000000" w:rsidRDefault="00000000">
      <w:pPr>
        <w:pStyle w:val="a5"/>
        <w:ind w:left="1820" w:hanging="799"/>
        <w:rPr>
          <w:snapToGrid/>
        </w:rPr>
      </w:pPr>
      <w:r>
        <w:rPr>
          <w:rFonts w:hint="eastAsia"/>
          <w:snapToGrid/>
        </w:rPr>
        <w:t>“</w:t>
      </w:r>
      <w:r>
        <w:rPr>
          <w:snapToGrid/>
        </w:rPr>
        <w:t>(2</w:t>
      </w:r>
      <w:r>
        <w:rPr>
          <w:rFonts w:hint="eastAsia"/>
          <w:snapToGrid/>
        </w:rPr>
        <w:t>)</w:t>
      </w:r>
      <w:r>
        <w:rPr>
          <w:rFonts w:hint="eastAsia"/>
          <w:snapToGrid/>
        </w:rPr>
        <w:tab/>
      </w:r>
      <w:r>
        <w:rPr>
          <w:rFonts w:hint="eastAsia"/>
          <w:snapToGrid/>
        </w:rPr>
        <w:t>工会的建立应独立于国家。不得对工会组织的数目加以限制</w:t>
      </w:r>
      <w:r>
        <w:rPr>
          <w:snapToGrid/>
        </w:rPr>
        <w:t>，</w:t>
      </w:r>
      <w:r>
        <w:rPr>
          <w:rFonts w:hint="eastAsia"/>
          <w:snapToGrid/>
        </w:rPr>
        <w:t>也不得对某一企业或工业部门给予优惠待遇。</w:t>
      </w:r>
    </w:p>
    <w:p w:rsidR="00000000" w:rsidRDefault="00000000">
      <w:pPr>
        <w:pStyle w:val="a5"/>
        <w:ind w:left="1820" w:hanging="799"/>
        <w:rPr>
          <w:rFonts w:hint="eastAsia"/>
          <w:snapToGrid/>
        </w:rPr>
      </w:pPr>
      <w:r>
        <w:rPr>
          <w:rFonts w:hint="eastAsia"/>
          <w:snapToGrid/>
        </w:rPr>
        <w:t>“</w:t>
      </w:r>
      <w:r>
        <w:rPr>
          <w:snapToGrid/>
        </w:rPr>
        <w:t>(3</w:t>
      </w:r>
      <w:r>
        <w:rPr>
          <w:rFonts w:hint="eastAsia"/>
          <w:snapToGrid/>
        </w:rPr>
        <w:t>)</w:t>
      </w:r>
      <w:r>
        <w:rPr>
          <w:rFonts w:hint="eastAsia"/>
          <w:snapToGrid/>
        </w:rPr>
        <w:tab/>
      </w:r>
      <w:r>
        <w:rPr>
          <w:rFonts w:hint="eastAsia"/>
          <w:snapToGrid/>
        </w:rPr>
        <w:t>工会活动</w:t>
      </w:r>
      <w:r>
        <w:rPr>
          <w:snapToGrid/>
        </w:rPr>
        <w:t>，</w:t>
      </w:r>
      <w:r>
        <w:rPr>
          <w:rFonts w:hint="eastAsia"/>
          <w:snapToGrid/>
        </w:rPr>
        <w:t>以及为保护经济和社会利益而组成的类似协会及其活动</w:t>
      </w:r>
      <w:r>
        <w:rPr>
          <w:snapToGrid/>
        </w:rPr>
        <w:t>，</w:t>
      </w:r>
      <w:r>
        <w:rPr>
          <w:rFonts w:hint="eastAsia"/>
          <w:snapToGrid/>
        </w:rPr>
        <w:t>在民主社会中为保护国家安全、公共秩序或他人权利和自由而采取必要措施时</w:t>
      </w:r>
      <w:r>
        <w:rPr>
          <w:snapToGrid/>
        </w:rPr>
        <w:t>，</w:t>
      </w:r>
      <w:r>
        <w:rPr>
          <w:rFonts w:hint="eastAsia"/>
          <w:snapToGrid/>
        </w:rPr>
        <w:t>可以对其加以限制；</w:t>
      </w:r>
    </w:p>
    <w:p w:rsidR="00000000" w:rsidRDefault="00000000">
      <w:pPr>
        <w:pStyle w:val="a5"/>
        <w:ind w:left="1820" w:hanging="799"/>
        <w:rPr>
          <w:rFonts w:hint="eastAsia"/>
          <w:snapToGrid/>
        </w:rPr>
      </w:pPr>
      <w:r>
        <w:rPr>
          <w:rFonts w:hint="eastAsia"/>
          <w:snapToGrid/>
        </w:rPr>
        <w:t>“</w:t>
      </w:r>
      <w:r>
        <w:rPr>
          <w:snapToGrid/>
        </w:rPr>
        <w:t>(4)</w:t>
      </w:r>
      <w:r>
        <w:rPr>
          <w:rFonts w:hint="eastAsia"/>
          <w:snapToGrid/>
        </w:rPr>
        <w:tab/>
      </w:r>
      <w:r>
        <w:rPr>
          <w:rFonts w:hint="eastAsia"/>
          <w:snapToGrid/>
        </w:rPr>
        <w:t>罢工权依法律规定的条件加以保障</w:t>
      </w:r>
      <w:r>
        <w:rPr>
          <w:snapToGrid/>
        </w:rPr>
        <w:t>；</w:t>
      </w:r>
      <w:r>
        <w:rPr>
          <w:rFonts w:hint="eastAsia"/>
          <w:snapToGrid/>
        </w:rPr>
        <w:t>这一权利不适用于法官、检察官或武装部队或保安部队的成员。”</w:t>
      </w:r>
    </w:p>
    <w:p w:rsidR="00000000" w:rsidRDefault="00000000">
      <w:pPr>
        <w:rPr>
          <w:snapToGrid/>
          <w:szCs w:val="24"/>
        </w:rPr>
      </w:pPr>
      <w:r>
        <w:rPr>
          <w:rFonts w:hint="eastAsia"/>
          <w:snapToGrid/>
          <w:szCs w:val="24"/>
        </w:rPr>
        <w:tab/>
      </w:r>
      <w:r>
        <w:rPr>
          <w:snapToGrid/>
          <w:szCs w:val="24"/>
        </w:rPr>
        <w:t xml:space="preserve">304.  </w:t>
      </w:r>
      <w:r>
        <w:rPr>
          <w:rFonts w:hint="eastAsia"/>
          <w:snapToGrid/>
          <w:szCs w:val="24"/>
        </w:rPr>
        <w:t>《公民结社法》规定工会的建立和活动事宜。</w:t>
      </w:r>
      <w:r>
        <w:rPr>
          <w:rStyle w:val="EndnoteReference"/>
          <w:snapToGrid/>
        </w:rPr>
        <w:endnoteReference w:id="185"/>
      </w:r>
      <w:r>
        <w:rPr>
          <w:rFonts w:hint="eastAsia"/>
          <w:snapToGrid/>
          <w:szCs w:val="24"/>
        </w:rPr>
        <w:t xml:space="preserve"> </w:t>
      </w:r>
      <w:r>
        <w:rPr>
          <w:rFonts w:hint="eastAsia"/>
          <w:snapToGrid/>
          <w:szCs w:val="24"/>
        </w:rPr>
        <w:t>该法律的序言部分</w:t>
      </w:r>
      <w:r>
        <w:rPr>
          <w:snapToGrid/>
          <w:szCs w:val="24"/>
        </w:rPr>
        <w:t>(</w:t>
      </w:r>
      <w:r>
        <w:rPr>
          <w:rFonts w:hint="eastAsia"/>
          <w:snapToGrid/>
          <w:szCs w:val="24"/>
        </w:rPr>
        <w:t>第</w:t>
      </w:r>
      <w:r>
        <w:rPr>
          <w:rFonts w:hint="eastAsia"/>
          <w:snapToGrid/>
          <w:szCs w:val="24"/>
        </w:rPr>
        <w:t>1</w:t>
      </w:r>
      <w:r>
        <w:rPr>
          <w:rFonts w:hint="eastAsia"/>
          <w:snapToGrid/>
          <w:szCs w:val="24"/>
        </w:rPr>
        <w:t>条第</w:t>
      </w:r>
      <w:r>
        <w:rPr>
          <w:snapToGrid/>
          <w:szCs w:val="24"/>
        </w:rPr>
        <w:t>1</w:t>
      </w:r>
      <w:r>
        <w:rPr>
          <w:rFonts w:hint="eastAsia"/>
          <w:snapToGrid/>
          <w:szCs w:val="24"/>
        </w:rPr>
        <w:t>款和第</w:t>
      </w:r>
      <w:r>
        <w:rPr>
          <w:snapToGrid/>
          <w:szCs w:val="24"/>
        </w:rPr>
        <w:t>2</w:t>
      </w:r>
      <w:r>
        <w:rPr>
          <w:rFonts w:hint="eastAsia"/>
          <w:snapToGrid/>
          <w:szCs w:val="24"/>
        </w:rPr>
        <w:t>款</w:t>
      </w:r>
      <w:r>
        <w:rPr>
          <w:snapToGrid/>
          <w:szCs w:val="24"/>
        </w:rPr>
        <w:t>)</w:t>
      </w:r>
      <w:r>
        <w:rPr>
          <w:rFonts w:hint="eastAsia"/>
          <w:snapToGrid/>
          <w:szCs w:val="24"/>
        </w:rPr>
        <w:t>规定</w:t>
      </w:r>
      <w:r>
        <w:rPr>
          <w:snapToGrid/>
          <w:szCs w:val="24"/>
        </w:rPr>
        <w:t>：</w:t>
      </w:r>
      <w:r>
        <w:rPr>
          <w:rFonts w:hint="eastAsia"/>
          <w:snapToGrid/>
        </w:rPr>
        <w:t>“</w:t>
      </w:r>
      <w:r>
        <w:rPr>
          <w:snapToGrid/>
          <w:szCs w:val="24"/>
        </w:rPr>
        <w:t>(l</w:t>
      </w:r>
      <w:r>
        <w:rPr>
          <w:rFonts w:hint="eastAsia"/>
          <w:snapToGrid/>
          <w:szCs w:val="24"/>
        </w:rPr>
        <w:t xml:space="preserve">) </w:t>
      </w:r>
      <w:r>
        <w:rPr>
          <w:rFonts w:hint="eastAsia"/>
          <w:snapToGrid/>
          <w:szCs w:val="24"/>
        </w:rPr>
        <w:t>公民有权自由结社。</w:t>
      </w:r>
      <w:r>
        <w:rPr>
          <w:rFonts w:hint="eastAsia"/>
          <w:snapToGrid/>
          <w:szCs w:val="24"/>
        </w:rPr>
        <w:t>(</w:t>
      </w:r>
      <w:r>
        <w:rPr>
          <w:snapToGrid/>
          <w:szCs w:val="24"/>
        </w:rPr>
        <w:t>2</w:t>
      </w:r>
      <w:r>
        <w:rPr>
          <w:rFonts w:hint="eastAsia"/>
          <w:snapToGrid/>
          <w:szCs w:val="24"/>
        </w:rPr>
        <w:t xml:space="preserve">) </w:t>
      </w:r>
      <w:r>
        <w:rPr>
          <w:rFonts w:hint="eastAsia"/>
          <w:snapToGrid/>
          <w:szCs w:val="24"/>
        </w:rPr>
        <w:t>这一权利的行使无须国家机构的许可。”这一法律不适用于政党和政治运动中的公民团体、就业团体或安排从事某些职业的团体或教会和宗教团体。</w:t>
      </w:r>
    </w:p>
    <w:p w:rsidR="00000000" w:rsidRDefault="00000000">
      <w:pPr>
        <w:rPr>
          <w:snapToGrid/>
          <w:szCs w:val="24"/>
        </w:rPr>
      </w:pPr>
      <w:r>
        <w:rPr>
          <w:rFonts w:hint="eastAsia"/>
          <w:snapToGrid/>
          <w:szCs w:val="24"/>
        </w:rPr>
        <w:tab/>
      </w:r>
      <w:r>
        <w:rPr>
          <w:snapToGrid/>
          <w:szCs w:val="24"/>
        </w:rPr>
        <w:t xml:space="preserve">305.  </w:t>
      </w:r>
      <w:r>
        <w:rPr>
          <w:rFonts w:hint="eastAsia"/>
          <w:snapToGrid/>
          <w:szCs w:val="24"/>
        </w:rPr>
        <w:t>根据这一法律</w:t>
      </w:r>
      <w:r>
        <w:rPr>
          <w:snapToGrid/>
          <w:szCs w:val="24"/>
        </w:rPr>
        <w:t>，</w:t>
      </w:r>
      <w:r>
        <w:rPr>
          <w:rFonts w:hint="eastAsia"/>
          <w:snapToGrid/>
          <w:szCs w:val="24"/>
        </w:rPr>
        <w:t>工会是结社形式之一</w:t>
      </w:r>
      <w:r>
        <w:rPr>
          <w:rFonts w:hint="eastAsia"/>
          <w:snapToGrid/>
          <w:szCs w:val="24"/>
        </w:rPr>
        <w:t>(</w:t>
      </w:r>
      <w:r>
        <w:rPr>
          <w:rFonts w:hint="eastAsia"/>
          <w:snapToGrid/>
          <w:szCs w:val="24"/>
        </w:rPr>
        <w:t>第</w:t>
      </w:r>
      <w:r>
        <w:rPr>
          <w:snapToGrid/>
          <w:szCs w:val="24"/>
        </w:rPr>
        <w:t>2</w:t>
      </w:r>
      <w:r>
        <w:rPr>
          <w:rFonts w:hint="eastAsia"/>
          <w:snapToGrid/>
          <w:szCs w:val="24"/>
        </w:rPr>
        <w:t>条第</w:t>
      </w:r>
      <w:r>
        <w:rPr>
          <w:snapToGrid/>
          <w:szCs w:val="24"/>
        </w:rPr>
        <w:t>1</w:t>
      </w:r>
      <w:r>
        <w:rPr>
          <w:rFonts w:hint="eastAsia"/>
          <w:snapToGrid/>
          <w:szCs w:val="24"/>
        </w:rPr>
        <w:t>款</w:t>
      </w:r>
      <w:r>
        <w:rPr>
          <w:snapToGrid/>
          <w:szCs w:val="24"/>
        </w:rPr>
        <w:t>)</w:t>
      </w:r>
      <w:r>
        <w:rPr>
          <w:rFonts w:hint="eastAsia"/>
          <w:snapToGrid/>
          <w:szCs w:val="24"/>
        </w:rPr>
        <w:t>：“法律实体也可成为协会成员。”该法第</w:t>
      </w:r>
      <w:r>
        <w:rPr>
          <w:snapToGrid/>
          <w:szCs w:val="24"/>
        </w:rPr>
        <w:t>9</w:t>
      </w:r>
      <w:r>
        <w:rPr>
          <w:rFonts w:hint="eastAsia"/>
          <w:snapToGrid/>
          <w:szCs w:val="24"/>
        </w:rPr>
        <w:t>条</w:t>
      </w:r>
      <w:r>
        <w:rPr>
          <w:snapToGrid/>
          <w:szCs w:val="24"/>
        </w:rPr>
        <w:t>(a)</w:t>
      </w:r>
      <w:r>
        <w:rPr>
          <w:rFonts w:hint="eastAsia"/>
          <w:snapToGrid/>
          <w:szCs w:val="24"/>
        </w:rPr>
        <w:t>款阐述了创建保护经济和社会利益的团体的具体方法：“工会组织或雇主组织在向有关部门提出注册申请之日起便可成为法律实体。”根据该法第</w:t>
      </w:r>
      <w:r>
        <w:rPr>
          <w:snapToGrid/>
          <w:szCs w:val="24"/>
        </w:rPr>
        <w:t>3</w:t>
      </w:r>
      <w:r>
        <w:rPr>
          <w:rFonts w:hint="eastAsia"/>
          <w:snapToGrid/>
          <w:szCs w:val="24"/>
        </w:rPr>
        <w:t>条</w:t>
      </w:r>
      <w:r>
        <w:rPr>
          <w:snapToGrid/>
          <w:szCs w:val="24"/>
        </w:rPr>
        <w:t>，</w:t>
      </w:r>
      <w:r>
        <w:rPr>
          <w:rFonts w:hint="eastAsia"/>
          <w:snapToGrid/>
          <w:szCs w:val="24"/>
        </w:rPr>
        <w:t>不得强迫任何人结社</w:t>
      </w:r>
      <w:r>
        <w:rPr>
          <w:snapToGrid/>
          <w:szCs w:val="24"/>
        </w:rPr>
        <w:t>，</w:t>
      </w:r>
      <w:r>
        <w:rPr>
          <w:rFonts w:hint="eastAsia"/>
          <w:snapToGrid/>
          <w:szCs w:val="24"/>
        </w:rPr>
        <w:t>成为协会成员或参加其活动。人人可自由离开协会。</w:t>
      </w:r>
    </w:p>
    <w:p w:rsidR="00000000" w:rsidRDefault="00000000">
      <w:pPr>
        <w:rPr>
          <w:snapToGrid/>
          <w:szCs w:val="24"/>
        </w:rPr>
      </w:pPr>
      <w:r>
        <w:rPr>
          <w:rFonts w:hint="eastAsia"/>
          <w:snapToGrid/>
          <w:szCs w:val="24"/>
        </w:rPr>
        <w:tab/>
      </w:r>
      <w:r>
        <w:rPr>
          <w:snapToGrid/>
          <w:szCs w:val="24"/>
        </w:rPr>
        <w:t xml:space="preserve">306.  </w:t>
      </w:r>
      <w:r>
        <w:rPr>
          <w:rFonts w:hint="eastAsia"/>
          <w:snapToGrid/>
          <w:szCs w:val="24"/>
        </w:rPr>
        <w:t>这一所谓注册原则适用于工会和雇主组织。根据《公民结社法》</w:t>
      </w:r>
      <w:r>
        <w:rPr>
          <w:snapToGrid/>
          <w:szCs w:val="24"/>
        </w:rPr>
        <w:t>，</w:t>
      </w:r>
      <w:r>
        <w:rPr>
          <w:rFonts w:hint="eastAsia"/>
          <w:snapToGrid/>
          <w:szCs w:val="24"/>
        </w:rPr>
        <w:t>工会活动无须得到国家机构的允许</w:t>
      </w:r>
      <w:r>
        <w:rPr>
          <w:snapToGrid/>
          <w:szCs w:val="24"/>
        </w:rPr>
        <w:t>(</w:t>
      </w:r>
      <w:r>
        <w:rPr>
          <w:rFonts w:hint="eastAsia"/>
          <w:snapToGrid/>
          <w:szCs w:val="24"/>
        </w:rPr>
        <w:t>见第</w:t>
      </w:r>
      <w:r>
        <w:rPr>
          <w:snapToGrid/>
          <w:szCs w:val="24"/>
        </w:rPr>
        <w:t>1</w:t>
      </w:r>
      <w:r>
        <w:rPr>
          <w:rFonts w:hint="eastAsia"/>
          <w:snapToGrid/>
          <w:szCs w:val="24"/>
        </w:rPr>
        <w:t>条第</w:t>
      </w:r>
      <w:r>
        <w:rPr>
          <w:snapToGrid/>
          <w:szCs w:val="24"/>
        </w:rPr>
        <w:t>2</w:t>
      </w:r>
      <w:r>
        <w:rPr>
          <w:rFonts w:hint="eastAsia"/>
          <w:snapToGrid/>
          <w:szCs w:val="24"/>
        </w:rPr>
        <w:t>款</w:t>
      </w:r>
      <w:r>
        <w:rPr>
          <w:rFonts w:hint="eastAsia"/>
          <w:snapToGrid/>
          <w:szCs w:val="24"/>
        </w:rPr>
        <w:t>)</w:t>
      </w:r>
      <w:r>
        <w:rPr>
          <w:rFonts w:hint="eastAsia"/>
          <w:snapToGrid/>
          <w:szCs w:val="24"/>
        </w:rPr>
        <w:t>。内政部只是对工会进行注册。申请注册的工会至少必须有三名公民</w:t>
      </w:r>
      <w:r>
        <w:rPr>
          <w:snapToGrid/>
          <w:szCs w:val="24"/>
        </w:rPr>
        <w:t>(</w:t>
      </w:r>
      <w:r>
        <w:rPr>
          <w:rFonts w:hint="eastAsia"/>
          <w:snapToGrid/>
          <w:szCs w:val="24"/>
        </w:rPr>
        <w:t>其中至少有一人年满</w:t>
      </w:r>
      <w:r>
        <w:rPr>
          <w:snapToGrid/>
          <w:szCs w:val="24"/>
        </w:rPr>
        <w:t>18</w:t>
      </w:r>
      <w:r>
        <w:rPr>
          <w:rFonts w:hint="eastAsia"/>
          <w:snapToGrid/>
          <w:szCs w:val="24"/>
        </w:rPr>
        <w:t>岁</w:t>
      </w:r>
      <w:r>
        <w:rPr>
          <w:rFonts w:hint="eastAsia"/>
          <w:snapToGrid/>
          <w:szCs w:val="24"/>
        </w:rPr>
        <w:t>)</w:t>
      </w:r>
      <w:r>
        <w:rPr>
          <w:rFonts w:hint="eastAsia"/>
          <w:snapToGrid/>
          <w:szCs w:val="24"/>
        </w:rPr>
        <w:t>提出。到</w:t>
      </w:r>
      <w:r>
        <w:rPr>
          <w:snapToGrid/>
          <w:szCs w:val="24"/>
        </w:rPr>
        <w:t>1999</w:t>
      </w:r>
      <w:r>
        <w:rPr>
          <w:rFonts w:hint="eastAsia"/>
          <w:snapToGrid/>
          <w:szCs w:val="24"/>
        </w:rPr>
        <w:t>年</w:t>
      </w:r>
      <w:r>
        <w:rPr>
          <w:snapToGrid/>
          <w:szCs w:val="24"/>
        </w:rPr>
        <w:t>12</w:t>
      </w:r>
      <w:r>
        <w:rPr>
          <w:rFonts w:hint="eastAsia"/>
          <w:snapToGrid/>
          <w:szCs w:val="24"/>
        </w:rPr>
        <w:t>月</w:t>
      </w:r>
      <w:r>
        <w:rPr>
          <w:snapToGrid/>
          <w:szCs w:val="24"/>
        </w:rPr>
        <w:t>31</w:t>
      </w:r>
      <w:r>
        <w:rPr>
          <w:rFonts w:hint="eastAsia"/>
          <w:snapToGrid/>
          <w:szCs w:val="24"/>
        </w:rPr>
        <w:t>日</w:t>
      </w:r>
      <w:r>
        <w:rPr>
          <w:snapToGrid/>
          <w:szCs w:val="24"/>
        </w:rPr>
        <w:t>，</w:t>
      </w:r>
      <w:r>
        <w:rPr>
          <w:rFonts w:hint="eastAsia"/>
          <w:snapToGrid/>
          <w:szCs w:val="24"/>
        </w:rPr>
        <w:t>约有</w:t>
      </w:r>
      <w:r>
        <w:rPr>
          <w:snapToGrid/>
          <w:szCs w:val="24"/>
        </w:rPr>
        <w:t>650</w:t>
      </w:r>
      <w:r>
        <w:rPr>
          <w:rFonts w:hint="eastAsia"/>
          <w:snapToGrid/>
          <w:szCs w:val="24"/>
        </w:rPr>
        <w:t>个企业工会得到注册。</w:t>
      </w:r>
    </w:p>
    <w:p w:rsidR="00000000" w:rsidRDefault="00000000">
      <w:pPr>
        <w:spacing w:after="320"/>
        <w:rPr>
          <w:snapToGrid/>
          <w:szCs w:val="18"/>
        </w:rPr>
      </w:pPr>
      <w:r>
        <w:rPr>
          <w:rFonts w:hint="eastAsia"/>
          <w:snapToGrid/>
          <w:szCs w:val="24"/>
        </w:rPr>
        <w:tab/>
      </w:r>
      <w:r>
        <w:rPr>
          <w:snapToGrid/>
          <w:szCs w:val="24"/>
        </w:rPr>
        <w:t xml:space="preserve">307.  </w:t>
      </w:r>
      <w:r>
        <w:rPr>
          <w:rFonts w:hint="eastAsia"/>
          <w:snapToGrid/>
          <w:szCs w:val="24"/>
        </w:rPr>
        <w:t>根据《公民结社法》第</w:t>
      </w:r>
      <w:r>
        <w:rPr>
          <w:snapToGrid/>
          <w:szCs w:val="24"/>
        </w:rPr>
        <w:t>2</w:t>
      </w:r>
      <w:r>
        <w:rPr>
          <w:rFonts w:hint="eastAsia"/>
          <w:snapToGrid/>
          <w:szCs w:val="24"/>
        </w:rPr>
        <w:t>条第</w:t>
      </w:r>
      <w:r>
        <w:rPr>
          <w:snapToGrid/>
          <w:szCs w:val="24"/>
        </w:rPr>
        <w:t>4</w:t>
      </w:r>
      <w:r>
        <w:rPr>
          <w:rFonts w:hint="eastAsia"/>
          <w:snapToGrid/>
          <w:szCs w:val="24"/>
        </w:rPr>
        <w:t>款，“服现役的士兵不得组织工会和结社。国家保安部队</w:t>
      </w:r>
      <w:r>
        <w:rPr>
          <w:snapToGrid/>
          <w:szCs w:val="24"/>
        </w:rPr>
        <w:t>(</w:t>
      </w:r>
      <w:r>
        <w:rPr>
          <w:rFonts w:hint="eastAsia"/>
          <w:snapToGrid/>
          <w:szCs w:val="24"/>
        </w:rPr>
        <w:t>警察</w:t>
      </w:r>
      <w:r>
        <w:rPr>
          <w:rFonts w:hint="eastAsia"/>
          <w:snapToGrid/>
          <w:szCs w:val="24"/>
        </w:rPr>
        <w:t>)</w:t>
      </w:r>
      <w:r>
        <w:rPr>
          <w:rFonts w:hint="eastAsia"/>
          <w:snapToGrid/>
          <w:szCs w:val="24"/>
        </w:rPr>
        <w:t>和狱警为行使和保护自己的社会利益而组织协会</w:t>
      </w:r>
      <w:r>
        <w:rPr>
          <w:snapToGrid/>
          <w:szCs w:val="24"/>
        </w:rPr>
        <w:t>，</w:t>
      </w:r>
      <w:r>
        <w:rPr>
          <w:rFonts w:hint="eastAsia"/>
          <w:snapToGrid/>
          <w:szCs w:val="24"/>
        </w:rPr>
        <w:t>其批准事宜在专门法律中做出规定。</w:t>
      </w:r>
      <w:r>
        <w:rPr>
          <w:snapToGrid/>
          <w:szCs w:val="24"/>
        </w:rPr>
        <w:t>"</w:t>
      </w:r>
      <w:r>
        <w:rPr>
          <w:rFonts w:hint="eastAsia"/>
          <w:snapToGrid/>
          <w:szCs w:val="24"/>
        </w:rPr>
        <w:t>《公民结社法》的另一项规定</w:t>
      </w:r>
      <w:r>
        <w:rPr>
          <w:snapToGrid/>
          <w:szCs w:val="24"/>
        </w:rPr>
        <w:t>(</w:t>
      </w:r>
      <w:r>
        <w:rPr>
          <w:rFonts w:hint="eastAsia"/>
          <w:snapToGrid/>
          <w:szCs w:val="24"/>
        </w:rPr>
        <w:t>第</w:t>
      </w:r>
      <w:r>
        <w:rPr>
          <w:snapToGrid/>
          <w:szCs w:val="18"/>
        </w:rPr>
        <w:t>4</w:t>
      </w:r>
      <w:r>
        <w:rPr>
          <w:rFonts w:hint="eastAsia"/>
          <w:snapToGrid/>
          <w:szCs w:val="18"/>
        </w:rPr>
        <w:t>条</w:t>
      </w:r>
      <w:r>
        <w:rPr>
          <w:snapToGrid/>
          <w:szCs w:val="18"/>
        </w:rPr>
        <w:t>(c)</w:t>
      </w:r>
      <w:r>
        <w:rPr>
          <w:rFonts w:hint="eastAsia"/>
          <w:snapToGrid/>
          <w:szCs w:val="18"/>
        </w:rPr>
        <w:t>款</w:t>
      </w:r>
      <w:r>
        <w:rPr>
          <w:rFonts w:hint="eastAsia"/>
          <w:snapToGrid/>
          <w:szCs w:val="18"/>
        </w:rPr>
        <w:t>)</w:t>
      </w:r>
      <w:r>
        <w:rPr>
          <w:rFonts w:hint="eastAsia"/>
          <w:snapToGrid/>
          <w:szCs w:val="18"/>
        </w:rPr>
        <w:t>是</w:t>
      </w:r>
      <w:r>
        <w:rPr>
          <w:snapToGrid/>
          <w:szCs w:val="18"/>
        </w:rPr>
        <w:t>，</w:t>
      </w:r>
      <w:r>
        <w:rPr>
          <w:snapToGrid/>
          <w:szCs w:val="18"/>
        </w:rPr>
        <w:t>“</w:t>
      </w:r>
      <w:r>
        <w:rPr>
          <w:rFonts w:hint="eastAsia"/>
          <w:snapToGrid/>
          <w:szCs w:val="18"/>
        </w:rPr>
        <w:t>不允许建立武装团体或与武装分队联合的团体；但为体育目的或为狩猎权利而持有或使用火器的团体不视为此类团体。</w:t>
      </w:r>
    </w:p>
    <w:p w:rsidR="00000000" w:rsidRDefault="00000000">
      <w:pPr>
        <w:pStyle w:val="Heading4"/>
      </w:pPr>
      <w:r>
        <w:rPr>
          <w:rFonts w:hint="eastAsia"/>
        </w:rPr>
        <w:t>罢工权</w:t>
      </w:r>
    </w:p>
    <w:p w:rsidR="00000000" w:rsidRDefault="00000000">
      <w:pPr>
        <w:rPr>
          <w:snapToGrid/>
          <w:szCs w:val="18"/>
        </w:rPr>
      </w:pPr>
      <w:r>
        <w:rPr>
          <w:rFonts w:hint="eastAsia"/>
          <w:snapToGrid/>
          <w:szCs w:val="18"/>
        </w:rPr>
        <w:tab/>
      </w:r>
      <w:r>
        <w:rPr>
          <w:snapToGrid/>
          <w:szCs w:val="18"/>
        </w:rPr>
        <w:t xml:space="preserve">308.  </w:t>
      </w:r>
      <w:r>
        <w:rPr>
          <w:rFonts w:hint="eastAsia"/>
          <w:snapToGrid/>
          <w:szCs w:val="18"/>
        </w:rPr>
        <w:t>《集体谈判法》载有关于罢工的法律规定。这项法律涉及工会在缔结集体协议或高一级集体协议时发生争端举行罢工或支持其他罢工者的声援罢工。</w:t>
      </w:r>
    </w:p>
    <w:p w:rsidR="00000000" w:rsidRDefault="00000000">
      <w:pPr>
        <w:spacing w:after="320"/>
        <w:rPr>
          <w:snapToGrid/>
          <w:szCs w:val="18"/>
        </w:rPr>
      </w:pPr>
      <w:r>
        <w:rPr>
          <w:rFonts w:hint="eastAsia"/>
          <w:snapToGrid/>
          <w:szCs w:val="18"/>
        </w:rPr>
        <w:tab/>
      </w:r>
      <w:r>
        <w:rPr>
          <w:snapToGrid/>
          <w:szCs w:val="18"/>
        </w:rPr>
        <w:t xml:space="preserve">309.  </w:t>
      </w:r>
      <w:r>
        <w:rPr>
          <w:rFonts w:hint="eastAsia"/>
          <w:snapToGrid/>
          <w:szCs w:val="18"/>
        </w:rPr>
        <w:t>根据《宪章》和《集体谈判法》的上述规定</w:t>
      </w:r>
      <w:r>
        <w:rPr>
          <w:snapToGrid/>
          <w:szCs w:val="18"/>
        </w:rPr>
        <w:t>，</w:t>
      </w:r>
      <w:r>
        <w:rPr>
          <w:rFonts w:hint="eastAsia"/>
          <w:snapToGrid/>
          <w:szCs w:val="18"/>
        </w:rPr>
        <w:t>以下职业不享有罢工权</w:t>
      </w:r>
      <w:r>
        <w:rPr>
          <w:snapToGrid/>
          <w:szCs w:val="18"/>
        </w:rPr>
        <w:t>：</w:t>
      </w:r>
      <w:r>
        <w:rPr>
          <w:rFonts w:hint="eastAsia"/>
          <w:snapToGrid/>
          <w:szCs w:val="18"/>
        </w:rPr>
        <w:t>法官、国家检察宫、军队和其他武装部队成员。</w:t>
      </w:r>
    </w:p>
    <w:p w:rsidR="00000000" w:rsidRDefault="00000000">
      <w:pPr>
        <w:pStyle w:val="Heading4"/>
      </w:pPr>
      <w:r>
        <w:rPr>
          <w:rFonts w:hint="eastAsia"/>
        </w:rPr>
        <w:t>工会联合会和工会成员</w:t>
      </w:r>
    </w:p>
    <w:p w:rsidR="00000000" w:rsidRDefault="00000000">
      <w:pPr>
        <w:rPr>
          <w:snapToGrid/>
          <w:szCs w:val="18"/>
        </w:rPr>
      </w:pPr>
      <w:r>
        <w:rPr>
          <w:rFonts w:hint="eastAsia"/>
          <w:snapToGrid/>
          <w:szCs w:val="18"/>
        </w:rPr>
        <w:tab/>
      </w:r>
      <w:r>
        <w:rPr>
          <w:snapToGrid/>
          <w:szCs w:val="18"/>
        </w:rPr>
        <w:t xml:space="preserve">310.  </w:t>
      </w:r>
      <w:r>
        <w:rPr>
          <w:rFonts w:hint="eastAsia"/>
          <w:snapToGrid/>
          <w:szCs w:val="18"/>
        </w:rPr>
        <w:t>捷克一摩拉维亚工会联合会。捷克斯洛伐克联邦共和国最大的中央工会组织是捷克斯洛伐克工会联合会。捷克斯洛伐克联邦共和国分成两个国家后</w:t>
      </w:r>
      <w:r>
        <w:rPr>
          <w:snapToGrid/>
          <w:szCs w:val="18"/>
        </w:rPr>
        <w:t>，</w:t>
      </w:r>
      <w:r>
        <w:rPr>
          <w:rFonts w:hint="eastAsia"/>
          <w:snapToGrid/>
          <w:szCs w:val="18"/>
        </w:rPr>
        <w:t>更名为捷克一摩拉维亚工会联合会。目前联合会内有</w:t>
      </w:r>
      <w:r>
        <w:rPr>
          <w:snapToGrid/>
          <w:szCs w:val="18"/>
        </w:rPr>
        <w:t>30</w:t>
      </w:r>
      <w:r>
        <w:rPr>
          <w:rFonts w:hint="eastAsia"/>
          <w:snapToGrid/>
          <w:szCs w:val="18"/>
        </w:rPr>
        <w:t>个工会</w:t>
      </w:r>
      <w:r>
        <w:rPr>
          <w:snapToGrid/>
          <w:szCs w:val="18"/>
        </w:rPr>
        <w:t>，</w:t>
      </w:r>
      <w:r>
        <w:rPr>
          <w:snapToGrid/>
          <w:szCs w:val="18"/>
        </w:rPr>
        <w:t>1999</w:t>
      </w:r>
      <w:r>
        <w:rPr>
          <w:rFonts w:hint="eastAsia"/>
          <w:snapToGrid/>
          <w:szCs w:val="18"/>
        </w:rPr>
        <w:t>年各工会共有</w:t>
      </w:r>
      <w:r>
        <w:rPr>
          <w:snapToGrid/>
          <w:szCs w:val="18"/>
        </w:rPr>
        <w:t>130</w:t>
      </w:r>
      <w:r>
        <w:rPr>
          <w:rFonts w:hint="eastAsia"/>
          <w:snapToGrid/>
          <w:szCs w:val="18"/>
        </w:rPr>
        <w:t>多万名会员。</w:t>
      </w:r>
    </w:p>
    <w:p w:rsidR="00000000" w:rsidRDefault="00000000">
      <w:pPr>
        <w:rPr>
          <w:snapToGrid/>
          <w:szCs w:val="18"/>
        </w:rPr>
      </w:pPr>
      <w:r>
        <w:rPr>
          <w:rFonts w:hint="eastAsia"/>
          <w:snapToGrid/>
          <w:szCs w:val="18"/>
        </w:rPr>
        <w:tab/>
      </w:r>
      <w:r>
        <w:rPr>
          <w:snapToGrid/>
          <w:szCs w:val="18"/>
        </w:rPr>
        <w:t xml:space="preserve">311.  </w:t>
      </w:r>
      <w:r>
        <w:rPr>
          <w:rFonts w:hint="eastAsia"/>
          <w:snapToGrid/>
          <w:szCs w:val="18"/>
        </w:rPr>
        <w:t>最大的成员工会是科沃工会</w:t>
      </w:r>
      <w:r>
        <w:rPr>
          <w:snapToGrid/>
          <w:szCs w:val="18"/>
        </w:rPr>
        <w:t>，</w:t>
      </w:r>
      <w:r>
        <w:rPr>
          <w:snapToGrid/>
          <w:szCs w:val="18"/>
        </w:rPr>
        <w:t>1999</w:t>
      </w:r>
      <w:r>
        <w:rPr>
          <w:rFonts w:hint="eastAsia"/>
          <w:snapToGrid/>
          <w:szCs w:val="18"/>
        </w:rPr>
        <w:t>年有</w:t>
      </w:r>
      <w:r>
        <w:rPr>
          <w:snapToGrid/>
          <w:szCs w:val="18"/>
        </w:rPr>
        <w:t>41</w:t>
      </w:r>
      <w:r>
        <w:rPr>
          <w:rFonts w:hint="eastAsia"/>
          <w:snapToGrid/>
          <w:szCs w:val="18"/>
        </w:rPr>
        <w:t>万名会员。捷克一摩拉维亚教育工作者工会有</w:t>
      </w:r>
      <w:r>
        <w:rPr>
          <w:snapToGrid/>
          <w:szCs w:val="18"/>
        </w:rPr>
        <w:t>13</w:t>
      </w:r>
      <w:r>
        <w:rPr>
          <w:rFonts w:hint="eastAsia"/>
          <w:snapToGrid/>
          <w:szCs w:val="18"/>
        </w:rPr>
        <w:t>万名会员。会员人数多的其他工会有</w:t>
      </w:r>
      <w:r>
        <w:rPr>
          <w:snapToGrid/>
          <w:szCs w:val="18"/>
        </w:rPr>
        <w:t>：</w:t>
      </w:r>
      <w:r>
        <w:rPr>
          <w:rFonts w:hint="eastAsia"/>
          <w:snapToGrid/>
          <w:szCs w:val="18"/>
        </w:rPr>
        <w:t>矿业、地质和石油行业工会</w:t>
      </w:r>
      <w:r>
        <w:rPr>
          <w:snapToGrid/>
          <w:szCs w:val="18"/>
        </w:rPr>
        <w:t>(9</w:t>
      </w:r>
      <w:r>
        <w:rPr>
          <w:rFonts w:hint="eastAsia"/>
          <w:snapToGrid/>
          <w:szCs w:val="18"/>
        </w:rPr>
        <w:t>万名会员</w:t>
      </w:r>
      <w:r>
        <w:rPr>
          <w:rFonts w:hint="eastAsia"/>
          <w:snapToGrid/>
          <w:szCs w:val="18"/>
        </w:rPr>
        <w:t>)</w:t>
      </w:r>
      <w:r>
        <w:rPr>
          <w:rFonts w:hint="eastAsia"/>
          <w:snapToGrid/>
          <w:szCs w:val="18"/>
        </w:rPr>
        <w:t>、捷克</w:t>
      </w:r>
      <w:r>
        <w:rPr>
          <w:snapToGrid/>
          <w:szCs w:val="18"/>
        </w:rPr>
        <w:t>STAVBA</w:t>
      </w:r>
      <w:r>
        <w:rPr>
          <w:rFonts w:hint="eastAsia"/>
          <w:snapToGrid/>
          <w:szCs w:val="18"/>
        </w:rPr>
        <w:t>工会</w:t>
      </w:r>
      <w:r>
        <w:rPr>
          <w:snapToGrid/>
          <w:szCs w:val="18"/>
        </w:rPr>
        <w:t>(</w:t>
      </w:r>
      <w:r>
        <w:rPr>
          <w:rFonts w:hint="eastAsia"/>
          <w:snapToGrid/>
          <w:szCs w:val="18"/>
        </w:rPr>
        <w:t>约有</w:t>
      </w:r>
      <w:r>
        <w:rPr>
          <w:snapToGrid/>
          <w:szCs w:val="18"/>
        </w:rPr>
        <w:t>8</w:t>
      </w:r>
      <w:r>
        <w:rPr>
          <w:rFonts w:hint="eastAsia"/>
          <w:snapToGrid/>
          <w:szCs w:val="18"/>
        </w:rPr>
        <w:t>万会员</w:t>
      </w:r>
      <w:r>
        <w:rPr>
          <w:rFonts w:hint="eastAsia"/>
          <w:snapToGrid/>
          <w:szCs w:val="18"/>
        </w:rPr>
        <w:t>)</w:t>
      </w:r>
      <w:r>
        <w:rPr>
          <w:rFonts w:hint="eastAsia"/>
          <w:snapToGrid/>
          <w:szCs w:val="18"/>
        </w:rPr>
        <w:t>、捷克共和国保健和社会保护工作者工会及国家机关和机构工会</w:t>
      </w:r>
      <w:r>
        <w:rPr>
          <w:rFonts w:hint="eastAsia"/>
          <w:snapToGrid/>
          <w:szCs w:val="18"/>
        </w:rPr>
        <w:t>(</w:t>
      </w:r>
      <w:r>
        <w:rPr>
          <w:rFonts w:hint="eastAsia"/>
          <w:snapToGrid/>
          <w:szCs w:val="18"/>
        </w:rPr>
        <w:t>均超过</w:t>
      </w:r>
      <w:r>
        <w:rPr>
          <w:rFonts w:hint="eastAsia"/>
          <w:snapToGrid/>
          <w:szCs w:val="18"/>
        </w:rPr>
        <w:t>6.5</w:t>
      </w:r>
      <w:r>
        <w:rPr>
          <w:rFonts w:hint="eastAsia"/>
          <w:snapToGrid/>
          <w:szCs w:val="18"/>
        </w:rPr>
        <w:t>万名会员</w:t>
      </w:r>
      <w:r>
        <w:rPr>
          <w:rFonts w:hint="eastAsia"/>
          <w:snapToGrid/>
          <w:szCs w:val="18"/>
        </w:rPr>
        <w:t>)</w:t>
      </w:r>
      <w:r>
        <w:rPr>
          <w:rFonts w:hint="eastAsia"/>
          <w:snapToGrid/>
          <w:szCs w:val="18"/>
        </w:rPr>
        <w:t>、木材加工、林业和水管理工人工会</w:t>
      </w:r>
      <w:r>
        <w:rPr>
          <w:snapToGrid/>
          <w:szCs w:val="18"/>
        </w:rPr>
        <w:t>(</w:t>
      </w:r>
      <w:r>
        <w:rPr>
          <w:rFonts w:hint="eastAsia"/>
          <w:snapToGrid/>
          <w:szCs w:val="18"/>
        </w:rPr>
        <w:t>约有</w:t>
      </w:r>
      <w:r>
        <w:rPr>
          <w:rFonts w:hint="eastAsia"/>
          <w:snapToGrid/>
          <w:szCs w:val="18"/>
        </w:rPr>
        <w:t>6.5</w:t>
      </w:r>
      <w:r>
        <w:rPr>
          <w:rFonts w:hint="eastAsia"/>
          <w:snapToGrid/>
          <w:szCs w:val="18"/>
        </w:rPr>
        <w:t>万名会员</w:t>
      </w:r>
      <w:r>
        <w:rPr>
          <w:rFonts w:hint="eastAsia"/>
          <w:snapToGrid/>
          <w:szCs w:val="18"/>
        </w:rPr>
        <w:t>)</w:t>
      </w:r>
      <w:r>
        <w:rPr>
          <w:rFonts w:hint="eastAsia"/>
          <w:snapToGrid/>
          <w:szCs w:val="18"/>
        </w:rPr>
        <w:t>。相比而言</w:t>
      </w:r>
      <w:r>
        <w:rPr>
          <w:snapToGrid/>
          <w:szCs w:val="18"/>
        </w:rPr>
        <w:t>，</w:t>
      </w:r>
      <w:r>
        <w:rPr>
          <w:rFonts w:hint="eastAsia"/>
          <w:snapToGrid/>
          <w:szCs w:val="18"/>
        </w:rPr>
        <w:t>人数最少的工会是捷克共和国公司雇员工会</w:t>
      </w:r>
      <w:r>
        <w:rPr>
          <w:snapToGrid/>
          <w:szCs w:val="18"/>
        </w:rPr>
        <w:t>(</w:t>
      </w:r>
      <w:r>
        <w:rPr>
          <w:rFonts w:hint="eastAsia"/>
          <w:snapToGrid/>
          <w:szCs w:val="18"/>
        </w:rPr>
        <w:t>约</w:t>
      </w:r>
      <w:r>
        <w:rPr>
          <w:snapToGrid/>
          <w:szCs w:val="18"/>
        </w:rPr>
        <w:t>400</w:t>
      </w:r>
      <w:r>
        <w:rPr>
          <w:rFonts w:hint="eastAsia"/>
          <w:snapToGrid/>
          <w:szCs w:val="18"/>
        </w:rPr>
        <w:t>名会员</w:t>
      </w:r>
      <w:r>
        <w:rPr>
          <w:rFonts w:hint="eastAsia"/>
          <w:snapToGrid/>
          <w:szCs w:val="18"/>
        </w:rPr>
        <w:t>)</w:t>
      </w:r>
      <w:r>
        <w:rPr>
          <w:rFonts w:hint="eastAsia"/>
          <w:snapToGrid/>
          <w:szCs w:val="18"/>
        </w:rPr>
        <w:t>、水手工会</w:t>
      </w:r>
      <w:r>
        <w:rPr>
          <w:snapToGrid/>
          <w:szCs w:val="18"/>
        </w:rPr>
        <w:t>(</w:t>
      </w:r>
      <w:r>
        <w:rPr>
          <w:rFonts w:hint="eastAsia"/>
          <w:snapToGrid/>
          <w:szCs w:val="18"/>
        </w:rPr>
        <w:t>约有</w:t>
      </w:r>
      <w:r>
        <w:rPr>
          <w:rFonts w:hint="eastAsia"/>
          <w:snapToGrid/>
          <w:szCs w:val="18"/>
        </w:rPr>
        <w:t>550</w:t>
      </w:r>
      <w:r>
        <w:rPr>
          <w:rFonts w:hint="eastAsia"/>
          <w:snapToGrid/>
          <w:szCs w:val="18"/>
        </w:rPr>
        <w:t>名会员</w:t>
      </w:r>
      <w:r>
        <w:rPr>
          <w:rFonts w:hint="eastAsia"/>
          <w:snapToGrid/>
          <w:szCs w:val="18"/>
        </w:rPr>
        <w:t>)</w:t>
      </w:r>
      <w:r>
        <w:rPr>
          <w:rFonts w:hint="eastAsia"/>
          <w:snapToGrid/>
          <w:szCs w:val="18"/>
        </w:rPr>
        <w:t>。还有不足</w:t>
      </w:r>
      <w:r>
        <w:rPr>
          <w:snapToGrid/>
          <w:szCs w:val="18"/>
        </w:rPr>
        <w:t>2000</w:t>
      </w:r>
      <w:r>
        <w:rPr>
          <w:rFonts w:hint="eastAsia"/>
          <w:snapToGrid/>
          <w:szCs w:val="18"/>
        </w:rPr>
        <w:t>人的其他工会</w:t>
      </w:r>
      <w:r>
        <w:rPr>
          <w:snapToGrid/>
          <w:szCs w:val="18"/>
        </w:rPr>
        <w:t>，</w:t>
      </w:r>
      <w:r>
        <w:rPr>
          <w:rFonts w:hint="eastAsia"/>
          <w:snapToGrid/>
          <w:szCs w:val="18"/>
        </w:rPr>
        <w:t>如</w:t>
      </w:r>
      <w:r>
        <w:rPr>
          <w:snapToGrid/>
          <w:szCs w:val="18"/>
        </w:rPr>
        <w:t>：</w:t>
      </w:r>
      <w:r>
        <w:rPr>
          <w:rFonts w:hint="eastAsia"/>
          <w:snapToGrid/>
          <w:szCs w:val="18"/>
        </w:rPr>
        <w:t>航空职工工会、无线电通信工作者协会、制造业职工工会、文化领域特别目的组织和项目工会。</w:t>
      </w:r>
    </w:p>
    <w:p w:rsidR="00000000" w:rsidRDefault="00000000">
      <w:pPr>
        <w:rPr>
          <w:snapToGrid/>
          <w:szCs w:val="18"/>
        </w:rPr>
      </w:pPr>
      <w:r>
        <w:rPr>
          <w:rFonts w:hint="eastAsia"/>
          <w:snapToGrid/>
          <w:szCs w:val="18"/>
        </w:rPr>
        <w:tab/>
      </w:r>
      <w:r>
        <w:rPr>
          <w:snapToGrid/>
          <w:szCs w:val="18"/>
        </w:rPr>
        <w:t xml:space="preserve">312.  </w:t>
      </w:r>
      <w:r>
        <w:rPr>
          <w:rFonts w:hint="eastAsia"/>
          <w:snapToGrid/>
          <w:szCs w:val="18"/>
        </w:rPr>
        <w:t>其他工会联合会是</w:t>
      </w:r>
      <w:r>
        <w:rPr>
          <w:snapToGrid/>
          <w:szCs w:val="18"/>
        </w:rPr>
        <w:t>：</w:t>
      </w:r>
    </w:p>
    <w:p w:rsidR="00000000" w:rsidRDefault="00000000">
      <w:pPr>
        <w:numPr>
          <w:ilvl w:val="0"/>
          <w:numId w:val="153"/>
        </w:numPr>
        <w:rPr>
          <w:snapToGrid/>
        </w:rPr>
      </w:pPr>
      <w:r>
        <w:rPr>
          <w:rFonts w:hint="eastAsia"/>
          <w:snapToGrid/>
        </w:rPr>
        <w:t>艺术和文化联合会。这一中心组织集中了戏剧、电影、图书馆、音乐和创作艺术部门的协会。根据最新报告</w:t>
      </w:r>
      <w:r>
        <w:rPr>
          <w:snapToGrid/>
        </w:rPr>
        <w:t>，</w:t>
      </w:r>
      <w:r>
        <w:rPr>
          <w:rFonts w:hint="eastAsia"/>
          <w:snapToGrid/>
        </w:rPr>
        <w:t>总共有</w:t>
      </w:r>
      <w:r>
        <w:rPr>
          <w:snapToGrid/>
        </w:rPr>
        <w:t>12</w:t>
      </w:r>
      <w:r>
        <w:rPr>
          <w:rFonts w:hint="eastAsia"/>
          <w:snapToGrid/>
        </w:rPr>
        <w:t>万名会员；</w:t>
      </w:r>
    </w:p>
    <w:p w:rsidR="00000000" w:rsidRDefault="00000000">
      <w:pPr>
        <w:numPr>
          <w:ilvl w:val="0"/>
          <w:numId w:val="153"/>
        </w:numPr>
        <w:rPr>
          <w:snapToGrid/>
        </w:rPr>
      </w:pPr>
      <w:r>
        <w:rPr>
          <w:rFonts w:hint="eastAsia"/>
          <w:snapToGrid/>
        </w:rPr>
        <w:t>波希米亚、摩拉维亚和西里西亚工会联合会。根据内部数据</w:t>
      </w:r>
      <w:r>
        <w:rPr>
          <w:snapToGrid/>
        </w:rPr>
        <w:t>，</w:t>
      </w:r>
      <w:r>
        <w:rPr>
          <w:snapToGrid/>
        </w:rPr>
        <w:t>1996</w:t>
      </w:r>
      <w:r>
        <w:rPr>
          <w:rFonts w:hint="eastAsia"/>
          <w:snapToGrid/>
        </w:rPr>
        <w:t>年有</w:t>
      </w:r>
      <w:r>
        <w:rPr>
          <w:snapToGrid/>
        </w:rPr>
        <w:t>8</w:t>
      </w:r>
      <w:r>
        <w:rPr>
          <w:rFonts w:hint="eastAsia"/>
          <w:snapToGrid/>
        </w:rPr>
        <w:t>万名会员。其中三分之一是以个人名义向中心代表机构注册</w:t>
      </w:r>
      <w:r>
        <w:rPr>
          <w:snapToGrid/>
        </w:rPr>
        <w:t>，</w:t>
      </w:r>
      <w:r>
        <w:rPr>
          <w:rFonts w:hint="eastAsia"/>
          <w:snapToGrid/>
        </w:rPr>
        <w:t>不从属于成员组织。据报告目前有</w:t>
      </w:r>
      <w:r>
        <w:rPr>
          <w:snapToGrid/>
        </w:rPr>
        <w:t>6</w:t>
      </w:r>
      <w:r>
        <w:rPr>
          <w:rFonts w:hint="eastAsia"/>
          <w:snapToGrid/>
        </w:rPr>
        <w:t>万名会员；</w:t>
      </w:r>
    </w:p>
    <w:p w:rsidR="00000000" w:rsidRDefault="00000000">
      <w:pPr>
        <w:numPr>
          <w:ilvl w:val="0"/>
          <w:numId w:val="153"/>
        </w:numPr>
        <w:rPr>
          <w:rFonts w:hint="eastAsia"/>
          <w:snapToGrid/>
        </w:rPr>
      </w:pPr>
      <w:r>
        <w:rPr>
          <w:rFonts w:hint="eastAsia"/>
          <w:snapToGrid/>
        </w:rPr>
        <w:t>独立工会联合会有</w:t>
      </w:r>
      <w:r>
        <w:rPr>
          <w:snapToGrid/>
        </w:rPr>
        <w:t>22</w:t>
      </w:r>
      <w:r>
        <w:rPr>
          <w:rFonts w:hint="eastAsia"/>
          <w:snapToGrid/>
        </w:rPr>
        <w:t>万名会员。它的成员工会有</w:t>
      </w:r>
      <w:r>
        <w:rPr>
          <w:snapToGrid/>
        </w:rPr>
        <w:t>：</w:t>
      </w:r>
      <w:r>
        <w:rPr>
          <w:rFonts w:hint="eastAsia"/>
          <w:snapToGrid/>
        </w:rPr>
        <w:t>农业和营养业工人工会</w:t>
      </w:r>
      <w:r>
        <w:rPr>
          <w:rFonts w:hint="eastAsia"/>
          <w:snapToGrid/>
        </w:rPr>
        <w:t>(</w:t>
      </w:r>
      <w:r>
        <w:rPr>
          <w:rFonts w:hint="eastAsia"/>
          <w:snapToGrid/>
        </w:rPr>
        <w:t>约有</w:t>
      </w:r>
      <w:r>
        <w:rPr>
          <w:rFonts w:hint="eastAsia"/>
          <w:snapToGrid/>
        </w:rPr>
        <w:t>9.5</w:t>
      </w:r>
      <w:r>
        <w:rPr>
          <w:rFonts w:hint="eastAsia"/>
          <w:snapToGrid/>
        </w:rPr>
        <w:t>万名会员</w:t>
      </w:r>
      <w:r>
        <w:rPr>
          <w:rFonts w:hint="eastAsia"/>
          <w:snapToGrid/>
        </w:rPr>
        <w:t>)</w:t>
      </w:r>
      <w:r>
        <w:rPr>
          <w:rFonts w:hint="eastAsia"/>
          <w:snapToGrid/>
        </w:rPr>
        <w:t>、铁路工人工会</w:t>
      </w:r>
      <w:r>
        <w:rPr>
          <w:rFonts w:hint="eastAsia"/>
          <w:snapToGrid/>
        </w:rPr>
        <w:t>(</w:t>
      </w:r>
      <w:r>
        <w:rPr>
          <w:rFonts w:hint="eastAsia"/>
          <w:snapToGrid/>
        </w:rPr>
        <w:t>有</w:t>
      </w:r>
      <w:r>
        <w:rPr>
          <w:snapToGrid/>
        </w:rPr>
        <w:t>7.2</w:t>
      </w:r>
      <w:r>
        <w:rPr>
          <w:rFonts w:hint="eastAsia"/>
          <w:snapToGrid/>
        </w:rPr>
        <w:t>万名正式会员</w:t>
      </w:r>
      <w:r>
        <w:rPr>
          <w:rFonts w:hint="eastAsia"/>
          <w:snapToGrid/>
        </w:rPr>
        <w:t>)</w:t>
      </w:r>
      <w:r>
        <w:rPr>
          <w:rFonts w:hint="eastAsia"/>
          <w:snapToGrid/>
        </w:rPr>
        <w:t>、捷克西北电力工程师工会、个体工人工会和平板玻璃工会；</w:t>
      </w:r>
    </w:p>
    <w:p w:rsidR="00000000" w:rsidRDefault="00000000">
      <w:pPr>
        <w:numPr>
          <w:ilvl w:val="0"/>
          <w:numId w:val="153"/>
        </w:numPr>
        <w:rPr>
          <w:szCs w:val="14"/>
        </w:rPr>
      </w:pPr>
      <w:r>
        <w:rPr>
          <w:rFonts w:hint="eastAsia"/>
          <w:szCs w:val="14"/>
        </w:rPr>
        <w:t>基督教工会联合会。它约有</w:t>
      </w:r>
      <w:r>
        <w:rPr>
          <w:szCs w:val="14"/>
        </w:rPr>
        <w:t>l.05</w:t>
      </w:r>
      <w:r>
        <w:rPr>
          <w:rFonts w:hint="eastAsia"/>
          <w:szCs w:val="14"/>
        </w:rPr>
        <w:t>万名会员</w:t>
      </w:r>
      <w:r>
        <w:rPr>
          <w:szCs w:val="14"/>
        </w:rPr>
        <w:t>，</w:t>
      </w:r>
      <w:r>
        <w:rPr>
          <w:rFonts w:hint="eastAsia"/>
          <w:szCs w:val="14"/>
        </w:rPr>
        <w:t>主要来自摩拉维亚。会员分属各经济部门或行业，也有退休人员和残疾人。目前</w:t>
      </w:r>
      <w:r>
        <w:rPr>
          <w:szCs w:val="14"/>
        </w:rPr>
        <w:t>，</w:t>
      </w:r>
      <w:r>
        <w:rPr>
          <w:rFonts w:hint="eastAsia"/>
          <w:szCs w:val="14"/>
        </w:rPr>
        <w:t>下设运输、教育、国家机关和地方政府机关、机械工程和妇女分部。</w:t>
      </w:r>
    </w:p>
    <w:p w:rsidR="00000000" w:rsidRDefault="00000000">
      <w:pPr>
        <w:rPr>
          <w:snapToGrid/>
        </w:rPr>
      </w:pPr>
      <w:r>
        <w:rPr>
          <w:snapToGrid/>
        </w:rPr>
        <w:tab/>
        <w:t xml:space="preserve">313.  </w:t>
      </w:r>
      <w:r>
        <w:rPr>
          <w:rFonts w:hint="eastAsia"/>
          <w:snapToGrid/>
        </w:rPr>
        <w:t>有些行业协会联合会是独立的</w:t>
      </w:r>
      <w:r>
        <w:rPr>
          <w:snapToGrid/>
        </w:rPr>
        <w:t>，</w:t>
      </w:r>
      <w:r>
        <w:rPr>
          <w:rFonts w:hint="eastAsia"/>
          <w:snapToGrid/>
        </w:rPr>
        <w:t>不从属任何协会组织</w:t>
      </w:r>
      <w:r>
        <w:rPr>
          <w:snapToGrid/>
        </w:rPr>
        <w:t>，</w:t>
      </w:r>
      <w:r>
        <w:rPr>
          <w:rFonts w:hint="eastAsia"/>
          <w:snapToGrid/>
        </w:rPr>
        <w:t>如医生协会俱乐部、司法协会和司法职工协会。但是这些协会团体不公布自己的会员名单</w:t>
      </w:r>
      <w:r>
        <w:rPr>
          <w:snapToGrid/>
        </w:rPr>
        <w:t>，</w:t>
      </w:r>
      <w:r>
        <w:rPr>
          <w:rFonts w:hint="eastAsia"/>
          <w:snapToGrid/>
        </w:rPr>
        <w:t>因此不可能确切地知道它们有多少会员。</w:t>
      </w:r>
    </w:p>
    <w:p w:rsidR="00000000" w:rsidRDefault="00000000">
      <w:pPr>
        <w:rPr>
          <w:rFonts w:hint="eastAsia"/>
          <w:snapToGrid/>
        </w:rPr>
      </w:pPr>
      <w:r>
        <w:rPr>
          <w:rFonts w:hint="eastAsia"/>
          <w:snapToGrid/>
        </w:rPr>
        <w:tab/>
      </w:r>
      <w:r>
        <w:rPr>
          <w:snapToGrid/>
        </w:rPr>
        <w:t xml:space="preserve">314.  </w:t>
      </w:r>
      <w:r>
        <w:rPr>
          <w:rFonts w:hint="eastAsia"/>
          <w:snapToGrid/>
        </w:rPr>
        <w:t>在捷克共和国</w:t>
      </w:r>
      <w:r>
        <w:rPr>
          <w:snapToGrid/>
        </w:rPr>
        <w:t>，</w:t>
      </w:r>
      <w:r>
        <w:rPr>
          <w:rFonts w:hint="eastAsia"/>
          <w:snapToGrid/>
        </w:rPr>
        <w:t>很难确定工会成员在总工作人口中所占的比例</w:t>
      </w:r>
      <w:r>
        <w:rPr>
          <w:snapToGrid/>
        </w:rPr>
        <w:t>，</w:t>
      </w:r>
      <w:r>
        <w:rPr>
          <w:rFonts w:hint="eastAsia"/>
          <w:snapToGrid/>
        </w:rPr>
        <w:t>因为独立工会组织不公布其会员总人数。</w:t>
      </w:r>
    </w:p>
    <w:p w:rsidR="00000000" w:rsidRDefault="00000000">
      <w:pPr>
        <w:rPr>
          <w:snapToGrid/>
        </w:rPr>
      </w:pPr>
      <w:r>
        <w:rPr>
          <w:rFonts w:hint="eastAsia"/>
          <w:snapToGrid/>
        </w:rPr>
        <w:tab/>
      </w:r>
      <w:r>
        <w:rPr>
          <w:snapToGrid/>
        </w:rPr>
        <w:t xml:space="preserve">315.  </w:t>
      </w:r>
      <w:r>
        <w:rPr>
          <w:rFonts w:hint="eastAsia"/>
          <w:snapToGrid/>
        </w:rPr>
        <w:t>捷克共和国的劳动力包括</w:t>
      </w:r>
      <w:r>
        <w:rPr>
          <w:snapToGrid/>
        </w:rPr>
        <w:t>l5</w:t>
      </w:r>
      <w:r>
        <w:rPr>
          <w:rFonts w:hint="eastAsia"/>
          <w:snapToGrid/>
        </w:rPr>
        <w:t>岁以上的所有人。只做以下区别</w:t>
      </w:r>
      <w:r>
        <w:rPr>
          <w:snapToGrid/>
        </w:rPr>
        <w:t>：</w:t>
      </w:r>
      <w:r>
        <w:rPr>
          <w:rFonts w:hint="eastAsia"/>
          <w:snapToGrid/>
        </w:rPr>
        <w:t>劳动力总数</w:t>
      </w:r>
      <w:r>
        <w:rPr>
          <w:rFonts w:hint="eastAsia"/>
          <w:snapToGrid/>
          <w:spacing w:val="-40"/>
          <w:sz w:val="22"/>
        </w:rPr>
        <w:t>——</w:t>
      </w:r>
      <w:r>
        <w:rPr>
          <w:snapToGrid/>
          <w:sz w:val="22"/>
        </w:rPr>
        <w:t xml:space="preserve"> </w:t>
      </w:r>
      <w:r>
        <w:rPr>
          <w:rFonts w:hint="eastAsia"/>
          <w:snapToGrid/>
        </w:rPr>
        <w:t>在国民经济中就业和失业人数；民用部门劳动力</w:t>
      </w:r>
      <w:r>
        <w:rPr>
          <w:rFonts w:hint="eastAsia"/>
          <w:snapToGrid/>
          <w:spacing w:val="-40"/>
          <w:sz w:val="22"/>
        </w:rPr>
        <w:t>——</w:t>
      </w:r>
      <w:r>
        <w:rPr>
          <w:snapToGrid/>
          <w:sz w:val="22"/>
        </w:rPr>
        <w:t xml:space="preserve"> </w:t>
      </w:r>
      <w:r>
        <w:rPr>
          <w:rFonts w:hint="eastAsia"/>
          <w:snapToGrid/>
        </w:rPr>
        <w:t>在民用部门就业和失业人数。就业人口中包括自谋职业者。</w:t>
      </w:r>
      <w:r>
        <w:rPr>
          <w:snapToGrid/>
        </w:rPr>
        <w:t>1998</w:t>
      </w:r>
      <w:r>
        <w:rPr>
          <w:rFonts w:hint="eastAsia"/>
          <w:snapToGrid/>
        </w:rPr>
        <w:t>年</w:t>
      </w:r>
      <w:r>
        <w:rPr>
          <w:snapToGrid/>
        </w:rPr>
        <w:t>，</w:t>
      </w:r>
      <w:r>
        <w:rPr>
          <w:rFonts w:hint="eastAsia"/>
          <w:snapToGrid/>
        </w:rPr>
        <w:t>劳动力总数为</w:t>
      </w:r>
      <w:r>
        <w:rPr>
          <w:snapToGrid/>
        </w:rPr>
        <w:t>5,201,000</w:t>
      </w:r>
      <w:r>
        <w:rPr>
          <w:rFonts w:hint="eastAsia"/>
          <w:snapToGrid/>
        </w:rPr>
        <w:t>人。尽管确定准确的会员人数有上述困难</w:t>
      </w:r>
      <w:r>
        <w:rPr>
          <w:snapToGrid/>
        </w:rPr>
        <w:t>，</w:t>
      </w:r>
      <w:r>
        <w:rPr>
          <w:rFonts w:hint="eastAsia"/>
          <w:snapToGrid/>
        </w:rPr>
        <w:t>但估计捷克共和国劳动力总数中约有</w:t>
      </w:r>
      <w:r>
        <w:rPr>
          <w:snapToGrid/>
        </w:rPr>
        <w:t>33</w:t>
      </w:r>
      <w:r>
        <w:rPr>
          <w:rFonts w:hint="eastAsia"/>
          <w:snapToGrid/>
        </w:rPr>
        <w:t>%</w:t>
      </w:r>
      <w:r>
        <w:rPr>
          <w:rFonts w:hint="eastAsia"/>
          <w:snapToGrid/>
        </w:rPr>
        <w:t>的人组成了工会。</w:t>
      </w:r>
    </w:p>
    <w:p w:rsidR="00000000" w:rsidRDefault="00000000">
      <w:pPr>
        <w:spacing w:after="320"/>
        <w:rPr>
          <w:snapToGrid/>
        </w:rPr>
      </w:pPr>
      <w:r>
        <w:rPr>
          <w:rFonts w:hint="eastAsia"/>
          <w:snapToGrid/>
        </w:rPr>
        <w:tab/>
      </w:r>
      <w:r>
        <w:rPr>
          <w:snapToGrid/>
        </w:rPr>
        <w:t xml:space="preserve">316.  </w:t>
      </w:r>
      <w:r>
        <w:rPr>
          <w:rFonts w:hint="eastAsia"/>
          <w:snapToGrid/>
        </w:rPr>
        <w:t>捷克共和国加入了国际劳工组织第</w:t>
      </w:r>
      <w:r>
        <w:rPr>
          <w:snapToGrid/>
        </w:rPr>
        <w:t>87</w:t>
      </w:r>
      <w:r>
        <w:rPr>
          <w:rFonts w:hint="eastAsia"/>
          <w:snapToGrid/>
        </w:rPr>
        <w:t>号《结社自由和保护组织权利公约》</w:t>
      </w:r>
      <w:r>
        <w:rPr>
          <w:snapToGrid/>
        </w:rPr>
        <w:t>(1948</w:t>
      </w:r>
      <w:r>
        <w:rPr>
          <w:rFonts w:hint="eastAsia"/>
          <w:snapToGrid/>
        </w:rPr>
        <w:t>年</w:t>
      </w:r>
      <w:r>
        <w:rPr>
          <w:snapToGrid/>
        </w:rPr>
        <w:t>)</w:t>
      </w:r>
      <w:r>
        <w:rPr>
          <w:rStyle w:val="EndnoteReference"/>
          <w:snapToGrid/>
        </w:rPr>
        <w:endnoteReference w:id="186"/>
      </w:r>
      <w:r>
        <w:rPr>
          <w:rFonts w:hint="eastAsia"/>
          <w:snapToGrid/>
        </w:rPr>
        <w:t xml:space="preserve"> </w:t>
      </w:r>
      <w:r>
        <w:rPr>
          <w:rFonts w:hint="eastAsia"/>
          <w:snapToGrid/>
        </w:rPr>
        <w:t>和第</w:t>
      </w:r>
      <w:r>
        <w:rPr>
          <w:snapToGrid/>
        </w:rPr>
        <w:t>98</w:t>
      </w:r>
      <w:r>
        <w:rPr>
          <w:rFonts w:hint="eastAsia"/>
          <w:snapToGrid/>
        </w:rPr>
        <w:t>号《组织权利和集体谈判权利公约》</w:t>
      </w:r>
      <w:r>
        <w:rPr>
          <w:rFonts w:hint="eastAsia"/>
          <w:snapToGrid/>
        </w:rPr>
        <w:t>(</w:t>
      </w:r>
      <w:r>
        <w:rPr>
          <w:snapToGrid/>
        </w:rPr>
        <w:t>1949</w:t>
      </w:r>
      <w:r>
        <w:rPr>
          <w:rFonts w:hint="eastAsia"/>
          <w:snapToGrid/>
        </w:rPr>
        <w:t>年</w:t>
      </w:r>
      <w:r>
        <w:rPr>
          <w:rFonts w:hint="eastAsia"/>
          <w:snapToGrid/>
        </w:rPr>
        <w:t>)</w:t>
      </w:r>
      <w:r>
        <w:rPr>
          <w:rStyle w:val="EndnoteReference"/>
          <w:snapToGrid/>
        </w:rPr>
        <w:endnoteReference w:id="187"/>
      </w:r>
      <w:r>
        <w:rPr>
          <w:rFonts w:hint="eastAsia"/>
          <w:snapToGrid/>
        </w:rPr>
        <w:t>。政府提交了关于这些公约执行情况的报告。捷克共和国还加入了《公民权利和政治权利国际公约》</w:t>
      </w:r>
      <w:r>
        <w:rPr>
          <w:snapToGrid/>
        </w:rPr>
        <w:t>(</w:t>
      </w:r>
      <w:r>
        <w:rPr>
          <w:rFonts w:hint="eastAsia"/>
          <w:snapToGrid/>
        </w:rPr>
        <w:t>见本报告导言</w:t>
      </w:r>
      <w:r>
        <w:rPr>
          <w:rFonts w:hint="eastAsia"/>
          <w:snapToGrid/>
        </w:rPr>
        <w:t>)</w:t>
      </w:r>
      <w:r>
        <w:rPr>
          <w:rFonts w:hint="eastAsia"/>
          <w:snapToGrid/>
        </w:rPr>
        <w:t>。</w:t>
      </w:r>
    </w:p>
    <w:p w:rsidR="00000000" w:rsidRDefault="00000000">
      <w:pPr>
        <w:pStyle w:val="Heading3"/>
      </w:pPr>
      <w:r>
        <w:rPr>
          <w:rFonts w:hint="eastAsia"/>
        </w:rPr>
        <w:t>第</w:t>
      </w:r>
      <w:r>
        <w:t xml:space="preserve"> </w:t>
      </w:r>
      <w:r>
        <w:rPr>
          <w:bCs/>
        </w:rPr>
        <w:t>9</w:t>
      </w:r>
      <w:r>
        <w:t xml:space="preserve"> </w:t>
      </w:r>
      <w:r>
        <w:rPr>
          <w:rFonts w:hint="eastAsia"/>
        </w:rPr>
        <w:t>条</w:t>
      </w:r>
    </w:p>
    <w:p w:rsidR="00000000" w:rsidRDefault="00000000">
      <w:pPr>
        <w:rPr>
          <w:rFonts w:hint="eastAsia"/>
          <w:snapToGrid/>
        </w:rPr>
      </w:pPr>
      <w:r>
        <w:rPr>
          <w:snapToGrid/>
        </w:rPr>
        <w:tab/>
        <w:t xml:space="preserve">317.  </w:t>
      </w:r>
      <w:r>
        <w:rPr>
          <w:rFonts w:hint="eastAsia"/>
          <w:snapToGrid/>
        </w:rPr>
        <w:t>《宪章》第</w:t>
      </w:r>
      <w:r>
        <w:rPr>
          <w:snapToGrid/>
        </w:rPr>
        <w:t>30</w:t>
      </w:r>
      <w:r>
        <w:rPr>
          <w:rFonts w:hint="eastAsia"/>
          <w:snapToGrid/>
        </w:rPr>
        <w:t>条规定</w:t>
      </w:r>
      <w:r>
        <w:rPr>
          <w:snapToGrid/>
        </w:rPr>
        <w:t>：</w:t>
      </w:r>
    </w:p>
    <w:p w:rsidR="00000000" w:rsidRDefault="00000000">
      <w:pPr>
        <w:pStyle w:val="a5"/>
        <w:ind w:left="1820" w:hanging="799"/>
        <w:rPr>
          <w:snapToGrid/>
        </w:rPr>
      </w:pPr>
      <w:r>
        <w:rPr>
          <w:rFonts w:hint="eastAsia"/>
          <w:snapToGrid/>
        </w:rPr>
        <w:t>“</w:t>
      </w:r>
      <w:r>
        <w:rPr>
          <w:snapToGrid/>
        </w:rPr>
        <w:t>(l)</w:t>
      </w:r>
      <w:r>
        <w:rPr>
          <w:rFonts w:hint="eastAsia"/>
          <w:snapToGrid/>
        </w:rPr>
        <w:tab/>
      </w:r>
      <w:r>
        <w:rPr>
          <w:rFonts w:hint="eastAsia"/>
          <w:snapToGrid/>
        </w:rPr>
        <w:t>公民有权在老年或丧失工作能力或失去生活来源时获得足够的物质保障；</w:t>
      </w:r>
    </w:p>
    <w:p w:rsidR="00000000" w:rsidRDefault="00000000">
      <w:pPr>
        <w:pStyle w:val="a5"/>
        <w:ind w:left="1820" w:hanging="799"/>
        <w:rPr>
          <w:rFonts w:hint="eastAsia"/>
          <w:snapToGrid/>
        </w:rPr>
      </w:pPr>
      <w:r>
        <w:rPr>
          <w:rFonts w:hint="eastAsia"/>
          <w:snapToGrid/>
        </w:rPr>
        <w:t>“</w:t>
      </w:r>
      <w:r>
        <w:rPr>
          <w:rFonts w:hint="eastAsia"/>
          <w:snapToGrid/>
        </w:rPr>
        <w:t>(</w:t>
      </w:r>
      <w:r>
        <w:rPr>
          <w:snapToGrid/>
        </w:rPr>
        <w:t>2</w:t>
      </w:r>
      <w:r>
        <w:rPr>
          <w:rFonts w:hint="eastAsia"/>
          <w:snapToGrid/>
        </w:rPr>
        <w:t>)</w:t>
      </w:r>
      <w:r>
        <w:rPr>
          <w:rFonts w:hint="eastAsia"/>
          <w:snapToGrid/>
        </w:rPr>
        <w:tab/>
      </w:r>
      <w:r>
        <w:rPr>
          <w:rFonts w:hint="eastAsia"/>
          <w:snapToGrid/>
        </w:rPr>
        <w:t>个人在物质需求得不到满足时有权获得必要援助</w:t>
      </w:r>
      <w:r>
        <w:rPr>
          <w:snapToGrid/>
        </w:rPr>
        <w:t>，</w:t>
      </w:r>
      <w:r>
        <w:rPr>
          <w:rFonts w:hint="eastAsia"/>
          <w:snapToGrid/>
        </w:rPr>
        <w:t>以确保过上基本的生活水准；</w:t>
      </w:r>
    </w:p>
    <w:p w:rsidR="00000000" w:rsidRDefault="00000000">
      <w:pPr>
        <w:pStyle w:val="a5"/>
        <w:ind w:left="1820" w:hanging="799"/>
        <w:rPr>
          <w:snapToGrid/>
        </w:rPr>
      </w:pPr>
      <w:r>
        <w:rPr>
          <w:rFonts w:hint="eastAsia"/>
          <w:snapToGrid/>
        </w:rPr>
        <w:t>“</w:t>
      </w:r>
      <w:r>
        <w:rPr>
          <w:snapToGrid/>
        </w:rPr>
        <w:t>(3)</w:t>
      </w:r>
      <w:r>
        <w:rPr>
          <w:rFonts w:hint="eastAsia"/>
          <w:snapToGrid/>
        </w:rPr>
        <w:tab/>
      </w:r>
      <w:r>
        <w:rPr>
          <w:rFonts w:hint="eastAsia"/>
          <w:snapToGrid/>
        </w:rPr>
        <w:t>将依法颁布细则。”</w:t>
      </w:r>
    </w:p>
    <w:p w:rsidR="00000000" w:rsidRDefault="00000000">
      <w:pPr>
        <w:rPr>
          <w:snapToGrid/>
        </w:rPr>
      </w:pPr>
      <w:r>
        <w:rPr>
          <w:rFonts w:hint="eastAsia"/>
          <w:snapToGrid/>
        </w:rPr>
        <w:tab/>
      </w:r>
      <w:r>
        <w:rPr>
          <w:snapToGrid/>
        </w:rPr>
        <w:t xml:space="preserve">318.  </w:t>
      </w:r>
      <w:r>
        <w:rPr>
          <w:rFonts w:hint="eastAsia"/>
          <w:snapToGrid/>
        </w:rPr>
        <w:t>捷克共和国社会保障制度的基础是一系列法律规范和各种财务和组织措施。其目的是确保所有人遇有经济和社会困难时享有基本社会权利。社会保障是通过支付社会保险津贴或提供社会服务实施的。</w:t>
      </w:r>
    </w:p>
    <w:p w:rsidR="00000000" w:rsidRDefault="00000000">
      <w:pPr>
        <w:rPr>
          <w:snapToGrid/>
          <w:szCs w:val="26"/>
        </w:rPr>
      </w:pPr>
      <w:r>
        <w:rPr>
          <w:rFonts w:hint="eastAsia"/>
          <w:snapToGrid/>
        </w:rPr>
        <w:tab/>
      </w:r>
      <w:r>
        <w:rPr>
          <w:snapToGrid/>
        </w:rPr>
        <w:t xml:space="preserve">319.  </w:t>
      </w:r>
      <w:r>
        <w:rPr>
          <w:rFonts w:hint="eastAsia"/>
          <w:snapToGrid/>
        </w:rPr>
        <w:t>有关社会保障制度的法律有</w:t>
      </w:r>
      <w:r>
        <w:rPr>
          <w:snapToGrid/>
        </w:rPr>
        <w:t>：</w:t>
      </w:r>
      <w:r>
        <w:rPr>
          <w:rFonts w:hint="eastAsia"/>
          <w:snapToGrid/>
        </w:rPr>
        <w:t>《社会保障法》</w:t>
      </w:r>
      <w:r>
        <w:rPr>
          <w:rStyle w:val="EndnoteReference"/>
          <w:snapToGrid/>
        </w:rPr>
        <w:endnoteReference w:id="188"/>
      </w:r>
      <w:r>
        <w:rPr>
          <w:rFonts w:hint="eastAsia"/>
          <w:snapToGrid/>
        </w:rPr>
        <w:t>、《国家社会抚养扶助法》</w:t>
      </w:r>
      <w:r>
        <w:rPr>
          <w:rStyle w:val="EndnoteReference"/>
          <w:snapToGrid/>
        </w:rPr>
        <w:endnoteReference w:id="189"/>
      </w:r>
      <w:r>
        <w:rPr>
          <w:rFonts w:hint="eastAsia"/>
          <w:snapToGrid/>
        </w:rPr>
        <w:t>、《社会贫困法》</w:t>
      </w:r>
      <w:r>
        <w:rPr>
          <w:rStyle w:val="EndnoteReference"/>
          <w:snapToGrid/>
        </w:rPr>
        <w:endnoteReference w:id="190"/>
      </w:r>
      <w:r>
        <w:rPr>
          <w:rFonts w:hint="eastAsia"/>
          <w:snapToGrid/>
        </w:rPr>
        <w:t>、《养恤金保险法》</w:t>
      </w:r>
      <w:r>
        <w:rPr>
          <w:rStyle w:val="EndnoteReference"/>
          <w:snapToGrid/>
        </w:rPr>
        <w:endnoteReference w:id="191"/>
      </w:r>
      <w:r>
        <w:rPr>
          <w:rFonts w:hint="eastAsia"/>
          <w:snapToGrid/>
        </w:rPr>
        <w:t>、《职工疾病保险法》</w:t>
      </w:r>
      <w:r>
        <w:rPr>
          <w:rStyle w:val="EndnoteReference"/>
          <w:snapToGrid/>
        </w:rPr>
        <w:endnoteReference w:id="192"/>
      </w:r>
      <w:r>
        <w:rPr>
          <w:rFonts w:hint="eastAsia"/>
          <w:snapToGrid/>
        </w:rPr>
        <w:t>、《社会保障组织和实施法》</w:t>
      </w:r>
      <w:r>
        <w:rPr>
          <w:rStyle w:val="EndnoteReference"/>
          <w:snapToGrid/>
        </w:rPr>
        <w:endnoteReference w:id="193"/>
      </w:r>
      <w:r>
        <w:rPr>
          <w:rFonts w:hint="eastAsia"/>
          <w:snapToGrid/>
        </w:rPr>
        <w:t>、《社会保障和国家就业政策缴费法》</w:t>
      </w:r>
      <w:r>
        <w:rPr>
          <w:rStyle w:val="EndnoteReference"/>
          <w:snapToGrid/>
        </w:rPr>
        <w:endnoteReference w:id="194"/>
      </w:r>
      <w:r>
        <w:rPr>
          <w:rFonts w:hint="eastAsia"/>
          <w:snapToGrid/>
        </w:rPr>
        <w:t>、</w:t>
      </w:r>
      <w:r>
        <w:rPr>
          <w:rFonts w:hint="eastAsia"/>
          <w:snapToGrid/>
          <w:szCs w:val="26"/>
        </w:rPr>
        <w:t>《国家补充缴纳养恤金保险法》</w:t>
      </w:r>
      <w:r>
        <w:rPr>
          <w:rStyle w:val="EndnoteReference"/>
          <w:snapToGrid/>
        </w:rPr>
        <w:endnoteReference w:id="195"/>
      </w:r>
      <w:r>
        <w:rPr>
          <w:snapToGrid/>
          <w:szCs w:val="26"/>
        </w:rPr>
        <w:t xml:space="preserve"> </w:t>
      </w:r>
      <w:r>
        <w:rPr>
          <w:rFonts w:hint="eastAsia"/>
          <w:snapToGrid/>
          <w:szCs w:val="26"/>
        </w:rPr>
        <w:t>以及其他法律。整个社会保障系统建立在三大支柱之上</w:t>
      </w:r>
      <w:r>
        <w:rPr>
          <w:snapToGrid/>
          <w:szCs w:val="26"/>
        </w:rPr>
        <w:t>，</w:t>
      </w:r>
      <w:r>
        <w:rPr>
          <w:rFonts w:hint="eastAsia"/>
          <w:snapToGrid/>
          <w:szCs w:val="26"/>
        </w:rPr>
        <w:t>各有其特别的重要意义。它们是</w:t>
      </w:r>
      <w:r>
        <w:rPr>
          <w:snapToGrid/>
          <w:szCs w:val="26"/>
        </w:rPr>
        <w:t>：</w:t>
      </w:r>
    </w:p>
    <w:p w:rsidR="00000000" w:rsidRDefault="00000000">
      <w:pPr>
        <w:numPr>
          <w:ilvl w:val="0"/>
          <w:numId w:val="155"/>
        </w:numPr>
        <w:rPr>
          <w:rFonts w:hint="eastAsia"/>
          <w:snapToGrid/>
        </w:rPr>
      </w:pPr>
      <w:r>
        <w:rPr>
          <w:rFonts w:hint="eastAsia"/>
          <w:snapToGrid/>
        </w:rPr>
        <w:t>社会保险</w:t>
      </w:r>
      <w:r>
        <w:rPr>
          <w:snapToGrid/>
        </w:rPr>
        <w:t>(</w:t>
      </w:r>
      <w:r>
        <w:rPr>
          <w:rFonts w:hint="eastAsia"/>
          <w:snapToGrid/>
        </w:rPr>
        <w:t>养恤金和医疗</w:t>
      </w:r>
      <w:r>
        <w:rPr>
          <w:rFonts w:hint="eastAsia"/>
          <w:snapToGrid/>
        </w:rPr>
        <w:t>)</w:t>
      </w:r>
      <w:r>
        <w:rPr>
          <w:rFonts w:hint="eastAsia"/>
          <w:snapToGrid/>
        </w:rPr>
        <w:t>；</w:t>
      </w:r>
    </w:p>
    <w:p w:rsidR="00000000" w:rsidRDefault="00000000">
      <w:pPr>
        <w:numPr>
          <w:ilvl w:val="0"/>
          <w:numId w:val="155"/>
        </w:numPr>
        <w:rPr>
          <w:snapToGrid/>
        </w:rPr>
      </w:pPr>
      <w:r>
        <w:rPr>
          <w:rFonts w:hint="eastAsia"/>
          <w:snapToGrid/>
        </w:rPr>
        <w:t>国家社会扶助；</w:t>
      </w:r>
    </w:p>
    <w:p w:rsidR="00000000" w:rsidRDefault="00000000">
      <w:pPr>
        <w:numPr>
          <w:ilvl w:val="0"/>
          <w:numId w:val="155"/>
        </w:numPr>
        <w:rPr>
          <w:snapToGrid/>
        </w:rPr>
      </w:pPr>
      <w:r>
        <w:rPr>
          <w:rFonts w:hint="eastAsia"/>
          <w:snapToGrid/>
        </w:rPr>
        <w:t>社会抚养。</w:t>
      </w:r>
    </w:p>
    <w:p w:rsidR="00000000" w:rsidRDefault="00000000">
      <w:pPr>
        <w:rPr>
          <w:snapToGrid/>
          <w:szCs w:val="26"/>
        </w:rPr>
      </w:pPr>
      <w:r>
        <w:rPr>
          <w:rFonts w:hint="eastAsia"/>
          <w:snapToGrid/>
          <w:szCs w:val="26"/>
        </w:rPr>
        <w:tab/>
      </w:r>
      <w:r>
        <w:rPr>
          <w:snapToGrid/>
          <w:szCs w:val="26"/>
        </w:rPr>
        <w:t xml:space="preserve">320.  </w:t>
      </w:r>
      <w:r>
        <w:rPr>
          <w:rFonts w:hint="eastAsia"/>
          <w:snapToGrid/>
          <w:szCs w:val="26"/>
        </w:rPr>
        <w:t>《宪章》授权依法颁布社会保障权细则。《社会保障法》第</w:t>
      </w:r>
      <w:r>
        <w:rPr>
          <w:snapToGrid/>
          <w:szCs w:val="26"/>
        </w:rPr>
        <w:t>1</w:t>
      </w:r>
      <w:r>
        <w:rPr>
          <w:rFonts w:hint="eastAsia"/>
          <w:snapToGrid/>
          <w:szCs w:val="26"/>
        </w:rPr>
        <w:t>条保证所有公民享有这一权利。社会保障津贴由国家提供</w:t>
      </w:r>
      <w:r>
        <w:rPr>
          <w:snapToGrid/>
          <w:szCs w:val="26"/>
        </w:rPr>
        <w:t>，</w:t>
      </w:r>
      <w:r>
        <w:rPr>
          <w:rFonts w:hint="eastAsia"/>
          <w:snapToGrid/>
          <w:szCs w:val="26"/>
        </w:rPr>
        <w:t>不缴税。社会保险收入和支出属于国家预算的一部分。</w:t>
      </w:r>
    </w:p>
    <w:p w:rsidR="00000000" w:rsidRDefault="00000000">
      <w:pPr>
        <w:spacing w:after="320"/>
        <w:rPr>
          <w:snapToGrid/>
          <w:szCs w:val="26"/>
        </w:rPr>
      </w:pPr>
      <w:r>
        <w:rPr>
          <w:rFonts w:hint="eastAsia"/>
          <w:snapToGrid/>
          <w:szCs w:val="26"/>
        </w:rPr>
        <w:tab/>
      </w:r>
      <w:r>
        <w:rPr>
          <w:snapToGrid/>
          <w:szCs w:val="26"/>
        </w:rPr>
        <w:t xml:space="preserve">321.  </w:t>
      </w:r>
      <w:r>
        <w:rPr>
          <w:rFonts w:hint="eastAsia"/>
          <w:snapToGrid/>
          <w:szCs w:val="26"/>
        </w:rPr>
        <w:t>捷克共和国已加入国际劳工组织第</w:t>
      </w:r>
      <w:r>
        <w:rPr>
          <w:snapToGrid/>
          <w:szCs w:val="26"/>
        </w:rPr>
        <w:t>102</w:t>
      </w:r>
      <w:r>
        <w:rPr>
          <w:rFonts w:hint="eastAsia"/>
          <w:snapToGrid/>
          <w:szCs w:val="26"/>
        </w:rPr>
        <w:t>号《社会保障</w:t>
      </w:r>
      <w:r>
        <w:rPr>
          <w:snapToGrid/>
          <w:szCs w:val="26"/>
        </w:rPr>
        <w:t>(</w:t>
      </w:r>
      <w:r>
        <w:rPr>
          <w:rFonts w:hint="eastAsia"/>
          <w:snapToGrid/>
          <w:szCs w:val="26"/>
        </w:rPr>
        <w:t>最低标准</w:t>
      </w:r>
      <w:r>
        <w:rPr>
          <w:snapToGrid/>
          <w:szCs w:val="26"/>
        </w:rPr>
        <w:t>)</w:t>
      </w:r>
      <w:r>
        <w:rPr>
          <w:rFonts w:hint="eastAsia"/>
          <w:snapToGrid/>
          <w:szCs w:val="26"/>
        </w:rPr>
        <w:t>公约》</w:t>
      </w:r>
      <w:r>
        <w:rPr>
          <w:snapToGrid/>
          <w:szCs w:val="26"/>
        </w:rPr>
        <w:t>(</w:t>
      </w:r>
      <w:r>
        <w:rPr>
          <w:rFonts w:hint="eastAsia"/>
          <w:snapToGrid/>
          <w:szCs w:val="26"/>
        </w:rPr>
        <w:t>未批准支付工伤和失业津贴部分</w:t>
      </w:r>
      <w:r>
        <w:rPr>
          <w:rFonts w:hint="eastAsia"/>
          <w:snapToGrid/>
          <w:szCs w:val="26"/>
        </w:rPr>
        <w:t>)</w:t>
      </w:r>
      <w:r>
        <w:rPr>
          <w:rFonts w:hint="eastAsia"/>
          <w:snapToGrid/>
          <w:szCs w:val="26"/>
        </w:rPr>
        <w:t>和第</w:t>
      </w:r>
      <w:r>
        <w:rPr>
          <w:snapToGrid/>
          <w:szCs w:val="26"/>
        </w:rPr>
        <w:t>128</w:t>
      </w:r>
      <w:r>
        <w:rPr>
          <w:rFonts w:hint="eastAsia"/>
          <w:snapToGrid/>
          <w:szCs w:val="26"/>
        </w:rPr>
        <w:t>号《残废、老年和遗属津贴公约》</w:t>
      </w:r>
      <w:r>
        <w:rPr>
          <w:snapToGrid/>
          <w:szCs w:val="26"/>
        </w:rPr>
        <w:t>(</w:t>
      </w:r>
      <w:r>
        <w:rPr>
          <w:rFonts w:hint="eastAsia"/>
          <w:snapToGrid/>
          <w:szCs w:val="26"/>
        </w:rPr>
        <w:t>只批准了老年养恤金部分</w:t>
      </w:r>
      <w:r>
        <w:rPr>
          <w:snapToGrid/>
          <w:szCs w:val="26"/>
        </w:rPr>
        <w:t>)</w:t>
      </w:r>
      <w:r>
        <w:rPr>
          <w:rFonts w:hint="eastAsia"/>
          <w:snapToGrid/>
          <w:szCs w:val="26"/>
        </w:rPr>
        <w:t>。</w:t>
      </w:r>
      <w:r>
        <w:rPr>
          <w:snapToGrid/>
          <w:szCs w:val="26"/>
        </w:rPr>
        <w:t xml:space="preserve"> 1999</w:t>
      </w:r>
      <w:r>
        <w:rPr>
          <w:rFonts w:hint="eastAsia"/>
          <w:snapToGrid/>
          <w:szCs w:val="26"/>
        </w:rPr>
        <w:t>年</w:t>
      </w:r>
      <w:r>
        <w:rPr>
          <w:snapToGrid/>
          <w:szCs w:val="26"/>
        </w:rPr>
        <w:t>，</w:t>
      </w:r>
      <w:r>
        <w:rPr>
          <w:rFonts w:hint="eastAsia"/>
          <w:snapToGrid/>
          <w:szCs w:val="26"/>
        </w:rPr>
        <w:t>捷克共和国向劳工组织专家委员会提交了关于这两项公约执行情况的详细报告。</w:t>
      </w:r>
    </w:p>
    <w:p w:rsidR="00000000" w:rsidRDefault="00000000">
      <w:pPr>
        <w:pStyle w:val="Heading3"/>
        <w:pageBreakBefore/>
      </w:pPr>
      <w:r>
        <w:rPr>
          <w:rFonts w:hint="eastAsia"/>
        </w:rPr>
        <w:t>社会保障支出</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891"/>
        <w:gridCol w:w="891"/>
        <w:gridCol w:w="891"/>
        <w:gridCol w:w="891"/>
        <w:gridCol w:w="891"/>
        <w:gridCol w:w="891"/>
        <w:gridCol w:w="891"/>
      </w:tblGrid>
      <w:tr w:rsidR="00000000">
        <w:tblPrEx>
          <w:tblCellMar>
            <w:top w:w="0" w:type="dxa"/>
            <w:bottom w:w="0" w:type="dxa"/>
          </w:tblCellMar>
        </w:tblPrEx>
        <w:tc>
          <w:tcPr>
            <w:tcW w:w="3119" w:type="dxa"/>
            <w:tcBorders>
              <w:top w:val="single" w:sz="4" w:space="0" w:color="auto"/>
              <w:bottom w:val="single" w:sz="4" w:space="0" w:color="auto"/>
            </w:tcBorders>
          </w:tcPr>
          <w:p w:rsidR="00000000" w:rsidRDefault="00000000">
            <w:pPr>
              <w:pStyle w:val="aa"/>
              <w:jc w:val="center"/>
            </w:pPr>
          </w:p>
        </w:tc>
        <w:tc>
          <w:tcPr>
            <w:tcW w:w="891" w:type="dxa"/>
            <w:tcBorders>
              <w:top w:val="single" w:sz="4" w:space="0" w:color="auto"/>
              <w:bottom w:val="single" w:sz="4" w:space="0" w:color="auto"/>
            </w:tcBorders>
          </w:tcPr>
          <w:p w:rsidR="00000000" w:rsidRDefault="00000000">
            <w:pPr>
              <w:pStyle w:val="aa"/>
              <w:jc w:val="center"/>
            </w:pPr>
            <w:r>
              <w:t>1990</w:t>
            </w:r>
          </w:p>
        </w:tc>
        <w:tc>
          <w:tcPr>
            <w:tcW w:w="891" w:type="dxa"/>
            <w:tcBorders>
              <w:top w:val="single" w:sz="4" w:space="0" w:color="auto"/>
              <w:bottom w:val="single" w:sz="4" w:space="0" w:color="auto"/>
            </w:tcBorders>
          </w:tcPr>
          <w:p w:rsidR="00000000" w:rsidRDefault="00000000">
            <w:pPr>
              <w:pStyle w:val="aa"/>
              <w:jc w:val="center"/>
            </w:pPr>
            <w:r>
              <w:t>1993</w:t>
            </w:r>
          </w:p>
        </w:tc>
        <w:tc>
          <w:tcPr>
            <w:tcW w:w="891" w:type="dxa"/>
            <w:tcBorders>
              <w:top w:val="single" w:sz="4" w:space="0" w:color="auto"/>
              <w:bottom w:val="single" w:sz="4" w:space="0" w:color="auto"/>
            </w:tcBorders>
          </w:tcPr>
          <w:p w:rsidR="00000000" w:rsidRDefault="00000000">
            <w:pPr>
              <w:pStyle w:val="aa"/>
              <w:jc w:val="center"/>
            </w:pPr>
            <w:r>
              <w:t>1994</w:t>
            </w:r>
          </w:p>
        </w:tc>
        <w:tc>
          <w:tcPr>
            <w:tcW w:w="891" w:type="dxa"/>
            <w:tcBorders>
              <w:top w:val="single" w:sz="4" w:space="0" w:color="auto"/>
              <w:bottom w:val="single" w:sz="4" w:space="0" w:color="auto"/>
            </w:tcBorders>
          </w:tcPr>
          <w:p w:rsidR="00000000" w:rsidRDefault="00000000">
            <w:pPr>
              <w:pStyle w:val="aa"/>
              <w:jc w:val="center"/>
            </w:pPr>
            <w:r>
              <w:t>1995</w:t>
            </w:r>
          </w:p>
        </w:tc>
        <w:tc>
          <w:tcPr>
            <w:tcW w:w="891" w:type="dxa"/>
            <w:tcBorders>
              <w:top w:val="single" w:sz="4" w:space="0" w:color="auto"/>
              <w:bottom w:val="single" w:sz="4" w:space="0" w:color="auto"/>
            </w:tcBorders>
          </w:tcPr>
          <w:p w:rsidR="00000000" w:rsidRDefault="00000000">
            <w:pPr>
              <w:pStyle w:val="aa"/>
              <w:jc w:val="center"/>
            </w:pPr>
            <w:r>
              <w:t>1996</w:t>
            </w:r>
          </w:p>
        </w:tc>
        <w:tc>
          <w:tcPr>
            <w:tcW w:w="891" w:type="dxa"/>
            <w:tcBorders>
              <w:top w:val="single" w:sz="4" w:space="0" w:color="auto"/>
              <w:bottom w:val="single" w:sz="4" w:space="0" w:color="auto"/>
            </w:tcBorders>
          </w:tcPr>
          <w:p w:rsidR="00000000" w:rsidRDefault="00000000">
            <w:pPr>
              <w:pStyle w:val="aa"/>
              <w:jc w:val="center"/>
            </w:pPr>
            <w:r>
              <w:t>1997</w:t>
            </w:r>
          </w:p>
        </w:tc>
        <w:tc>
          <w:tcPr>
            <w:tcW w:w="891" w:type="dxa"/>
            <w:tcBorders>
              <w:top w:val="single" w:sz="4" w:space="0" w:color="auto"/>
              <w:bottom w:val="single" w:sz="4" w:space="0" w:color="auto"/>
            </w:tcBorders>
          </w:tcPr>
          <w:p w:rsidR="00000000" w:rsidRDefault="00000000">
            <w:pPr>
              <w:pStyle w:val="aa"/>
              <w:jc w:val="center"/>
            </w:pPr>
            <w:r>
              <w:t>1998</w:t>
            </w:r>
          </w:p>
        </w:tc>
      </w:tr>
      <w:tr w:rsidR="00000000">
        <w:tblPrEx>
          <w:tblCellMar>
            <w:top w:w="0" w:type="dxa"/>
            <w:bottom w:w="0" w:type="dxa"/>
          </w:tblCellMar>
        </w:tblPrEx>
        <w:tc>
          <w:tcPr>
            <w:tcW w:w="3119" w:type="dxa"/>
            <w:tcBorders>
              <w:top w:val="single" w:sz="4" w:space="0" w:color="auto"/>
            </w:tcBorders>
          </w:tcPr>
          <w:p w:rsidR="00000000" w:rsidRDefault="00000000">
            <w:pPr>
              <w:pStyle w:val="aa"/>
            </w:pPr>
            <w:r>
              <w:rPr>
                <w:rFonts w:hint="eastAsia"/>
                <w:snapToGrid/>
                <w:szCs w:val="26"/>
              </w:rPr>
              <w:t>疾病保险津贴</w:t>
            </w:r>
            <w:r>
              <w:rPr>
                <w:snapToGrid/>
                <w:szCs w:val="26"/>
              </w:rPr>
              <w:br/>
            </w:r>
            <w:r>
              <w:rPr>
                <w:rFonts w:hint="eastAsia"/>
                <w:snapToGrid/>
                <w:szCs w:val="26"/>
              </w:rPr>
              <w:t xml:space="preserve">  </w:t>
            </w:r>
            <w:r>
              <w:rPr>
                <w:snapToGrid/>
                <w:szCs w:val="26"/>
              </w:rPr>
              <w:t>(</w:t>
            </w:r>
            <w:r>
              <w:rPr>
                <w:rFonts w:hint="eastAsia"/>
                <w:snapToGrid/>
                <w:szCs w:val="26"/>
              </w:rPr>
              <w:t>百万捷克无朗</w:t>
            </w:r>
            <w:r>
              <w:rPr>
                <w:snapToGrid/>
                <w:szCs w:val="26"/>
              </w:rPr>
              <w:t>)</w:t>
            </w:r>
          </w:p>
        </w:tc>
        <w:tc>
          <w:tcPr>
            <w:tcW w:w="891" w:type="dxa"/>
            <w:tcBorders>
              <w:top w:val="single" w:sz="4" w:space="0" w:color="auto"/>
            </w:tcBorders>
          </w:tcPr>
          <w:p w:rsidR="00000000" w:rsidRDefault="00000000">
            <w:pPr>
              <w:pStyle w:val="aa"/>
              <w:ind w:right="57"/>
              <w:jc w:val="right"/>
            </w:pPr>
            <w:r>
              <w:t>21 193</w:t>
            </w:r>
          </w:p>
        </w:tc>
        <w:tc>
          <w:tcPr>
            <w:tcW w:w="891" w:type="dxa"/>
            <w:tcBorders>
              <w:top w:val="single" w:sz="4" w:space="0" w:color="auto"/>
            </w:tcBorders>
          </w:tcPr>
          <w:p w:rsidR="00000000" w:rsidRDefault="00000000">
            <w:pPr>
              <w:pStyle w:val="aa"/>
              <w:ind w:right="57"/>
              <w:jc w:val="right"/>
            </w:pPr>
            <w:r>
              <w:t>26 543</w:t>
            </w:r>
          </w:p>
        </w:tc>
        <w:tc>
          <w:tcPr>
            <w:tcW w:w="891" w:type="dxa"/>
            <w:tcBorders>
              <w:top w:val="single" w:sz="4" w:space="0" w:color="auto"/>
            </w:tcBorders>
          </w:tcPr>
          <w:p w:rsidR="00000000" w:rsidRDefault="00000000">
            <w:pPr>
              <w:pStyle w:val="aa"/>
              <w:ind w:right="57"/>
              <w:jc w:val="right"/>
            </w:pPr>
            <w:r>
              <w:t>34 246</w:t>
            </w:r>
          </w:p>
        </w:tc>
        <w:tc>
          <w:tcPr>
            <w:tcW w:w="891" w:type="dxa"/>
            <w:tcBorders>
              <w:top w:val="single" w:sz="4" w:space="0" w:color="auto"/>
            </w:tcBorders>
          </w:tcPr>
          <w:p w:rsidR="00000000" w:rsidRDefault="00000000">
            <w:pPr>
              <w:pStyle w:val="aa"/>
              <w:ind w:right="57"/>
              <w:jc w:val="right"/>
            </w:pPr>
            <w:r>
              <w:t>35 661</w:t>
            </w:r>
          </w:p>
        </w:tc>
        <w:tc>
          <w:tcPr>
            <w:tcW w:w="891" w:type="dxa"/>
            <w:tcBorders>
              <w:top w:val="single" w:sz="4" w:space="0" w:color="auto"/>
            </w:tcBorders>
          </w:tcPr>
          <w:p w:rsidR="00000000" w:rsidRDefault="00000000">
            <w:pPr>
              <w:pStyle w:val="aa"/>
              <w:ind w:right="57"/>
              <w:jc w:val="right"/>
            </w:pPr>
            <w:r>
              <w:t>21 483</w:t>
            </w:r>
          </w:p>
        </w:tc>
        <w:tc>
          <w:tcPr>
            <w:tcW w:w="891" w:type="dxa"/>
            <w:tcBorders>
              <w:top w:val="single" w:sz="4" w:space="0" w:color="auto"/>
            </w:tcBorders>
          </w:tcPr>
          <w:p w:rsidR="00000000" w:rsidRDefault="00000000">
            <w:pPr>
              <w:pStyle w:val="aa"/>
              <w:ind w:right="57"/>
              <w:jc w:val="right"/>
            </w:pPr>
            <w:r>
              <w:t>19 797</w:t>
            </w:r>
          </w:p>
        </w:tc>
        <w:tc>
          <w:tcPr>
            <w:tcW w:w="891" w:type="dxa"/>
            <w:tcBorders>
              <w:top w:val="single" w:sz="4" w:space="0" w:color="auto"/>
            </w:tcBorders>
          </w:tcPr>
          <w:p w:rsidR="00000000" w:rsidRDefault="00000000">
            <w:pPr>
              <w:pStyle w:val="aa"/>
              <w:ind w:right="57"/>
              <w:jc w:val="right"/>
            </w:pPr>
            <w:r>
              <w:t>18 533</w:t>
            </w:r>
          </w:p>
        </w:tc>
      </w:tr>
      <w:tr w:rsidR="00000000">
        <w:tblPrEx>
          <w:tblCellMar>
            <w:top w:w="0" w:type="dxa"/>
            <w:bottom w:w="0" w:type="dxa"/>
          </w:tblCellMar>
        </w:tblPrEx>
        <w:tc>
          <w:tcPr>
            <w:tcW w:w="3119" w:type="dxa"/>
          </w:tcPr>
          <w:p w:rsidR="00000000" w:rsidRDefault="00000000">
            <w:pPr>
              <w:pStyle w:val="aa"/>
              <w:rPr>
                <w:rFonts w:hint="eastAsia"/>
                <w:snapToGrid/>
                <w:szCs w:val="26"/>
              </w:rPr>
            </w:pPr>
            <w:r>
              <w:rPr>
                <w:rFonts w:hint="eastAsia"/>
                <w:snapToGrid/>
                <w:szCs w:val="26"/>
              </w:rPr>
              <w:t>其中</w:t>
            </w:r>
            <w:r>
              <w:rPr>
                <w:snapToGrid/>
                <w:szCs w:val="26"/>
              </w:rPr>
              <w:t>：</w:t>
            </w:r>
            <w:r>
              <w:rPr>
                <w:rFonts w:hint="eastAsia"/>
                <w:snapToGrid/>
                <w:szCs w:val="26"/>
              </w:rPr>
              <w:t>疾病</w:t>
            </w:r>
          </w:p>
          <w:p w:rsidR="00000000" w:rsidRDefault="00000000">
            <w:pPr>
              <w:pStyle w:val="aa"/>
              <w:rPr>
                <w:b/>
                <w:bCs/>
                <w:vertAlign w:val="superscript"/>
              </w:rPr>
            </w:pPr>
            <w:r>
              <w:rPr>
                <w:rFonts w:hint="eastAsia"/>
                <w:snapToGrid/>
                <w:szCs w:val="38"/>
              </w:rPr>
              <w:t>儿童津贴</w:t>
            </w:r>
            <w:r>
              <w:rPr>
                <w:b/>
                <w:bCs/>
                <w:vertAlign w:val="superscript"/>
              </w:rPr>
              <w:t>a</w:t>
            </w:r>
          </w:p>
        </w:tc>
        <w:tc>
          <w:tcPr>
            <w:tcW w:w="891" w:type="dxa"/>
          </w:tcPr>
          <w:p w:rsidR="00000000" w:rsidRDefault="00000000">
            <w:pPr>
              <w:pStyle w:val="aa"/>
              <w:ind w:right="57"/>
              <w:jc w:val="right"/>
            </w:pPr>
            <w:r>
              <w:t>6 899</w:t>
            </w:r>
          </w:p>
          <w:p w:rsidR="00000000" w:rsidRDefault="00000000">
            <w:pPr>
              <w:pStyle w:val="aa"/>
              <w:ind w:right="57"/>
              <w:jc w:val="right"/>
            </w:pPr>
            <w:r>
              <w:t>10 191</w:t>
            </w:r>
          </w:p>
        </w:tc>
        <w:tc>
          <w:tcPr>
            <w:tcW w:w="891" w:type="dxa"/>
          </w:tcPr>
          <w:p w:rsidR="00000000" w:rsidRDefault="00000000">
            <w:pPr>
              <w:pStyle w:val="aa"/>
              <w:ind w:right="57"/>
              <w:jc w:val="right"/>
            </w:pPr>
            <w:r>
              <w:t>9 665</w:t>
            </w:r>
          </w:p>
          <w:p w:rsidR="00000000" w:rsidRDefault="00000000">
            <w:pPr>
              <w:pStyle w:val="aa"/>
              <w:ind w:right="57"/>
              <w:jc w:val="right"/>
            </w:pPr>
            <w:r>
              <w:t>9 615</w:t>
            </w:r>
          </w:p>
        </w:tc>
        <w:tc>
          <w:tcPr>
            <w:tcW w:w="891" w:type="dxa"/>
          </w:tcPr>
          <w:p w:rsidR="00000000" w:rsidRDefault="00000000">
            <w:pPr>
              <w:pStyle w:val="aa"/>
              <w:ind w:right="57"/>
              <w:jc w:val="right"/>
            </w:pPr>
            <w:r>
              <w:t>13 589</w:t>
            </w:r>
          </w:p>
          <w:p w:rsidR="00000000" w:rsidRDefault="00000000">
            <w:pPr>
              <w:pStyle w:val="aa"/>
              <w:ind w:right="57"/>
              <w:jc w:val="right"/>
            </w:pPr>
            <w:r>
              <w:t>12 324</w:t>
            </w:r>
          </w:p>
        </w:tc>
        <w:tc>
          <w:tcPr>
            <w:tcW w:w="891" w:type="dxa"/>
          </w:tcPr>
          <w:p w:rsidR="00000000" w:rsidRDefault="00000000">
            <w:pPr>
              <w:pStyle w:val="aa"/>
              <w:ind w:right="57"/>
              <w:jc w:val="right"/>
            </w:pPr>
            <w:r>
              <w:t>15 416</w:t>
            </w:r>
          </w:p>
          <w:p w:rsidR="00000000" w:rsidRDefault="00000000">
            <w:pPr>
              <w:pStyle w:val="aa"/>
              <w:ind w:right="57"/>
              <w:jc w:val="right"/>
            </w:pPr>
            <w:r>
              <w:t>12 200</w:t>
            </w:r>
          </w:p>
        </w:tc>
        <w:tc>
          <w:tcPr>
            <w:tcW w:w="891" w:type="dxa"/>
          </w:tcPr>
          <w:p w:rsidR="00000000" w:rsidRDefault="00000000">
            <w:pPr>
              <w:pStyle w:val="aa"/>
              <w:ind w:right="57"/>
              <w:jc w:val="right"/>
            </w:pPr>
            <w:r>
              <w:t>17 663</w:t>
            </w:r>
          </w:p>
          <w:p w:rsidR="00000000" w:rsidRDefault="00000000">
            <w:pPr>
              <w:pStyle w:val="aa"/>
              <w:ind w:right="57"/>
              <w:jc w:val="right"/>
            </w:pPr>
            <w:r>
              <w:t>1 070</w:t>
            </w:r>
          </w:p>
        </w:tc>
        <w:tc>
          <w:tcPr>
            <w:tcW w:w="891" w:type="dxa"/>
          </w:tcPr>
          <w:p w:rsidR="00000000" w:rsidRDefault="00000000">
            <w:pPr>
              <w:pStyle w:val="aa"/>
              <w:ind w:right="57"/>
              <w:jc w:val="right"/>
            </w:pPr>
            <w:r>
              <w:t>16 959</w:t>
            </w:r>
          </w:p>
          <w:p w:rsidR="00000000" w:rsidRDefault="00000000">
            <w:pPr>
              <w:pStyle w:val="aa"/>
              <w:ind w:right="57"/>
              <w:jc w:val="right"/>
            </w:pPr>
            <w:r>
              <w:t>2</w:t>
            </w:r>
          </w:p>
        </w:tc>
        <w:tc>
          <w:tcPr>
            <w:tcW w:w="891" w:type="dxa"/>
          </w:tcPr>
          <w:p w:rsidR="00000000" w:rsidRDefault="00000000">
            <w:pPr>
              <w:pStyle w:val="aa"/>
              <w:ind w:right="57"/>
              <w:jc w:val="right"/>
            </w:pPr>
            <w:r>
              <w:t>15 733</w:t>
            </w:r>
          </w:p>
          <w:p w:rsidR="00000000" w:rsidRDefault="00000000">
            <w:pPr>
              <w:pStyle w:val="aa"/>
              <w:ind w:right="57"/>
              <w:jc w:val="right"/>
            </w:pPr>
            <w:r>
              <w:t>-</w:t>
            </w:r>
          </w:p>
        </w:tc>
      </w:tr>
      <w:tr w:rsidR="00000000">
        <w:tblPrEx>
          <w:tblCellMar>
            <w:top w:w="0" w:type="dxa"/>
            <w:bottom w:w="0" w:type="dxa"/>
          </w:tblCellMar>
        </w:tblPrEx>
        <w:tc>
          <w:tcPr>
            <w:tcW w:w="3119" w:type="dxa"/>
          </w:tcPr>
          <w:p w:rsidR="00000000" w:rsidRDefault="00000000">
            <w:pPr>
              <w:pStyle w:val="aa"/>
            </w:pPr>
            <w:r>
              <w:rPr>
                <w:rFonts w:hint="eastAsia"/>
                <w:snapToGrid/>
                <w:szCs w:val="32"/>
              </w:rPr>
              <w:t>国家社会扶助津贴</w:t>
            </w:r>
            <w:r>
              <w:rPr>
                <w:snapToGrid/>
                <w:szCs w:val="32"/>
              </w:rPr>
              <w:br/>
            </w:r>
            <w:r>
              <w:rPr>
                <w:rFonts w:hint="eastAsia"/>
                <w:snapToGrid/>
                <w:szCs w:val="32"/>
              </w:rPr>
              <w:t xml:space="preserve">  </w:t>
            </w:r>
            <w:r>
              <w:rPr>
                <w:snapToGrid/>
                <w:szCs w:val="26"/>
              </w:rPr>
              <w:t>(</w:t>
            </w:r>
            <w:r>
              <w:rPr>
                <w:rFonts w:hint="eastAsia"/>
                <w:snapToGrid/>
                <w:szCs w:val="26"/>
              </w:rPr>
              <w:t>百万捷克克朗</w:t>
            </w:r>
            <w:r>
              <w:rPr>
                <w:snapToGrid/>
                <w:szCs w:val="26"/>
              </w:rPr>
              <w:t>)</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26 692</w:t>
            </w:r>
          </w:p>
        </w:tc>
        <w:tc>
          <w:tcPr>
            <w:tcW w:w="891" w:type="dxa"/>
          </w:tcPr>
          <w:p w:rsidR="00000000" w:rsidRDefault="00000000">
            <w:pPr>
              <w:pStyle w:val="aa"/>
              <w:ind w:right="57"/>
              <w:jc w:val="right"/>
            </w:pPr>
            <w:r>
              <w:t>29 237</w:t>
            </w:r>
          </w:p>
        </w:tc>
        <w:tc>
          <w:tcPr>
            <w:tcW w:w="891" w:type="dxa"/>
          </w:tcPr>
          <w:p w:rsidR="00000000" w:rsidRDefault="00000000">
            <w:pPr>
              <w:pStyle w:val="aa"/>
              <w:ind w:right="57"/>
              <w:jc w:val="right"/>
            </w:pPr>
            <w:r>
              <w:t>29 637</w:t>
            </w:r>
          </w:p>
        </w:tc>
      </w:tr>
      <w:tr w:rsidR="00000000">
        <w:tblPrEx>
          <w:tblCellMar>
            <w:top w:w="0" w:type="dxa"/>
            <w:bottom w:w="0" w:type="dxa"/>
          </w:tblCellMar>
        </w:tblPrEx>
        <w:tc>
          <w:tcPr>
            <w:tcW w:w="3119" w:type="dxa"/>
          </w:tcPr>
          <w:p w:rsidR="00000000" w:rsidRDefault="00000000">
            <w:pPr>
              <w:pStyle w:val="aa"/>
              <w:rPr>
                <w:b/>
                <w:bCs/>
                <w:vertAlign w:val="superscript"/>
              </w:rPr>
            </w:pPr>
            <w:r>
              <w:rPr>
                <w:rFonts w:hint="eastAsia"/>
                <w:snapToGrid/>
                <w:szCs w:val="26"/>
              </w:rPr>
              <w:t>其中</w:t>
            </w:r>
            <w:r>
              <w:rPr>
                <w:snapToGrid/>
                <w:szCs w:val="26"/>
              </w:rPr>
              <w:t>：</w:t>
            </w:r>
            <w:r>
              <w:rPr>
                <w:rFonts w:hint="eastAsia"/>
                <w:snapToGrid/>
                <w:szCs w:val="26"/>
              </w:rPr>
              <w:t>儿童津贴</w:t>
            </w:r>
            <w:r>
              <w:rPr>
                <w:b/>
                <w:bCs/>
                <w:vertAlign w:val="superscript"/>
              </w:rPr>
              <w:t>a</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w:t>
            </w:r>
          </w:p>
        </w:tc>
        <w:tc>
          <w:tcPr>
            <w:tcW w:w="891" w:type="dxa"/>
          </w:tcPr>
          <w:p w:rsidR="00000000" w:rsidRDefault="00000000">
            <w:pPr>
              <w:pStyle w:val="aa"/>
              <w:ind w:right="57"/>
              <w:jc w:val="right"/>
            </w:pPr>
            <w:r>
              <w:t>11 124</w:t>
            </w:r>
          </w:p>
        </w:tc>
        <w:tc>
          <w:tcPr>
            <w:tcW w:w="891" w:type="dxa"/>
          </w:tcPr>
          <w:p w:rsidR="00000000" w:rsidRDefault="00000000">
            <w:pPr>
              <w:pStyle w:val="aa"/>
              <w:ind w:right="57"/>
              <w:jc w:val="right"/>
            </w:pPr>
            <w:r>
              <w:t>12 495</w:t>
            </w:r>
          </w:p>
        </w:tc>
        <w:tc>
          <w:tcPr>
            <w:tcW w:w="891" w:type="dxa"/>
          </w:tcPr>
          <w:p w:rsidR="00000000" w:rsidRDefault="00000000">
            <w:pPr>
              <w:pStyle w:val="aa"/>
              <w:ind w:right="57"/>
              <w:jc w:val="right"/>
            </w:pPr>
            <w:r>
              <w:t>11 493</w:t>
            </w:r>
          </w:p>
        </w:tc>
      </w:tr>
      <w:tr w:rsidR="00000000">
        <w:tblPrEx>
          <w:tblCellMar>
            <w:top w:w="0" w:type="dxa"/>
            <w:bottom w:w="0" w:type="dxa"/>
          </w:tblCellMar>
        </w:tblPrEx>
        <w:tc>
          <w:tcPr>
            <w:tcW w:w="3119" w:type="dxa"/>
          </w:tcPr>
          <w:p w:rsidR="00000000" w:rsidRDefault="00000000">
            <w:pPr>
              <w:pStyle w:val="aa"/>
              <w:rPr>
                <w:snapToGrid/>
                <w:szCs w:val="38"/>
              </w:rPr>
            </w:pPr>
            <w:r>
              <w:rPr>
                <w:rFonts w:hint="eastAsia"/>
                <w:snapToGrid/>
                <w:szCs w:val="38"/>
              </w:rPr>
              <w:t>养恤金保障津贴</w:t>
            </w:r>
          </w:p>
          <w:p w:rsidR="00000000" w:rsidRDefault="00000000">
            <w:pPr>
              <w:pStyle w:val="aa"/>
              <w:rPr>
                <w:b/>
                <w:bCs/>
              </w:rPr>
            </w:pPr>
            <w:r>
              <w:rPr>
                <w:rFonts w:hint="eastAsia"/>
                <w:snapToGrid/>
                <w:szCs w:val="26"/>
              </w:rPr>
              <w:t xml:space="preserve">  </w:t>
            </w:r>
            <w:r>
              <w:rPr>
                <w:snapToGrid/>
                <w:szCs w:val="26"/>
              </w:rPr>
              <w:t>(</w:t>
            </w:r>
            <w:r>
              <w:rPr>
                <w:rFonts w:hint="eastAsia"/>
                <w:snapToGrid/>
                <w:szCs w:val="26"/>
              </w:rPr>
              <w:t>百万捷克克朗</w:t>
            </w:r>
            <w:r>
              <w:rPr>
                <w:b/>
                <w:bCs/>
                <w:vertAlign w:val="superscript"/>
              </w:rPr>
              <w:t>b</w:t>
            </w:r>
            <w:r>
              <w:t>)</w:t>
            </w:r>
          </w:p>
        </w:tc>
        <w:tc>
          <w:tcPr>
            <w:tcW w:w="891" w:type="dxa"/>
          </w:tcPr>
          <w:p w:rsidR="00000000" w:rsidRDefault="00000000">
            <w:pPr>
              <w:pStyle w:val="aa"/>
              <w:ind w:right="57"/>
              <w:jc w:val="right"/>
            </w:pPr>
            <w:r>
              <w:t>45 527</w:t>
            </w:r>
          </w:p>
        </w:tc>
        <w:tc>
          <w:tcPr>
            <w:tcW w:w="891" w:type="dxa"/>
          </w:tcPr>
          <w:p w:rsidR="00000000" w:rsidRDefault="00000000">
            <w:pPr>
              <w:pStyle w:val="aa"/>
              <w:ind w:right="57"/>
              <w:jc w:val="right"/>
            </w:pPr>
            <w:r>
              <w:t>73 635</w:t>
            </w:r>
          </w:p>
        </w:tc>
        <w:tc>
          <w:tcPr>
            <w:tcW w:w="891" w:type="dxa"/>
          </w:tcPr>
          <w:p w:rsidR="00000000" w:rsidRDefault="00000000">
            <w:pPr>
              <w:pStyle w:val="aa"/>
              <w:ind w:right="57"/>
              <w:jc w:val="right"/>
            </w:pPr>
            <w:r>
              <w:t>84 232</w:t>
            </w:r>
          </w:p>
        </w:tc>
        <w:tc>
          <w:tcPr>
            <w:tcW w:w="891" w:type="dxa"/>
          </w:tcPr>
          <w:p w:rsidR="00000000" w:rsidRDefault="00000000">
            <w:pPr>
              <w:pStyle w:val="aa"/>
              <w:ind w:right="57"/>
              <w:jc w:val="right"/>
            </w:pPr>
            <w:r>
              <w:t>105 788</w:t>
            </w:r>
          </w:p>
        </w:tc>
        <w:tc>
          <w:tcPr>
            <w:tcW w:w="891" w:type="dxa"/>
          </w:tcPr>
          <w:p w:rsidR="00000000" w:rsidRDefault="00000000">
            <w:pPr>
              <w:pStyle w:val="aa"/>
              <w:ind w:right="57"/>
              <w:jc w:val="right"/>
            </w:pPr>
            <w:r>
              <w:t>125 561</w:t>
            </w:r>
          </w:p>
        </w:tc>
        <w:tc>
          <w:tcPr>
            <w:tcW w:w="891" w:type="dxa"/>
          </w:tcPr>
          <w:p w:rsidR="00000000" w:rsidRDefault="00000000">
            <w:pPr>
              <w:pStyle w:val="aa"/>
              <w:ind w:right="57"/>
              <w:jc w:val="right"/>
            </w:pPr>
            <w:r>
              <w:t>145 109</w:t>
            </w:r>
          </w:p>
        </w:tc>
        <w:tc>
          <w:tcPr>
            <w:tcW w:w="891" w:type="dxa"/>
          </w:tcPr>
          <w:p w:rsidR="00000000" w:rsidRDefault="00000000">
            <w:pPr>
              <w:pStyle w:val="aa"/>
              <w:ind w:right="57"/>
              <w:jc w:val="right"/>
            </w:pPr>
            <w:r>
              <w:t>161 805</w:t>
            </w:r>
          </w:p>
        </w:tc>
      </w:tr>
      <w:tr w:rsidR="00000000">
        <w:tblPrEx>
          <w:tblCellMar>
            <w:top w:w="0" w:type="dxa"/>
            <w:bottom w:w="0" w:type="dxa"/>
          </w:tblCellMar>
        </w:tblPrEx>
        <w:tc>
          <w:tcPr>
            <w:tcW w:w="3119" w:type="dxa"/>
          </w:tcPr>
          <w:p w:rsidR="00000000" w:rsidRDefault="00000000">
            <w:pPr>
              <w:pStyle w:val="aa"/>
              <w:rPr>
                <w:rFonts w:hint="eastAsia"/>
              </w:rPr>
            </w:pPr>
            <w:r>
              <w:rPr>
                <w:rFonts w:hint="eastAsia"/>
              </w:rPr>
              <w:t>支付的养恤金数额</w:t>
            </w:r>
          </w:p>
        </w:tc>
        <w:tc>
          <w:tcPr>
            <w:tcW w:w="891" w:type="dxa"/>
          </w:tcPr>
          <w:p w:rsidR="00000000" w:rsidRDefault="00000000">
            <w:pPr>
              <w:pStyle w:val="aa"/>
              <w:ind w:right="57"/>
              <w:jc w:val="right"/>
            </w:pPr>
            <w:r>
              <w:t>2 952</w:t>
            </w:r>
          </w:p>
        </w:tc>
        <w:tc>
          <w:tcPr>
            <w:tcW w:w="891" w:type="dxa"/>
          </w:tcPr>
          <w:p w:rsidR="00000000" w:rsidRDefault="00000000">
            <w:pPr>
              <w:pStyle w:val="aa"/>
              <w:ind w:right="57"/>
              <w:jc w:val="right"/>
            </w:pPr>
            <w:r>
              <w:t>3 052</w:t>
            </w:r>
          </w:p>
        </w:tc>
        <w:tc>
          <w:tcPr>
            <w:tcW w:w="891" w:type="dxa"/>
          </w:tcPr>
          <w:p w:rsidR="00000000" w:rsidRDefault="00000000">
            <w:pPr>
              <w:pStyle w:val="aa"/>
              <w:ind w:right="57"/>
              <w:jc w:val="right"/>
            </w:pPr>
            <w:r>
              <w:t>3 051</w:t>
            </w:r>
          </w:p>
        </w:tc>
        <w:tc>
          <w:tcPr>
            <w:tcW w:w="891" w:type="dxa"/>
          </w:tcPr>
          <w:p w:rsidR="00000000" w:rsidRDefault="00000000">
            <w:pPr>
              <w:pStyle w:val="aa"/>
              <w:ind w:right="57"/>
              <w:jc w:val="right"/>
            </w:pPr>
            <w:r>
              <w:t>3 057</w:t>
            </w:r>
          </w:p>
        </w:tc>
        <w:tc>
          <w:tcPr>
            <w:tcW w:w="891" w:type="dxa"/>
          </w:tcPr>
          <w:p w:rsidR="00000000" w:rsidRDefault="00000000">
            <w:pPr>
              <w:pStyle w:val="aa"/>
              <w:ind w:right="57"/>
              <w:jc w:val="right"/>
            </w:pPr>
            <w:r>
              <w:t>3 052</w:t>
            </w:r>
          </w:p>
        </w:tc>
        <w:tc>
          <w:tcPr>
            <w:tcW w:w="891" w:type="dxa"/>
          </w:tcPr>
          <w:p w:rsidR="00000000" w:rsidRDefault="00000000">
            <w:pPr>
              <w:pStyle w:val="aa"/>
              <w:ind w:right="57"/>
              <w:jc w:val="right"/>
            </w:pPr>
            <w:r>
              <w:t>3 088</w:t>
            </w:r>
          </w:p>
        </w:tc>
        <w:tc>
          <w:tcPr>
            <w:tcW w:w="891" w:type="dxa"/>
          </w:tcPr>
          <w:p w:rsidR="00000000" w:rsidRDefault="00000000">
            <w:pPr>
              <w:pStyle w:val="aa"/>
              <w:ind w:right="57"/>
              <w:jc w:val="right"/>
            </w:pPr>
            <w:r>
              <w:t>3 174</w:t>
            </w:r>
          </w:p>
        </w:tc>
      </w:tr>
    </w:tbl>
    <w:p w:rsidR="00000000" w:rsidRDefault="00000000">
      <w:pPr>
        <w:rPr>
          <w:rFonts w:hint="eastAsia"/>
          <w:snapToGrid/>
          <w:szCs w:val="26"/>
        </w:rPr>
      </w:pPr>
    </w:p>
    <w:p w:rsidR="00000000" w:rsidRDefault="00000000">
      <w:pPr>
        <w:ind w:left="510"/>
        <w:rPr>
          <w:rFonts w:eastAsia="KaiTi_GB2312"/>
          <w:snapToGrid/>
          <w:spacing w:val="0"/>
          <w:sz w:val="21"/>
          <w:szCs w:val="26"/>
        </w:rPr>
      </w:pPr>
      <w:r>
        <w:rPr>
          <w:rFonts w:eastAsia="KaiTi_GB2312" w:hint="eastAsia"/>
          <w:snapToGrid/>
          <w:spacing w:val="0"/>
          <w:sz w:val="21"/>
          <w:szCs w:val="26"/>
          <w:u w:val="single"/>
        </w:rPr>
        <w:t>资料来源</w:t>
      </w:r>
      <w:r>
        <w:rPr>
          <w:rFonts w:eastAsia="KaiTi_GB2312"/>
          <w:snapToGrid/>
          <w:spacing w:val="0"/>
          <w:sz w:val="21"/>
          <w:szCs w:val="26"/>
        </w:rPr>
        <w:t>：</w:t>
      </w:r>
      <w:r>
        <w:rPr>
          <w:rFonts w:eastAsia="KaiTi_GB2312" w:hint="eastAsia"/>
          <w:snapToGrid/>
          <w:spacing w:val="0"/>
          <w:sz w:val="21"/>
          <w:szCs w:val="26"/>
        </w:rPr>
        <w:t>捷克共和国统计年鉴，</w:t>
      </w:r>
      <w:r>
        <w:rPr>
          <w:rFonts w:eastAsia="KaiTi_GB2312" w:hint="eastAsia"/>
          <w:snapToGrid/>
          <w:spacing w:val="0"/>
          <w:sz w:val="21"/>
          <w:szCs w:val="26"/>
        </w:rPr>
        <w:t>1999</w:t>
      </w:r>
      <w:r>
        <w:rPr>
          <w:rFonts w:eastAsia="KaiTi_GB2312" w:hint="eastAsia"/>
          <w:snapToGrid/>
          <w:spacing w:val="0"/>
          <w:sz w:val="21"/>
          <w:szCs w:val="26"/>
        </w:rPr>
        <w:t>年。</w:t>
      </w:r>
    </w:p>
    <w:p w:rsidR="00000000" w:rsidRDefault="00000000">
      <w:pPr>
        <w:tabs>
          <w:tab w:val="left" w:pos="1690"/>
        </w:tabs>
        <w:spacing w:line="288" w:lineRule="auto"/>
        <w:ind w:left="1690" w:hanging="390"/>
        <w:rPr>
          <w:rFonts w:eastAsia="KaiTi_GB2312"/>
          <w:snapToGrid/>
          <w:spacing w:val="0"/>
          <w:sz w:val="21"/>
          <w:szCs w:val="26"/>
        </w:rPr>
      </w:pPr>
      <w:r>
        <w:rPr>
          <w:rFonts w:eastAsia="KaiTi_GB2312"/>
          <w:snapToGrid/>
          <w:spacing w:val="0"/>
          <w:sz w:val="21"/>
          <w:szCs w:val="26"/>
        </w:rPr>
        <w:t>a</w:t>
      </w:r>
      <w:r>
        <w:rPr>
          <w:rFonts w:eastAsia="KaiTi_GB2312" w:hint="eastAsia"/>
          <w:snapToGrid/>
          <w:spacing w:val="0"/>
          <w:sz w:val="21"/>
          <w:szCs w:val="26"/>
        </w:rPr>
        <w:tab/>
      </w:r>
      <w:r>
        <w:rPr>
          <w:rFonts w:eastAsia="KaiTi_GB2312"/>
          <w:snapToGrid/>
          <w:spacing w:val="0"/>
          <w:sz w:val="21"/>
          <w:szCs w:val="26"/>
        </w:rPr>
        <w:t>1995</w:t>
      </w:r>
      <w:r>
        <w:rPr>
          <w:rFonts w:eastAsia="KaiTi_GB2312" w:hint="eastAsia"/>
          <w:snapToGrid/>
          <w:spacing w:val="0"/>
          <w:sz w:val="21"/>
          <w:szCs w:val="26"/>
        </w:rPr>
        <w:t>年</w:t>
      </w:r>
      <w:r>
        <w:rPr>
          <w:rFonts w:eastAsia="KaiTi_GB2312"/>
          <w:snapToGrid/>
          <w:spacing w:val="0"/>
          <w:sz w:val="21"/>
          <w:szCs w:val="26"/>
        </w:rPr>
        <w:t>，</w:t>
      </w:r>
      <w:r>
        <w:rPr>
          <w:rFonts w:eastAsia="KaiTi_GB2312" w:hint="eastAsia"/>
          <w:snapToGrid/>
          <w:spacing w:val="0"/>
          <w:sz w:val="21"/>
          <w:szCs w:val="26"/>
        </w:rPr>
        <w:t>通过了第</w:t>
      </w:r>
      <w:r>
        <w:rPr>
          <w:rFonts w:eastAsia="KaiTi_GB2312"/>
          <w:snapToGrid/>
          <w:spacing w:val="0"/>
          <w:sz w:val="21"/>
          <w:szCs w:val="26"/>
        </w:rPr>
        <w:t>118/1995COIl</w:t>
      </w:r>
      <w:r>
        <w:rPr>
          <w:rFonts w:eastAsia="KaiTi_GB2312" w:hint="eastAsia"/>
          <w:snapToGrid/>
          <w:spacing w:val="0"/>
          <w:sz w:val="21"/>
          <w:szCs w:val="26"/>
        </w:rPr>
        <w:t>号法令</w:t>
      </w:r>
      <w:r>
        <w:rPr>
          <w:rFonts w:eastAsia="KaiTi_GB2312"/>
          <w:snapToGrid/>
          <w:spacing w:val="0"/>
          <w:sz w:val="21"/>
          <w:szCs w:val="26"/>
        </w:rPr>
        <w:t>，</w:t>
      </w:r>
      <w:r>
        <w:rPr>
          <w:rFonts w:eastAsia="KaiTi_GB2312" w:hint="eastAsia"/>
          <w:snapToGrid/>
          <w:spacing w:val="0"/>
          <w:sz w:val="21"/>
          <w:szCs w:val="26"/>
        </w:rPr>
        <w:t>修订和补充与颁布《国家社会抚养扶助法》有关的某些法令。不属于保险性质的付款</w:t>
      </w:r>
      <w:r>
        <w:rPr>
          <w:rFonts w:eastAsia="KaiTi_GB2312"/>
          <w:snapToGrid/>
          <w:spacing w:val="0"/>
          <w:sz w:val="21"/>
          <w:szCs w:val="26"/>
        </w:rPr>
        <w:t>(</w:t>
      </w:r>
      <w:r>
        <w:rPr>
          <w:rFonts w:eastAsia="KaiTi_GB2312" w:hint="eastAsia"/>
          <w:snapToGrid/>
          <w:spacing w:val="0"/>
          <w:sz w:val="21"/>
          <w:szCs w:val="26"/>
        </w:rPr>
        <w:t>生育补助、儿童津贴、生育津贴、父母津贴和丧葬费</w:t>
      </w:r>
      <w:r>
        <w:rPr>
          <w:rFonts w:eastAsia="KaiTi_GB2312"/>
          <w:snapToGrid/>
          <w:spacing w:val="0"/>
          <w:sz w:val="21"/>
          <w:szCs w:val="26"/>
        </w:rPr>
        <w:t>)</w:t>
      </w:r>
      <w:r>
        <w:rPr>
          <w:rFonts w:eastAsia="KaiTi_GB2312" w:hint="eastAsia"/>
          <w:snapToGrid/>
          <w:spacing w:val="0"/>
          <w:sz w:val="21"/>
          <w:szCs w:val="26"/>
        </w:rPr>
        <w:t>从疾病保险中转移到国家社会扶助津贴。</w:t>
      </w:r>
    </w:p>
    <w:p w:rsidR="00000000" w:rsidRDefault="00000000">
      <w:pPr>
        <w:tabs>
          <w:tab w:val="left" w:pos="1690"/>
        </w:tabs>
        <w:spacing w:line="288" w:lineRule="auto"/>
        <w:ind w:left="1690" w:hanging="390"/>
        <w:rPr>
          <w:rFonts w:eastAsia="KaiTi_GB2312" w:hint="eastAsia"/>
          <w:snapToGrid/>
          <w:spacing w:val="0"/>
          <w:sz w:val="21"/>
          <w:szCs w:val="26"/>
        </w:rPr>
      </w:pPr>
      <w:r>
        <w:rPr>
          <w:rFonts w:eastAsia="KaiTi_GB2312"/>
          <w:snapToGrid/>
          <w:spacing w:val="0"/>
          <w:sz w:val="21"/>
          <w:szCs w:val="26"/>
        </w:rPr>
        <w:t>b</w:t>
      </w:r>
      <w:r>
        <w:rPr>
          <w:rFonts w:eastAsia="KaiTi_GB2312" w:hint="eastAsia"/>
          <w:snapToGrid/>
          <w:spacing w:val="0"/>
          <w:sz w:val="21"/>
          <w:szCs w:val="26"/>
        </w:rPr>
        <w:tab/>
      </w:r>
      <w:r>
        <w:rPr>
          <w:rFonts w:eastAsia="KaiTi_GB2312" w:hint="eastAsia"/>
          <w:snapToGrid/>
          <w:spacing w:val="0"/>
          <w:sz w:val="21"/>
          <w:szCs w:val="26"/>
        </w:rPr>
        <w:t>不包括补充养恤金保险和对合作农户养恤金的缴款。</w:t>
      </w:r>
    </w:p>
    <w:p w:rsidR="00000000" w:rsidRDefault="00000000">
      <w:pPr>
        <w:tabs>
          <w:tab w:val="left" w:pos="1690"/>
        </w:tabs>
        <w:spacing w:line="288" w:lineRule="auto"/>
        <w:ind w:left="1690" w:hanging="390"/>
        <w:rPr>
          <w:rFonts w:eastAsia="KaiTi_GB2312"/>
          <w:snapToGrid/>
          <w:spacing w:val="0"/>
          <w:szCs w:val="26"/>
        </w:rPr>
      </w:pPr>
    </w:p>
    <w:p w:rsidR="00000000" w:rsidRDefault="00000000">
      <w:pPr>
        <w:pStyle w:val="Heading3"/>
        <w:rPr>
          <w:rFonts w:hint="eastAsia"/>
        </w:rPr>
      </w:pPr>
      <w:r>
        <w:rPr>
          <w:rFonts w:hint="eastAsia"/>
        </w:rPr>
        <w:t>社会保障支出在国内生产总值中所占的比例</w:t>
      </w:r>
      <w:r>
        <w:rPr>
          <w:rFonts w:hint="eastAsia"/>
        </w:rPr>
        <w:t>(</w:t>
      </w:r>
      <w:r>
        <w:t>%</w:t>
      </w:r>
      <w:r>
        <w:rPr>
          <w:rFonts w:hint="eastAsia"/>
        </w:rPr>
        <w:t>)</w:t>
      </w:r>
    </w:p>
    <w:tbl>
      <w:tblPr>
        <w:tblW w:w="935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891"/>
        <w:gridCol w:w="891"/>
        <w:gridCol w:w="891"/>
        <w:gridCol w:w="891"/>
        <w:gridCol w:w="891"/>
        <w:gridCol w:w="891"/>
        <w:gridCol w:w="891"/>
      </w:tblGrid>
      <w:tr w:rsidR="00000000">
        <w:tblPrEx>
          <w:tblCellMar>
            <w:top w:w="0" w:type="dxa"/>
            <w:bottom w:w="0" w:type="dxa"/>
          </w:tblCellMar>
        </w:tblPrEx>
        <w:tc>
          <w:tcPr>
            <w:tcW w:w="3119" w:type="dxa"/>
            <w:tcBorders>
              <w:top w:val="single" w:sz="4" w:space="0" w:color="auto"/>
              <w:bottom w:val="single" w:sz="4" w:space="0" w:color="auto"/>
              <w:right w:val="single" w:sz="4" w:space="0" w:color="auto"/>
            </w:tcBorders>
          </w:tcPr>
          <w:p w:rsidR="00000000" w:rsidRDefault="00000000">
            <w:pPr>
              <w:pStyle w:val="aa"/>
              <w:spacing w:before="120" w:line="360" w:lineRule="auto"/>
              <w:jc w:val="center"/>
            </w:pP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line="360" w:lineRule="auto"/>
              <w:jc w:val="center"/>
            </w:pPr>
            <w:r>
              <w:t>1990</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line="360" w:lineRule="auto"/>
              <w:jc w:val="center"/>
            </w:pPr>
            <w:r>
              <w:t>1993</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line="360" w:lineRule="auto"/>
              <w:jc w:val="center"/>
            </w:pPr>
            <w:r>
              <w:t>1994</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line="360" w:lineRule="auto"/>
              <w:jc w:val="center"/>
            </w:pPr>
            <w:r>
              <w:t>1995</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line="360" w:lineRule="auto"/>
              <w:jc w:val="center"/>
            </w:pPr>
            <w:r>
              <w:t>1996</w:t>
            </w:r>
          </w:p>
        </w:tc>
        <w:tc>
          <w:tcPr>
            <w:tcW w:w="89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line="360" w:lineRule="auto"/>
              <w:jc w:val="center"/>
            </w:pPr>
            <w:r>
              <w:t>1997</w:t>
            </w:r>
          </w:p>
        </w:tc>
        <w:tc>
          <w:tcPr>
            <w:tcW w:w="891" w:type="dxa"/>
            <w:tcBorders>
              <w:top w:val="single" w:sz="4" w:space="0" w:color="auto"/>
              <w:left w:val="single" w:sz="4" w:space="0" w:color="auto"/>
              <w:bottom w:val="single" w:sz="4" w:space="0" w:color="auto"/>
            </w:tcBorders>
          </w:tcPr>
          <w:p w:rsidR="00000000" w:rsidRDefault="00000000">
            <w:pPr>
              <w:pStyle w:val="aa"/>
              <w:spacing w:before="120" w:line="360" w:lineRule="auto"/>
              <w:jc w:val="center"/>
            </w:pPr>
            <w:r>
              <w:t>1998</w:t>
            </w:r>
          </w:p>
        </w:tc>
      </w:tr>
      <w:tr w:rsidR="00000000">
        <w:tblPrEx>
          <w:tblCellMar>
            <w:top w:w="0" w:type="dxa"/>
            <w:bottom w:w="0" w:type="dxa"/>
          </w:tblCellMar>
        </w:tblPrEx>
        <w:tc>
          <w:tcPr>
            <w:tcW w:w="3119" w:type="dxa"/>
            <w:tcBorders>
              <w:top w:val="single" w:sz="4" w:space="0" w:color="auto"/>
              <w:right w:val="single" w:sz="4" w:space="0" w:color="auto"/>
            </w:tcBorders>
          </w:tcPr>
          <w:p w:rsidR="00000000" w:rsidRDefault="00000000">
            <w:pPr>
              <w:pStyle w:val="aa"/>
            </w:pPr>
            <w:r>
              <w:rPr>
                <w:rFonts w:hint="eastAsia"/>
                <w:sz w:val="22"/>
                <w:szCs w:val="26"/>
              </w:rPr>
              <w:t>国内生产总值</w:t>
            </w:r>
          </w:p>
          <w:p w:rsidR="00000000" w:rsidRDefault="00000000">
            <w:pPr>
              <w:pStyle w:val="aa"/>
            </w:pPr>
            <w:r>
              <w:t xml:space="preserve">  </w:t>
            </w:r>
            <w:r>
              <w:rPr>
                <w:sz w:val="22"/>
                <w:szCs w:val="26"/>
              </w:rPr>
              <w:t>(</w:t>
            </w:r>
            <w:r>
              <w:rPr>
                <w:rFonts w:hint="eastAsia"/>
                <w:sz w:val="22"/>
                <w:szCs w:val="26"/>
              </w:rPr>
              <w:t>十亿捷克克朗</w:t>
            </w:r>
            <w:r>
              <w:rPr>
                <w:sz w:val="22"/>
                <w:szCs w:val="26"/>
              </w:rPr>
              <w:t>，</w:t>
            </w:r>
            <w:r>
              <w:rPr>
                <w:rFonts w:hint="eastAsia"/>
                <w:sz w:val="22"/>
                <w:szCs w:val="26"/>
              </w:rPr>
              <w:t>现价</w:t>
            </w:r>
            <w:r>
              <w:rPr>
                <w:sz w:val="22"/>
                <w:szCs w:val="26"/>
              </w:rPr>
              <w:t>)</w:t>
            </w:r>
          </w:p>
        </w:tc>
        <w:tc>
          <w:tcPr>
            <w:tcW w:w="891" w:type="dxa"/>
            <w:tcBorders>
              <w:top w:val="single" w:sz="4" w:space="0" w:color="auto"/>
              <w:left w:val="single" w:sz="4" w:space="0" w:color="auto"/>
              <w:right w:val="single" w:sz="4" w:space="0" w:color="auto"/>
            </w:tcBorders>
          </w:tcPr>
          <w:p w:rsidR="00000000" w:rsidRDefault="00000000">
            <w:pPr>
              <w:pStyle w:val="aa"/>
              <w:ind w:right="57"/>
              <w:jc w:val="right"/>
            </w:pPr>
            <w:r>
              <w:t>626.2</w:t>
            </w:r>
          </w:p>
        </w:tc>
        <w:tc>
          <w:tcPr>
            <w:tcW w:w="891" w:type="dxa"/>
            <w:tcBorders>
              <w:top w:val="single" w:sz="4" w:space="0" w:color="auto"/>
              <w:left w:val="single" w:sz="4" w:space="0" w:color="auto"/>
              <w:right w:val="single" w:sz="4" w:space="0" w:color="auto"/>
            </w:tcBorders>
          </w:tcPr>
          <w:p w:rsidR="00000000" w:rsidRDefault="00000000">
            <w:pPr>
              <w:pStyle w:val="aa"/>
              <w:ind w:right="57"/>
              <w:jc w:val="right"/>
            </w:pPr>
            <w:r>
              <w:t>1 020.3</w:t>
            </w:r>
          </w:p>
        </w:tc>
        <w:tc>
          <w:tcPr>
            <w:tcW w:w="891" w:type="dxa"/>
            <w:tcBorders>
              <w:top w:val="single" w:sz="4" w:space="0" w:color="auto"/>
              <w:left w:val="single" w:sz="4" w:space="0" w:color="auto"/>
              <w:right w:val="single" w:sz="4" w:space="0" w:color="auto"/>
            </w:tcBorders>
          </w:tcPr>
          <w:p w:rsidR="00000000" w:rsidRDefault="00000000">
            <w:pPr>
              <w:pStyle w:val="aa"/>
              <w:ind w:right="57"/>
              <w:jc w:val="right"/>
            </w:pPr>
            <w:r>
              <w:t>1 182.8</w:t>
            </w:r>
          </w:p>
        </w:tc>
        <w:tc>
          <w:tcPr>
            <w:tcW w:w="891" w:type="dxa"/>
            <w:tcBorders>
              <w:top w:val="single" w:sz="4" w:space="0" w:color="auto"/>
              <w:left w:val="single" w:sz="4" w:space="0" w:color="auto"/>
              <w:right w:val="single" w:sz="4" w:space="0" w:color="auto"/>
            </w:tcBorders>
          </w:tcPr>
          <w:p w:rsidR="00000000" w:rsidRDefault="00000000">
            <w:pPr>
              <w:pStyle w:val="aa"/>
              <w:ind w:right="57"/>
              <w:jc w:val="right"/>
            </w:pPr>
            <w:r>
              <w:t>1 381.1</w:t>
            </w:r>
          </w:p>
        </w:tc>
        <w:tc>
          <w:tcPr>
            <w:tcW w:w="891" w:type="dxa"/>
            <w:tcBorders>
              <w:top w:val="single" w:sz="4" w:space="0" w:color="auto"/>
              <w:left w:val="single" w:sz="4" w:space="0" w:color="auto"/>
              <w:right w:val="single" w:sz="4" w:space="0" w:color="auto"/>
            </w:tcBorders>
          </w:tcPr>
          <w:p w:rsidR="00000000" w:rsidRDefault="00000000">
            <w:pPr>
              <w:pStyle w:val="aa"/>
              <w:ind w:right="57"/>
              <w:jc w:val="right"/>
            </w:pPr>
            <w:r>
              <w:t>1 572.3</w:t>
            </w:r>
          </w:p>
        </w:tc>
        <w:tc>
          <w:tcPr>
            <w:tcW w:w="891" w:type="dxa"/>
            <w:tcBorders>
              <w:top w:val="single" w:sz="4" w:space="0" w:color="auto"/>
              <w:left w:val="single" w:sz="4" w:space="0" w:color="auto"/>
              <w:right w:val="single" w:sz="4" w:space="0" w:color="auto"/>
            </w:tcBorders>
          </w:tcPr>
          <w:p w:rsidR="00000000" w:rsidRDefault="00000000">
            <w:pPr>
              <w:pStyle w:val="aa"/>
              <w:ind w:right="57"/>
              <w:jc w:val="right"/>
            </w:pPr>
            <w:r>
              <w:t>1 680.0</w:t>
            </w:r>
          </w:p>
        </w:tc>
        <w:tc>
          <w:tcPr>
            <w:tcW w:w="891" w:type="dxa"/>
            <w:tcBorders>
              <w:top w:val="single" w:sz="4" w:space="0" w:color="auto"/>
              <w:left w:val="single" w:sz="4" w:space="0" w:color="auto"/>
            </w:tcBorders>
          </w:tcPr>
          <w:p w:rsidR="00000000" w:rsidRDefault="00000000">
            <w:pPr>
              <w:pStyle w:val="aa"/>
              <w:ind w:right="57"/>
              <w:jc w:val="right"/>
            </w:pPr>
            <w:r>
              <w:t>1 820.7</w:t>
            </w:r>
          </w:p>
        </w:tc>
      </w:tr>
      <w:tr w:rsidR="00000000">
        <w:tblPrEx>
          <w:tblCellMar>
            <w:top w:w="0" w:type="dxa"/>
            <w:bottom w:w="0" w:type="dxa"/>
          </w:tblCellMar>
        </w:tblPrEx>
        <w:tc>
          <w:tcPr>
            <w:tcW w:w="3119" w:type="dxa"/>
            <w:tcBorders>
              <w:right w:val="single" w:sz="4" w:space="0" w:color="auto"/>
            </w:tcBorders>
          </w:tcPr>
          <w:p w:rsidR="00000000" w:rsidRDefault="00000000">
            <w:pPr>
              <w:pStyle w:val="aa"/>
              <w:rPr>
                <w:rFonts w:hint="eastAsia"/>
              </w:rPr>
            </w:pPr>
            <w:r>
              <w:rPr>
                <w:rFonts w:hint="eastAsia"/>
                <w:sz w:val="22"/>
                <w:szCs w:val="26"/>
              </w:rPr>
              <w:t>从国家预算拨付的社会</w:t>
            </w:r>
            <w:r>
              <w:rPr>
                <w:sz w:val="22"/>
                <w:szCs w:val="26"/>
              </w:rPr>
              <w:br/>
            </w:r>
            <w:r>
              <w:rPr>
                <w:rFonts w:hint="eastAsia"/>
                <w:sz w:val="22"/>
                <w:szCs w:val="26"/>
              </w:rPr>
              <w:t xml:space="preserve">  </w:t>
            </w:r>
            <w:r>
              <w:rPr>
                <w:rFonts w:hint="eastAsia"/>
                <w:sz w:val="22"/>
                <w:szCs w:val="26"/>
              </w:rPr>
              <w:t>资金总额</w:t>
            </w:r>
          </w:p>
        </w:tc>
        <w:tc>
          <w:tcPr>
            <w:tcW w:w="891" w:type="dxa"/>
            <w:tcBorders>
              <w:left w:val="single" w:sz="4" w:space="0" w:color="auto"/>
              <w:right w:val="single" w:sz="4" w:space="0" w:color="auto"/>
            </w:tcBorders>
          </w:tcPr>
          <w:p w:rsidR="00000000" w:rsidRDefault="00000000">
            <w:pPr>
              <w:pStyle w:val="aa"/>
              <w:ind w:right="57"/>
              <w:jc w:val="right"/>
            </w:pPr>
            <w:r>
              <w:t>-</w:t>
            </w:r>
          </w:p>
        </w:tc>
        <w:tc>
          <w:tcPr>
            <w:tcW w:w="891" w:type="dxa"/>
            <w:tcBorders>
              <w:left w:val="single" w:sz="4" w:space="0" w:color="auto"/>
              <w:right w:val="single" w:sz="4" w:space="0" w:color="auto"/>
            </w:tcBorders>
          </w:tcPr>
          <w:p w:rsidR="00000000" w:rsidRDefault="00000000">
            <w:pPr>
              <w:pStyle w:val="aa"/>
              <w:ind w:right="57"/>
              <w:jc w:val="right"/>
            </w:pPr>
            <w:r>
              <w:t>11.6</w:t>
            </w:r>
          </w:p>
        </w:tc>
        <w:tc>
          <w:tcPr>
            <w:tcW w:w="891" w:type="dxa"/>
            <w:tcBorders>
              <w:left w:val="single" w:sz="4" w:space="0" w:color="auto"/>
              <w:right w:val="single" w:sz="4" w:space="0" w:color="auto"/>
            </w:tcBorders>
          </w:tcPr>
          <w:p w:rsidR="00000000" w:rsidRDefault="00000000">
            <w:pPr>
              <w:pStyle w:val="aa"/>
              <w:ind w:right="57"/>
              <w:jc w:val="right"/>
            </w:pPr>
            <w:r>
              <w:t>11.6</w:t>
            </w:r>
          </w:p>
        </w:tc>
        <w:tc>
          <w:tcPr>
            <w:tcW w:w="891" w:type="dxa"/>
            <w:tcBorders>
              <w:left w:val="single" w:sz="4" w:space="0" w:color="auto"/>
              <w:right w:val="single" w:sz="4" w:space="0" w:color="auto"/>
            </w:tcBorders>
          </w:tcPr>
          <w:p w:rsidR="00000000" w:rsidRDefault="00000000">
            <w:pPr>
              <w:pStyle w:val="aa"/>
              <w:ind w:right="57"/>
              <w:jc w:val="right"/>
            </w:pPr>
            <w:r>
              <w:t>11.3</w:t>
            </w:r>
          </w:p>
        </w:tc>
        <w:tc>
          <w:tcPr>
            <w:tcW w:w="891" w:type="dxa"/>
            <w:tcBorders>
              <w:left w:val="single" w:sz="4" w:space="0" w:color="auto"/>
              <w:right w:val="single" w:sz="4" w:space="0" w:color="auto"/>
            </w:tcBorders>
          </w:tcPr>
          <w:p w:rsidR="00000000" w:rsidRDefault="00000000">
            <w:pPr>
              <w:pStyle w:val="aa"/>
              <w:ind w:right="57"/>
              <w:jc w:val="right"/>
            </w:pPr>
            <w:r>
              <w:t>9.8</w:t>
            </w:r>
          </w:p>
        </w:tc>
        <w:tc>
          <w:tcPr>
            <w:tcW w:w="891" w:type="dxa"/>
            <w:tcBorders>
              <w:left w:val="single" w:sz="4" w:space="0" w:color="auto"/>
              <w:right w:val="single" w:sz="4" w:space="0" w:color="auto"/>
            </w:tcBorders>
          </w:tcPr>
          <w:p w:rsidR="00000000" w:rsidRDefault="00000000">
            <w:pPr>
              <w:pStyle w:val="aa"/>
              <w:ind w:right="57"/>
              <w:jc w:val="right"/>
            </w:pPr>
            <w:r>
              <w:t>12.3</w:t>
            </w:r>
          </w:p>
        </w:tc>
        <w:tc>
          <w:tcPr>
            <w:tcW w:w="891" w:type="dxa"/>
            <w:tcBorders>
              <w:left w:val="single" w:sz="4" w:space="0" w:color="auto"/>
            </w:tcBorders>
          </w:tcPr>
          <w:p w:rsidR="00000000" w:rsidRDefault="00000000">
            <w:pPr>
              <w:pStyle w:val="aa"/>
              <w:ind w:right="57"/>
              <w:jc w:val="right"/>
            </w:pPr>
            <w:r>
              <w:t>12.2</w:t>
            </w:r>
          </w:p>
        </w:tc>
      </w:tr>
      <w:tr w:rsidR="00000000">
        <w:tblPrEx>
          <w:tblCellMar>
            <w:top w:w="0" w:type="dxa"/>
            <w:bottom w:w="0" w:type="dxa"/>
          </w:tblCellMar>
        </w:tblPrEx>
        <w:tc>
          <w:tcPr>
            <w:tcW w:w="3119" w:type="dxa"/>
            <w:tcBorders>
              <w:right w:val="single" w:sz="4" w:space="0" w:color="auto"/>
            </w:tcBorders>
          </w:tcPr>
          <w:p w:rsidR="00000000" w:rsidRDefault="00000000">
            <w:pPr>
              <w:pStyle w:val="aa"/>
            </w:pPr>
            <w:r>
              <w:rPr>
                <w:rFonts w:hint="eastAsia"/>
                <w:sz w:val="22"/>
                <w:szCs w:val="26"/>
              </w:rPr>
              <w:t>疾病保险津贴</w:t>
            </w:r>
            <w:r>
              <w:rPr>
                <w:b/>
                <w:bCs/>
                <w:vertAlign w:val="superscript"/>
              </w:rPr>
              <w:t>a</w:t>
            </w:r>
            <w:r>
              <w:t xml:space="preserve"> </w:t>
            </w:r>
          </w:p>
        </w:tc>
        <w:tc>
          <w:tcPr>
            <w:tcW w:w="891" w:type="dxa"/>
            <w:tcBorders>
              <w:left w:val="single" w:sz="4" w:space="0" w:color="auto"/>
              <w:right w:val="single" w:sz="4" w:space="0" w:color="auto"/>
            </w:tcBorders>
          </w:tcPr>
          <w:p w:rsidR="00000000" w:rsidRDefault="00000000">
            <w:pPr>
              <w:pStyle w:val="aa"/>
              <w:ind w:right="57"/>
              <w:jc w:val="right"/>
            </w:pPr>
            <w:r>
              <w:t>3.4</w:t>
            </w:r>
          </w:p>
        </w:tc>
        <w:tc>
          <w:tcPr>
            <w:tcW w:w="891" w:type="dxa"/>
            <w:tcBorders>
              <w:left w:val="single" w:sz="4" w:space="0" w:color="auto"/>
              <w:right w:val="single" w:sz="4" w:space="0" w:color="auto"/>
            </w:tcBorders>
          </w:tcPr>
          <w:p w:rsidR="00000000" w:rsidRDefault="00000000">
            <w:pPr>
              <w:pStyle w:val="aa"/>
              <w:ind w:right="57"/>
              <w:jc w:val="right"/>
            </w:pPr>
            <w:r>
              <w:t>2.6</w:t>
            </w:r>
          </w:p>
        </w:tc>
        <w:tc>
          <w:tcPr>
            <w:tcW w:w="891" w:type="dxa"/>
            <w:tcBorders>
              <w:left w:val="single" w:sz="4" w:space="0" w:color="auto"/>
              <w:right w:val="single" w:sz="4" w:space="0" w:color="auto"/>
            </w:tcBorders>
          </w:tcPr>
          <w:p w:rsidR="00000000" w:rsidRDefault="00000000">
            <w:pPr>
              <w:pStyle w:val="aa"/>
              <w:ind w:right="57"/>
              <w:jc w:val="right"/>
            </w:pPr>
            <w:r>
              <w:t>2.9</w:t>
            </w:r>
          </w:p>
        </w:tc>
        <w:tc>
          <w:tcPr>
            <w:tcW w:w="891" w:type="dxa"/>
            <w:tcBorders>
              <w:left w:val="single" w:sz="4" w:space="0" w:color="auto"/>
              <w:right w:val="single" w:sz="4" w:space="0" w:color="auto"/>
            </w:tcBorders>
          </w:tcPr>
          <w:p w:rsidR="00000000" w:rsidRDefault="00000000">
            <w:pPr>
              <w:pStyle w:val="aa"/>
              <w:ind w:right="57"/>
              <w:jc w:val="right"/>
            </w:pPr>
            <w:r>
              <w:t>2.6</w:t>
            </w:r>
          </w:p>
        </w:tc>
        <w:tc>
          <w:tcPr>
            <w:tcW w:w="891" w:type="dxa"/>
            <w:tcBorders>
              <w:left w:val="single" w:sz="4" w:space="0" w:color="auto"/>
              <w:right w:val="single" w:sz="4" w:space="0" w:color="auto"/>
            </w:tcBorders>
          </w:tcPr>
          <w:p w:rsidR="00000000" w:rsidRDefault="00000000">
            <w:pPr>
              <w:pStyle w:val="aa"/>
              <w:ind w:right="57"/>
              <w:jc w:val="right"/>
            </w:pPr>
            <w:r>
              <w:t>1.4</w:t>
            </w:r>
          </w:p>
        </w:tc>
        <w:tc>
          <w:tcPr>
            <w:tcW w:w="891" w:type="dxa"/>
            <w:tcBorders>
              <w:left w:val="single" w:sz="4" w:space="0" w:color="auto"/>
              <w:right w:val="single" w:sz="4" w:space="0" w:color="auto"/>
            </w:tcBorders>
          </w:tcPr>
          <w:p w:rsidR="00000000" w:rsidRDefault="00000000">
            <w:pPr>
              <w:pStyle w:val="aa"/>
              <w:ind w:right="57"/>
              <w:jc w:val="right"/>
            </w:pPr>
            <w:r>
              <w:t>1.2</w:t>
            </w:r>
          </w:p>
        </w:tc>
        <w:tc>
          <w:tcPr>
            <w:tcW w:w="891" w:type="dxa"/>
            <w:tcBorders>
              <w:left w:val="single" w:sz="4" w:space="0" w:color="auto"/>
            </w:tcBorders>
          </w:tcPr>
          <w:p w:rsidR="00000000" w:rsidRDefault="00000000">
            <w:pPr>
              <w:pStyle w:val="aa"/>
              <w:ind w:right="57"/>
              <w:jc w:val="right"/>
            </w:pPr>
            <w:r>
              <w:t>1.0</w:t>
            </w:r>
          </w:p>
        </w:tc>
      </w:tr>
      <w:tr w:rsidR="00000000">
        <w:tblPrEx>
          <w:tblCellMar>
            <w:top w:w="0" w:type="dxa"/>
            <w:bottom w:w="0" w:type="dxa"/>
          </w:tblCellMar>
        </w:tblPrEx>
        <w:tc>
          <w:tcPr>
            <w:tcW w:w="3119" w:type="dxa"/>
            <w:tcBorders>
              <w:right w:val="single" w:sz="4" w:space="0" w:color="auto"/>
            </w:tcBorders>
          </w:tcPr>
          <w:p w:rsidR="00000000" w:rsidRDefault="00000000">
            <w:pPr>
              <w:pStyle w:val="aa"/>
              <w:rPr>
                <w:rFonts w:hint="eastAsia"/>
              </w:rPr>
            </w:pPr>
            <w:r>
              <w:rPr>
                <w:rFonts w:hint="eastAsia"/>
              </w:rPr>
              <w:t>国家社会扶助津贴</w:t>
            </w:r>
          </w:p>
        </w:tc>
        <w:tc>
          <w:tcPr>
            <w:tcW w:w="891" w:type="dxa"/>
            <w:tcBorders>
              <w:left w:val="single" w:sz="4" w:space="0" w:color="auto"/>
              <w:right w:val="single" w:sz="4" w:space="0" w:color="auto"/>
            </w:tcBorders>
          </w:tcPr>
          <w:p w:rsidR="00000000" w:rsidRDefault="00000000">
            <w:pPr>
              <w:pStyle w:val="aa"/>
              <w:ind w:right="57"/>
              <w:jc w:val="right"/>
            </w:pPr>
            <w:r>
              <w:t>-</w:t>
            </w:r>
          </w:p>
        </w:tc>
        <w:tc>
          <w:tcPr>
            <w:tcW w:w="891" w:type="dxa"/>
            <w:tcBorders>
              <w:left w:val="single" w:sz="4" w:space="0" w:color="auto"/>
              <w:right w:val="single" w:sz="4" w:space="0" w:color="auto"/>
            </w:tcBorders>
          </w:tcPr>
          <w:p w:rsidR="00000000" w:rsidRDefault="00000000">
            <w:pPr>
              <w:pStyle w:val="aa"/>
              <w:ind w:right="57"/>
              <w:jc w:val="right"/>
            </w:pPr>
            <w:r>
              <w:t>-</w:t>
            </w:r>
          </w:p>
        </w:tc>
        <w:tc>
          <w:tcPr>
            <w:tcW w:w="891" w:type="dxa"/>
            <w:tcBorders>
              <w:left w:val="single" w:sz="4" w:space="0" w:color="auto"/>
              <w:right w:val="single" w:sz="4" w:space="0" w:color="auto"/>
            </w:tcBorders>
          </w:tcPr>
          <w:p w:rsidR="00000000" w:rsidRDefault="00000000">
            <w:pPr>
              <w:pStyle w:val="aa"/>
              <w:ind w:right="57"/>
              <w:jc w:val="right"/>
            </w:pPr>
            <w:r>
              <w:t>-</w:t>
            </w:r>
          </w:p>
        </w:tc>
        <w:tc>
          <w:tcPr>
            <w:tcW w:w="891" w:type="dxa"/>
            <w:tcBorders>
              <w:left w:val="single" w:sz="4" w:space="0" w:color="auto"/>
              <w:right w:val="single" w:sz="4" w:space="0" w:color="auto"/>
            </w:tcBorders>
          </w:tcPr>
          <w:p w:rsidR="00000000" w:rsidRDefault="00000000">
            <w:pPr>
              <w:pStyle w:val="aa"/>
              <w:ind w:right="57"/>
              <w:jc w:val="right"/>
            </w:pPr>
            <w:r>
              <w:t>-</w:t>
            </w:r>
          </w:p>
        </w:tc>
        <w:tc>
          <w:tcPr>
            <w:tcW w:w="891" w:type="dxa"/>
            <w:tcBorders>
              <w:left w:val="single" w:sz="4" w:space="0" w:color="auto"/>
              <w:right w:val="single" w:sz="4" w:space="0" w:color="auto"/>
            </w:tcBorders>
          </w:tcPr>
          <w:p w:rsidR="00000000" w:rsidRDefault="00000000">
            <w:pPr>
              <w:pStyle w:val="aa"/>
              <w:ind w:right="57"/>
              <w:jc w:val="right"/>
            </w:pPr>
            <w:r>
              <w:t>1.7</w:t>
            </w:r>
          </w:p>
        </w:tc>
        <w:tc>
          <w:tcPr>
            <w:tcW w:w="891" w:type="dxa"/>
            <w:tcBorders>
              <w:left w:val="single" w:sz="4" w:space="0" w:color="auto"/>
              <w:right w:val="single" w:sz="4" w:space="0" w:color="auto"/>
            </w:tcBorders>
          </w:tcPr>
          <w:p w:rsidR="00000000" w:rsidRDefault="00000000">
            <w:pPr>
              <w:pStyle w:val="aa"/>
              <w:ind w:right="57"/>
              <w:jc w:val="right"/>
            </w:pPr>
            <w:r>
              <w:t>1.7</w:t>
            </w:r>
          </w:p>
        </w:tc>
        <w:tc>
          <w:tcPr>
            <w:tcW w:w="891" w:type="dxa"/>
            <w:tcBorders>
              <w:left w:val="single" w:sz="4" w:space="0" w:color="auto"/>
            </w:tcBorders>
          </w:tcPr>
          <w:p w:rsidR="00000000" w:rsidRDefault="00000000">
            <w:pPr>
              <w:pStyle w:val="aa"/>
              <w:ind w:right="57"/>
              <w:jc w:val="right"/>
            </w:pPr>
            <w:r>
              <w:t>1.6</w:t>
            </w:r>
          </w:p>
        </w:tc>
      </w:tr>
      <w:tr w:rsidR="00000000">
        <w:tblPrEx>
          <w:tblCellMar>
            <w:top w:w="0" w:type="dxa"/>
            <w:bottom w:w="0" w:type="dxa"/>
          </w:tblCellMar>
        </w:tblPrEx>
        <w:tc>
          <w:tcPr>
            <w:tcW w:w="3119" w:type="dxa"/>
            <w:tcBorders>
              <w:bottom w:val="single" w:sz="4" w:space="0" w:color="auto"/>
              <w:right w:val="single" w:sz="4" w:space="0" w:color="auto"/>
            </w:tcBorders>
          </w:tcPr>
          <w:p w:rsidR="00000000" w:rsidRDefault="00000000">
            <w:pPr>
              <w:pStyle w:val="aa"/>
            </w:pPr>
            <w:r>
              <w:rPr>
                <w:rFonts w:hint="eastAsia"/>
                <w:sz w:val="22"/>
                <w:szCs w:val="26"/>
              </w:rPr>
              <w:t>养恤金保障津贴</w:t>
            </w:r>
          </w:p>
        </w:tc>
        <w:tc>
          <w:tcPr>
            <w:tcW w:w="891" w:type="dxa"/>
            <w:tcBorders>
              <w:left w:val="single" w:sz="4" w:space="0" w:color="auto"/>
              <w:bottom w:val="single" w:sz="4" w:space="0" w:color="auto"/>
              <w:right w:val="single" w:sz="4" w:space="0" w:color="auto"/>
            </w:tcBorders>
          </w:tcPr>
          <w:p w:rsidR="00000000" w:rsidRDefault="00000000">
            <w:pPr>
              <w:pStyle w:val="aa"/>
              <w:ind w:right="57"/>
              <w:jc w:val="right"/>
            </w:pPr>
            <w:r>
              <w:t>7.3</w:t>
            </w:r>
          </w:p>
        </w:tc>
        <w:tc>
          <w:tcPr>
            <w:tcW w:w="891" w:type="dxa"/>
            <w:tcBorders>
              <w:left w:val="single" w:sz="4" w:space="0" w:color="auto"/>
              <w:bottom w:val="single" w:sz="4" w:space="0" w:color="auto"/>
              <w:right w:val="single" w:sz="4" w:space="0" w:color="auto"/>
            </w:tcBorders>
          </w:tcPr>
          <w:p w:rsidR="00000000" w:rsidRDefault="00000000">
            <w:pPr>
              <w:pStyle w:val="aa"/>
              <w:ind w:right="57"/>
              <w:jc w:val="right"/>
            </w:pPr>
            <w:r>
              <w:t>7.2</w:t>
            </w:r>
          </w:p>
        </w:tc>
        <w:tc>
          <w:tcPr>
            <w:tcW w:w="891" w:type="dxa"/>
            <w:tcBorders>
              <w:left w:val="single" w:sz="4" w:space="0" w:color="auto"/>
              <w:bottom w:val="single" w:sz="4" w:space="0" w:color="auto"/>
              <w:right w:val="single" w:sz="4" w:space="0" w:color="auto"/>
            </w:tcBorders>
          </w:tcPr>
          <w:p w:rsidR="00000000" w:rsidRDefault="00000000">
            <w:pPr>
              <w:pStyle w:val="aa"/>
              <w:ind w:right="57"/>
              <w:jc w:val="right"/>
            </w:pPr>
            <w:r>
              <w:t>7.1</w:t>
            </w:r>
          </w:p>
        </w:tc>
        <w:tc>
          <w:tcPr>
            <w:tcW w:w="891" w:type="dxa"/>
            <w:tcBorders>
              <w:left w:val="single" w:sz="4" w:space="0" w:color="auto"/>
              <w:bottom w:val="single" w:sz="4" w:space="0" w:color="auto"/>
              <w:right w:val="single" w:sz="4" w:space="0" w:color="auto"/>
            </w:tcBorders>
          </w:tcPr>
          <w:p w:rsidR="00000000" w:rsidRDefault="00000000">
            <w:pPr>
              <w:pStyle w:val="aa"/>
              <w:ind w:right="57"/>
              <w:jc w:val="right"/>
            </w:pPr>
            <w:r>
              <w:t>7.7</w:t>
            </w:r>
          </w:p>
        </w:tc>
        <w:tc>
          <w:tcPr>
            <w:tcW w:w="891" w:type="dxa"/>
            <w:tcBorders>
              <w:left w:val="single" w:sz="4" w:space="0" w:color="auto"/>
              <w:bottom w:val="single" w:sz="4" w:space="0" w:color="auto"/>
              <w:right w:val="single" w:sz="4" w:space="0" w:color="auto"/>
            </w:tcBorders>
          </w:tcPr>
          <w:p w:rsidR="00000000" w:rsidRDefault="00000000">
            <w:pPr>
              <w:pStyle w:val="aa"/>
              <w:ind w:right="57"/>
              <w:jc w:val="right"/>
            </w:pPr>
            <w:r>
              <w:t>8.0</w:t>
            </w:r>
          </w:p>
        </w:tc>
        <w:tc>
          <w:tcPr>
            <w:tcW w:w="891" w:type="dxa"/>
            <w:tcBorders>
              <w:left w:val="single" w:sz="4" w:space="0" w:color="auto"/>
              <w:bottom w:val="single" w:sz="4" w:space="0" w:color="auto"/>
              <w:right w:val="single" w:sz="4" w:space="0" w:color="auto"/>
            </w:tcBorders>
          </w:tcPr>
          <w:p w:rsidR="00000000" w:rsidRDefault="00000000">
            <w:pPr>
              <w:pStyle w:val="aa"/>
              <w:ind w:right="57"/>
              <w:jc w:val="right"/>
            </w:pPr>
            <w:r>
              <w:t>8.6</w:t>
            </w:r>
          </w:p>
        </w:tc>
        <w:tc>
          <w:tcPr>
            <w:tcW w:w="891" w:type="dxa"/>
            <w:tcBorders>
              <w:left w:val="single" w:sz="4" w:space="0" w:color="auto"/>
              <w:bottom w:val="single" w:sz="4" w:space="0" w:color="auto"/>
            </w:tcBorders>
          </w:tcPr>
          <w:p w:rsidR="00000000" w:rsidRDefault="00000000">
            <w:pPr>
              <w:pStyle w:val="aa"/>
              <w:ind w:right="57"/>
              <w:jc w:val="right"/>
            </w:pPr>
            <w:r>
              <w:t>8.8</w:t>
            </w:r>
          </w:p>
        </w:tc>
      </w:tr>
    </w:tbl>
    <w:p w:rsidR="00000000" w:rsidRDefault="00000000">
      <w:pPr>
        <w:rPr>
          <w:rFonts w:hint="eastAsia"/>
        </w:rPr>
      </w:pPr>
    </w:p>
    <w:p w:rsidR="00000000" w:rsidRDefault="00000000">
      <w:pPr>
        <w:spacing w:line="264" w:lineRule="auto"/>
        <w:ind w:left="510"/>
        <w:rPr>
          <w:rFonts w:eastAsia="KaiTi_GB2312"/>
          <w:snapToGrid/>
          <w:spacing w:val="0"/>
          <w:sz w:val="21"/>
          <w:szCs w:val="26"/>
        </w:rPr>
      </w:pPr>
      <w:r>
        <w:rPr>
          <w:rFonts w:eastAsia="KaiTi_GB2312" w:hint="eastAsia"/>
          <w:snapToGrid/>
          <w:spacing w:val="0"/>
          <w:sz w:val="21"/>
          <w:szCs w:val="26"/>
          <w:u w:val="single"/>
        </w:rPr>
        <w:t>资料来源</w:t>
      </w:r>
      <w:r>
        <w:rPr>
          <w:rFonts w:eastAsia="KaiTi_GB2312"/>
          <w:snapToGrid/>
          <w:spacing w:val="0"/>
          <w:sz w:val="21"/>
          <w:szCs w:val="26"/>
        </w:rPr>
        <w:t>：</w:t>
      </w:r>
      <w:r>
        <w:rPr>
          <w:rFonts w:eastAsia="KaiTi_GB2312" w:hint="eastAsia"/>
          <w:snapToGrid/>
          <w:spacing w:val="0"/>
          <w:sz w:val="21"/>
          <w:szCs w:val="26"/>
        </w:rPr>
        <w:t>捷克共和国财政部。</w:t>
      </w:r>
    </w:p>
    <w:p w:rsidR="00000000" w:rsidRDefault="00000000">
      <w:pPr>
        <w:spacing w:after="320" w:line="264" w:lineRule="auto"/>
        <w:ind w:left="1560" w:hanging="670"/>
        <w:rPr>
          <w:rFonts w:eastAsia="KaiTi_GB2312" w:hint="eastAsia"/>
          <w:snapToGrid/>
          <w:spacing w:val="0"/>
          <w:sz w:val="21"/>
          <w:szCs w:val="26"/>
        </w:rPr>
      </w:pPr>
      <w:r>
        <w:rPr>
          <w:rFonts w:eastAsia="KaiTi_GB2312" w:hint="eastAsia"/>
          <w:snapToGrid/>
          <w:spacing w:val="0"/>
          <w:sz w:val="21"/>
          <w:szCs w:val="26"/>
        </w:rPr>
        <w:t xml:space="preserve">   </w:t>
      </w:r>
      <w:r>
        <w:rPr>
          <w:rFonts w:eastAsia="KaiTi_GB2312"/>
          <w:snapToGrid/>
          <w:spacing w:val="0"/>
          <w:sz w:val="21"/>
          <w:szCs w:val="26"/>
        </w:rPr>
        <w:t>a</w:t>
      </w:r>
      <w:r>
        <w:rPr>
          <w:rFonts w:eastAsia="KaiTi_GB2312" w:hint="eastAsia"/>
          <w:snapToGrid/>
          <w:spacing w:val="0"/>
          <w:sz w:val="21"/>
          <w:szCs w:val="26"/>
        </w:rPr>
        <w:tab/>
      </w:r>
      <w:r>
        <w:rPr>
          <w:rFonts w:eastAsia="KaiTi_GB2312" w:hint="eastAsia"/>
          <w:snapToGrid/>
          <w:spacing w:val="0"/>
          <w:sz w:val="21"/>
          <w:szCs w:val="26"/>
        </w:rPr>
        <w:t>疾病保险津贴制度包括</w:t>
      </w:r>
      <w:r>
        <w:rPr>
          <w:rFonts w:eastAsia="KaiTi_GB2312"/>
          <w:snapToGrid/>
          <w:spacing w:val="0"/>
          <w:sz w:val="21"/>
          <w:szCs w:val="26"/>
        </w:rPr>
        <w:t>：</w:t>
      </w:r>
      <w:r>
        <w:rPr>
          <w:rFonts w:eastAsia="KaiTi_GB2312" w:hint="eastAsia"/>
          <w:snapToGrid/>
          <w:spacing w:val="0"/>
          <w:sz w:val="21"/>
          <w:szCs w:val="26"/>
        </w:rPr>
        <w:t>疾病津贴、家庭成员抚育津贴、产妇津贴、孕期和产期补助津贴。职工、生产合作社成员和合作农户均可全额领取这些津贴。自谋职业者不享受家庭成员抚育津贴或孕期和产期补助津贴。求职者不享受家庭成员抚育津贴、孕期和产期补助津贴或疾病津贴。从</w:t>
      </w:r>
      <w:r>
        <w:rPr>
          <w:rFonts w:eastAsia="KaiTi_GB2312" w:hint="eastAsia"/>
          <w:snapToGrid/>
          <w:spacing w:val="0"/>
          <w:sz w:val="21"/>
          <w:szCs w:val="26"/>
        </w:rPr>
        <w:t>1995</w:t>
      </w:r>
      <w:r>
        <w:rPr>
          <w:rFonts w:eastAsia="KaiTi_GB2312" w:hint="eastAsia"/>
          <w:snapToGrid/>
          <w:spacing w:val="0"/>
          <w:sz w:val="21"/>
          <w:szCs w:val="26"/>
        </w:rPr>
        <w:t>年起这些付款比例下降反映了上表注</w:t>
      </w:r>
      <w:r>
        <w:rPr>
          <w:rFonts w:eastAsia="KaiTi_GB2312"/>
          <w:snapToGrid/>
          <w:spacing w:val="0"/>
          <w:sz w:val="21"/>
          <w:szCs w:val="26"/>
        </w:rPr>
        <w:t>a</w:t>
      </w:r>
      <w:r>
        <w:rPr>
          <w:rFonts w:eastAsia="KaiTi_GB2312" w:hint="eastAsia"/>
          <w:snapToGrid/>
          <w:spacing w:val="0"/>
          <w:sz w:val="21"/>
          <w:szCs w:val="26"/>
        </w:rPr>
        <w:t>所述法律的修订。</w:t>
      </w:r>
    </w:p>
    <w:p w:rsidR="00000000" w:rsidRDefault="00000000">
      <w:pPr>
        <w:pStyle w:val="Heading4"/>
        <w:spacing w:after="160"/>
        <w:rPr>
          <w:rFonts w:hint="eastAsia"/>
        </w:rPr>
      </w:pPr>
      <w:r>
        <w:rPr>
          <w:rFonts w:hint="eastAsia"/>
        </w:rPr>
        <w:t>社会保险</w:t>
      </w:r>
    </w:p>
    <w:p w:rsidR="00000000" w:rsidRDefault="00000000">
      <w:pPr>
        <w:spacing w:after="160"/>
        <w:rPr>
          <w:snapToGrid/>
          <w:szCs w:val="26"/>
        </w:rPr>
      </w:pPr>
      <w:r>
        <w:rPr>
          <w:rFonts w:hint="eastAsia"/>
          <w:snapToGrid/>
          <w:szCs w:val="26"/>
        </w:rPr>
        <w:tab/>
      </w:r>
      <w:r>
        <w:rPr>
          <w:snapToGrid/>
          <w:szCs w:val="26"/>
        </w:rPr>
        <w:t xml:space="preserve">322.  </w:t>
      </w:r>
      <w:r>
        <w:rPr>
          <w:rFonts w:hint="eastAsia"/>
          <w:snapToGrid/>
          <w:szCs w:val="26"/>
        </w:rPr>
        <w:t>组织和个人缴纳所谓的社会保障保险</w:t>
      </w:r>
      <w:r>
        <w:rPr>
          <w:rFonts w:hint="eastAsia"/>
          <w:snapToGrid/>
          <w:szCs w:val="26"/>
        </w:rPr>
        <w:t>(</w:t>
      </w:r>
      <w:r>
        <w:rPr>
          <w:rFonts w:hint="eastAsia"/>
          <w:snapToGrid/>
          <w:szCs w:val="26"/>
        </w:rPr>
        <w:t>即养恤金和疾病保险费</w:t>
      </w:r>
      <w:r>
        <w:rPr>
          <w:rFonts w:hint="eastAsia"/>
          <w:snapToGrid/>
          <w:szCs w:val="26"/>
        </w:rPr>
        <w:t>)</w:t>
      </w:r>
      <w:r>
        <w:rPr>
          <w:rFonts w:hint="eastAsia"/>
          <w:snapToGrid/>
          <w:szCs w:val="26"/>
        </w:rPr>
        <w:t>和国家就业政策费</w:t>
      </w:r>
      <w:r>
        <w:rPr>
          <w:rFonts w:hint="eastAsia"/>
          <w:snapToGrid/>
          <w:szCs w:val="26"/>
        </w:rPr>
        <w:t>(</w:t>
      </w:r>
      <w:r>
        <w:rPr>
          <w:rFonts w:hint="eastAsia"/>
          <w:snapToGrid/>
          <w:szCs w:val="26"/>
        </w:rPr>
        <w:t>包括求职者的生活保障</w:t>
      </w:r>
      <w:r>
        <w:rPr>
          <w:snapToGrid/>
          <w:szCs w:val="26"/>
        </w:rPr>
        <w:t>)</w:t>
      </w:r>
      <w:r>
        <w:rPr>
          <w:rFonts w:hint="eastAsia"/>
          <w:snapToGrid/>
          <w:szCs w:val="26"/>
        </w:rPr>
        <w:t>。</w:t>
      </w:r>
    </w:p>
    <w:p w:rsidR="00000000" w:rsidRDefault="00000000">
      <w:pPr>
        <w:pStyle w:val="Heading4"/>
        <w:spacing w:after="160"/>
        <w:ind w:left="500"/>
      </w:pPr>
      <w:r>
        <w:rPr>
          <w:rFonts w:hint="eastAsia"/>
        </w:rPr>
        <w:t>养恤金保险</w:t>
      </w:r>
    </w:p>
    <w:p w:rsidR="00000000" w:rsidRDefault="00000000">
      <w:pPr>
        <w:rPr>
          <w:snapToGrid/>
          <w:szCs w:val="26"/>
        </w:rPr>
      </w:pPr>
      <w:r>
        <w:rPr>
          <w:rFonts w:hint="eastAsia"/>
          <w:snapToGrid/>
          <w:szCs w:val="26"/>
        </w:rPr>
        <w:tab/>
      </w:r>
      <w:r>
        <w:rPr>
          <w:snapToGrid/>
          <w:szCs w:val="26"/>
        </w:rPr>
        <w:t xml:space="preserve">323.  </w:t>
      </w:r>
      <w:r>
        <w:rPr>
          <w:rFonts w:hint="eastAsia"/>
          <w:snapToGrid/>
          <w:szCs w:val="26"/>
        </w:rPr>
        <w:t>个人养恤金保险实行强制和国家保证的基本保险制度</w:t>
      </w:r>
      <w:r>
        <w:rPr>
          <w:snapToGrid/>
          <w:szCs w:val="26"/>
        </w:rPr>
        <w:t>，</w:t>
      </w:r>
      <w:r>
        <w:rPr>
          <w:rFonts w:hint="eastAsia"/>
          <w:snapToGrid/>
          <w:szCs w:val="26"/>
        </w:rPr>
        <w:t>这是捷克共和国的一个长期传统。此外</w:t>
      </w:r>
      <w:r>
        <w:rPr>
          <w:snapToGrid/>
          <w:szCs w:val="26"/>
        </w:rPr>
        <w:t>，</w:t>
      </w:r>
      <w:r>
        <w:rPr>
          <w:rFonts w:hint="eastAsia"/>
          <w:snapToGrid/>
          <w:szCs w:val="26"/>
        </w:rPr>
        <w:t>还实行个人自愿补充保险</w:t>
      </w:r>
      <w:r>
        <w:rPr>
          <w:snapToGrid/>
          <w:szCs w:val="26"/>
        </w:rPr>
        <w:t>，</w:t>
      </w:r>
      <w:r>
        <w:rPr>
          <w:rFonts w:hint="eastAsia"/>
          <w:snapToGrid/>
          <w:szCs w:val="26"/>
        </w:rPr>
        <w:t>即由公民而非由职工或公司缴款的原则。《养恤金保险法》规定了老年、残疾和遗属的生活保险。</w:t>
      </w:r>
    </w:p>
    <w:p w:rsidR="00000000" w:rsidRDefault="00000000">
      <w:pPr>
        <w:rPr>
          <w:snapToGrid/>
          <w:szCs w:val="26"/>
        </w:rPr>
      </w:pPr>
      <w:r>
        <w:rPr>
          <w:rFonts w:hint="eastAsia"/>
          <w:snapToGrid/>
          <w:szCs w:val="26"/>
        </w:rPr>
        <w:tab/>
      </w:r>
      <w:r>
        <w:rPr>
          <w:snapToGrid/>
          <w:szCs w:val="26"/>
        </w:rPr>
        <w:t xml:space="preserve">324.  </w:t>
      </w:r>
      <w:r>
        <w:rPr>
          <w:rFonts w:hint="eastAsia"/>
          <w:snapToGrid/>
          <w:szCs w:val="26"/>
        </w:rPr>
        <w:t>强制保险制度坚持与个人缴款相结合的原则。职工缴纳的社会保障费被用于支付老年、残疾</w:t>
      </w:r>
      <w:r>
        <w:rPr>
          <w:rFonts w:hint="eastAsia"/>
          <w:snapToGrid/>
          <w:szCs w:val="26"/>
        </w:rPr>
        <w:t>(</w:t>
      </w:r>
      <w:r>
        <w:rPr>
          <w:rFonts w:hint="eastAsia"/>
          <w:snapToGrid/>
          <w:szCs w:val="26"/>
        </w:rPr>
        <w:t>全部和部分</w:t>
      </w:r>
      <w:r>
        <w:rPr>
          <w:rFonts w:hint="eastAsia"/>
          <w:snapToGrid/>
          <w:szCs w:val="26"/>
        </w:rPr>
        <w:t>)</w:t>
      </w:r>
      <w:r>
        <w:rPr>
          <w:rFonts w:hint="eastAsia"/>
          <w:snapToGrid/>
          <w:szCs w:val="26"/>
        </w:rPr>
        <w:t>和遗属</w:t>
      </w:r>
      <w:r>
        <w:rPr>
          <w:snapToGrid/>
          <w:szCs w:val="26"/>
        </w:rPr>
        <w:t>(</w:t>
      </w:r>
      <w:r>
        <w:rPr>
          <w:rFonts w:hint="eastAsia"/>
          <w:snapToGrid/>
          <w:szCs w:val="26"/>
        </w:rPr>
        <w:t>寡妇、鳏夫和孤儿</w:t>
      </w:r>
      <w:r>
        <w:rPr>
          <w:rFonts w:hint="eastAsia"/>
          <w:snapToGrid/>
          <w:szCs w:val="26"/>
        </w:rPr>
        <w:t>)</w:t>
      </w:r>
      <w:r>
        <w:rPr>
          <w:rFonts w:hint="eastAsia"/>
          <w:snapToGrid/>
          <w:szCs w:val="26"/>
        </w:rPr>
        <w:t>养恤金</w:t>
      </w:r>
      <w:r>
        <w:rPr>
          <w:snapToGrid/>
          <w:szCs w:val="26"/>
        </w:rPr>
        <w:t>，</w:t>
      </w:r>
      <w:r>
        <w:rPr>
          <w:rFonts w:hint="eastAsia"/>
          <w:snapToGrid/>
          <w:szCs w:val="26"/>
        </w:rPr>
        <w:t>以及疾病保险津贴和失业津贴</w:t>
      </w:r>
      <w:r>
        <w:rPr>
          <w:snapToGrid/>
          <w:szCs w:val="26"/>
        </w:rPr>
        <w:t>，</w:t>
      </w:r>
      <w:r>
        <w:rPr>
          <w:rFonts w:hint="eastAsia"/>
          <w:snapToGrid/>
          <w:szCs w:val="26"/>
        </w:rPr>
        <w:t>国家保证养恤金制度一直有足够的资金。合理安排所支付的养恤金数额，应体现保险原则</w:t>
      </w:r>
      <w:r>
        <w:rPr>
          <w:snapToGrid/>
          <w:szCs w:val="26"/>
        </w:rPr>
        <w:t>(</w:t>
      </w:r>
      <w:r>
        <w:rPr>
          <w:rFonts w:hint="eastAsia"/>
          <w:snapToGrid/>
          <w:szCs w:val="26"/>
        </w:rPr>
        <w:t>对受益人所付数额取决于所支付保险金数额</w:t>
      </w:r>
      <w:r>
        <w:rPr>
          <w:snapToGrid/>
          <w:szCs w:val="26"/>
        </w:rPr>
        <w:t>)</w:t>
      </w:r>
      <w:r>
        <w:rPr>
          <w:rFonts w:hint="eastAsia"/>
          <w:snapToGrid/>
          <w:szCs w:val="26"/>
        </w:rPr>
        <w:t>和对低收入受益人的公正支援原则。</w:t>
      </w:r>
    </w:p>
    <w:p w:rsidR="00000000" w:rsidRDefault="00000000">
      <w:pPr>
        <w:rPr>
          <w:snapToGrid/>
          <w:szCs w:val="26"/>
        </w:rPr>
      </w:pPr>
      <w:r>
        <w:rPr>
          <w:rFonts w:hint="eastAsia"/>
          <w:snapToGrid/>
          <w:szCs w:val="26"/>
        </w:rPr>
        <w:tab/>
      </w:r>
      <w:r>
        <w:rPr>
          <w:snapToGrid/>
          <w:szCs w:val="26"/>
        </w:rPr>
        <w:t xml:space="preserve">325.  </w:t>
      </w:r>
      <w:r>
        <w:rPr>
          <w:rFonts w:hint="eastAsia"/>
          <w:snapToGrid/>
          <w:szCs w:val="26"/>
        </w:rPr>
        <w:t>《养恤金保险法》规定了各种养恤金的条件和数额。根据第</w:t>
      </w:r>
      <w:r>
        <w:rPr>
          <w:snapToGrid/>
          <w:szCs w:val="26"/>
        </w:rPr>
        <w:t>4</w:t>
      </w:r>
      <w:r>
        <w:rPr>
          <w:rFonts w:hint="eastAsia"/>
          <w:snapToGrid/>
          <w:szCs w:val="26"/>
        </w:rPr>
        <w:t>条</w:t>
      </w:r>
      <w:r>
        <w:rPr>
          <w:snapToGrid/>
          <w:szCs w:val="26"/>
        </w:rPr>
        <w:t>，</w:t>
      </w:r>
      <w:r>
        <w:rPr>
          <w:rFonts w:hint="eastAsia"/>
          <w:snapToGrid/>
          <w:szCs w:val="26"/>
        </w:rPr>
        <w:t>提供以下种类养恤金</w:t>
      </w:r>
      <w:r>
        <w:rPr>
          <w:snapToGrid/>
          <w:szCs w:val="26"/>
        </w:rPr>
        <w:t>：</w:t>
      </w:r>
      <w:r>
        <w:rPr>
          <w:rFonts w:hint="eastAsia"/>
          <w:snapToGrid/>
          <w:szCs w:val="26"/>
        </w:rPr>
        <w:t>老年、完全残疾、部分残疾、寡妇和鳏夫、孤儿。</w:t>
      </w:r>
    </w:p>
    <w:p w:rsidR="00000000" w:rsidRDefault="00000000">
      <w:pPr>
        <w:rPr>
          <w:rFonts w:hint="eastAsia"/>
          <w:snapToGrid/>
          <w:szCs w:val="22"/>
        </w:rPr>
      </w:pPr>
      <w:r>
        <w:rPr>
          <w:rFonts w:hint="eastAsia"/>
          <w:snapToGrid/>
          <w:szCs w:val="22"/>
        </w:rPr>
        <w:tab/>
      </w:r>
      <w:r>
        <w:rPr>
          <w:snapToGrid/>
          <w:szCs w:val="22"/>
        </w:rPr>
        <w:t xml:space="preserve">326.  </w:t>
      </w:r>
      <w:r>
        <w:rPr>
          <w:rFonts w:hint="eastAsia"/>
          <w:snapToGrid/>
          <w:szCs w:val="22"/>
        </w:rPr>
        <w:t>养恤金制度的基本支柱是受雇于捷克共和国的所有自然人必须强制缴纳。它是社会保障的一种形式</w:t>
      </w:r>
      <w:r>
        <w:rPr>
          <w:snapToGrid/>
          <w:szCs w:val="22"/>
        </w:rPr>
        <w:t>，</w:t>
      </w:r>
      <w:r>
        <w:rPr>
          <w:rFonts w:hint="eastAsia"/>
          <w:snapToGrid/>
          <w:szCs w:val="22"/>
        </w:rPr>
        <w:t>目的是防止人生中陷入贫困；也是公民团结原则的基本内容。养恤金保险制度的资金来自雇主、雇员和自谋职业者的不断缴款。</w:t>
      </w:r>
    </w:p>
    <w:p w:rsidR="00000000" w:rsidRDefault="00000000">
      <w:pPr>
        <w:rPr>
          <w:rFonts w:hint="eastAsia"/>
          <w:snapToGrid/>
          <w:szCs w:val="22"/>
        </w:rPr>
      </w:pPr>
      <w:r>
        <w:rPr>
          <w:rFonts w:hint="eastAsia"/>
          <w:snapToGrid/>
          <w:szCs w:val="22"/>
        </w:rPr>
        <w:tab/>
      </w:r>
      <w:r>
        <w:rPr>
          <w:snapToGrid/>
          <w:szCs w:val="22"/>
        </w:rPr>
        <w:t xml:space="preserve">327.  </w:t>
      </w:r>
      <w:r>
        <w:rPr>
          <w:rFonts w:hint="eastAsia"/>
          <w:snapToGrid/>
          <w:szCs w:val="22"/>
        </w:rPr>
        <w:t>退休年龄在逐步增加</w:t>
      </w:r>
      <w:r>
        <w:rPr>
          <w:snapToGrid/>
          <w:szCs w:val="22"/>
        </w:rPr>
        <w:t>，</w:t>
      </w:r>
      <w:r>
        <w:rPr>
          <w:rFonts w:hint="eastAsia"/>
          <w:snapToGrid/>
          <w:szCs w:val="22"/>
        </w:rPr>
        <w:t>从</w:t>
      </w:r>
      <w:r>
        <w:rPr>
          <w:snapToGrid/>
          <w:szCs w:val="22"/>
        </w:rPr>
        <w:t>1996</w:t>
      </w:r>
      <w:r>
        <w:rPr>
          <w:rFonts w:hint="eastAsia"/>
          <w:snapToGrid/>
          <w:szCs w:val="22"/>
        </w:rPr>
        <w:t>年</w:t>
      </w:r>
      <w:r>
        <w:rPr>
          <w:snapToGrid/>
          <w:szCs w:val="22"/>
        </w:rPr>
        <w:t>1</w:t>
      </w:r>
      <w:r>
        <w:rPr>
          <w:rFonts w:hint="eastAsia"/>
          <w:snapToGrid/>
          <w:szCs w:val="22"/>
        </w:rPr>
        <w:t>月</w:t>
      </w:r>
      <w:r>
        <w:rPr>
          <w:snapToGrid/>
          <w:szCs w:val="22"/>
        </w:rPr>
        <w:t>1</w:t>
      </w:r>
      <w:r>
        <w:rPr>
          <w:rFonts w:hint="eastAsia"/>
          <w:snapToGrid/>
          <w:szCs w:val="22"/>
        </w:rPr>
        <w:t>日到</w:t>
      </w:r>
      <w:r>
        <w:rPr>
          <w:snapToGrid/>
          <w:szCs w:val="22"/>
        </w:rPr>
        <w:t>2006</w:t>
      </w:r>
      <w:r>
        <w:rPr>
          <w:rFonts w:hint="eastAsia"/>
          <w:snapToGrid/>
          <w:szCs w:val="22"/>
        </w:rPr>
        <w:t>年</w:t>
      </w:r>
      <w:r>
        <w:rPr>
          <w:snapToGrid/>
          <w:szCs w:val="22"/>
        </w:rPr>
        <w:t>12</w:t>
      </w:r>
      <w:r>
        <w:rPr>
          <w:rFonts w:hint="eastAsia"/>
          <w:snapToGrid/>
          <w:szCs w:val="22"/>
        </w:rPr>
        <w:t>月</w:t>
      </w:r>
      <w:r>
        <w:rPr>
          <w:snapToGrid/>
          <w:szCs w:val="22"/>
        </w:rPr>
        <w:t>31</w:t>
      </w:r>
      <w:r>
        <w:rPr>
          <w:rFonts w:hint="eastAsia"/>
          <w:snapToGrid/>
          <w:szCs w:val="22"/>
        </w:rPr>
        <w:t>日</w:t>
      </w:r>
      <w:r>
        <w:rPr>
          <w:snapToGrid/>
          <w:szCs w:val="22"/>
        </w:rPr>
        <w:t>，</w:t>
      </w:r>
      <w:r>
        <w:rPr>
          <w:rFonts w:hint="eastAsia"/>
          <w:snapToGrid/>
          <w:szCs w:val="22"/>
        </w:rPr>
        <w:t>将达到西欧国家养恤金制度的通行水平</w:t>
      </w:r>
      <w:r>
        <w:rPr>
          <w:snapToGrid/>
          <w:szCs w:val="22"/>
        </w:rPr>
        <w:t>：</w:t>
      </w:r>
      <w:r>
        <w:rPr>
          <w:rFonts w:hint="eastAsia"/>
          <w:snapToGrid/>
          <w:szCs w:val="22"/>
        </w:rPr>
        <w:t>到</w:t>
      </w:r>
      <w:r>
        <w:rPr>
          <w:snapToGrid/>
          <w:szCs w:val="22"/>
        </w:rPr>
        <w:t>2007</w:t>
      </w:r>
      <w:r>
        <w:rPr>
          <w:rFonts w:hint="eastAsia"/>
          <w:snapToGrid/>
          <w:szCs w:val="22"/>
        </w:rPr>
        <w:t>年</w:t>
      </w:r>
      <w:r>
        <w:rPr>
          <w:snapToGrid/>
          <w:szCs w:val="22"/>
        </w:rPr>
        <w:t>1</w:t>
      </w:r>
      <w:r>
        <w:rPr>
          <w:rFonts w:hint="eastAsia"/>
          <w:snapToGrid/>
          <w:szCs w:val="22"/>
        </w:rPr>
        <w:t>月</w:t>
      </w:r>
      <w:r>
        <w:rPr>
          <w:snapToGrid/>
          <w:szCs w:val="22"/>
        </w:rPr>
        <w:t>1</w:t>
      </w:r>
      <w:r>
        <w:rPr>
          <w:rFonts w:hint="eastAsia"/>
          <w:snapToGrid/>
          <w:szCs w:val="22"/>
        </w:rPr>
        <w:t>日</w:t>
      </w:r>
      <w:r>
        <w:rPr>
          <w:snapToGrid/>
          <w:szCs w:val="22"/>
        </w:rPr>
        <w:t>，</w:t>
      </w:r>
      <w:r>
        <w:rPr>
          <w:rFonts w:hint="eastAsia"/>
          <w:snapToGrid/>
          <w:szCs w:val="22"/>
        </w:rPr>
        <w:t>男人为</w:t>
      </w:r>
      <w:r>
        <w:rPr>
          <w:snapToGrid/>
          <w:szCs w:val="22"/>
        </w:rPr>
        <w:t>62</w:t>
      </w:r>
      <w:r>
        <w:rPr>
          <w:rFonts w:hint="eastAsia"/>
          <w:snapToGrid/>
          <w:szCs w:val="22"/>
        </w:rPr>
        <w:t>岁</w:t>
      </w:r>
      <w:r>
        <w:rPr>
          <w:snapToGrid/>
          <w:szCs w:val="22"/>
        </w:rPr>
        <w:t>，</w:t>
      </w:r>
      <w:r>
        <w:rPr>
          <w:rFonts w:hint="eastAsia"/>
          <w:snapToGrid/>
          <w:szCs w:val="22"/>
        </w:rPr>
        <w:t>妇女为</w:t>
      </w:r>
      <w:r>
        <w:rPr>
          <w:snapToGrid/>
          <w:szCs w:val="22"/>
        </w:rPr>
        <w:t>57</w:t>
      </w:r>
      <w:r>
        <w:rPr>
          <w:rFonts w:hint="eastAsia"/>
          <w:snapToGrid/>
          <w:szCs w:val="22"/>
        </w:rPr>
        <w:t>至</w:t>
      </w:r>
      <w:r>
        <w:rPr>
          <w:snapToGrid/>
          <w:szCs w:val="22"/>
        </w:rPr>
        <w:t>61</w:t>
      </w:r>
      <w:r>
        <w:rPr>
          <w:rFonts w:hint="eastAsia"/>
          <w:snapToGrid/>
          <w:szCs w:val="22"/>
        </w:rPr>
        <w:t>岁。</w:t>
      </w:r>
      <w:r>
        <w:rPr>
          <w:rStyle w:val="EndnoteReference"/>
          <w:snapToGrid/>
        </w:rPr>
        <w:endnoteReference w:id="196"/>
      </w:r>
      <w:r>
        <w:rPr>
          <w:rFonts w:hint="eastAsia"/>
          <w:snapToGrid/>
          <w:szCs w:val="22"/>
        </w:rPr>
        <w:t xml:space="preserve"> </w:t>
      </w:r>
      <w:r>
        <w:rPr>
          <w:rFonts w:hint="eastAsia"/>
          <w:snapToGrid/>
          <w:szCs w:val="22"/>
        </w:rPr>
        <w:t>抚育子女的妇女可以得到一项优惠</w:t>
      </w:r>
      <w:r>
        <w:rPr>
          <w:snapToGrid/>
          <w:szCs w:val="22"/>
        </w:rPr>
        <w:t>；</w:t>
      </w:r>
      <w:r>
        <w:rPr>
          <w:rFonts w:hint="eastAsia"/>
          <w:snapToGrid/>
          <w:szCs w:val="22"/>
        </w:rPr>
        <w:t>抚养一个孩子可以减少退休年龄一年</w:t>
      </w:r>
      <w:r>
        <w:rPr>
          <w:snapToGrid/>
          <w:szCs w:val="22"/>
        </w:rPr>
        <w:t>，</w:t>
      </w:r>
      <w:r>
        <w:rPr>
          <w:rFonts w:hint="eastAsia"/>
          <w:snapToGrid/>
          <w:szCs w:val="22"/>
        </w:rPr>
        <w:t>但不得低于</w:t>
      </w:r>
      <w:r>
        <w:rPr>
          <w:snapToGrid/>
          <w:szCs w:val="22"/>
        </w:rPr>
        <w:t>57</w:t>
      </w:r>
      <w:r>
        <w:rPr>
          <w:rFonts w:hint="eastAsia"/>
          <w:snapToGrid/>
          <w:szCs w:val="22"/>
        </w:rPr>
        <w:t>岁。与以前的法规相比</w:t>
      </w:r>
      <w:r>
        <w:rPr>
          <w:snapToGrid/>
          <w:szCs w:val="22"/>
        </w:rPr>
        <w:t>，</w:t>
      </w:r>
      <w:r>
        <w:rPr>
          <w:rFonts w:hint="eastAsia"/>
          <w:snapToGrid/>
          <w:szCs w:val="22"/>
        </w:rPr>
        <w:t>男女退休年龄的差别随着妇女退休年龄的逐步增加而在减少。</w:t>
      </w:r>
    </w:p>
    <w:p w:rsidR="00000000" w:rsidRDefault="00000000">
      <w:pPr>
        <w:rPr>
          <w:rFonts w:hint="eastAsia"/>
          <w:snapToGrid/>
          <w:spacing w:val="2"/>
          <w:szCs w:val="22"/>
        </w:rPr>
      </w:pPr>
      <w:r>
        <w:rPr>
          <w:rFonts w:hint="eastAsia"/>
          <w:snapToGrid/>
          <w:szCs w:val="22"/>
        </w:rPr>
        <w:tab/>
      </w:r>
      <w:r>
        <w:rPr>
          <w:snapToGrid/>
          <w:szCs w:val="22"/>
        </w:rPr>
        <w:t xml:space="preserve">328.  </w:t>
      </w:r>
      <w:r>
        <w:rPr>
          <w:rFonts w:hint="eastAsia"/>
          <w:snapToGrid/>
          <w:spacing w:val="2"/>
          <w:szCs w:val="22"/>
        </w:rPr>
        <w:t>基本养恤金保险保证退休年龄或长期失去就业能力的公民都有权领取养恤金。国家根据消费者价格并在某种程度上根据实际工资的增长不时地调整养恤金数额。</w:t>
      </w:r>
    </w:p>
    <w:p w:rsidR="00000000" w:rsidRDefault="00000000">
      <w:pPr>
        <w:rPr>
          <w:snapToGrid/>
          <w:szCs w:val="22"/>
        </w:rPr>
      </w:pPr>
      <w:r>
        <w:rPr>
          <w:rFonts w:hint="eastAsia"/>
          <w:snapToGrid/>
          <w:szCs w:val="22"/>
        </w:rPr>
        <w:tab/>
      </w:r>
      <w:r>
        <w:rPr>
          <w:snapToGrid/>
          <w:szCs w:val="22"/>
        </w:rPr>
        <w:t xml:space="preserve">329.  </w:t>
      </w:r>
      <w:r>
        <w:rPr>
          <w:rFonts w:hint="eastAsia"/>
          <w:snapToGrid/>
          <w:szCs w:val="22"/>
        </w:rPr>
        <w:t>自</w:t>
      </w:r>
      <w:r>
        <w:rPr>
          <w:snapToGrid/>
          <w:szCs w:val="22"/>
        </w:rPr>
        <w:t>1994</w:t>
      </w:r>
      <w:r>
        <w:rPr>
          <w:rFonts w:hint="eastAsia"/>
          <w:snapToGrid/>
          <w:szCs w:val="22"/>
        </w:rPr>
        <w:t>年以来</w:t>
      </w:r>
      <w:r>
        <w:rPr>
          <w:snapToGrid/>
          <w:szCs w:val="22"/>
        </w:rPr>
        <w:t>，</w:t>
      </w:r>
      <w:r>
        <w:rPr>
          <w:rFonts w:hint="eastAsia"/>
          <w:snapToGrid/>
          <w:szCs w:val="22"/>
        </w:rPr>
        <w:t>个人自愿补充养恤金保险由私营养恤基金管理</w:t>
      </w:r>
      <w:r>
        <w:rPr>
          <w:snapToGrid/>
          <w:szCs w:val="22"/>
        </w:rPr>
        <w:t>，</w:t>
      </w:r>
      <w:r>
        <w:rPr>
          <w:rFonts w:hint="eastAsia"/>
          <w:snapToGrid/>
          <w:szCs w:val="22"/>
        </w:rPr>
        <w:t>国家给予资助</w:t>
      </w:r>
      <w:r>
        <w:rPr>
          <w:snapToGrid/>
          <w:szCs w:val="22"/>
        </w:rPr>
        <w:t>，</w:t>
      </w:r>
      <w:r>
        <w:rPr>
          <w:rFonts w:hint="eastAsia"/>
          <w:snapToGrid/>
          <w:szCs w:val="22"/>
        </w:rPr>
        <w:t>即对参加补充保险的个人提供一定捐助。整个制度的法律依据是《有国家捐助的补充养恤金保险法》。</w:t>
      </w:r>
      <w:r>
        <w:rPr>
          <w:rStyle w:val="EndnoteReference"/>
          <w:snapToGrid/>
        </w:rPr>
        <w:endnoteReference w:id="197"/>
      </w:r>
      <w:r>
        <w:rPr>
          <w:snapToGrid/>
          <w:szCs w:val="22"/>
        </w:rPr>
        <w:t xml:space="preserve"> </w:t>
      </w:r>
      <w:r>
        <w:rPr>
          <w:rFonts w:hint="eastAsia"/>
          <w:snapToGrid/>
          <w:szCs w:val="22"/>
        </w:rPr>
        <w:t>为此</w:t>
      </w:r>
      <w:r>
        <w:rPr>
          <w:snapToGrid/>
          <w:szCs w:val="22"/>
        </w:rPr>
        <w:t>，</w:t>
      </w:r>
      <w:r>
        <w:rPr>
          <w:rFonts w:hint="eastAsia"/>
          <w:snapToGrid/>
          <w:szCs w:val="22"/>
        </w:rPr>
        <w:t>国家支持公民个人负责确保老年有足够的资金。从</w:t>
      </w:r>
      <w:r>
        <w:rPr>
          <w:snapToGrid/>
          <w:szCs w:val="22"/>
        </w:rPr>
        <w:t>2000</w:t>
      </w:r>
      <w:r>
        <w:rPr>
          <w:rFonts w:hint="eastAsia"/>
          <w:snapToGrid/>
          <w:szCs w:val="22"/>
        </w:rPr>
        <w:t>年</w:t>
      </w:r>
      <w:r>
        <w:rPr>
          <w:snapToGrid/>
          <w:szCs w:val="22"/>
        </w:rPr>
        <w:t>1</w:t>
      </w:r>
      <w:r>
        <w:rPr>
          <w:rFonts w:hint="eastAsia"/>
          <w:snapToGrid/>
          <w:szCs w:val="22"/>
        </w:rPr>
        <w:t>月</w:t>
      </w:r>
      <w:r>
        <w:rPr>
          <w:snapToGrid/>
          <w:szCs w:val="22"/>
        </w:rPr>
        <w:t>1</w:t>
      </w:r>
      <w:r>
        <w:rPr>
          <w:rFonts w:hint="eastAsia"/>
          <w:snapToGrid/>
          <w:szCs w:val="22"/>
        </w:rPr>
        <w:t>日起</w:t>
      </w:r>
      <w:r>
        <w:rPr>
          <w:snapToGrid/>
          <w:szCs w:val="22"/>
        </w:rPr>
        <w:t>，</w:t>
      </w:r>
      <w:r>
        <w:rPr>
          <w:rFonts w:hint="eastAsia"/>
          <w:snapToGrid/>
          <w:szCs w:val="22"/>
        </w:rPr>
        <w:t>《补充养恤金保险法》的修正案生效</w:t>
      </w:r>
      <w:r>
        <w:rPr>
          <w:snapToGrid/>
          <w:szCs w:val="22"/>
        </w:rPr>
        <w:t>，</w:t>
      </w:r>
      <w:r>
        <w:rPr>
          <w:rFonts w:hint="eastAsia"/>
          <w:snapToGrid/>
          <w:szCs w:val="22"/>
        </w:rPr>
        <w:t>修改了保险条件</w:t>
      </w:r>
      <w:r>
        <w:rPr>
          <w:snapToGrid/>
          <w:szCs w:val="22"/>
        </w:rPr>
        <w:t>，</w:t>
      </w:r>
      <w:r>
        <w:rPr>
          <w:rFonts w:hint="eastAsia"/>
          <w:snapToGrid/>
          <w:szCs w:val="22"/>
        </w:rPr>
        <w:t>特别是加强长期储蓄的重要</w:t>
      </w:r>
      <w:r>
        <w:rPr>
          <w:rFonts w:hint="eastAsia"/>
          <w:snapToGrid/>
          <w:szCs w:val="22"/>
        </w:rPr>
        <w:t>(</w:t>
      </w:r>
      <w:r>
        <w:rPr>
          <w:rFonts w:hint="eastAsia"/>
          <w:snapToGrid/>
          <w:szCs w:val="22"/>
        </w:rPr>
        <w:t>与短期资本存款相比</w:t>
      </w:r>
      <w:r>
        <w:rPr>
          <w:snapToGrid/>
          <w:szCs w:val="22"/>
        </w:rPr>
        <w:t>)</w:t>
      </w:r>
      <w:r>
        <w:rPr>
          <w:snapToGrid/>
          <w:szCs w:val="22"/>
        </w:rPr>
        <w:t>，</w:t>
      </w:r>
      <w:r>
        <w:rPr>
          <w:rFonts w:hint="eastAsia"/>
          <w:snapToGrid/>
          <w:szCs w:val="22"/>
        </w:rPr>
        <w:t>加强个人基金管理规则和国家的监督。也从</w:t>
      </w:r>
      <w:r>
        <w:rPr>
          <w:snapToGrid/>
          <w:szCs w:val="22"/>
        </w:rPr>
        <w:t>2000</w:t>
      </w:r>
      <w:r>
        <w:rPr>
          <w:rFonts w:hint="eastAsia"/>
          <w:snapToGrid/>
          <w:szCs w:val="22"/>
        </w:rPr>
        <w:t>年</w:t>
      </w:r>
      <w:r>
        <w:rPr>
          <w:snapToGrid/>
          <w:szCs w:val="22"/>
        </w:rPr>
        <w:t>1</w:t>
      </w:r>
      <w:r>
        <w:rPr>
          <w:rFonts w:hint="eastAsia"/>
          <w:snapToGrid/>
          <w:szCs w:val="22"/>
        </w:rPr>
        <w:t>月</w:t>
      </w:r>
      <w:r>
        <w:rPr>
          <w:snapToGrid/>
          <w:szCs w:val="22"/>
        </w:rPr>
        <w:t>1</w:t>
      </w:r>
      <w:r>
        <w:rPr>
          <w:rFonts w:hint="eastAsia"/>
          <w:snapToGrid/>
          <w:szCs w:val="22"/>
        </w:rPr>
        <w:t>日起</w:t>
      </w:r>
      <w:r>
        <w:rPr>
          <w:snapToGrid/>
          <w:szCs w:val="22"/>
        </w:rPr>
        <w:t>，</w:t>
      </w:r>
      <w:r>
        <w:rPr>
          <w:rFonts w:hint="eastAsia"/>
          <w:snapToGrid/>
          <w:szCs w:val="22"/>
        </w:rPr>
        <w:t>个人对补充养恤金保险的缴款可以扣税。不过</w:t>
      </w:r>
      <w:r>
        <w:rPr>
          <w:snapToGrid/>
          <w:szCs w:val="22"/>
        </w:rPr>
        <w:t>，</w:t>
      </w:r>
      <w:r>
        <w:rPr>
          <w:rFonts w:hint="eastAsia"/>
          <w:snapToGrid/>
          <w:szCs w:val="22"/>
        </w:rPr>
        <w:t>公民在这些基金中的存款不受法律的保障。</w:t>
      </w:r>
    </w:p>
    <w:p w:rsidR="00000000" w:rsidRDefault="00000000">
      <w:pPr>
        <w:rPr>
          <w:snapToGrid/>
          <w:szCs w:val="22"/>
        </w:rPr>
      </w:pPr>
      <w:r>
        <w:rPr>
          <w:rFonts w:hint="eastAsia"/>
          <w:snapToGrid/>
          <w:szCs w:val="22"/>
        </w:rPr>
        <w:tab/>
      </w:r>
      <w:r>
        <w:rPr>
          <w:snapToGrid/>
          <w:szCs w:val="22"/>
        </w:rPr>
        <w:t xml:space="preserve">330.  </w:t>
      </w:r>
      <w:r>
        <w:rPr>
          <w:rFonts w:hint="eastAsia"/>
          <w:snapToGrid/>
          <w:szCs w:val="22"/>
        </w:rPr>
        <w:t>根据《养恤金保险法》第</w:t>
      </w:r>
      <w:r>
        <w:rPr>
          <w:snapToGrid/>
          <w:szCs w:val="22"/>
        </w:rPr>
        <w:t>67</w:t>
      </w:r>
      <w:r>
        <w:rPr>
          <w:rFonts w:hint="eastAsia"/>
          <w:snapToGrid/>
          <w:szCs w:val="22"/>
        </w:rPr>
        <w:t>条</w:t>
      </w:r>
      <w:r>
        <w:rPr>
          <w:snapToGrid/>
          <w:szCs w:val="22"/>
        </w:rPr>
        <w:t>，</w:t>
      </w:r>
      <w:r>
        <w:rPr>
          <w:rFonts w:hint="eastAsia"/>
          <w:snapToGrid/>
          <w:szCs w:val="22"/>
        </w:rPr>
        <w:t>政府通过政令</w:t>
      </w:r>
      <w:r>
        <w:rPr>
          <w:snapToGrid/>
          <w:szCs w:val="22"/>
        </w:rPr>
        <w:t>，</w:t>
      </w:r>
      <w:r>
        <w:rPr>
          <w:snapToGrid/>
          <w:szCs w:val="22"/>
        </w:rPr>
        <w:t>“</w:t>
      </w:r>
      <w:r>
        <w:rPr>
          <w:rFonts w:hint="eastAsia"/>
          <w:snapToGrid/>
          <w:szCs w:val="22"/>
        </w:rPr>
        <w:t>在消费者价格综合指数比上次提高养恤金之月的前一个日历月至少上涨</w:t>
      </w:r>
      <w:r>
        <w:rPr>
          <w:rFonts w:hint="eastAsia"/>
          <w:snapToGrid/>
          <w:szCs w:val="22"/>
        </w:rPr>
        <w:t>5</w:t>
      </w:r>
      <w:r>
        <w:rPr>
          <w:snapToGrid/>
          <w:szCs w:val="22"/>
        </w:rPr>
        <w:t>%</w:t>
      </w:r>
      <w:r>
        <w:rPr>
          <w:snapToGrid/>
          <w:szCs w:val="22"/>
        </w:rPr>
        <w:t>，</w:t>
      </w:r>
      <w:r>
        <w:rPr>
          <w:rFonts w:hint="eastAsia"/>
          <w:snapToGrid/>
          <w:szCs w:val="22"/>
        </w:rPr>
        <w:t>将增加所支付的养恤金；政府也应通过政令当消费者价格指数比分号前一句所述日历月至少上涨</w:t>
      </w:r>
      <w:r>
        <w:rPr>
          <w:snapToGrid/>
          <w:szCs w:val="22"/>
        </w:rPr>
        <w:t>10%</w:t>
      </w:r>
      <w:r>
        <w:rPr>
          <w:rFonts w:hint="eastAsia"/>
          <w:snapToGrid/>
          <w:szCs w:val="22"/>
        </w:rPr>
        <w:t>时</w:t>
      </w:r>
      <w:r>
        <w:rPr>
          <w:snapToGrid/>
          <w:szCs w:val="22"/>
        </w:rPr>
        <w:t>，</w:t>
      </w:r>
      <w:r>
        <w:rPr>
          <w:rFonts w:hint="eastAsia"/>
          <w:snapToGrid/>
          <w:szCs w:val="22"/>
        </w:rPr>
        <w:t>增加支付的养恤金。”如果养恤金在日历年中未增加</w:t>
      </w:r>
      <w:r>
        <w:rPr>
          <w:snapToGrid/>
          <w:szCs w:val="22"/>
        </w:rPr>
        <w:t>，</w:t>
      </w:r>
      <w:r>
        <w:rPr>
          <w:rFonts w:hint="eastAsia"/>
          <w:snapToGrid/>
          <w:szCs w:val="22"/>
        </w:rPr>
        <w:t>在该年后不仅根据消费者价格指数的上涨而且考虑到实际工资的增长</w:t>
      </w:r>
      <w:r>
        <w:rPr>
          <w:snapToGrid/>
          <w:szCs w:val="22"/>
        </w:rPr>
        <w:t>，</w:t>
      </w:r>
      <w:r>
        <w:rPr>
          <w:rFonts w:hint="eastAsia"/>
          <w:snapToGrid/>
          <w:szCs w:val="22"/>
        </w:rPr>
        <w:t>首先提高养恤金数额。该法令第</w:t>
      </w:r>
      <w:r>
        <w:rPr>
          <w:snapToGrid/>
          <w:szCs w:val="22"/>
        </w:rPr>
        <w:t>107</w:t>
      </w:r>
      <w:r>
        <w:rPr>
          <w:rFonts w:hint="eastAsia"/>
          <w:snapToGrid/>
          <w:szCs w:val="22"/>
        </w:rPr>
        <w:t>条还规定</w:t>
      </w:r>
      <w:r>
        <w:rPr>
          <w:snapToGrid/>
          <w:szCs w:val="22"/>
        </w:rPr>
        <w:t>，</w:t>
      </w:r>
      <w:r>
        <w:rPr>
          <w:rFonts w:hint="eastAsia"/>
          <w:snapToGrid/>
          <w:szCs w:val="22"/>
        </w:rPr>
        <w:t>政府应通过政令制定本日历年的养恤金总体评估基数以及各种养恤金总体评估比例。</w:t>
      </w:r>
    </w:p>
    <w:p w:rsidR="00000000" w:rsidRDefault="00000000">
      <w:pPr>
        <w:spacing w:after="160"/>
        <w:rPr>
          <w:rFonts w:hint="eastAsia"/>
          <w:snapToGrid/>
          <w:szCs w:val="4"/>
        </w:rPr>
      </w:pPr>
      <w:r>
        <w:rPr>
          <w:rFonts w:hint="eastAsia"/>
          <w:snapToGrid/>
          <w:szCs w:val="22"/>
        </w:rPr>
        <w:tab/>
      </w:r>
      <w:r>
        <w:rPr>
          <w:snapToGrid/>
          <w:szCs w:val="22"/>
        </w:rPr>
        <w:t xml:space="preserve">331.  </w:t>
      </w:r>
      <w:r>
        <w:rPr>
          <w:rFonts w:hint="eastAsia"/>
          <w:snapToGrid/>
          <w:szCs w:val="22"/>
        </w:rPr>
        <w:t>自</w:t>
      </w:r>
      <w:r>
        <w:rPr>
          <w:snapToGrid/>
          <w:szCs w:val="22"/>
        </w:rPr>
        <w:t>1996</w:t>
      </w:r>
      <w:r>
        <w:rPr>
          <w:rFonts w:hint="eastAsia"/>
          <w:snapToGrid/>
          <w:szCs w:val="22"/>
        </w:rPr>
        <w:t>年初《养恤金保险法》生效以来</w:t>
      </w:r>
      <w:r>
        <w:rPr>
          <w:snapToGrid/>
          <w:szCs w:val="22"/>
        </w:rPr>
        <w:t>，</w:t>
      </w:r>
      <w:r>
        <w:rPr>
          <w:rFonts w:hint="eastAsia"/>
          <w:snapToGrid/>
          <w:szCs w:val="22"/>
        </w:rPr>
        <w:t>养恤金共增加四次</w:t>
      </w:r>
      <w:r>
        <w:rPr>
          <w:snapToGrid/>
          <w:szCs w:val="22"/>
        </w:rPr>
        <w:t>，</w:t>
      </w:r>
      <w:r>
        <w:rPr>
          <w:rStyle w:val="EndnoteReference"/>
          <w:snapToGrid/>
        </w:rPr>
        <w:endnoteReference w:id="198"/>
      </w:r>
      <w:r>
        <w:rPr>
          <w:rFonts w:hint="eastAsia"/>
          <w:snapToGrid/>
          <w:szCs w:val="22"/>
          <w:vertAlign w:val="superscript"/>
        </w:rPr>
        <w:t xml:space="preserve">  </w:t>
      </w:r>
      <w:r>
        <w:rPr>
          <w:rFonts w:hint="eastAsia"/>
          <w:snapToGrid/>
          <w:szCs w:val="22"/>
        </w:rPr>
        <w:t>并于</w:t>
      </w:r>
      <w:r>
        <w:rPr>
          <w:snapToGrid/>
          <w:szCs w:val="22"/>
        </w:rPr>
        <w:t>1995</w:t>
      </w:r>
      <w:r>
        <w:rPr>
          <w:rFonts w:hint="eastAsia"/>
          <w:snapToGrid/>
          <w:szCs w:val="22"/>
        </w:rPr>
        <w:t>年、</w:t>
      </w:r>
      <w:r>
        <w:rPr>
          <w:snapToGrid/>
          <w:szCs w:val="22"/>
        </w:rPr>
        <w:t>1996</w:t>
      </w:r>
      <w:r>
        <w:rPr>
          <w:rFonts w:hint="eastAsia"/>
          <w:snapToGrid/>
          <w:szCs w:val="22"/>
        </w:rPr>
        <w:t>年、</w:t>
      </w:r>
      <w:r>
        <w:rPr>
          <w:snapToGrid/>
          <w:szCs w:val="22"/>
        </w:rPr>
        <w:t>1997</w:t>
      </w:r>
      <w:r>
        <w:rPr>
          <w:rFonts w:hint="eastAsia"/>
          <w:snapToGrid/>
          <w:szCs w:val="22"/>
        </w:rPr>
        <w:t>年和</w:t>
      </w:r>
      <w:r>
        <w:rPr>
          <w:snapToGrid/>
          <w:szCs w:val="22"/>
        </w:rPr>
        <w:t>1998</w:t>
      </w:r>
      <w:r>
        <w:rPr>
          <w:rFonts w:hint="eastAsia"/>
          <w:snapToGrid/>
          <w:szCs w:val="22"/>
        </w:rPr>
        <w:t>年分别调整了一般评估基数。</w:t>
      </w:r>
      <w:r>
        <w:rPr>
          <w:snapToGrid/>
          <w:szCs w:val="22"/>
        </w:rPr>
        <w:t>1998</w:t>
      </w:r>
      <w:r>
        <w:rPr>
          <w:rFonts w:hint="eastAsia"/>
          <w:snapToGrid/>
          <w:szCs w:val="22"/>
        </w:rPr>
        <w:t>年一</w:t>
      </w:r>
      <w:r>
        <w:rPr>
          <w:rFonts w:hint="eastAsia"/>
          <w:snapToGrid/>
          <w:szCs w:val="4"/>
        </w:rPr>
        <w:t>般计算基数于</w:t>
      </w:r>
      <w:r>
        <w:rPr>
          <w:snapToGrid/>
          <w:szCs w:val="4"/>
        </w:rPr>
        <w:t>2000</w:t>
      </w:r>
      <w:r>
        <w:rPr>
          <w:rFonts w:hint="eastAsia"/>
          <w:snapToGrid/>
          <w:szCs w:val="4"/>
        </w:rPr>
        <w:t>年</w:t>
      </w:r>
      <w:r>
        <w:rPr>
          <w:snapToGrid/>
          <w:szCs w:val="4"/>
        </w:rPr>
        <w:t>1</w:t>
      </w:r>
      <w:r>
        <w:rPr>
          <w:rFonts w:hint="eastAsia"/>
          <w:snapToGrid/>
          <w:szCs w:val="4"/>
        </w:rPr>
        <w:t>月</w:t>
      </w:r>
      <w:r>
        <w:rPr>
          <w:snapToGrid/>
          <w:szCs w:val="4"/>
        </w:rPr>
        <w:t>1</w:t>
      </w:r>
      <w:r>
        <w:rPr>
          <w:rFonts w:hint="eastAsia"/>
          <w:snapToGrid/>
          <w:szCs w:val="4"/>
        </w:rPr>
        <w:t>日生效。《养恤金保险法》第</w:t>
      </w:r>
      <w:r>
        <w:rPr>
          <w:snapToGrid/>
          <w:szCs w:val="4"/>
        </w:rPr>
        <w:t>67</w:t>
      </w:r>
      <w:r>
        <w:rPr>
          <w:rFonts w:hint="eastAsia"/>
          <w:snapToGrid/>
          <w:szCs w:val="4"/>
        </w:rPr>
        <w:t>条规定</w:t>
      </w:r>
      <w:r>
        <w:rPr>
          <w:snapToGrid/>
          <w:szCs w:val="4"/>
        </w:rPr>
        <w:t>，</w:t>
      </w:r>
      <w:r>
        <w:rPr>
          <w:rFonts w:hint="eastAsia"/>
          <w:snapToGrid/>
          <w:szCs w:val="4"/>
        </w:rPr>
        <w:t>养恤金增加后</w:t>
      </w:r>
      <w:r>
        <w:rPr>
          <w:snapToGrid/>
          <w:szCs w:val="4"/>
        </w:rPr>
        <w:t>，</w:t>
      </w:r>
      <w:r>
        <w:rPr>
          <w:rFonts w:hint="eastAsia"/>
          <w:snapToGrid/>
          <w:szCs w:val="4"/>
        </w:rPr>
        <w:t>平均养老金增加幅度应至少相当于消费者价格指数增长的</w:t>
      </w:r>
      <w:r>
        <w:rPr>
          <w:snapToGrid/>
          <w:szCs w:val="4"/>
        </w:rPr>
        <w:t>70%</w:t>
      </w:r>
      <w:r>
        <w:rPr>
          <w:rFonts w:hint="eastAsia"/>
          <w:snapToGrid/>
          <w:szCs w:val="4"/>
        </w:rPr>
        <w:t>。</w:t>
      </w:r>
    </w:p>
    <w:p w:rsidR="00000000" w:rsidRDefault="00000000">
      <w:pPr>
        <w:pStyle w:val="Heading3"/>
        <w:spacing w:after="160"/>
        <w:rPr>
          <w:rFonts w:hint="eastAsia"/>
          <w:kern w:val="0"/>
        </w:rPr>
      </w:pPr>
      <w:r>
        <w:rPr>
          <w:rFonts w:hint="eastAsia"/>
        </w:rPr>
        <w:t>养恤金付款</w:t>
      </w:r>
      <w:r>
        <w:rPr>
          <w:kern w:val="0"/>
        </w:rPr>
        <w:t>(</w:t>
      </w:r>
      <w:r>
        <w:rPr>
          <w:rFonts w:hint="eastAsia"/>
          <w:kern w:val="0"/>
        </w:rPr>
        <w:t>截至每年</w:t>
      </w:r>
      <w:r>
        <w:rPr>
          <w:kern w:val="0"/>
        </w:rPr>
        <w:t>12</w:t>
      </w:r>
      <w:r>
        <w:rPr>
          <w:rFonts w:hint="eastAsia"/>
          <w:kern w:val="0"/>
        </w:rPr>
        <w:t>月</w:t>
      </w:r>
      <w:r>
        <w:rPr>
          <w:kern w:val="0"/>
        </w:rPr>
        <w:t>31</w:t>
      </w:r>
      <w:r>
        <w:rPr>
          <w:rFonts w:hint="eastAsia"/>
          <w:kern w:val="0"/>
        </w:rPr>
        <w:t>日</w:t>
      </w:r>
      <w:r>
        <w:rPr>
          <w:rFonts w:hint="eastAsia"/>
          <w:kern w:val="0"/>
        </w:rPr>
        <w:t>)</w:t>
      </w:r>
    </w:p>
    <w:tbl>
      <w:tblPr>
        <w:tblW w:w="935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18"/>
        <w:gridCol w:w="661"/>
        <w:gridCol w:w="662"/>
        <w:gridCol w:w="661"/>
        <w:gridCol w:w="662"/>
        <w:gridCol w:w="661"/>
        <w:gridCol w:w="662"/>
        <w:gridCol w:w="661"/>
        <w:gridCol w:w="662"/>
        <w:gridCol w:w="661"/>
        <w:gridCol w:w="662"/>
        <w:gridCol w:w="661"/>
        <w:gridCol w:w="662"/>
      </w:tblGrid>
      <w:tr w:rsidR="00000000">
        <w:tblPrEx>
          <w:tblCellMar>
            <w:top w:w="0" w:type="dxa"/>
            <w:bottom w:w="0" w:type="dxa"/>
          </w:tblCellMar>
        </w:tblPrEx>
        <w:trPr>
          <w:cantSplit/>
          <w:trHeight w:val="150"/>
        </w:trPr>
        <w:tc>
          <w:tcPr>
            <w:tcW w:w="1418" w:type="dxa"/>
            <w:vMerge w:val="restart"/>
            <w:tcBorders>
              <w:top w:val="single" w:sz="4" w:space="0" w:color="auto"/>
              <w:right w:val="single" w:sz="4" w:space="0" w:color="auto"/>
            </w:tcBorders>
          </w:tcPr>
          <w:p w:rsidR="00000000" w:rsidRDefault="00000000">
            <w:pPr>
              <w:pStyle w:val="aa"/>
              <w:jc w:val="center"/>
              <w:rPr>
                <w:rFonts w:hint="eastAsia"/>
              </w:rPr>
            </w:pPr>
            <w:r>
              <w:rPr>
                <w:rFonts w:hint="eastAsia"/>
              </w:rPr>
              <w:t>养恤金</w:t>
            </w:r>
          </w:p>
        </w:tc>
        <w:tc>
          <w:tcPr>
            <w:tcW w:w="3969" w:type="dxa"/>
            <w:gridSpan w:val="6"/>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支付的养恤金份数</w:t>
            </w:r>
            <w:r>
              <w:rPr>
                <w:rFonts w:hint="eastAsia"/>
              </w:rPr>
              <w:t>(</w:t>
            </w:r>
            <w:r>
              <w:rPr>
                <w:rFonts w:hint="eastAsia"/>
              </w:rPr>
              <w:t>千份</w:t>
            </w:r>
            <w:r>
              <w:rPr>
                <w:rFonts w:hint="eastAsia"/>
              </w:rPr>
              <w:t>)</w:t>
            </w:r>
          </w:p>
        </w:tc>
        <w:tc>
          <w:tcPr>
            <w:tcW w:w="3969" w:type="dxa"/>
            <w:gridSpan w:val="6"/>
            <w:tcBorders>
              <w:top w:val="single" w:sz="4" w:space="0" w:color="auto"/>
              <w:left w:val="single" w:sz="4" w:space="0" w:color="auto"/>
              <w:bottom w:val="single" w:sz="4" w:space="0" w:color="auto"/>
            </w:tcBorders>
          </w:tcPr>
          <w:p w:rsidR="00000000" w:rsidRDefault="00000000">
            <w:pPr>
              <w:pStyle w:val="aa"/>
              <w:jc w:val="center"/>
              <w:rPr>
                <w:rFonts w:hint="eastAsia"/>
              </w:rPr>
            </w:pPr>
            <w:r>
              <w:rPr>
                <w:rFonts w:hint="eastAsia"/>
              </w:rPr>
              <w:t>平均养恤金数额</w:t>
            </w:r>
            <w:r>
              <w:rPr>
                <w:rFonts w:hint="eastAsia"/>
              </w:rPr>
              <w:t>(</w:t>
            </w:r>
            <w:r>
              <w:rPr>
                <w:rFonts w:hint="eastAsia"/>
              </w:rPr>
              <w:t>捷克克朗</w:t>
            </w:r>
            <w:r>
              <w:rPr>
                <w:rFonts w:hint="eastAsia"/>
              </w:rPr>
              <w:t>)</w:t>
            </w:r>
          </w:p>
        </w:tc>
      </w:tr>
      <w:tr w:rsidR="00000000">
        <w:tblPrEx>
          <w:tblCellMar>
            <w:top w:w="0" w:type="dxa"/>
            <w:bottom w:w="0" w:type="dxa"/>
          </w:tblCellMar>
        </w:tblPrEx>
        <w:trPr>
          <w:cantSplit/>
          <w:trHeight w:val="150"/>
        </w:trPr>
        <w:tc>
          <w:tcPr>
            <w:tcW w:w="1418" w:type="dxa"/>
            <w:vMerge/>
            <w:tcBorders>
              <w:bottom w:val="single" w:sz="4" w:space="0" w:color="auto"/>
              <w:right w:val="single" w:sz="4" w:space="0" w:color="auto"/>
            </w:tcBorders>
          </w:tcPr>
          <w:p w:rsidR="00000000" w:rsidRDefault="00000000">
            <w:pPr>
              <w:pStyle w:val="aa"/>
              <w:jc w:val="center"/>
            </w:pPr>
          </w:p>
        </w:tc>
        <w:tc>
          <w:tcPr>
            <w:tcW w:w="66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1993</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1994</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1995</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1996</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1997</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1998</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1993</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1994</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1995</w:t>
            </w:r>
          </w:p>
        </w:tc>
        <w:tc>
          <w:tcPr>
            <w:tcW w:w="662"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1996</w:t>
            </w:r>
          </w:p>
        </w:tc>
        <w:tc>
          <w:tcPr>
            <w:tcW w:w="661"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1997</w:t>
            </w:r>
          </w:p>
        </w:tc>
        <w:tc>
          <w:tcPr>
            <w:tcW w:w="662" w:type="dxa"/>
            <w:tcBorders>
              <w:top w:val="single" w:sz="4" w:space="0" w:color="auto"/>
              <w:left w:val="single" w:sz="4" w:space="0" w:color="auto"/>
              <w:bottom w:val="single" w:sz="4" w:space="0" w:color="auto"/>
            </w:tcBorders>
          </w:tcPr>
          <w:p w:rsidR="00000000" w:rsidRDefault="00000000">
            <w:pPr>
              <w:pStyle w:val="aa"/>
              <w:jc w:val="center"/>
            </w:pPr>
            <w:r>
              <w:t>1998</w:t>
            </w:r>
          </w:p>
        </w:tc>
      </w:tr>
      <w:tr w:rsidR="00000000">
        <w:tblPrEx>
          <w:tblCellMar>
            <w:top w:w="0" w:type="dxa"/>
            <w:bottom w:w="0" w:type="dxa"/>
          </w:tblCellMar>
        </w:tblPrEx>
        <w:trPr>
          <w:cantSplit/>
        </w:trPr>
        <w:tc>
          <w:tcPr>
            <w:tcW w:w="1418" w:type="dxa"/>
            <w:tcBorders>
              <w:top w:val="single" w:sz="4" w:space="0" w:color="auto"/>
              <w:bottom w:val="nil"/>
              <w:right w:val="single" w:sz="4" w:space="0" w:color="auto"/>
            </w:tcBorders>
          </w:tcPr>
          <w:p w:rsidR="00000000" w:rsidRDefault="00000000">
            <w:pPr>
              <w:pStyle w:val="aa"/>
              <w:rPr>
                <w:rFonts w:hint="eastAsia"/>
              </w:rPr>
            </w:pPr>
            <w:r>
              <w:rPr>
                <w:rFonts w:hint="eastAsia"/>
              </w:rPr>
              <w:t>总数</w:t>
            </w:r>
          </w:p>
        </w:tc>
        <w:tc>
          <w:tcPr>
            <w:tcW w:w="661" w:type="dxa"/>
            <w:tcBorders>
              <w:top w:val="single" w:sz="4" w:space="0" w:color="auto"/>
              <w:left w:val="single" w:sz="4" w:space="0" w:color="auto"/>
              <w:bottom w:val="nil"/>
              <w:right w:val="single" w:sz="4" w:space="0" w:color="auto"/>
            </w:tcBorders>
          </w:tcPr>
          <w:p w:rsidR="00000000" w:rsidRDefault="00000000">
            <w:pPr>
              <w:pStyle w:val="aa"/>
              <w:jc w:val="right"/>
            </w:pPr>
            <w:r>
              <w:t>3 052</w:t>
            </w:r>
          </w:p>
        </w:tc>
        <w:tc>
          <w:tcPr>
            <w:tcW w:w="662" w:type="dxa"/>
            <w:tcBorders>
              <w:top w:val="single" w:sz="4" w:space="0" w:color="auto"/>
              <w:left w:val="single" w:sz="4" w:space="0" w:color="auto"/>
              <w:bottom w:val="nil"/>
              <w:right w:val="single" w:sz="4" w:space="0" w:color="auto"/>
            </w:tcBorders>
          </w:tcPr>
          <w:p w:rsidR="00000000" w:rsidRDefault="00000000">
            <w:pPr>
              <w:pStyle w:val="aa"/>
              <w:jc w:val="right"/>
            </w:pPr>
            <w:r>
              <w:t>3 051</w:t>
            </w:r>
          </w:p>
        </w:tc>
        <w:tc>
          <w:tcPr>
            <w:tcW w:w="661" w:type="dxa"/>
            <w:tcBorders>
              <w:top w:val="single" w:sz="4" w:space="0" w:color="auto"/>
              <w:left w:val="single" w:sz="4" w:space="0" w:color="auto"/>
              <w:bottom w:val="nil"/>
              <w:right w:val="single" w:sz="4" w:space="0" w:color="auto"/>
            </w:tcBorders>
          </w:tcPr>
          <w:p w:rsidR="00000000" w:rsidRDefault="00000000">
            <w:pPr>
              <w:pStyle w:val="aa"/>
              <w:jc w:val="right"/>
            </w:pPr>
            <w:r>
              <w:t>3 057</w:t>
            </w:r>
          </w:p>
        </w:tc>
        <w:tc>
          <w:tcPr>
            <w:tcW w:w="662" w:type="dxa"/>
            <w:tcBorders>
              <w:top w:val="single" w:sz="4" w:space="0" w:color="auto"/>
              <w:left w:val="single" w:sz="4" w:space="0" w:color="auto"/>
              <w:bottom w:val="nil"/>
              <w:right w:val="single" w:sz="4" w:space="0" w:color="auto"/>
            </w:tcBorders>
          </w:tcPr>
          <w:p w:rsidR="00000000" w:rsidRDefault="00000000">
            <w:pPr>
              <w:pStyle w:val="aa"/>
              <w:jc w:val="right"/>
            </w:pPr>
            <w:r>
              <w:t>3 052</w:t>
            </w:r>
          </w:p>
        </w:tc>
        <w:tc>
          <w:tcPr>
            <w:tcW w:w="661" w:type="dxa"/>
            <w:tcBorders>
              <w:top w:val="single" w:sz="4" w:space="0" w:color="auto"/>
              <w:left w:val="single" w:sz="4" w:space="0" w:color="auto"/>
              <w:bottom w:val="nil"/>
              <w:right w:val="single" w:sz="4" w:space="0" w:color="auto"/>
            </w:tcBorders>
          </w:tcPr>
          <w:p w:rsidR="00000000" w:rsidRDefault="00000000">
            <w:pPr>
              <w:pStyle w:val="aa"/>
              <w:jc w:val="right"/>
            </w:pPr>
            <w:r>
              <w:t>3 088</w:t>
            </w:r>
          </w:p>
        </w:tc>
        <w:tc>
          <w:tcPr>
            <w:tcW w:w="662" w:type="dxa"/>
            <w:tcBorders>
              <w:top w:val="single" w:sz="4" w:space="0" w:color="auto"/>
              <w:left w:val="single" w:sz="4" w:space="0" w:color="auto"/>
              <w:bottom w:val="nil"/>
              <w:right w:val="single" w:sz="4" w:space="0" w:color="auto"/>
            </w:tcBorders>
          </w:tcPr>
          <w:p w:rsidR="00000000" w:rsidRDefault="00000000">
            <w:pPr>
              <w:pStyle w:val="aa"/>
              <w:jc w:val="right"/>
            </w:pPr>
            <w:r>
              <w:t>3 147</w:t>
            </w:r>
          </w:p>
        </w:tc>
        <w:tc>
          <w:tcPr>
            <w:tcW w:w="661" w:type="dxa"/>
            <w:tcBorders>
              <w:top w:val="single" w:sz="4" w:space="0" w:color="auto"/>
              <w:left w:val="single" w:sz="4" w:space="0" w:color="auto"/>
              <w:bottom w:val="nil"/>
              <w:right w:val="single" w:sz="4" w:space="0" w:color="auto"/>
            </w:tcBorders>
          </w:tcPr>
          <w:p w:rsidR="00000000" w:rsidRDefault="00000000">
            <w:pPr>
              <w:pStyle w:val="aa"/>
              <w:jc w:val="right"/>
            </w:pPr>
            <w:r>
              <w:t>2 684</w:t>
            </w:r>
          </w:p>
        </w:tc>
        <w:tc>
          <w:tcPr>
            <w:tcW w:w="662" w:type="dxa"/>
            <w:tcBorders>
              <w:top w:val="single" w:sz="4" w:space="0" w:color="auto"/>
              <w:left w:val="single" w:sz="4" w:space="0" w:color="auto"/>
              <w:bottom w:val="nil"/>
              <w:right w:val="single" w:sz="4" w:space="0" w:color="auto"/>
            </w:tcBorders>
          </w:tcPr>
          <w:p w:rsidR="00000000" w:rsidRDefault="00000000">
            <w:pPr>
              <w:pStyle w:val="aa"/>
              <w:jc w:val="right"/>
            </w:pPr>
            <w:r>
              <w:t>3 248</w:t>
            </w:r>
          </w:p>
        </w:tc>
        <w:tc>
          <w:tcPr>
            <w:tcW w:w="661" w:type="dxa"/>
            <w:tcBorders>
              <w:top w:val="single" w:sz="4" w:space="0" w:color="auto"/>
              <w:left w:val="single" w:sz="4" w:space="0" w:color="auto"/>
              <w:bottom w:val="nil"/>
              <w:right w:val="single" w:sz="4" w:space="0" w:color="auto"/>
            </w:tcBorders>
          </w:tcPr>
          <w:p w:rsidR="00000000" w:rsidRDefault="00000000">
            <w:pPr>
              <w:pStyle w:val="aa"/>
              <w:jc w:val="right"/>
            </w:pPr>
            <w:r>
              <w:t>3 655</w:t>
            </w:r>
          </w:p>
        </w:tc>
        <w:tc>
          <w:tcPr>
            <w:tcW w:w="662" w:type="dxa"/>
            <w:tcBorders>
              <w:top w:val="single" w:sz="4" w:space="0" w:color="auto"/>
              <w:left w:val="single" w:sz="4" w:space="0" w:color="auto"/>
              <w:bottom w:val="nil"/>
              <w:right w:val="single" w:sz="4" w:space="0" w:color="auto"/>
            </w:tcBorders>
          </w:tcPr>
          <w:p w:rsidR="00000000" w:rsidRDefault="00000000">
            <w:pPr>
              <w:pStyle w:val="aa"/>
              <w:jc w:val="right"/>
            </w:pPr>
            <w:r>
              <w:t>4 498</w:t>
            </w:r>
          </w:p>
        </w:tc>
        <w:tc>
          <w:tcPr>
            <w:tcW w:w="661" w:type="dxa"/>
            <w:tcBorders>
              <w:top w:val="single" w:sz="4" w:space="0" w:color="auto"/>
              <w:left w:val="single" w:sz="4" w:space="0" w:color="auto"/>
              <w:bottom w:val="nil"/>
              <w:right w:val="single" w:sz="4" w:space="0" w:color="auto"/>
            </w:tcBorders>
          </w:tcPr>
          <w:p w:rsidR="00000000" w:rsidRDefault="00000000">
            <w:pPr>
              <w:pStyle w:val="aa"/>
              <w:jc w:val="right"/>
            </w:pPr>
            <w:r>
              <w:t>5 022</w:t>
            </w:r>
          </w:p>
        </w:tc>
        <w:tc>
          <w:tcPr>
            <w:tcW w:w="662" w:type="dxa"/>
            <w:tcBorders>
              <w:top w:val="single" w:sz="4" w:space="0" w:color="auto"/>
              <w:left w:val="single" w:sz="4" w:space="0" w:color="auto"/>
              <w:bottom w:val="nil"/>
            </w:tcBorders>
          </w:tcPr>
          <w:p w:rsidR="00000000" w:rsidRDefault="00000000">
            <w:pPr>
              <w:pStyle w:val="aa"/>
              <w:jc w:val="right"/>
            </w:pPr>
            <w:r>
              <w:t>5 450</w:t>
            </w:r>
          </w:p>
        </w:tc>
      </w:tr>
      <w:tr w:rsidR="00000000">
        <w:tblPrEx>
          <w:tblCellMar>
            <w:top w:w="0" w:type="dxa"/>
            <w:bottom w:w="0" w:type="dxa"/>
          </w:tblCellMar>
        </w:tblPrEx>
        <w:trPr>
          <w:cantSplit/>
        </w:trPr>
        <w:tc>
          <w:tcPr>
            <w:tcW w:w="1418" w:type="dxa"/>
            <w:tcBorders>
              <w:top w:val="nil"/>
              <w:right w:val="single" w:sz="4" w:space="0" w:color="auto"/>
            </w:tcBorders>
          </w:tcPr>
          <w:p w:rsidR="00000000" w:rsidRDefault="00000000">
            <w:pPr>
              <w:pStyle w:val="aa"/>
              <w:rPr>
                <w:rFonts w:hint="eastAsia"/>
              </w:rPr>
            </w:pPr>
            <w:r>
              <w:rPr>
                <w:rFonts w:hint="eastAsia"/>
              </w:rPr>
              <w:t>完全养老金</w:t>
            </w:r>
          </w:p>
        </w:tc>
        <w:tc>
          <w:tcPr>
            <w:tcW w:w="661" w:type="dxa"/>
            <w:tcBorders>
              <w:top w:val="nil"/>
              <w:left w:val="single" w:sz="4" w:space="0" w:color="auto"/>
              <w:right w:val="single" w:sz="4" w:space="0" w:color="auto"/>
            </w:tcBorders>
          </w:tcPr>
          <w:p w:rsidR="00000000" w:rsidRDefault="00000000">
            <w:pPr>
              <w:pStyle w:val="aa"/>
              <w:jc w:val="right"/>
            </w:pPr>
            <w:r>
              <w:t>1 772</w:t>
            </w:r>
          </w:p>
        </w:tc>
        <w:tc>
          <w:tcPr>
            <w:tcW w:w="662" w:type="dxa"/>
            <w:tcBorders>
              <w:top w:val="nil"/>
              <w:left w:val="single" w:sz="4" w:space="0" w:color="auto"/>
              <w:right w:val="single" w:sz="4" w:space="0" w:color="auto"/>
            </w:tcBorders>
          </w:tcPr>
          <w:p w:rsidR="00000000" w:rsidRDefault="00000000">
            <w:pPr>
              <w:pStyle w:val="aa"/>
              <w:jc w:val="right"/>
            </w:pPr>
            <w:r>
              <w:t>1 770</w:t>
            </w:r>
          </w:p>
        </w:tc>
        <w:tc>
          <w:tcPr>
            <w:tcW w:w="661" w:type="dxa"/>
            <w:tcBorders>
              <w:top w:val="nil"/>
              <w:left w:val="single" w:sz="4" w:space="0" w:color="auto"/>
              <w:right w:val="single" w:sz="4" w:space="0" w:color="auto"/>
            </w:tcBorders>
          </w:tcPr>
          <w:p w:rsidR="00000000" w:rsidRDefault="00000000">
            <w:pPr>
              <w:pStyle w:val="aa"/>
              <w:jc w:val="right"/>
            </w:pPr>
            <w:r>
              <w:t>1 772</w:t>
            </w:r>
          </w:p>
        </w:tc>
        <w:tc>
          <w:tcPr>
            <w:tcW w:w="662" w:type="dxa"/>
            <w:tcBorders>
              <w:top w:val="nil"/>
              <w:left w:val="single" w:sz="4" w:space="0" w:color="auto"/>
              <w:right w:val="single" w:sz="4" w:space="0" w:color="auto"/>
            </w:tcBorders>
          </w:tcPr>
          <w:p w:rsidR="00000000" w:rsidRDefault="00000000">
            <w:pPr>
              <w:pStyle w:val="aa"/>
              <w:jc w:val="right"/>
            </w:pPr>
            <w:r>
              <w:t>1 769</w:t>
            </w:r>
          </w:p>
        </w:tc>
        <w:tc>
          <w:tcPr>
            <w:tcW w:w="661" w:type="dxa"/>
            <w:tcBorders>
              <w:top w:val="nil"/>
              <w:left w:val="single" w:sz="4" w:space="0" w:color="auto"/>
              <w:right w:val="single" w:sz="4" w:space="0" w:color="auto"/>
            </w:tcBorders>
          </w:tcPr>
          <w:p w:rsidR="00000000" w:rsidRDefault="00000000">
            <w:pPr>
              <w:pStyle w:val="aa"/>
              <w:jc w:val="right"/>
            </w:pPr>
            <w:r>
              <w:t>1 777</w:t>
            </w:r>
          </w:p>
        </w:tc>
        <w:tc>
          <w:tcPr>
            <w:tcW w:w="662" w:type="dxa"/>
            <w:tcBorders>
              <w:top w:val="nil"/>
              <w:left w:val="single" w:sz="4" w:space="0" w:color="auto"/>
              <w:right w:val="single" w:sz="4" w:space="0" w:color="auto"/>
            </w:tcBorders>
          </w:tcPr>
          <w:p w:rsidR="00000000" w:rsidRDefault="00000000">
            <w:pPr>
              <w:pStyle w:val="aa"/>
              <w:jc w:val="right"/>
            </w:pPr>
            <w:r>
              <w:t>1 827</w:t>
            </w:r>
          </w:p>
        </w:tc>
        <w:tc>
          <w:tcPr>
            <w:tcW w:w="661" w:type="dxa"/>
            <w:tcBorders>
              <w:top w:val="nil"/>
              <w:left w:val="single" w:sz="4" w:space="0" w:color="auto"/>
              <w:right w:val="single" w:sz="4" w:space="0" w:color="auto"/>
            </w:tcBorders>
          </w:tcPr>
          <w:p w:rsidR="00000000" w:rsidRDefault="00000000">
            <w:pPr>
              <w:pStyle w:val="aa"/>
              <w:jc w:val="right"/>
            </w:pPr>
            <w:r>
              <w:t>2 806</w:t>
            </w:r>
          </w:p>
        </w:tc>
        <w:tc>
          <w:tcPr>
            <w:tcW w:w="662" w:type="dxa"/>
            <w:tcBorders>
              <w:top w:val="nil"/>
              <w:left w:val="single" w:sz="4" w:space="0" w:color="auto"/>
              <w:right w:val="single" w:sz="4" w:space="0" w:color="auto"/>
            </w:tcBorders>
          </w:tcPr>
          <w:p w:rsidR="00000000" w:rsidRDefault="00000000">
            <w:pPr>
              <w:pStyle w:val="aa"/>
              <w:jc w:val="right"/>
            </w:pPr>
            <w:r>
              <w:t>3 373</w:t>
            </w:r>
          </w:p>
        </w:tc>
        <w:tc>
          <w:tcPr>
            <w:tcW w:w="661" w:type="dxa"/>
            <w:tcBorders>
              <w:top w:val="nil"/>
              <w:left w:val="single" w:sz="4" w:space="0" w:color="auto"/>
              <w:right w:val="single" w:sz="4" w:space="0" w:color="auto"/>
            </w:tcBorders>
          </w:tcPr>
          <w:p w:rsidR="00000000" w:rsidRDefault="00000000">
            <w:pPr>
              <w:pStyle w:val="aa"/>
              <w:jc w:val="right"/>
            </w:pPr>
            <w:r>
              <w:t>3 782</w:t>
            </w:r>
          </w:p>
        </w:tc>
        <w:tc>
          <w:tcPr>
            <w:tcW w:w="662" w:type="dxa"/>
            <w:tcBorders>
              <w:top w:val="nil"/>
              <w:left w:val="single" w:sz="4" w:space="0" w:color="auto"/>
              <w:right w:val="single" w:sz="4" w:space="0" w:color="auto"/>
            </w:tcBorders>
          </w:tcPr>
          <w:p w:rsidR="00000000" w:rsidRDefault="00000000">
            <w:pPr>
              <w:pStyle w:val="aa"/>
              <w:jc w:val="right"/>
            </w:pPr>
            <w:r>
              <w:t>4 609</w:t>
            </w:r>
          </w:p>
        </w:tc>
        <w:tc>
          <w:tcPr>
            <w:tcW w:w="661" w:type="dxa"/>
            <w:tcBorders>
              <w:top w:val="nil"/>
              <w:left w:val="single" w:sz="4" w:space="0" w:color="auto"/>
              <w:right w:val="single" w:sz="4" w:space="0" w:color="auto"/>
            </w:tcBorders>
          </w:tcPr>
          <w:p w:rsidR="00000000" w:rsidRDefault="00000000">
            <w:pPr>
              <w:pStyle w:val="aa"/>
              <w:jc w:val="right"/>
            </w:pPr>
            <w:r>
              <w:t>5 150</w:t>
            </w:r>
          </w:p>
        </w:tc>
        <w:tc>
          <w:tcPr>
            <w:tcW w:w="662" w:type="dxa"/>
            <w:tcBorders>
              <w:top w:val="nil"/>
              <w:left w:val="single" w:sz="4" w:space="0" w:color="auto"/>
            </w:tcBorders>
          </w:tcPr>
          <w:p w:rsidR="00000000" w:rsidRDefault="00000000">
            <w:pPr>
              <w:pStyle w:val="aa"/>
              <w:jc w:val="right"/>
            </w:pPr>
            <w:r>
              <w:t>5 579</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pStyle w:val="aa"/>
              <w:rPr>
                <w:rFonts w:hint="eastAsia"/>
              </w:rPr>
            </w:pPr>
            <w:r>
              <w:rPr>
                <w:rFonts w:hint="eastAsia"/>
              </w:rPr>
              <w:t>部分养老金</w:t>
            </w:r>
          </w:p>
        </w:tc>
        <w:tc>
          <w:tcPr>
            <w:tcW w:w="661" w:type="dxa"/>
            <w:tcBorders>
              <w:left w:val="single" w:sz="4" w:space="0" w:color="auto"/>
              <w:right w:val="single" w:sz="4" w:space="0" w:color="auto"/>
            </w:tcBorders>
          </w:tcPr>
          <w:p w:rsidR="00000000" w:rsidRDefault="00000000">
            <w:pPr>
              <w:pStyle w:val="aa"/>
              <w:jc w:val="right"/>
            </w:pPr>
            <w:r>
              <w:t>43</w:t>
            </w:r>
          </w:p>
        </w:tc>
        <w:tc>
          <w:tcPr>
            <w:tcW w:w="662" w:type="dxa"/>
            <w:tcBorders>
              <w:left w:val="single" w:sz="4" w:space="0" w:color="auto"/>
              <w:right w:val="single" w:sz="4" w:space="0" w:color="auto"/>
            </w:tcBorders>
          </w:tcPr>
          <w:p w:rsidR="00000000" w:rsidRDefault="00000000">
            <w:pPr>
              <w:pStyle w:val="aa"/>
              <w:jc w:val="right"/>
            </w:pPr>
            <w:r>
              <w:t>41</w:t>
            </w:r>
          </w:p>
        </w:tc>
        <w:tc>
          <w:tcPr>
            <w:tcW w:w="661" w:type="dxa"/>
            <w:tcBorders>
              <w:left w:val="single" w:sz="4" w:space="0" w:color="auto"/>
              <w:right w:val="single" w:sz="4" w:space="0" w:color="auto"/>
            </w:tcBorders>
          </w:tcPr>
          <w:p w:rsidR="00000000" w:rsidRDefault="00000000">
            <w:pPr>
              <w:pStyle w:val="aa"/>
              <w:jc w:val="right"/>
            </w:pPr>
            <w:r>
              <w:t>40</w:t>
            </w:r>
          </w:p>
        </w:tc>
        <w:tc>
          <w:tcPr>
            <w:tcW w:w="662" w:type="dxa"/>
            <w:tcBorders>
              <w:left w:val="single" w:sz="4" w:space="0" w:color="auto"/>
              <w:right w:val="single" w:sz="4" w:space="0" w:color="auto"/>
            </w:tcBorders>
          </w:tcPr>
          <w:p w:rsidR="00000000" w:rsidRDefault="00000000">
            <w:pPr>
              <w:pStyle w:val="aa"/>
              <w:jc w:val="right"/>
            </w:pPr>
            <w:r>
              <w:t>37</w:t>
            </w:r>
          </w:p>
        </w:tc>
        <w:tc>
          <w:tcPr>
            <w:tcW w:w="661" w:type="dxa"/>
            <w:tcBorders>
              <w:left w:val="single" w:sz="4" w:space="0" w:color="auto"/>
              <w:right w:val="single" w:sz="4" w:space="0" w:color="auto"/>
            </w:tcBorders>
          </w:tcPr>
          <w:p w:rsidR="00000000" w:rsidRDefault="00000000">
            <w:pPr>
              <w:pStyle w:val="aa"/>
              <w:jc w:val="right"/>
            </w:pPr>
            <w:r>
              <w:t>36</w:t>
            </w:r>
          </w:p>
        </w:tc>
        <w:tc>
          <w:tcPr>
            <w:tcW w:w="662" w:type="dxa"/>
            <w:tcBorders>
              <w:left w:val="single" w:sz="4" w:space="0" w:color="auto"/>
              <w:right w:val="single" w:sz="4" w:space="0" w:color="auto"/>
            </w:tcBorders>
          </w:tcPr>
          <w:p w:rsidR="00000000" w:rsidRDefault="00000000">
            <w:pPr>
              <w:pStyle w:val="aa"/>
              <w:jc w:val="right"/>
            </w:pPr>
            <w:r>
              <w:t>32</w:t>
            </w:r>
          </w:p>
        </w:tc>
        <w:tc>
          <w:tcPr>
            <w:tcW w:w="661" w:type="dxa"/>
            <w:tcBorders>
              <w:left w:val="single" w:sz="4" w:space="0" w:color="auto"/>
              <w:right w:val="single" w:sz="4" w:space="0" w:color="auto"/>
            </w:tcBorders>
          </w:tcPr>
          <w:p w:rsidR="00000000" w:rsidRDefault="00000000">
            <w:pPr>
              <w:pStyle w:val="aa"/>
              <w:jc w:val="right"/>
            </w:pPr>
            <w:r>
              <w:t>1 722</w:t>
            </w:r>
          </w:p>
        </w:tc>
        <w:tc>
          <w:tcPr>
            <w:tcW w:w="662" w:type="dxa"/>
            <w:tcBorders>
              <w:left w:val="single" w:sz="4" w:space="0" w:color="auto"/>
              <w:right w:val="single" w:sz="4" w:space="0" w:color="auto"/>
            </w:tcBorders>
          </w:tcPr>
          <w:p w:rsidR="00000000" w:rsidRDefault="00000000">
            <w:pPr>
              <w:pStyle w:val="aa"/>
              <w:jc w:val="right"/>
            </w:pPr>
            <w:r>
              <w:t>2 160</w:t>
            </w:r>
          </w:p>
        </w:tc>
        <w:tc>
          <w:tcPr>
            <w:tcW w:w="661" w:type="dxa"/>
            <w:tcBorders>
              <w:left w:val="single" w:sz="4" w:space="0" w:color="auto"/>
              <w:right w:val="single" w:sz="4" w:space="0" w:color="auto"/>
            </w:tcBorders>
          </w:tcPr>
          <w:p w:rsidR="00000000" w:rsidRDefault="00000000">
            <w:pPr>
              <w:pStyle w:val="aa"/>
              <w:jc w:val="right"/>
            </w:pPr>
            <w:r>
              <w:t>2 410</w:t>
            </w:r>
          </w:p>
        </w:tc>
        <w:tc>
          <w:tcPr>
            <w:tcW w:w="662" w:type="dxa"/>
            <w:tcBorders>
              <w:left w:val="single" w:sz="4" w:space="0" w:color="auto"/>
              <w:right w:val="single" w:sz="4" w:space="0" w:color="auto"/>
            </w:tcBorders>
          </w:tcPr>
          <w:p w:rsidR="00000000" w:rsidRDefault="00000000">
            <w:pPr>
              <w:pStyle w:val="aa"/>
              <w:jc w:val="right"/>
            </w:pPr>
            <w:r>
              <w:t>2 987</w:t>
            </w:r>
          </w:p>
        </w:tc>
        <w:tc>
          <w:tcPr>
            <w:tcW w:w="661" w:type="dxa"/>
            <w:tcBorders>
              <w:left w:val="single" w:sz="4" w:space="0" w:color="auto"/>
              <w:right w:val="single" w:sz="4" w:space="0" w:color="auto"/>
            </w:tcBorders>
          </w:tcPr>
          <w:p w:rsidR="00000000" w:rsidRDefault="00000000">
            <w:pPr>
              <w:pStyle w:val="aa"/>
              <w:jc w:val="right"/>
            </w:pPr>
            <w:r>
              <w:t>3 283</w:t>
            </w:r>
          </w:p>
        </w:tc>
        <w:tc>
          <w:tcPr>
            <w:tcW w:w="662" w:type="dxa"/>
            <w:tcBorders>
              <w:left w:val="single" w:sz="4" w:space="0" w:color="auto"/>
            </w:tcBorders>
          </w:tcPr>
          <w:p w:rsidR="00000000" w:rsidRDefault="00000000">
            <w:pPr>
              <w:pStyle w:val="aa"/>
              <w:jc w:val="right"/>
            </w:pPr>
            <w:r>
              <w:t>3 445</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pStyle w:val="aa"/>
              <w:rPr>
                <w:rFonts w:hint="eastAsia"/>
              </w:rPr>
            </w:pPr>
            <w:r>
              <w:rPr>
                <w:rFonts w:hint="eastAsia"/>
              </w:rPr>
              <w:t>完全残疾</w:t>
            </w:r>
          </w:p>
        </w:tc>
        <w:tc>
          <w:tcPr>
            <w:tcW w:w="661" w:type="dxa"/>
            <w:tcBorders>
              <w:left w:val="single" w:sz="4" w:space="0" w:color="auto"/>
              <w:right w:val="single" w:sz="4" w:space="0" w:color="auto"/>
            </w:tcBorders>
          </w:tcPr>
          <w:p w:rsidR="00000000" w:rsidRDefault="00000000">
            <w:pPr>
              <w:pStyle w:val="aa"/>
              <w:jc w:val="right"/>
            </w:pPr>
            <w:r>
              <w:t>398</w:t>
            </w:r>
          </w:p>
        </w:tc>
        <w:tc>
          <w:tcPr>
            <w:tcW w:w="662" w:type="dxa"/>
            <w:tcBorders>
              <w:left w:val="single" w:sz="4" w:space="0" w:color="auto"/>
              <w:right w:val="single" w:sz="4" w:space="0" w:color="auto"/>
            </w:tcBorders>
          </w:tcPr>
          <w:p w:rsidR="00000000" w:rsidRDefault="00000000">
            <w:pPr>
              <w:pStyle w:val="aa"/>
              <w:jc w:val="right"/>
            </w:pPr>
            <w:r>
              <w:t>410</w:t>
            </w:r>
          </w:p>
        </w:tc>
        <w:tc>
          <w:tcPr>
            <w:tcW w:w="661" w:type="dxa"/>
            <w:tcBorders>
              <w:left w:val="single" w:sz="4" w:space="0" w:color="auto"/>
              <w:right w:val="single" w:sz="4" w:space="0" w:color="auto"/>
            </w:tcBorders>
          </w:tcPr>
          <w:p w:rsidR="00000000" w:rsidRDefault="00000000">
            <w:pPr>
              <w:pStyle w:val="aa"/>
              <w:jc w:val="right"/>
            </w:pPr>
            <w:r>
              <w:t>420</w:t>
            </w:r>
          </w:p>
        </w:tc>
        <w:tc>
          <w:tcPr>
            <w:tcW w:w="662" w:type="dxa"/>
            <w:tcBorders>
              <w:left w:val="single" w:sz="4" w:space="0" w:color="auto"/>
              <w:right w:val="single" w:sz="4" w:space="0" w:color="auto"/>
            </w:tcBorders>
          </w:tcPr>
          <w:p w:rsidR="00000000" w:rsidRDefault="00000000">
            <w:pPr>
              <w:pStyle w:val="aa"/>
              <w:jc w:val="right"/>
            </w:pPr>
            <w:r>
              <w:t>408</w:t>
            </w:r>
          </w:p>
        </w:tc>
        <w:tc>
          <w:tcPr>
            <w:tcW w:w="661" w:type="dxa"/>
            <w:tcBorders>
              <w:left w:val="single" w:sz="4" w:space="0" w:color="auto"/>
              <w:right w:val="single" w:sz="4" w:space="0" w:color="auto"/>
            </w:tcBorders>
          </w:tcPr>
          <w:p w:rsidR="00000000" w:rsidRDefault="00000000">
            <w:pPr>
              <w:pStyle w:val="aa"/>
              <w:jc w:val="right"/>
            </w:pPr>
            <w:r>
              <w:t>398</w:t>
            </w:r>
          </w:p>
        </w:tc>
        <w:tc>
          <w:tcPr>
            <w:tcW w:w="662" w:type="dxa"/>
            <w:tcBorders>
              <w:left w:val="single" w:sz="4" w:space="0" w:color="auto"/>
              <w:right w:val="single" w:sz="4" w:space="0" w:color="auto"/>
            </w:tcBorders>
          </w:tcPr>
          <w:p w:rsidR="00000000" w:rsidRDefault="00000000">
            <w:pPr>
              <w:pStyle w:val="aa"/>
              <w:jc w:val="right"/>
            </w:pPr>
            <w:r>
              <w:t>392</w:t>
            </w:r>
          </w:p>
        </w:tc>
        <w:tc>
          <w:tcPr>
            <w:tcW w:w="661" w:type="dxa"/>
            <w:tcBorders>
              <w:left w:val="single" w:sz="4" w:space="0" w:color="auto"/>
              <w:right w:val="single" w:sz="4" w:space="0" w:color="auto"/>
            </w:tcBorders>
          </w:tcPr>
          <w:p w:rsidR="00000000" w:rsidRDefault="00000000">
            <w:pPr>
              <w:pStyle w:val="aa"/>
              <w:jc w:val="right"/>
            </w:pPr>
            <w:r>
              <w:t>2 677</w:t>
            </w:r>
          </w:p>
        </w:tc>
        <w:tc>
          <w:tcPr>
            <w:tcW w:w="662" w:type="dxa"/>
            <w:tcBorders>
              <w:left w:val="single" w:sz="4" w:space="0" w:color="auto"/>
              <w:right w:val="single" w:sz="4" w:space="0" w:color="auto"/>
            </w:tcBorders>
          </w:tcPr>
          <w:p w:rsidR="00000000" w:rsidRDefault="00000000">
            <w:pPr>
              <w:pStyle w:val="aa"/>
              <w:jc w:val="right"/>
            </w:pPr>
            <w:r>
              <w:t>3 222</w:t>
            </w:r>
          </w:p>
        </w:tc>
        <w:tc>
          <w:tcPr>
            <w:tcW w:w="661" w:type="dxa"/>
            <w:tcBorders>
              <w:left w:val="single" w:sz="4" w:space="0" w:color="auto"/>
              <w:right w:val="single" w:sz="4" w:space="0" w:color="auto"/>
            </w:tcBorders>
          </w:tcPr>
          <w:p w:rsidR="00000000" w:rsidRDefault="00000000">
            <w:pPr>
              <w:pStyle w:val="aa"/>
              <w:jc w:val="right"/>
            </w:pPr>
            <w:r>
              <w:t>3 614</w:t>
            </w:r>
          </w:p>
        </w:tc>
        <w:tc>
          <w:tcPr>
            <w:tcW w:w="662" w:type="dxa"/>
            <w:tcBorders>
              <w:left w:val="single" w:sz="4" w:space="0" w:color="auto"/>
              <w:right w:val="single" w:sz="4" w:space="0" w:color="auto"/>
            </w:tcBorders>
          </w:tcPr>
          <w:p w:rsidR="00000000" w:rsidRDefault="00000000">
            <w:pPr>
              <w:pStyle w:val="aa"/>
              <w:jc w:val="right"/>
            </w:pPr>
            <w:r>
              <w:t>4 456</w:t>
            </w:r>
          </w:p>
        </w:tc>
        <w:tc>
          <w:tcPr>
            <w:tcW w:w="661" w:type="dxa"/>
            <w:tcBorders>
              <w:left w:val="single" w:sz="4" w:space="0" w:color="auto"/>
              <w:right w:val="single" w:sz="4" w:space="0" w:color="auto"/>
            </w:tcBorders>
          </w:tcPr>
          <w:p w:rsidR="00000000" w:rsidRDefault="00000000">
            <w:pPr>
              <w:pStyle w:val="aa"/>
              <w:jc w:val="right"/>
            </w:pPr>
            <w:r>
              <w:t>4 987</w:t>
            </w:r>
          </w:p>
        </w:tc>
        <w:tc>
          <w:tcPr>
            <w:tcW w:w="662" w:type="dxa"/>
            <w:tcBorders>
              <w:left w:val="single" w:sz="4" w:space="0" w:color="auto"/>
            </w:tcBorders>
          </w:tcPr>
          <w:p w:rsidR="00000000" w:rsidRDefault="00000000">
            <w:pPr>
              <w:pStyle w:val="aa"/>
              <w:jc w:val="right"/>
            </w:pPr>
            <w:r>
              <w:t>5 399</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pStyle w:val="aa"/>
              <w:rPr>
                <w:rFonts w:hint="eastAsia"/>
              </w:rPr>
            </w:pPr>
            <w:r>
              <w:rPr>
                <w:rFonts w:hint="eastAsia"/>
              </w:rPr>
              <w:t>部分残疾</w:t>
            </w:r>
          </w:p>
        </w:tc>
        <w:tc>
          <w:tcPr>
            <w:tcW w:w="661" w:type="dxa"/>
            <w:tcBorders>
              <w:left w:val="single" w:sz="4" w:space="0" w:color="auto"/>
              <w:right w:val="single" w:sz="4" w:space="0" w:color="auto"/>
            </w:tcBorders>
          </w:tcPr>
          <w:p w:rsidR="00000000" w:rsidRDefault="00000000">
            <w:pPr>
              <w:pStyle w:val="aa"/>
              <w:jc w:val="right"/>
            </w:pPr>
            <w:r>
              <w:t>119</w:t>
            </w:r>
          </w:p>
        </w:tc>
        <w:tc>
          <w:tcPr>
            <w:tcW w:w="662" w:type="dxa"/>
            <w:tcBorders>
              <w:left w:val="single" w:sz="4" w:space="0" w:color="auto"/>
              <w:right w:val="single" w:sz="4" w:space="0" w:color="auto"/>
            </w:tcBorders>
          </w:tcPr>
          <w:p w:rsidR="00000000" w:rsidRDefault="00000000">
            <w:pPr>
              <w:pStyle w:val="aa"/>
              <w:jc w:val="right"/>
            </w:pPr>
            <w:r>
              <w:t>117</w:t>
            </w:r>
          </w:p>
        </w:tc>
        <w:tc>
          <w:tcPr>
            <w:tcW w:w="661" w:type="dxa"/>
            <w:tcBorders>
              <w:left w:val="single" w:sz="4" w:space="0" w:color="auto"/>
              <w:right w:val="single" w:sz="4" w:space="0" w:color="auto"/>
            </w:tcBorders>
          </w:tcPr>
          <w:p w:rsidR="00000000" w:rsidRDefault="00000000">
            <w:pPr>
              <w:pStyle w:val="aa"/>
              <w:jc w:val="right"/>
            </w:pPr>
            <w:r>
              <w:t>117</w:t>
            </w:r>
          </w:p>
        </w:tc>
        <w:tc>
          <w:tcPr>
            <w:tcW w:w="662" w:type="dxa"/>
            <w:tcBorders>
              <w:left w:val="single" w:sz="4" w:space="0" w:color="auto"/>
              <w:right w:val="single" w:sz="4" w:space="0" w:color="auto"/>
            </w:tcBorders>
          </w:tcPr>
          <w:p w:rsidR="00000000" w:rsidRDefault="00000000">
            <w:pPr>
              <w:pStyle w:val="aa"/>
              <w:jc w:val="right"/>
            </w:pPr>
            <w:r>
              <w:t>124</w:t>
            </w:r>
          </w:p>
        </w:tc>
        <w:tc>
          <w:tcPr>
            <w:tcW w:w="661" w:type="dxa"/>
            <w:tcBorders>
              <w:left w:val="single" w:sz="4" w:space="0" w:color="auto"/>
              <w:right w:val="single" w:sz="4" w:space="0" w:color="auto"/>
            </w:tcBorders>
          </w:tcPr>
          <w:p w:rsidR="00000000" w:rsidRDefault="00000000">
            <w:pPr>
              <w:pStyle w:val="aa"/>
              <w:jc w:val="right"/>
            </w:pPr>
            <w:r>
              <w:t>128</w:t>
            </w:r>
          </w:p>
        </w:tc>
        <w:tc>
          <w:tcPr>
            <w:tcW w:w="662" w:type="dxa"/>
            <w:tcBorders>
              <w:left w:val="single" w:sz="4" w:space="0" w:color="auto"/>
              <w:right w:val="single" w:sz="4" w:space="0" w:color="auto"/>
            </w:tcBorders>
          </w:tcPr>
          <w:p w:rsidR="00000000" w:rsidRDefault="00000000">
            <w:pPr>
              <w:pStyle w:val="aa"/>
              <w:jc w:val="right"/>
            </w:pPr>
            <w:r>
              <w:t>145</w:t>
            </w:r>
          </w:p>
        </w:tc>
        <w:tc>
          <w:tcPr>
            <w:tcW w:w="661" w:type="dxa"/>
            <w:tcBorders>
              <w:left w:val="single" w:sz="4" w:space="0" w:color="auto"/>
              <w:right w:val="single" w:sz="4" w:space="0" w:color="auto"/>
            </w:tcBorders>
          </w:tcPr>
          <w:p w:rsidR="00000000" w:rsidRDefault="00000000">
            <w:pPr>
              <w:pStyle w:val="aa"/>
              <w:jc w:val="right"/>
            </w:pPr>
            <w:r>
              <w:t>1 474</w:t>
            </w:r>
          </w:p>
        </w:tc>
        <w:tc>
          <w:tcPr>
            <w:tcW w:w="662" w:type="dxa"/>
            <w:tcBorders>
              <w:left w:val="single" w:sz="4" w:space="0" w:color="auto"/>
              <w:right w:val="single" w:sz="4" w:space="0" w:color="auto"/>
            </w:tcBorders>
          </w:tcPr>
          <w:p w:rsidR="00000000" w:rsidRDefault="00000000">
            <w:pPr>
              <w:pStyle w:val="aa"/>
              <w:jc w:val="right"/>
            </w:pPr>
            <w:r>
              <w:t>1 967</w:t>
            </w:r>
          </w:p>
        </w:tc>
        <w:tc>
          <w:tcPr>
            <w:tcW w:w="661" w:type="dxa"/>
            <w:tcBorders>
              <w:left w:val="single" w:sz="4" w:space="0" w:color="auto"/>
              <w:right w:val="single" w:sz="4" w:space="0" w:color="auto"/>
            </w:tcBorders>
          </w:tcPr>
          <w:p w:rsidR="00000000" w:rsidRDefault="00000000">
            <w:pPr>
              <w:pStyle w:val="aa"/>
              <w:jc w:val="right"/>
            </w:pPr>
            <w:r>
              <w:t>2 311</w:t>
            </w:r>
          </w:p>
        </w:tc>
        <w:tc>
          <w:tcPr>
            <w:tcW w:w="662" w:type="dxa"/>
            <w:tcBorders>
              <w:left w:val="single" w:sz="4" w:space="0" w:color="auto"/>
              <w:right w:val="single" w:sz="4" w:space="0" w:color="auto"/>
            </w:tcBorders>
          </w:tcPr>
          <w:p w:rsidR="00000000" w:rsidRDefault="00000000">
            <w:pPr>
              <w:pStyle w:val="aa"/>
              <w:jc w:val="right"/>
            </w:pPr>
            <w:r>
              <w:t>2 934</w:t>
            </w:r>
          </w:p>
        </w:tc>
        <w:tc>
          <w:tcPr>
            <w:tcW w:w="661" w:type="dxa"/>
            <w:tcBorders>
              <w:left w:val="single" w:sz="4" w:space="0" w:color="auto"/>
              <w:right w:val="single" w:sz="4" w:space="0" w:color="auto"/>
            </w:tcBorders>
          </w:tcPr>
          <w:p w:rsidR="00000000" w:rsidRDefault="00000000">
            <w:pPr>
              <w:pStyle w:val="aa"/>
              <w:jc w:val="right"/>
            </w:pPr>
            <w:r>
              <w:t>3 338</w:t>
            </w:r>
          </w:p>
        </w:tc>
        <w:tc>
          <w:tcPr>
            <w:tcW w:w="662" w:type="dxa"/>
            <w:tcBorders>
              <w:left w:val="single" w:sz="4" w:space="0" w:color="auto"/>
            </w:tcBorders>
          </w:tcPr>
          <w:p w:rsidR="00000000" w:rsidRDefault="00000000">
            <w:pPr>
              <w:pStyle w:val="aa"/>
              <w:jc w:val="right"/>
            </w:pPr>
            <w:r>
              <w:t>3 593</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pStyle w:val="aa"/>
              <w:rPr>
                <w:rFonts w:hint="eastAsia"/>
              </w:rPr>
            </w:pPr>
            <w:r>
              <w:rPr>
                <w:rFonts w:hint="eastAsia"/>
              </w:rPr>
              <w:t>寡妇</w:t>
            </w:r>
          </w:p>
        </w:tc>
        <w:tc>
          <w:tcPr>
            <w:tcW w:w="661" w:type="dxa"/>
            <w:tcBorders>
              <w:left w:val="single" w:sz="4" w:space="0" w:color="auto"/>
              <w:right w:val="single" w:sz="4" w:space="0" w:color="auto"/>
            </w:tcBorders>
          </w:tcPr>
          <w:p w:rsidR="00000000" w:rsidRDefault="00000000">
            <w:pPr>
              <w:pStyle w:val="aa"/>
              <w:jc w:val="right"/>
            </w:pPr>
            <w:r>
              <w:t>631</w:t>
            </w:r>
          </w:p>
        </w:tc>
        <w:tc>
          <w:tcPr>
            <w:tcW w:w="662" w:type="dxa"/>
            <w:tcBorders>
              <w:left w:val="single" w:sz="4" w:space="0" w:color="auto"/>
              <w:right w:val="single" w:sz="4" w:space="0" w:color="auto"/>
            </w:tcBorders>
          </w:tcPr>
          <w:p w:rsidR="00000000" w:rsidRDefault="00000000">
            <w:pPr>
              <w:pStyle w:val="aa"/>
              <w:jc w:val="right"/>
            </w:pPr>
            <w:r>
              <w:t>627</w:t>
            </w:r>
          </w:p>
        </w:tc>
        <w:tc>
          <w:tcPr>
            <w:tcW w:w="661" w:type="dxa"/>
            <w:tcBorders>
              <w:left w:val="single" w:sz="4" w:space="0" w:color="auto"/>
              <w:right w:val="single" w:sz="4" w:space="0" w:color="auto"/>
            </w:tcBorders>
          </w:tcPr>
          <w:p w:rsidR="00000000" w:rsidRDefault="00000000">
            <w:pPr>
              <w:pStyle w:val="aa"/>
              <w:jc w:val="right"/>
            </w:pPr>
            <w:r>
              <w:t>624</w:t>
            </w:r>
          </w:p>
        </w:tc>
        <w:tc>
          <w:tcPr>
            <w:tcW w:w="662" w:type="dxa"/>
            <w:tcBorders>
              <w:left w:val="single" w:sz="4" w:space="0" w:color="auto"/>
              <w:right w:val="single" w:sz="4" w:space="0" w:color="auto"/>
            </w:tcBorders>
          </w:tcPr>
          <w:p w:rsidR="00000000" w:rsidRDefault="00000000">
            <w:pPr>
              <w:pStyle w:val="aa"/>
              <w:jc w:val="right"/>
            </w:pPr>
            <w:r>
              <w:t>625</w:t>
            </w:r>
          </w:p>
        </w:tc>
        <w:tc>
          <w:tcPr>
            <w:tcW w:w="661" w:type="dxa"/>
            <w:tcBorders>
              <w:left w:val="single" w:sz="4" w:space="0" w:color="auto"/>
              <w:right w:val="single" w:sz="4" w:space="0" w:color="auto"/>
            </w:tcBorders>
          </w:tcPr>
          <w:p w:rsidR="00000000" w:rsidRDefault="00000000">
            <w:pPr>
              <w:pStyle w:val="aa"/>
              <w:jc w:val="right"/>
            </w:pPr>
            <w:r>
              <w:t>629</w:t>
            </w:r>
          </w:p>
        </w:tc>
        <w:tc>
          <w:tcPr>
            <w:tcW w:w="662" w:type="dxa"/>
            <w:tcBorders>
              <w:left w:val="single" w:sz="4" w:space="0" w:color="auto"/>
              <w:right w:val="single" w:sz="4" w:space="0" w:color="auto"/>
            </w:tcBorders>
          </w:tcPr>
          <w:p w:rsidR="00000000" w:rsidRDefault="00000000">
            <w:pPr>
              <w:pStyle w:val="aa"/>
              <w:jc w:val="right"/>
            </w:pPr>
            <w:r>
              <w:t>627</w:t>
            </w:r>
          </w:p>
        </w:tc>
        <w:tc>
          <w:tcPr>
            <w:tcW w:w="661" w:type="dxa"/>
            <w:tcBorders>
              <w:left w:val="single" w:sz="4" w:space="0" w:color="auto"/>
              <w:right w:val="single" w:sz="4" w:space="0" w:color="auto"/>
            </w:tcBorders>
          </w:tcPr>
          <w:p w:rsidR="00000000" w:rsidRDefault="00000000">
            <w:pPr>
              <w:pStyle w:val="aa"/>
              <w:jc w:val="right"/>
            </w:pPr>
            <w:r>
              <w:t>1 949</w:t>
            </w:r>
          </w:p>
        </w:tc>
        <w:tc>
          <w:tcPr>
            <w:tcW w:w="662" w:type="dxa"/>
            <w:tcBorders>
              <w:left w:val="single" w:sz="4" w:space="0" w:color="auto"/>
              <w:right w:val="single" w:sz="4" w:space="0" w:color="auto"/>
            </w:tcBorders>
          </w:tcPr>
          <w:p w:rsidR="00000000" w:rsidRDefault="00000000">
            <w:pPr>
              <w:pStyle w:val="aa"/>
              <w:jc w:val="right"/>
            </w:pPr>
            <w:r>
              <w:t>2 474</w:t>
            </w:r>
          </w:p>
        </w:tc>
        <w:tc>
          <w:tcPr>
            <w:tcW w:w="661" w:type="dxa"/>
            <w:tcBorders>
              <w:left w:val="single" w:sz="4" w:space="0" w:color="auto"/>
              <w:right w:val="single" w:sz="4" w:space="0" w:color="auto"/>
            </w:tcBorders>
          </w:tcPr>
          <w:p w:rsidR="00000000" w:rsidRDefault="00000000">
            <w:pPr>
              <w:pStyle w:val="aa"/>
              <w:jc w:val="right"/>
            </w:pPr>
            <w:r>
              <w:t>2 806</w:t>
            </w:r>
          </w:p>
        </w:tc>
        <w:tc>
          <w:tcPr>
            <w:tcW w:w="662" w:type="dxa"/>
            <w:tcBorders>
              <w:left w:val="single" w:sz="4" w:space="0" w:color="auto"/>
              <w:right w:val="single" w:sz="4" w:space="0" w:color="auto"/>
            </w:tcBorders>
          </w:tcPr>
          <w:p w:rsidR="00000000" w:rsidRDefault="00000000">
            <w:pPr>
              <w:pStyle w:val="aa"/>
              <w:jc w:val="right"/>
            </w:pPr>
            <w:r>
              <w:t>3 494</w:t>
            </w:r>
          </w:p>
        </w:tc>
        <w:tc>
          <w:tcPr>
            <w:tcW w:w="661" w:type="dxa"/>
            <w:tcBorders>
              <w:left w:val="single" w:sz="4" w:space="0" w:color="auto"/>
              <w:right w:val="single" w:sz="4" w:space="0" w:color="auto"/>
            </w:tcBorders>
          </w:tcPr>
          <w:p w:rsidR="00000000" w:rsidRDefault="00000000">
            <w:pPr>
              <w:pStyle w:val="aa"/>
              <w:jc w:val="right"/>
            </w:pPr>
            <w:r>
              <w:t>3 878</w:t>
            </w:r>
          </w:p>
        </w:tc>
        <w:tc>
          <w:tcPr>
            <w:tcW w:w="662" w:type="dxa"/>
            <w:tcBorders>
              <w:left w:val="single" w:sz="4" w:space="0" w:color="auto"/>
            </w:tcBorders>
          </w:tcPr>
          <w:p w:rsidR="00000000" w:rsidRDefault="00000000">
            <w:pPr>
              <w:pStyle w:val="aa"/>
              <w:jc w:val="right"/>
            </w:pPr>
            <w:r>
              <w:t>4 150</w:t>
            </w:r>
          </w:p>
        </w:tc>
      </w:tr>
      <w:tr w:rsidR="00000000">
        <w:tblPrEx>
          <w:tblCellMar>
            <w:top w:w="0" w:type="dxa"/>
            <w:bottom w:w="0" w:type="dxa"/>
          </w:tblCellMar>
        </w:tblPrEx>
        <w:trPr>
          <w:cantSplit/>
        </w:trPr>
        <w:tc>
          <w:tcPr>
            <w:tcW w:w="1418" w:type="dxa"/>
            <w:tcBorders>
              <w:right w:val="single" w:sz="4" w:space="0" w:color="auto"/>
            </w:tcBorders>
          </w:tcPr>
          <w:p w:rsidR="00000000" w:rsidRDefault="00000000">
            <w:pPr>
              <w:pStyle w:val="aa"/>
              <w:rPr>
                <w:rFonts w:hint="eastAsia"/>
              </w:rPr>
            </w:pPr>
            <w:r>
              <w:rPr>
                <w:rFonts w:hint="eastAsia"/>
              </w:rPr>
              <w:t>鳏夫</w:t>
            </w:r>
          </w:p>
        </w:tc>
        <w:tc>
          <w:tcPr>
            <w:tcW w:w="661" w:type="dxa"/>
            <w:tcBorders>
              <w:left w:val="single" w:sz="4" w:space="0" w:color="auto"/>
              <w:right w:val="single" w:sz="4" w:space="0" w:color="auto"/>
            </w:tcBorders>
          </w:tcPr>
          <w:p w:rsidR="00000000" w:rsidRDefault="00000000">
            <w:pPr>
              <w:pStyle w:val="aa"/>
              <w:jc w:val="right"/>
            </w:pPr>
            <w:r>
              <w:t>5</w:t>
            </w:r>
          </w:p>
        </w:tc>
        <w:tc>
          <w:tcPr>
            <w:tcW w:w="662" w:type="dxa"/>
            <w:tcBorders>
              <w:left w:val="single" w:sz="4" w:space="0" w:color="auto"/>
              <w:right w:val="single" w:sz="4" w:space="0" w:color="auto"/>
            </w:tcBorders>
          </w:tcPr>
          <w:p w:rsidR="00000000" w:rsidRDefault="00000000">
            <w:pPr>
              <w:pStyle w:val="aa"/>
              <w:jc w:val="right"/>
            </w:pPr>
            <w:r>
              <w:t>5</w:t>
            </w:r>
          </w:p>
        </w:tc>
        <w:tc>
          <w:tcPr>
            <w:tcW w:w="661" w:type="dxa"/>
            <w:tcBorders>
              <w:left w:val="single" w:sz="4" w:space="0" w:color="auto"/>
              <w:right w:val="single" w:sz="4" w:space="0" w:color="auto"/>
            </w:tcBorders>
          </w:tcPr>
          <w:p w:rsidR="00000000" w:rsidRDefault="00000000">
            <w:pPr>
              <w:pStyle w:val="aa"/>
              <w:jc w:val="right"/>
            </w:pPr>
            <w:r>
              <w:t>5</w:t>
            </w:r>
          </w:p>
        </w:tc>
        <w:tc>
          <w:tcPr>
            <w:tcW w:w="662" w:type="dxa"/>
            <w:tcBorders>
              <w:left w:val="single" w:sz="4" w:space="0" w:color="auto"/>
              <w:right w:val="single" w:sz="4" w:space="0" w:color="auto"/>
            </w:tcBorders>
          </w:tcPr>
          <w:p w:rsidR="00000000" w:rsidRDefault="00000000">
            <w:pPr>
              <w:pStyle w:val="aa"/>
              <w:jc w:val="right"/>
            </w:pPr>
            <w:r>
              <w:t>31</w:t>
            </w:r>
          </w:p>
        </w:tc>
        <w:tc>
          <w:tcPr>
            <w:tcW w:w="661" w:type="dxa"/>
            <w:tcBorders>
              <w:left w:val="single" w:sz="4" w:space="0" w:color="auto"/>
              <w:right w:val="single" w:sz="4" w:space="0" w:color="auto"/>
            </w:tcBorders>
          </w:tcPr>
          <w:p w:rsidR="00000000" w:rsidRDefault="00000000">
            <w:pPr>
              <w:pStyle w:val="aa"/>
              <w:jc w:val="right"/>
            </w:pPr>
            <w:r>
              <w:t>51</w:t>
            </w:r>
          </w:p>
        </w:tc>
        <w:tc>
          <w:tcPr>
            <w:tcW w:w="662" w:type="dxa"/>
            <w:tcBorders>
              <w:left w:val="single" w:sz="4" w:space="0" w:color="auto"/>
              <w:right w:val="single" w:sz="4" w:space="0" w:color="auto"/>
            </w:tcBorders>
          </w:tcPr>
          <w:p w:rsidR="00000000" w:rsidRDefault="00000000">
            <w:pPr>
              <w:pStyle w:val="aa"/>
              <w:jc w:val="right"/>
            </w:pPr>
            <w:r>
              <w:t>68</w:t>
            </w:r>
          </w:p>
        </w:tc>
        <w:tc>
          <w:tcPr>
            <w:tcW w:w="661" w:type="dxa"/>
            <w:tcBorders>
              <w:left w:val="single" w:sz="4" w:space="0" w:color="auto"/>
              <w:right w:val="single" w:sz="4" w:space="0" w:color="auto"/>
            </w:tcBorders>
          </w:tcPr>
          <w:p w:rsidR="00000000" w:rsidRDefault="00000000">
            <w:pPr>
              <w:pStyle w:val="aa"/>
              <w:jc w:val="right"/>
            </w:pPr>
            <w:r>
              <w:t>929</w:t>
            </w:r>
          </w:p>
        </w:tc>
        <w:tc>
          <w:tcPr>
            <w:tcW w:w="662" w:type="dxa"/>
            <w:tcBorders>
              <w:left w:val="single" w:sz="4" w:space="0" w:color="auto"/>
              <w:right w:val="single" w:sz="4" w:space="0" w:color="auto"/>
            </w:tcBorders>
          </w:tcPr>
          <w:p w:rsidR="00000000" w:rsidRDefault="00000000">
            <w:pPr>
              <w:pStyle w:val="aa"/>
              <w:jc w:val="right"/>
            </w:pPr>
            <w:r>
              <w:t>1 419</w:t>
            </w:r>
          </w:p>
        </w:tc>
        <w:tc>
          <w:tcPr>
            <w:tcW w:w="661" w:type="dxa"/>
            <w:tcBorders>
              <w:left w:val="single" w:sz="4" w:space="0" w:color="auto"/>
              <w:right w:val="single" w:sz="4" w:space="0" w:color="auto"/>
            </w:tcBorders>
          </w:tcPr>
          <w:p w:rsidR="00000000" w:rsidRDefault="00000000">
            <w:pPr>
              <w:pStyle w:val="aa"/>
              <w:jc w:val="right"/>
            </w:pPr>
            <w:r>
              <w:t>1 780</w:t>
            </w:r>
          </w:p>
        </w:tc>
        <w:tc>
          <w:tcPr>
            <w:tcW w:w="662" w:type="dxa"/>
            <w:tcBorders>
              <w:left w:val="single" w:sz="4" w:space="0" w:color="auto"/>
              <w:right w:val="single" w:sz="4" w:space="0" w:color="auto"/>
            </w:tcBorders>
          </w:tcPr>
          <w:p w:rsidR="00000000" w:rsidRDefault="00000000">
            <w:pPr>
              <w:pStyle w:val="aa"/>
              <w:jc w:val="right"/>
            </w:pPr>
            <w:r>
              <w:t>2 388</w:t>
            </w:r>
          </w:p>
        </w:tc>
        <w:tc>
          <w:tcPr>
            <w:tcW w:w="661" w:type="dxa"/>
            <w:tcBorders>
              <w:left w:val="single" w:sz="4" w:space="0" w:color="auto"/>
              <w:right w:val="single" w:sz="4" w:space="0" w:color="auto"/>
            </w:tcBorders>
          </w:tcPr>
          <w:p w:rsidR="00000000" w:rsidRDefault="00000000">
            <w:pPr>
              <w:pStyle w:val="aa"/>
              <w:jc w:val="right"/>
            </w:pPr>
            <w:r>
              <w:t>2 804</w:t>
            </w:r>
          </w:p>
        </w:tc>
        <w:tc>
          <w:tcPr>
            <w:tcW w:w="662" w:type="dxa"/>
            <w:tcBorders>
              <w:left w:val="single" w:sz="4" w:space="0" w:color="auto"/>
            </w:tcBorders>
          </w:tcPr>
          <w:p w:rsidR="00000000" w:rsidRDefault="00000000">
            <w:pPr>
              <w:pStyle w:val="aa"/>
              <w:jc w:val="right"/>
            </w:pPr>
            <w:r>
              <w:t>3 042</w:t>
            </w:r>
          </w:p>
        </w:tc>
      </w:tr>
      <w:tr w:rsidR="00000000">
        <w:tblPrEx>
          <w:tblCellMar>
            <w:top w:w="0" w:type="dxa"/>
            <w:bottom w:w="0" w:type="dxa"/>
          </w:tblCellMar>
        </w:tblPrEx>
        <w:trPr>
          <w:cantSplit/>
        </w:trPr>
        <w:tc>
          <w:tcPr>
            <w:tcW w:w="1418" w:type="dxa"/>
            <w:tcBorders>
              <w:bottom w:val="single" w:sz="4" w:space="0" w:color="auto"/>
              <w:right w:val="single" w:sz="4" w:space="0" w:color="auto"/>
            </w:tcBorders>
          </w:tcPr>
          <w:p w:rsidR="00000000" w:rsidRDefault="00000000">
            <w:pPr>
              <w:pStyle w:val="aa"/>
              <w:rPr>
                <w:rFonts w:hint="eastAsia"/>
              </w:rPr>
            </w:pPr>
            <w:r>
              <w:rPr>
                <w:rFonts w:hint="eastAsia"/>
              </w:rPr>
              <w:t>孤儿</w:t>
            </w:r>
          </w:p>
        </w:tc>
        <w:tc>
          <w:tcPr>
            <w:tcW w:w="661" w:type="dxa"/>
            <w:tcBorders>
              <w:left w:val="single" w:sz="4" w:space="0" w:color="auto"/>
              <w:bottom w:val="single" w:sz="4" w:space="0" w:color="auto"/>
              <w:right w:val="single" w:sz="4" w:space="0" w:color="auto"/>
            </w:tcBorders>
          </w:tcPr>
          <w:p w:rsidR="00000000" w:rsidRDefault="00000000">
            <w:pPr>
              <w:pStyle w:val="aa"/>
              <w:jc w:val="right"/>
            </w:pPr>
            <w:r>
              <w:t>60</w:t>
            </w:r>
          </w:p>
        </w:tc>
        <w:tc>
          <w:tcPr>
            <w:tcW w:w="662" w:type="dxa"/>
            <w:tcBorders>
              <w:left w:val="single" w:sz="4" w:space="0" w:color="auto"/>
              <w:bottom w:val="single" w:sz="4" w:space="0" w:color="auto"/>
              <w:right w:val="single" w:sz="4" w:space="0" w:color="auto"/>
            </w:tcBorders>
          </w:tcPr>
          <w:p w:rsidR="00000000" w:rsidRDefault="00000000">
            <w:pPr>
              <w:pStyle w:val="aa"/>
              <w:jc w:val="right"/>
            </w:pPr>
            <w:r>
              <w:t>60</w:t>
            </w:r>
          </w:p>
        </w:tc>
        <w:tc>
          <w:tcPr>
            <w:tcW w:w="661" w:type="dxa"/>
            <w:tcBorders>
              <w:left w:val="single" w:sz="4" w:space="0" w:color="auto"/>
              <w:bottom w:val="single" w:sz="4" w:space="0" w:color="auto"/>
              <w:right w:val="single" w:sz="4" w:space="0" w:color="auto"/>
            </w:tcBorders>
          </w:tcPr>
          <w:p w:rsidR="00000000" w:rsidRDefault="00000000">
            <w:pPr>
              <w:pStyle w:val="aa"/>
              <w:jc w:val="right"/>
            </w:pPr>
            <w:r>
              <w:t>62</w:t>
            </w:r>
          </w:p>
        </w:tc>
        <w:tc>
          <w:tcPr>
            <w:tcW w:w="662" w:type="dxa"/>
            <w:tcBorders>
              <w:left w:val="single" w:sz="4" w:space="0" w:color="auto"/>
              <w:bottom w:val="single" w:sz="4" w:space="0" w:color="auto"/>
              <w:right w:val="single" w:sz="4" w:space="0" w:color="auto"/>
            </w:tcBorders>
          </w:tcPr>
          <w:p w:rsidR="00000000" w:rsidRDefault="00000000">
            <w:pPr>
              <w:pStyle w:val="aa"/>
              <w:jc w:val="right"/>
            </w:pPr>
            <w:r>
              <w:t>58</w:t>
            </w:r>
          </w:p>
        </w:tc>
        <w:tc>
          <w:tcPr>
            <w:tcW w:w="661" w:type="dxa"/>
            <w:tcBorders>
              <w:left w:val="single" w:sz="4" w:space="0" w:color="auto"/>
              <w:bottom w:val="single" w:sz="4" w:space="0" w:color="auto"/>
              <w:right w:val="single" w:sz="4" w:space="0" w:color="auto"/>
            </w:tcBorders>
          </w:tcPr>
          <w:p w:rsidR="00000000" w:rsidRDefault="00000000">
            <w:pPr>
              <w:pStyle w:val="aa"/>
              <w:jc w:val="right"/>
            </w:pPr>
            <w:r>
              <w:t>59</w:t>
            </w:r>
          </w:p>
        </w:tc>
        <w:tc>
          <w:tcPr>
            <w:tcW w:w="662" w:type="dxa"/>
            <w:tcBorders>
              <w:left w:val="single" w:sz="4" w:space="0" w:color="auto"/>
              <w:bottom w:val="single" w:sz="4" w:space="0" w:color="auto"/>
              <w:right w:val="single" w:sz="4" w:space="0" w:color="auto"/>
            </w:tcBorders>
          </w:tcPr>
          <w:p w:rsidR="00000000" w:rsidRDefault="00000000">
            <w:pPr>
              <w:pStyle w:val="aa"/>
              <w:jc w:val="right"/>
            </w:pPr>
            <w:r>
              <w:t>57</w:t>
            </w:r>
          </w:p>
        </w:tc>
        <w:tc>
          <w:tcPr>
            <w:tcW w:w="661" w:type="dxa"/>
            <w:tcBorders>
              <w:left w:val="single" w:sz="4" w:space="0" w:color="auto"/>
              <w:bottom w:val="single" w:sz="4" w:space="0" w:color="auto"/>
              <w:right w:val="single" w:sz="4" w:space="0" w:color="auto"/>
            </w:tcBorders>
          </w:tcPr>
          <w:p w:rsidR="00000000" w:rsidRDefault="00000000">
            <w:pPr>
              <w:pStyle w:val="aa"/>
              <w:jc w:val="right"/>
            </w:pPr>
            <w:r>
              <w:t>888</w:t>
            </w:r>
          </w:p>
        </w:tc>
        <w:tc>
          <w:tcPr>
            <w:tcW w:w="662" w:type="dxa"/>
            <w:tcBorders>
              <w:left w:val="single" w:sz="4" w:space="0" w:color="auto"/>
              <w:bottom w:val="single" w:sz="4" w:space="0" w:color="auto"/>
              <w:right w:val="single" w:sz="4" w:space="0" w:color="auto"/>
            </w:tcBorders>
          </w:tcPr>
          <w:p w:rsidR="00000000" w:rsidRDefault="00000000">
            <w:pPr>
              <w:pStyle w:val="aa"/>
              <w:jc w:val="right"/>
            </w:pPr>
            <w:r>
              <w:t>1 338</w:t>
            </w:r>
          </w:p>
        </w:tc>
        <w:tc>
          <w:tcPr>
            <w:tcW w:w="661" w:type="dxa"/>
            <w:tcBorders>
              <w:left w:val="single" w:sz="4" w:space="0" w:color="auto"/>
              <w:bottom w:val="single" w:sz="4" w:space="0" w:color="auto"/>
              <w:right w:val="single" w:sz="4" w:space="0" w:color="auto"/>
            </w:tcBorders>
          </w:tcPr>
          <w:p w:rsidR="00000000" w:rsidRDefault="00000000">
            <w:pPr>
              <w:pStyle w:val="aa"/>
              <w:jc w:val="right"/>
            </w:pPr>
            <w:r>
              <w:t>1 636</w:t>
            </w:r>
          </w:p>
        </w:tc>
        <w:tc>
          <w:tcPr>
            <w:tcW w:w="662" w:type="dxa"/>
            <w:tcBorders>
              <w:left w:val="single" w:sz="4" w:space="0" w:color="auto"/>
              <w:bottom w:val="single" w:sz="4" w:space="0" w:color="auto"/>
              <w:right w:val="single" w:sz="4" w:space="0" w:color="auto"/>
            </w:tcBorders>
          </w:tcPr>
          <w:p w:rsidR="00000000" w:rsidRDefault="00000000">
            <w:pPr>
              <w:pStyle w:val="aa"/>
              <w:jc w:val="right"/>
            </w:pPr>
            <w:r>
              <w:t>2 181</w:t>
            </w:r>
          </w:p>
        </w:tc>
        <w:tc>
          <w:tcPr>
            <w:tcW w:w="661" w:type="dxa"/>
            <w:tcBorders>
              <w:left w:val="single" w:sz="4" w:space="0" w:color="auto"/>
              <w:bottom w:val="single" w:sz="4" w:space="0" w:color="auto"/>
              <w:right w:val="single" w:sz="4" w:space="0" w:color="auto"/>
            </w:tcBorders>
          </w:tcPr>
          <w:p w:rsidR="00000000" w:rsidRDefault="00000000">
            <w:pPr>
              <w:pStyle w:val="aa"/>
              <w:jc w:val="right"/>
            </w:pPr>
            <w:r>
              <w:t>2 546</w:t>
            </w:r>
          </w:p>
        </w:tc>
        <w:tc>
          <w:tcPr>
            <w:tcW w:w="662" w:type="dxa"/>
            <w:tcBorders>
              <w:left w:val="single" w:sz="4" w:space="0" w:color="auto"/>
              <w:bottom w:val="single" w:sz="4" w:space="0" w:color="auto"/>
            </w:tcBorders>
          </w:tcPr>
          <w:p w:rsidR="00000000" w:rsidRDefault="00000000">
            <w:pPr>
              <w:pStyle w:val="aa"/>
              <w:jc w:val="right"/>
            </w:pPr>
            <w:r>
              <w:t>2 761</w:t>
            </w:r>
          </w:p>
        </w:tc>
      </w:tr>
    </w:tbl>
    <w:p w:rsidR="00000000" w:rsidRDefault="00000000">
      <w:pPr>
        <w:spacing w:before="160" w:after="320"/>
        <w:ind w:left="510"/>
        <w:rPr>
          <w:rFonts w:eastAsia="KaiTi_GB2312" w:hint="eastAsia"/>
          <w:snapToGrid/>
          <w:spacing w:val="0"/>
          <w:sz w:val="21"/>
          <w:szCs w:val="4"/>
        </w:rPr>
      </w:pPr>
      <w:r>
        <w:rPr>
          <w:rFonts w:eastAsia="KaiTi_GB2312" w:hint="eastAsia"/>
          <w:snapToGrid/>
          <w:spacing w:val="0"/>
          <w:sz w:val="21"/>
          <w:szCs w:val="4"/>
          <w:u w:val="single"/>
        </w:rPr>
        <w:t>资料来源</w:t>
      </w:r>
      <w:r>
        <w:rPr>
          <w:rFonts w:eastAsia="KaiTi_GB2312"/>
          <w:snapToGrid/>
          <w:spacing w:val="0"/>
          <w:sz w:val="21"/>
          <w:szCs w:val="4"/>
        </w:rPr>
        <w:t>：</w:t>
      </w:r>
      <w:r>
        <w:rPr>
          <w:rFonts w:eastAsia="KaiTi_GB2312" w:hint="eastAsia"/>
          <w:snapToGrid/>
          <w:spacing w:val="0"/>
          <w:sz w:val="21"/>
          <w:szCs w:val="4"/>
        </w:rPr>
        <w:t>捷克共和国统计年鉴，</w:t>
      </w:r>
      <w:r>
        <w:rPr>
          <w:rFonts w:eastAsia="KaiTi_GB2312" w:hint="eastAsia"/>
          <w:snapToGrid/>
          <w:spacing w:val="0"/>
          <w:sz w:val="21"/>
          <w:szCs w:val="4"/>
        </w:rPr>
        <w:t>1999</w:t>
      </w:r>
      <w:r>
        <w:rPr>
          <w:rFonts w:eastAsia="KaiTi_GB2312" w:hint="eastAsia"/>
          <w:snapToGrid/>
          <w:spacing w:val="0"/>
          <w:sz w:val="21"/>
          <w:szCs w:val="4"/>
        </w:rPr>
        <w:t>年。</w:t>
      </w:r>
    </w:p>
    <w:p w:rsidR="00000000" w:rsidRDefault="00000000">
      <w:pPr>
        <w:pStyle w:val="Heading4"/>
        <w:spacing w:after="160"/>
        <w:ind w:left="500"/>
      </w:pPr>
      <w:r>
        <w:rPr>
          <w:rFonts w:hint="eastAsia"/>
        </w:rPr>
        <w:t>疾病保险</w:t>
      </w:r>
    </w:p>
    <w:p w:rsidR="00000000" w:rsidRDefault="00000000">
      <w:pPr>
        <w:rPr>
          <w:snapToGrid/>
          <w:szCs w:val="4"/>
        </w:rPr>
      </w:pPr>
      <w:r>
        <w:rPr>
          <w:rFonts w:hint="eastAsia"/>
          <w:snapToGrid/>
          <w:szCs w:val="4"/>
        </w:rPr>
        <w:tab/>
      </w:r>
      <w:r>
        <w:rPr>
          <w:snapToGrid/>
          <w:szCs w:val="4"/>
        </w:rPr>
        <w:t xml:space="preserve">332.  </w:t>
      </w:r>
      <w:r>
        <w:rPr>
          <w:rFonts w:hint="eastAsia"/>
          <w:snapToGrid/>
          <w:szCs w:val="4"/>
        </w:rPr>
        <w:t>疾病保险制度与养恤金保险制度一样</w:t>
      </w:r>
      <w:r>
        <w:rPr>
          <w:snapToGrid/>
          <w:szCs w:val="4"/>
        </w:rPr>
        <w:t>，</w:t>
      </w:r>
      <w:r>
        <w:rPr>
          <w:rFonts w:hint="eastAsia"/>
          <w:snapToGrid/>
          <w:szCs w:val="4"/>
        </w:rPr>
        <w:t>从国家预算的社会保障缴款收入中支出</w:t>
      </w:r>
      <w:r>
        <w:rPr>
          <w:snapToGrid/>
          <w:szCs w:val="4"/>
        </w:rPr>
        <w:t>，</w:t>
      </w:r>
      <w:r>
        <w:rPr>
          <w:rFonts w:hint="eastAsia"/>
          <w:snapToGrid/>
          <w:szCs w:val="4"/>
        </w:rPr>
        <w:t>不同的是社会保障收入不在国家预算的单独帐户中单独记录。专门法律规定了谁需要缴纳作为社会保障费一部分的疾病保险费以及缴纳数额</w:t>
      </w:r>
      <w:r>
        <w:rPr>
          <w:rStyle w:val="EndnoteReference"/>
          <w:snapToGrid/>
        </w:rPr>
        <w:endnoteReference w:id="199"/>
      </w:r>
      <w:r>
        <w:rPr>
          <w:rFonts w:hint="eastAsia"/>
          <w:snapToGrid/>
          <w:szCs w:val="4"/>
        </w:rPr>
        <w:t xml:space="preserve"> </w:t>
      </w:r>
      <w:r>
        <w:rPr>
          <w:rFonts w:hint="eastAsia"/>
          <w:snapToGrid/>
          <w:szCs w:val="4"/>
        </w:rPr>
        <w:t>保健费从公共卫生保险费用中支出。在执行《公约》第</w:t>
      </w:r>
      <w:r>
        <w:rPr>
          <w:snapToGrid/>
          <w:szCs w:val="4"/>
        </w:rPr>
        <w:t>12</w:t>
      </w:r>
      <w:r>
        <w:rPr>
          <w:rFonts w:hint="eastAsia"/>
          <w:snapToGrid/>
          <w:szCs w:val="4"/>
        </w:rPr>
        <w:t>条报告基本保健及其资金来源一章中叙述了这方面的情况。</w:t>
      </w:r>
    </w:p>
    <w:p w:rsidR="00000000" w:rsidRDefault="00000000">
      <w:pPr>
        <w:rPr>
          <w:snapToGrid/>
          <w:szCs w:val="4"/>
        </w:rPr>
      </w:pPr>
      <w:r>
        <w:rPr>
          <w:rFonts w:hint="eastAsia"/>
          <w:snapToGrid/>
          <w:szCs w:val="4"/>
        </w:rPr>
        <w:tab/>
      </w:r>
      <w:r>
        <w:rPr>
          <w:snapToGrid/>
          <w:szCs w:val="4"/>
        </w:rPr>
        <w:t xml:space="preserve">333.  </w:t>
      </w:r>
      <w:r>
        <w:rPr>
          <w:rFonts w:hint="eastAsia"/>
          <w:snapToGrid/>
          <w:szCs w:val="4"/>
        </w:rPr>
        <w:t>关于家属和家庭的社会保障</w:t>
      </w:r>
      <w:r>
        <w:rPr>
          <w:snapToGrid/>
          <w:szCs w:val="4"/>
        </w:rPr>
        <w:t>，</w:t>
      </w:r>
      <w:r>
        <w:rPr>
          <w:rFonts w:hint="eastAsia"/>
          <w:snapToGrid/>
          <w:szCs w:val="4"/>
        </w:rPr>
        <w:t>从疾病保险制度中支付某些重要津贴</w:t>
      </w:r>
      <w:r>
        <w:rPr>
          <w:snapToGrid/>
          <w:szCs w:val="4"/>
        </w:rPr>
        <w:t>(</w:t>
      </w:r>
      <w:r>
        <w:rPr>
          <w:rFonts w:hint="eastAsia"/>
          <w:snapToGrid/>
          <w:szCs w:val="4"/>
        </w:rPr>
        <w:t>《疾病保险法》</w:t>
      </w:r>
      <w:r>
        <w:rPr>
          <w:rFonts w:hint="eastAsia"/>
          <w:snapToGrid/>
          <w:szCs w:val="4"/>
        </w:rPr>
        <w:t>)</w:t>
      </w:r>
      <w:r>
        <w:rPr>
          <w:rFonts w:hint="eastAsia"/>
          <w:snapToGrid/>
          <w:szCs w:val="4"/>
        </w:rPr>
        <w:t>。</w:t>
      </w:r>
    </w:p>
    <w:p w:rsidR="00000000" w:rsidRDefault="00000000">
      <w:pPr>
        <w:rPr>
          <w:snapToGrid/>
          <w:szCs w:val="24"/>
        </w:rPr>
      </w:pPr>
      <w:r>
        <w:rPr>
          <w:rFonts w:hint="eastAsia"/>
          <w:snapToGrid/>
          <w:szCs w:val="4"/>
        </w:rPr>
        <w:tab/>
      </w:r>
      <w:r>
        <w:rPr>
          <w:snapToGrid/>
          <w:szCs w:val="4"/>
        </w:rPr>
        <w:t xml:space="preserve">334.  </w:t>
      </w:r>
      <w:r>
        <w:rPr>
          <w:rFonts w:hint="eastAsia"/>
          <w:snapToGrid/>
          <w:szCs w:val="4"/>
        </w:rPr>
        <w:t>根据特别条例</w:t>
      </w:r>
      <w:r>
        <w:rPr>
          <w:snapToGrid/>
          <w:szCs w:val="4"/>
        </w:rPr>
        <w:t>，</w:t>
      </w:r>
      <w:r>
        <w:rPr>
          <w:rStyle w:val="EndnoteReference"/>
          <w:snapToGrid/>
        </w:rPr>
        <w:endnoteReference w:id="200"/>
      </w:r>
      <w:r>
        <w:rPr>
          <w:rFonts w:hint="eastAsia"/>
          <w:snapToGrid/>
          <w:szCs w:val="4"/>
        </w:rPr>
        <w:t xml:space="preserve"> </w:t>
      </w:r>
      <w:r>
        <w:rPr>
          <w:rFonts w:hint="eastAsia"/>
          <w:snapToGrid/>
          <w:szCs w:val="4"/>
        </w:rPr>
        <w:t>因疾病、负伤、怀孕或产假而被认定暂时无法从事现任工作</w:t>
      </w:r>
      <w:r>
        <w:rPr>
          <w:rFonts w:hint="eastAsia"/>
          <w:snapToGrid/>
          <w:szCs w:val="4"/>
        </w:rPr>
        <w:t>(</w:t>
      </w:r>
      <w:r>
        <w:rPr>
          <w:rFonts w:hint="eastAsia"/>
          <w:snapToGrid/>
          <w:szCs w:val="4"/>
        </w:rPr>
        <w:t>所谓无能力工作</w:t>
      </w:r>
      <w:r>
        <w:rPr>
          <w:rFonts w:hint="eastAsia"/>
          <w:snapToGrid/>
          <w:szCs w:val="4"/>
        </w:rPr>
        <w:t>)</w:t>
      </w:r>
      <w:r>
        <w:rPr>
          <w:rFonts w:hint="eastAsia"/>
          <w:snapToGrid/>
          <w:szCs w:val="4"/>
        </w:rPr>
        <w:t>的职工</w:t>
      </w:r>
      <w:r>
        <w:rPr>
          <w:snapToGrid/>
          <w:szCs w:val="4"/>
        </w:rPr>
        <w:t>，</w:t>
      </w:r>
      <w:r>
        <w:rPr>
          <w:rFonts w:hint="eastAsia"/>
          <w:snapToGrid/>
          <w:szCs w:val="4"/>
        </w:rPr>
        <w:t>可以领取疾病津贴。因怀孕或生产而被认定无法工作的妇女</w:t>
      </w:r>
      <w:r>
        <w:rPr>
          <w:snapToGrid/>
          <w:szCs w:val="4"/>
        </w:rPr>
        <w:t>，</w:t>
      </w:r>
      <w:r>
        <w:rPr>
          <w:rFonts w:hint="eastAsia"/>
          <w:snapToGrid/>
          <w:szCs w:val="4"/>
        </w:rPr>
        <w:t>或不享受产妇津贴的妇女</w:t>
      </w:r>
      <w:r>
        <w:rPr>
          <w:snapToGrid/>
          <w:szCs w:val="4"/>
        </w:rPr>
        <w:t>，</w:t>
      </w:r>
      <w:r>
        <w:rPr>
          <w:rFonts w:hint="eastAsia"/>
          <w:snapToGrid/>
          <w:szCs w:val="4"/>
        </w:rPr>
        <w:t>可以领取疾病补助。受保人领取的津贴为现款。按照《疾病保险法》第</w:t>
      </w:r>
      <w:r>
        <w:rPr>
          <w:snapToGrid/>
          <w:szCs w:val="4"/>
        </w:rPr>
        <w:t>15</w:t>
      </w:r>
      <w:r>
        <w:rPr>
          <w:rFonts w:hint="eastAsia"/>
          <w:snapToGrid/>
          <w:szCs w:val="4"/>
        </w:rPr>
        <w:t>条</w:t>
      </w:r>
      <w:r>
        <w:rPr>
          <w:snapToGrid/>
          <w:szCs w:val="4"/>
        </w:rPr>
        <w:t>，</w:t>
      </w:r>
      <w:r>
        <w:rPr>
          <w:rFonts w:hint="eastAsia"/>
          <w:snapToGrid/>
          <w:szCs w:val="4"/>
        </w:rPr>
        <w:t>疾病津贴支付从不能工作的第一个日历日起到能够工作或被认定为部分或完全残疾为至</w:t>
      </w:r>
      <w:r>
        <w:rPr>
          <w:snapToGrid/>
          <w:szCs w:val="4"/>
        </w:rPr>
        <w:t>，</w:t>
      </w:r>
      <w:r>
        <w:rPr>
          <w:rFonts w:hint="eastAsia"/>
          <w:snapToGrid/>
          <w:szCs w:val="4"/>
        </w:rPr>
        <w:t>通常不超过一年。根据预防传</w:t>
      </w:r>
      <w:r>
        <w:rPr>
          <w:rFonts w:hint="eastAsia"/>
          <w:snapToGrid/>
          <w:spacing w:val="8"/>
          <w:szCs w:val="4"/>
        </w:rPr>
        <w:t>染病措施法规而被指令隔离的职工</w:t>
      </w:r>
      <w:r>
        <w:rPr>
          <w:snapToGrid/>
          <w:spacing w:val="8"/>
          <w:szCs w:val="4"/>
        </w:rPr>
        <w:t>，</w:t>
      </w:r>
      <w:r>
        <w:rPr>
          <w:rFonts w:hint="eastAsia"/>
          <w:snapToGrid/>
          <w:spacing w:val="8"/>
          <w:szCs w:val="4"/>
        </w:rPr>
        <w:t>也可领取疾病补助。疾病保险津贴的数额按非纳税收入总额</w:t>
      </w:r>
      <w:r>
        <w:rPr>
          <w:rFonts w:hint="eastAsia"/>
          <w:snapToGrid/>
          <w:spacing w:val="8"/>
          <w:szCs w:val="4"/>
        </w:rPr>
        <w:t>(</w:t>
      </w:r>
      <w:r>
        <w:rPr>
          <w:rFonts w:hint="eastAsia"/>
          <w:snapToGrid/>
          <w:spacing w:val="8"/>
          <w:szCs w:val="4"/>
        </w:rPr>
        <w:t>通常为享受津贴之前的日历季度的收入总</w:t>
      </w:r>
      <w:r>
        <w:rPr>
          <w:rFonts w:hint="eastAsia"/>
          <w:snapToGrid/>
          <w:spacing w:val="8"/>
          <w:szCs w:val="24"/>
        </w:rPr>
        <w:t>额确定。每个日历日的疾病津贴数额为日收入评估基数的</w:t>
      </w:r>
      <w:r>
        <w:rPr>
          <w:snapToGrid/>
          <w:spacing w:val="8"/>
          <w:szCs w:val="24"/>
        </w:rPr>
        <w:t>69%</w:t>
      </w:r>
      <w:r>
        <w:rPr>
          <w:snapToGrid/>
          <w:spacing w:val="8"/>
          <w:szCs w:val="24"/>
        </w:rPr>
        <w:t>，</w:t>
      </w:r>
      <w:r>
        <w:rPr>
          <w:rFonts w:hint="eastAsia"/>
          <w:snapToGrid/>
          <w:spacing w:val="8"/>
          <w:szCs w:val="24"/>
        </w:rPr>
        <w:t>但头三天仅为该基数为</w:t>
      </w:r>
      <w:r>
        <w:rPr>
          <w:rFonts w:hint="eastAsia"/>
          <w:snapToGrid/>
          <w:spacing w:val="8"/>
          <w:szCs w:val="24"/>
        </w:rPr>
        <w:t>50%</w:t>
      </w:r>
      <w:r>
        <w:rPr>
          <w:rFonts w:hint="eastAsia"/>
          <w:snapToGrid/>
          <w:spacing w:val="8"/>
          <w:szCs w:val="24"/>
        </w:rPr>
        <w:t>。日收入评估基数为</w:t>
      </w:r>
      <w:r>
        <w:rPr>
          <w:rFonts w:hint="eastAsia"/>
          <w:snapToGrid/>
          <w:spacing w:val="8"/>
          <w:szCs w:val="24"/>
        </w:rPr>
        <w:t>360</w:t>
      </w:r>
      <w:r>
        <w:rPr>
          <w:rFonts w:hint="eastAsia"/>
          <w:snapToGrid/>
          <w:spacing w:val="8"/>
          <w:szCs w:val="24"/>
        </w:rPr>
        <w:t>捷克克朗的，按全额计算；评估基数为</w:t>
      </w:r>
      <w:r>
        <w:rPr>
          <w:rFonts w:hint="eastAsia"/>
          <w:snapToGrid/>
          <w:spacing w:val="8"/>
          <w:szCs w:val="24"/>
        </w:rPr>
        <w:t>360</w:t>
      </w:r>
      <w:r>
        <w:rPr>
          <w:snapToGrid/>
          <w:spacing w:val="8"/>
          <w:szCs w:val="24"/>
        </w:rPr>
        <w:t>-540</w:t>
      </w:r>
      <w:r>
        <w:rPr>
          <w:rFonts w:hint="eastAsia"/>
          <w:snapToGrid/>
          <w:spacing w:val="8"/>
          <w:szCs w:val="24"/>
        </w:rPr>
        <w:t>捷克克朗的</w:t>
      </w:r>
      <w:r>
        <w:rPr>
          <w:snapToGrid/>
          <w:spacing w:val="8"/>
          <w:szCs w:val="24"/>
        </w:rPr>
        <w:t>，</w:t>
      </w:r>
      <w:r>
        <w:rPr>
          <w:rFonts w:hint="eastAsia"/>
          <w:snapToGrid/>
          <w:spacing w:val="8"/>
          <w:szCs w:val="24"/>
        </w:rPr>
        <w:t>按</w:t>
      </w:r>
      <w:r>
        <w:rPr>
          <w:snapToGrid/>
          <w:spacing w:val="8"/>
          <w:szCs w:val="24"/>
        </w:rPr>
        <w:t>60%</w:t>
      </w:r>
      <w:r>
        <w:rPr>
          <w:rFonts w:hint="eastAsia"/>
          <w:snapToGrid/>
          <w:spacing w:val="8"/>
          <w:szCs w:val="24"/>
        </w:rPr>
        <w:t>计算</w:t>
      </w:r>
      <w:r>
        <w:rPr>
          <w:snapToGrid/>
          <w:spacing w:val="8"/>
          <w:szCs w:val="24"/>
        </w:rPr>
        <w:t>，</w:t>
      </w:r>
      <w:r>
        <w:rPr>
          <w:rFonts w:hint="eastAsia"/>
          <w:snapToGrid/>
          <w:spacing w:val="8"/>
          <w:szCs w:val="24"/>
        </w:rPr>
        <w:t>更高数额的不加考虑。</w:t>
      </w:r>
      <w:r>
        <w:rPr>
          <w:rStyle w:val="EndnoteReference"/>
          <w:snapToGrid/>
        </w:rPr>
        <w:endnoteReference w:id="201"/>
      </w:r>
      <w:r>
        <w:rPr>
          <w:rFonts w:hint="eastAsia"/>
          <w:snapToGrid/>
          <w:spacing w:val="8"/>
          <w:szCs w:val="24"/>
        </w:rPr>
        <w:t xml:space="preserve">  </w:t>
      </w:r>
      <w:r>
        <w:rPr>
          <w:rFonts w:hint="eastAsia"/>
          <w:snapToGrid/>
          <w:spacing w:val="8"/>
          <w:szCs w:val="24"/>
        </w:rPr>
        <w:t>截至</w:t>
      </w:r>
      <w:r>
        <w:rPr>
          <w:snapToGrid/>
          <w:spacing w:val="8"/>
          <w:szCs w:val="24"/>
        </w:rPr>
        <w:t>2000</w:t>
      </w:r>
      <w:r>
        <w:rPr>
          <w:rFonts w:hint="eastAsia"/>
          <w:snapToGrid/>
          <w:spacing w:val="8"/>
          <w:szCs w:val="24"/>
        </w:rPr>
        <w:t>年</w:t>
      </w:r>
      <w:r>
        <w:rPr>
          <w:snapToGrid/>
          <w:spacing w:val="8"/>
          <w:szCs w:val="24"/>
        </w:rPr>
        <w:t>1</w:t>
      </w:r>
      <w:r>
        <w:rPr>
          <w:rFonts w:hint="eastAsia"/>
          <w:snapToGrid/>
          <w:spacing w:val="8"/>
          <w:szCs w:val="24"/>
        </w:rPr>
        <w:t>月</w:t>
      </w:r>
      <w:r>
        <w:rPr>
          <w:snapToGrid/>
          <w:spacing w:val="8"/>
          <w:szCs w:val="24"/>
        </w:rPr>
        <w:t>1</w:t>
      </w:r>
      <w:r>
        <w:rPr>
          <w:rFonts w:hint="eastAsia"/>
          <w:snapToGrid/>
          <w:spacing w:val="8"/>
          <w:szCs w:val="24"/>
        </w:rPr>
        <w:t>日</w:t>
      </w:r>
      <w:r>
        <w:rPr>
          <w:snapToGrid/>
          <w:spacing w:val="8"/>
          <w:szCs w:val="24"/>
        </w:rPr>
        <w:t>，</w:t>
      </w:r>
      <w:r>
        <w:rPr>
          <w:rFonts w:hint="eastAsia"/>
          <w:snapToGrid/>
          <w:spacing w:val="8"/>
          <w:szCs w:val="24"/>
        </w:rPr>
        <w:t>确定数额分别为</w:t>
      </w:r>
      <w:r>
        <w:rPr>
          <w:snapToGrid/>
          <w:spacing w:val="8"/>
          <w:szCs w:val="24"/>
        </w:rPr>
        <w:t>400</w:t>
      </w:r>
      <w:r>
        <w:rPr>
          <w:rFonts w:hint="eastAsia"/>
          <w:snapToGrid/>
          <w:spacing w:val="8"/>
          <w:szCs w:val="24"/>
        </w:rPr>
        <w:t>和</w:t>
      </w:r>
      <w:r>
        <w:rPr>
          <w:snapToGrid/>
          <w:spacing w:val="8"/>
          <w:szCs w:val="24"/>
        </w:rPr>
        <w:t>400-590</w:t>
      </w:r>
      <w:r>
        <w:rPr>
          <w:rFonts w:hint="eastAsia"/>
          <w:snapToGrid/>
          <w:spacing w:val="8"/>
          <w:szCs w:val="24"/>
        </w:rPr>
        <w:t>捷克克朗。从该日起</w:t>
      </w:r>
      <w:r>
        <w:rPr>
          <w:snapToGrid/>
          <w:spacing w:val="8"/>
          <w:szCs w:val="24"/>
        </w:rPr>
        <w:t>，</w:t>
      </w:r>
      <w:r>
        <w:rPr>
          <w:rFonts w:hint="eastAsia"/>
          <w:snapToGrid/>
          <w:spacing w:val="8"/>
          <w:szCs w:val="24"/>
        </w:rPr>
        <w:t>每年按平均工资的增长以政府命令增加疾病津贴数额。</w:t>
      </w:r>
    </w:p>
    <w:p w:rsidR="00000000" w:rsidRDefault="00000000">
      <w:pPr>
        <w:rPr>
          <w:snapToGrid/>
          <w:szCs w:val="24"/>
        </w:rPr>
      </w:pPr>
      <w:r>
        <w:rPr>
          <w:rFonts w:hint="eastAsia"/>
          <w:snapToGrid/>
          <w:szCs w:val="24"/>
        </w:rPr>
        <w:tab/>
      </w:r>
      <w:r>
        <w:rPr>
          <w:snapToGrid/>
          <w:szCs w:val="24"/>
        </w:rPr>
        <w:t xml:space="preserve">335.  </w:t>
      </w:r>
      <w:r>
        <w:rPr>
          <w:rFonts w:hint="eastAsia"/>
          <w:snapToGrid/>
          <w:szCs w:val="24"/>
        </w:rPr>
        <w:t>照顾</w:t>
      </w:r>
      <w:r>
        <w:rPr>
          <w:snapToGrid/>
          <w:szCs w:val="24"/>
        </w:rPr>
        <w:t>10</w:t>
      </w:r>
      <w:r>
        <w:rPr>
          <w:rFonts w:hint="eastAsia"/>
          <w:snapToGrid/>
          <w:szCs w:val="24"/>
        </w:rPr>
        <w:t>岁以下病孩</w:t>
      </w:r>
      <w:r>
        <w:rPr>
          <w:snapToGrid/>
          <w:szCs w:val="24"/>
        </w:rPr>
        <w:t>，</w:t>
      </w:r>
      <w:r>
        <w:rPr>
          <w:rFonts w:hint="eastAsia"/>
          <w:snapToGrid/>
          <w:szCs w:val="24"/>
        </w:rPr>
        <w:t>或</w:t>
      </w:r>
      <w:r>
        <w:rPr>
          <w:snapToGrid/>
          <w:szCs w:val="24"/>
        </w:rPr>
        <w:t>10</w:t>
      </w:r>
      <w:r>
        <w:rPr>
          <w:rFonts w:hint="eastAsia"/>
          <w:snapToGrid/>
          <w:szCs w:val="24"/>
        </w:rPr>
        <w:t>岁以下孩子所在托儿机构关闭</w:t>
      </w:r>
      <w:r>
        <w:rPr>
          <w:snapToGrid/>
          <w:szCs w:val="24"/>
        </w:rPr>
        <w:t>，</w:t>
      </w:r>
      <w:r>
        <w:rPr>
          <w:rFonts w:hint="eastAsia"/>
          <w:snapToGrid/>
          <w:szCs w:val="24"/>
        </w:rPr>
        <w:t>或孩子患病隔离</w:t>
      </w:r>
      <w:r>
        <w:rPr>
          <w:snapToGrid/>
          <w:szCs w:val="24"/>
        </w:rPr>
        <w:t>，</w:t>
      </w:r>
      <w:r>
        <w:rPr>
          <w:rFonts w:hint="eastAsia"/>
          <w:snapToGrid/>
          <w:szCs w:val="24"/>
        </w:rPr>
        <w:t>或看管孩子的人生病或传染隔离</w:t>
      </w:r>
      <w:r>
        <w:rPr>
          <w:snapToGrid/>
          <w:szCs w:val="24"/>
        </w:rPr>
        <w:t>，</w:t>
      </w:r>
      <w:r>
        <w:rPr>
          <w:rFonts w:hint="eastAsia"/>
          <w:snapToGrid/>
          <w:szCs w:val="24"/>
        </w:rPr>
        <w:t>必须由职工自己照顾孩子时</w:t>
      </w:r>
      <w:r>
        <w:rPr>
          <w:snapToGrid/>
          <w:szCs w:val="24"/>
        </w:rPr>
        <w:t>，</w:t>
      </w:r>
      <w:r>
        <w:rPr>
          <w:rFonts w:hint="eastAsia"/>
          <w:snapToGrid/>
          <w:szCs w:val="24"/>
        </w:rPr>
        <w:t>可领取家属抚养津贴。这里的“家庭成员”是指职工须与患病者共同生活。这一限制不适用于</w:t>
      </w:r>
      <w:r>
        <w:rPr>
          <w:snapToGrid/>
          <w:szCs w:val="24"/>
        </w:rPr>
        <w:t>10</w:t>
      </w:r>
      <w:r>
        <w:rPr>
          <w:rFonts w:hint="eastAsia"/>
          <w:snapToGrid/>
          <w:szCs w:val="24"/>
        </w:rPr>
        <w:t>岁以下儿童的父母。提供补贴的时间为</w:t>
      </w:r>
      <w:r>
        <w:rPr>
          <w:snapToGrid/>
          <w:szCs w:val="24"/>
        </w:rPr>
        <w:t>9</w:t>
      </w:r>
      <w:r>
        <w:rPr>
          <w:rFonts w:hint="eastAsia"/>
          <w:snapToGrid/>
          <w:szCs w:val="24"/>
        </w:rPr>
        <w:t>天</w:t>
      </w:r>
      <w:r>
        <w:rPr>
          <w:snapToGrid/>
          <w:szCs w:val="24"/>
        </w:rPr>
        <w:t>，</w:t>
      </w:r>
      <w:r>
        <w:rPr>
          <w:rFonts w:hint="eastAsia"/>
          <w:snapToGrid/>
          <w:szCs w:val="24"/>
        </w:rPr>
        <w:t>单亲父母为</w:t>
      </w:r>
      <w:r>
        <w:rPr>
          <w:snapToGrid/>
          <w:szCs w:val="24"/>
        </w:rPr>
        <w:t>16</w:t>
      </w:r>
      <w:r>
        <w:rPr>
          <w:rFonts w:hint="eastAsia"/>
          <w:snapToGrid/>
          <w:szCs w:val="24"/>
        </w:rPr>
        <w:t>天。数额按疾病补助计算。</w:t>
      </w:r>
    </w:p>
    <w:p w:rsidR="00000000" w:rsidRDefault="00000000">
      <w:pPr>
        <w:rPr>
          <w:snapToGrid/>
          <w:szCs w:val="24"/>
        </w:rPr>
      </w:pPr>
      <w:r>
        <w:rPr>
          <w:rFonts w:hint="eastAsia"/>
          <w:snapToGrid/>
          <w:szCs w:val="24"/>
        </w:rPr>
        <w:tab/>
      </w:r>
      <w:r>
        <w:rPr>
          <w:snapToGrid/>
          <w:szCs w:val="24"/>
        </w:rPr>
        <w:t xml:space="preserve">336.  </w:t>
      </w:r>
      <w:r>
        <w:rPr>
          <w:rFonts w:hint="eastAsia"/>
          <w:snapToGrid/>
          <w:szCs w:val="24"/>
        </w:rPr>
        <w:t>怀孕职工或幼儿母亲因健康或因照顾小孩而被调到较低收入的工作</w:t>
      </w:r>
      <w:r>
        <w:rPr>
          <w:snapToGrid/>
          <w:szCs w:val="24"/>
        </w:rPr>
        <w:t>，</w:t>
      </w:r>
      <w:r>
        <w:rPr>
          <w:rFonts w:hint="eastAsia"/>
          <w:snapToGrid/>
          <w:szCs w:val="24"/>
        </w:rPr>
        <w:t>可领取孕期和产假补助津贴。</w:t>
      </w:r>
    </w:p>
    <w:p w:rsidR="00000000" w:rsidRDefault="00000000">
      <w:pPr>
        <w:rPr>
          <w:snapToGrid/>
          <w:szCs w:val="24"/>
        </w:rPr>
      </w:pPr>
      <w:r>
        <w:rPr>
          <w:rFonts w:hint="eastAsia"/>
          <w:snapToGrid/>
          <w:szCs w:val="24"/>
        </w:rPr>
        <w:tab/>
      </w:r>
      <w:r>
        <w:rPr>
          <w:snapToGrid/>
          <w:szCs w:val="24"/>
        </w:rPr>
        <w:t xml:space="preserve">337.  </w:t>
      </w:r>
      <w:r>
        <w:rPr>
          <w:rFonts w:hint="eastAsia"/>
          <w:snapToGrid/>
          <w:szCs w:val="24"/>
        </w:rPr>
        <w:t>女职工怀孕和生产享受</w:t>
      </w:r>
      <w:r>
        <w:rPr>
          <w:snapToGrid/>
          <w:szCs w:val="24"/>
        </w:rPr>
        <w:t>28</w:t>
      </w:r>
      <w:r>
        <w:rPr>
          <w:rFonts w:hint="eastAsia"/>
          <w:snapToGrid/>
          <w:szCs w:val="24"/>
        </w:rPr>
        <w:t>周产假</w:t>
      </w:r>
      <w:r>
        <w:rPr>
          <w:snapToGrid/>
          <w:szCs w:val="24"/>
        </w:rPr>
        <w:t>，</w:t>
      </w:r>
      <w:r>
        <w:rPr>
          <w:rFonts w:hint="eastAsia"/>
          <w:snapToGrid/>
          <w:szCs w:val="24"/>
        </w:rPr>
        <w:t>从预产期前</w:t>
      </w:r>
      <w:r>
        <w:rPr>
          <w:snapToGrid/>
          <w:szCs w:val="24"/>
        </w:rPr>
        <w:t>6</w:t>
      </w:r>
      <w:r>
        <w:rPr>
          <w:rFonts w:hint="eastAsia"/>
          <w:snapToGrid/>
          <w:szCs w:val="24"/>
        </w:rPr>
        <w:t>至</w:t>
      </w:r>
      <w:r>
        <w:rPr>
          <w:snapToGrid/>
          <w:szCs w:val="24"/>
        </w:rPr>
        <w:t>8</w:t>
      </w:r>
      <w:r>
        <w:rPr>
          <w:rFonts w:hint="eastAsia"/>
          <w:snapToGrid/>
          <w:szCs w:val="24"/>
        </w:rPr>
        <w:t>周开始</w:t>
      </w:r>
      <w:r>
        <w:rPr>
          <w:snapToGrid/>
          <w:szCs w:val="24"/>
        </w:rPr>
        <w:t>，</w:t>
      </w:r>
      <w:r>
        <w:rPr>
          <w:rFonts w:hint="eastAsia"/>
          <w:snapToGrid/>
          <w:szCs w:val="24"/>
        </w:rPr>
        <w:t>单亲母亲为</w:t>
      </w:r>
      <w:r>
        <w:rPr>
          <w:snapToGrid/>
          <w:szCs w:val="24"/>
        </w:rPr>
        <w:t>37</w:t>
      </w:r>
      <w:r>
        <w:rPr>
          <w:rFonts w:hint="eastAsia"/>
          <w:snapToGrid/>
          <w:szCs w:val="24"/>
        </w:rPr>
        <w:t>周</w:t>
      </w:r>
      <w:r>
        <w:rPr>
          <w:snapToGrid/>
          <w:szCs w:val="24"/>
        </w:rPr>
        <w:t>，</w:t>
      </w:r>
      <w:r>
        <w:rPr>
          <w:rFonts w:hint="eastAsia"/>
          <w:snapToGrid/>
          <w:szCs w:val="24"/>
        </w:rPr>
        <w:t>此期间可领取产假资助</w:t>
      </w:r>
      <w:r>
        <w:rPr>
          <w:rFonts w:hint="eastAsia"/>
          <w:snapToGrid/>
          <w:szCs w:val="24"/>
        </w:rPr>
        <w:t>(</w:t>
      </w:r>
      <w:r>
        <w:rPr>
          <w:rFonts w:hint="eastAsia"/>
          <w:snapToGrid/>
          <w:szCs w:val="24"/>
        </w:rPr>
        <w:t>产妇津贴</w:t>
      </w:r>
      <w:r>
        <w:rPr>
          <w:rFonts w:hint="eastAsia"/>
          <w:snapToGrid/>
          <w:szCs w:val="24"/>
        </w:rPr>
        <w:t>)</w:t>
      </w:r>
      <w:r>
        <w:rPr>
          <w:rFonts w:hint="eastAsia"/>
          <w:snapToGrid/>
          <w:szCs w:val="24"/>
        </w:rPr>
        <w:t>。男职工如果符合法定条件</w:t>
      </w:r>
      <w:r>
        <w:rPr>
          <w:snapToGrid/>
          <w:szCs w:val="24"/>
        </w:rPr>
        <w:t>，</w:t>
      </w:r>
      <w:r>
        <w:rPr>
          <w:rFonts w:hint="eastAsia"/>
          <w:snapToGrid/>
          <w:szCs w:val="24"/>
        </w:rPr>
        <w:t>即孩子母亲死亡</w:t>
      </w:r>
      <w:r>
        <w:rPr>
          <w:snapToGrid/>
          <w:szCs w:val="24"/>
        </w:rPr>
        <w:t>，</w:t>
      </w:r>
      <w:r>
        <w:rPr>
          <w:rFonts w:hint="eastAsia"/>
          <w:snapToGrid/>
          <w:szCs w:val="24"/>
        </w:rPr>
        <w:t>由其照顾孩子</w:t>
      </w:r>
      <w:r>
        <w:rPr>
          <w:snapToGrid/>
          <w:szCs w:val="24"/>
        </w:rPr>
        <w:t>，</w:t>
      </w:r>
      <w:r>
        <w:rPr>
          <w:rFonts w:hint="eastAsia"/>
          <w:snapToGrid/>
          <w:szCs w:val="24"/>
        </w:rPr>
        <w:t>也可领取资助。产假津贴按疾病津贴的同样方式计算</w:t>
      </w:r>
      <w:r>
        <w:rPr>
          <w:snapToGrid/>
          <w:szCs w:val="24"/>
        </w:rPr>
        <w:t>，</w:t>
      </w:r>
      <w:r>
        <w:rPr>
          <w:rFonts w:hint="eastAsia"/>
          <w:snapToGrid/>
          <w:szCs w:val="24"/>
        </w:rPr>
        <w:t>但是日评估基数从产假开始之日起确定</w:t>
      </w:r>
      <w:r>
        <w:rPr>
          <w:snapToGrid/>
          <w:szCs w:val="24"/>
        </w:rPr>
        <w:t>，</w:t>
      </w:r>
      <w:r>
        <w:rPr>
          <w:rFonts w:hint="eastAsia"/>
          <w:snapToGrid/>
          <w:szCs w:val="24"/>
        </w:rPr>
        <w:t>每个日历日的资助数额为整个产假期间日评估基数的</w:t>
      </w:r>
      <w:r>
        <w:rPr>
          <w:snapToGrid/>
          <w:szCs w:val="24"/>
        </w:rPr>
        <w:t>69%</w:t>
      </w:r>
      <w:r>
        <w:rPr>
          <w:rFonts w:hint="eastAsia"/>
          <w:snapToGrid/>
          <w:szCs w:val="24"/>
        </w:rPr>
        <w:t>。</w:t>
      </w:r>
    </w:p>
    <w:p w:rsidR="00000000" w:rsidRDefault="00000000">
      <w:pPr>
        <w:rPr>
          <w:snapToGrid/>
          <w:szCs w:val="24"/>
        </w:rPr>
      </w:pPr>
      <w:r>
        <w:rPr>
          <w:rFonts w:hint="eastAsia"/>
          <w:snapToGrid/>
          <w:szCs w:val="24"/>
        </w:rPr>
        <w:tab/>
      </w:r>
      <w:r>
        <w:rPr>
          <w:snapToGrid/>
          <w:szCs w:val="24"/>
        </w:rPr>
        <w:t xml:space="preserve">338.  </w:t>
      </w:r>
      <w:r>
        <w:rPr>
          <w:rFonts w:hint="eastAsia"/>
          <w:snapToGrid/>
          <w:szCs w:val="24"/>
        </w:rPr>
        <w:t>另请参见关于执行国际劳工组织以下公约的详细报告</w:t>
      </w:r>
      <w:r>
        <w:rPr>
          <w:snapToGrid/>
          <w:szCs w:val="24"/>
        </w:rPr>
        <w:t>：</w:t>
      </w:r>
    </w:p>
    <w:p w:rsidR="00000000" w:rsidRDefault="00000000">
      <w:pPr>
        <w:spacing w:line="288" w:lineRule="auto"/>
        <w:ind w:left="1530"/>
        <w:rPr>
          <w:snapToGrid/>
          <w:szCs w:val="24"/>
        </w:rPr>
      </w:pPr>
      <w:r>
        <w:rPr>
          <w:rFonts w:hint="eastAsia"/>
          <w:snapToGrid/>
          <w:szCs w:val="24"/>
        </w:rPr>
        <w:t>第</w:t>
      </w:r>
      <w:r>
        <w:rPr>
          <w:snapToGrid/>
          <w:szCs w:val="24"/>
        </w:rPr>
        <w:t>130</w:t>
      </w:r>
      <w:r>
        <w:rPr>
          <w:rFonts w:hint="eastAsia"/>
          <w:snapToGrid/>
          <w:szCs w:val="24"/>
        </w:rPr>
        <w:t>号公约</w:t>
      </w:r>
      <w:r>
        <w:rPr>
          <w:rFonts w:hint="eastAsia"/>
          <w:snapToGrid/>
          <w:spacing w:val="-40"/>
          <w:sz w:val="22"/>
          <w:szCs w:val="24"/>
        </w:rPr>
        <w:t>——</w:t>
      </w:r>
      <w:r>
        <w:rPr>
          <w:snapToGrid/>
          <w:sz w:val="22"/>
          <w:szCs w:val="24"/>
        </w:rPr>
        <w:t xml:space="preserve"> </w:t>
      </w:r>
      <w:r>
        <w:rPr>
          <w:rFonts w:hint="eastAsia"/>
          <w:snapToGrid/>
          <w:szCs w:val="24"/>
        </w:rPr>
        <w:t>《医疗和疾病津贴公约》</w:t>
      </w:r>
      <w:r>
        <w:rPr>
          <w:snapToGrid/>
          <w:szCs w:val="24"/>
        </w:rPr>
        <w:t>；</w:t>
      </w:r>
    </w:p>
    <w:p w:rsidR="00000000" w:rsidRDefault="00000000">
      <w:pPr>
        <w:spacing w:line="288" w:lineRule="auto"/>
        <w:ind w:left="1530"/>
        <w:rPr>
          <w:snapToGrid/>
          <w:szCs w:val="24"/>
        </w:rPr>
      </w:pPr>
      <w:r>
        <w:rPr>
          <w:rFonts w:hint="eastAsia"/>
          <w:snapToGrid/>
          <w:szCs w:val="24"/>
        </w:rPr>
        <w:t>第</w:t>
      </w:r>
      <w:r>
        <w:rPr>
          <w:snapToGrid/>
          <w:szCs w:val="24"/>
        </w:rPr>
        <w:t>12</w:t>
      </w:r>
      <w:r>
        <w:rPr>
          <w:rFonts w:hint="eastAsia"/>
          <w:snapToGrid/>
          <w:szCs w:val="24"/>
        </w:rPr>
        <w:t>号公约</w:t>
      </w:r>
      <w:r>
        <w:rPr>
          <w:rFonts w:hint="eastAsia"/>
          <w:snapToGrid/>
          <w:spacing w:val="-40"/>
          <w:sz w:val="22"/>
          <w:szCs w:val="24"/>
        </w:rPr>
        <w:t>——</w:t>
      </w:r>
      <w:r>
        <w:rPr>
          <w:snapToGrid/>
          <w:sz w:val="22"/>
          <w:szCs w:val="24"/>
        </w:rPr>
        <w:t xml:space="preserve"> </w:t>
      </w:r>
      <w:r>
        <w:rPr>
          <w:rFonts w:hint="eastAsia"/>
          <w:snapToGrid/>
          <w:szCs w:val="24"/>
        </w:rPr>
        <w:t>《</w:t>
      </w:r>
      <w:r>
        <w:rPr>
          <w:rFonts w:hint="eastAsia"/>
          <w:snapToGrid/>
          <w:szCs w:val="24"/>
        </w:rPr>
        <w:t>(</w:t>
      </w:r>
      <w:r>
        <w:rPr>
          <w:rFonts w:hint="eastAsia"/>
          <w:snapToGrid/>
          <w:szCs w:val="24"/>
        </w:rPr>
        <w:t>农业</w:t>
      </w:r>
      <w:r>
        <w:rPr>
          <w:rFonts w:hint="eastAsia"/>
          <w:snapToGrid/>
          <w:szCs w:val="24"/>
        </w:rPr>
        <w:t>)</w:t>
      </w:r>
      <w:r>
        <w:rPr>
          <w:rFonts w:hint="eastAsia"/>
          <w:snapToGrid/>
          <w:szCs w:val="24"/>
        </w:rPr>
        <w:t>工人赔偿公约》</w:t>
      </w:r>
      <w:r>
        <w:rPr>
          <w:snapToGrid/>
          <w:szCs w:val="24"/>
        </w:rPr>
        <w:t>(1921</w:t>
      </w:r>
      <w:r>
        <w:rPr>
          <w:rFonts w:hint="eastAsia"/>
          <w:snapToGrid/>
          <w:szCs w:val="24"/>
        </w:rPr>
        <w:t>年</w:t>
      </w:r>
      <w:r>
        <w:rPr>
          <w:rFonts w:hint="eastAsia"/>
          <w:snapToGrid/>
          <w:szCs w:val="24"/>
        </w:rPr>
        <w:t>)</w:t>
      </w:r>
      <w:r>
        <w:rPr>
          <w:snapToGrid/>
          <w:szCs w:val="24"/>
        </w:rPr>
        <w:t>；</w:t>
      </w:r>
    </w:p>
    <w:p w:rsidR="00000000" w:rsidRDefault="00000000">
      <w:pPr>
        <w:spacing w:line="288" w:lineRule="auto"/>
        <w:ind w:left="1530"/>
        <w:rPr>
          <w:snapToGrid/>
          <w:szCs w:val="24"/>
        </w:rPr>
      </w:pPr>
      <w:r>
        <w:rPr>
          <w:rFonts w:hint="eastAsia"/>
          <w:snapToGrid/>
          <w:szCs w:val="24"/>
        </w:rPr>
        <w:t>第</w:t>
      </w:r>
      <w:r>
        <w:rPr>
          <w:snapToGrid/>
          <w:szCs w:val="24"/>
        </w:rPr>
        <w:t>17</w:t>
      </w:r>
      <w:r>
        <w:rPr>
          <w:rFonts w:hint="eastAsia"/>
          <w:snapToGrid/>
          <w:szCs w:val="24"/>
        </w:rPr>
        <w:t>号公约</w:t>
      </w:r>
      <w:r>
        <w:rPr>
          <w:rFonts w:hint="eastAsia"/>
          <w:snapToGrid/>
          <w:spacing w:val="-40"/>
          <w:sz w:val="22"/>
          <w:szCs w:val="24"/>
        </w:rPr>
        <w:t>——</w:t>
      </w:r>
      <w:r>
        <w:rPr>
          <w:snapToGrid/>
          <w:sz w:val="22"/>
          <w:szCs w:val="24"/>
        </w:rPr>
        <w:t xml:space="preserve"> </w:t>
      </w:r>
      <w:r>
        <w:rPr>
          <w:rFonts w:hint="eastAsia"/>
          <w:snapToGrid/>
          <w:szCs w:val="24"/>
        </w:rPr>
        <w:t>《工人</w:t>
      </w:r>
      <w:r>
        <w:rPr>
          <w:snapToGrid/>
          <w:szCs w:val="24"/>
        </w:rPr>
        <w:t>(</w:t>
      </w:r>
      <w:r>
        <w:rPr>
          <w:rFonts w:hint="eastAsia"/>
          <w:snapToGrid/>
          <w:szCs w:val="24"/>
        </w:rPr>
        <w:t>事故</w:t>
      </w:r>
      <w:r>
        <w:rPr>
          <w:snapToGrid/>
          <w:szCs w:val="24"/>
        </w:rPr>
        <w:t>)</w:t>
      </w:r>
      <w:r>
        <w:rPr>
          <w:rFonts w:hint="eastAsia"/>
          <w:snapToGrid/>
          <w:szCs w:val="24"/>
        </w:rPr>
        <w:t>赔偿公约》</w:t>
      </w:r>
      <w:r>
        <w:rPr>
          <w:snapToGrid/>
          <w:szCs w:val="24"/>
        </w:rPr>
        <w:t>(1925</w:t>
      </w:r>
      <w:r>
        <w:rPr>
          <w:rFonts w:hint="eastAsia"/>
          <w:snapToGrid/>
          <w:szCs w:val="24"/>
        </w:rPr>
        <w:t>年</w:t>
      </w:r>
      <w:r>
        <w:rPr>
          <w:rFonts w:hint="eastAsia"/>
          <w:snapToGrid/>
          <w:szCs w:val="24"/>
        </w:rPr>
        <w:t>)</w:t>
      </w:r>
      <w:r>
        <w:rPr>
          <w:snapToGrid/>
          <w:szCs w:val="24"/>
        </w:rPr>
        <w:t>；</w:t>
      </w:r>
    </w:p>
    <w:p w:rsidR="00000000" w:rsidRDefault="00000000">
      <w:pPr>
        <w:spacing w:line="288" w:lineRule="auto"/>
        <w:ind w:left="1530"/>
        <w:rPr>
          <w:snapToGrid/>
          <w:szCs w:val="24"/>
        </w:rPr>
      </w:pPr>
      <w:r>
        <w:rPr>
          <w:rFonts w:hint="eastAsia"/>
          <w:snapToGrid/>
          <w:szCs w:val="24"/>
        </w:rPr>
        <w:t>第</w:t>
      </w:r>
      <w:r>
        <w:rPr>
          <w:snapToGrid/>
          <w:szCs w:val="24"/>
        </w:rPr>
        <w:t>42</w:t>
      </w:r>
      <w:r>
        <w:rPr>
          <w:rFonts w:hint="eastAsia"/>
          <w:snapToGrid/>
          <w:szCs w:val="24"/>
        </w:rPr>
        <w:t>号公约</w:t>
      </w:r>
      <w:r>
        <w:rPr>
          <w:rFonts w:hint="eastAsia"/>
          <w:snapToGrid/>
          <w:spacing w:val="-40"/>
          <w:sz w:val="22"/>
          <w:szCs w:val="24"/>
        </w:rPr>
        <w:t>——</w:t>
      </w:r>
      <w:r>
        <w:rPr>
          <w:snapToGrid/>
          <w:sz w:val="22"/>
          <w:szCs w:val="24"/>
        </w:rPr>
        <w:t xml:space="preserve"> </w:t>
      </w:r>
      <w:r>
        <w:rPr>
          <w:rFonts w:hint="eastAsia"/>
          <w:snapToGrid/>
          <w:szCs w:val="24"/>
        </w:rPr>
        <w:t>《工人</w:t>
      </w:r>
      <w:r>
        <w:rPr>
          <w:snapToGrid/>
          <w:szCs w:val="24"/>
        </w:rPr>
        <w:t>(</w:t>
      </w:r>
      <w:r>
        <w:rPr>
          <w:rFonts w:hint="eastAsia"/>
          <w:snapToGrid/>
          <w:szCs w:val="24"/>
        </w:rPr>
        <w:t>职业病</w:t>
      </w:r>
      <w:r>
        <w:rPr>
          <w:rFonts w:hint="eastAsia"/>
          <w:snapToGrid/>
          <w:szCs w:val="24"/>
        </w:rPr>
        <w:t>)</w:t>
      </w:r>
      <w:r>
        <w:rPr>
          <w:rFonts w:hint="eastAsia"/>
          <w:snapToGrid/>
          <w:szCs w:val="24"/>
        </w:rPr>
        <w:t>赔偿公约》</w:t>
      </w:r>
      <w:r>
        <w:rPr>
          <w:snapToGrid/>
          <w:szCs w:val="24"/>
        </w:rPr>
        <w:t>(1934</w:t>
      </w:r>
      <w:r>
        <w:rPr>
          <w:rFonts w:hint="eastAsia"/>
          <w:snapToGrid/>
          <w:szCs w:val="24"/>
        </w:rPr>
        <w:t>年</w:t>
      </w:r>
      <w:r>
        <w:rPr>
          <w:snapToGrid/>
          <w:szCs w:val="24"/>
        </w:rPr>
        <w:t>)</w:t>
      </w:r>
      <w:r>
        <w:rPr>
          <w:rFonts w:hint="eastAsia"/>
          <w:snapToGrid/>
          <w:szCs w:val="24"/>
        </w:rPr>
        <w:t>。</w:t>
      </w:r>
    </w:p>
    <w:p w:rsidR="00000000" w:rsidRDefault="00000000">
      <w:pPr>
        <w:spacing w:after="160"/>
        <w:rPr>
          <w:snapToGrid/>
          <w:szCs w:val="24"/>
        </w:rPr>
      </w:pPr>
      <w:r>
        <w:rPr>
          <w:rFonts w:hint="eastAsia"/>
          <w:snapToGrid/>
          <w:szCs w:val="24"/>
        </w:rPr>
        <w:tab/>
      </w:r>
      <w:r>
        <w:rPr>
          <w:snapToGrid/>
          <w:szCs w:val="24"/>
        </w:rPr>
        <w:t xml:space="preserve">339.  </w:t>
      </w:r>
      <w:r>
        <w:rPr>
          <w:rFonts w:hint="eastAsia"/>
          <w:snapToGrid/>
          <w:szCs w:val="24"/>
        </w:rPr>
        <w:t>失业津贴确保了求职者的物质生活保障</w:t>
      </w:r>
      <w:r>
        <w:rPr>
          <w:snapToGrid/>
          <w:szCs w:val="24"/>
        </w:rPr>
        <w:t>，</w:t>
      </w:r>
      <w:r>
        <w:rPr>
          <w:rFonts w:hint="eastAsia"/>
          <w:snapToGrid/>
          <w:szCs w:val="24"/>
        </w:rPr>
        <w:t>按《就业法》发放。</w:t>
      </w:r>
      <w:r>
        <w:rPr>
          <w:rStyle w:val="EndnoteReference"/>
          <w:snapToGrid/>
        </w:rPr>
        <w:endnoteReference w:id="202"/>
      </w:r>
      <w:r>
        <w:rPr>
          <w:rFonts w:hint="eastAsia"/>
          <w:snapToGrid/>
          <w:szCs w:val="24"/>
        </w:rPr>
        <w:t xml:space="preserve">  </w:t>
      </w:r>
      <w:r>
        <w:rPr>
          <w:rFonts w:hint="eastAsia"/>
          <w:snapToGrid/>
          <w:szCs w:val="24"/>
        </w:rPr>
        <w:t>在关于执行《公约》第</w:t>
      </w:r>
      <w:r>
        <w:rPr>
          <w:snapToGrid/>
          <w:szCs w:val="24"/>
        </w:rPr>
        <w:t>6</w:t>
      </w:r>
      <w:r>
        <w:rPr>
          <w:rFonts w:hint="eastAsia"/>
          <w:snapToGrid/>
          <w:szCs w:val="24"/>
        </w:rPr>
        <w:t>条的部分较详细叙述了失业金的数额和发放条件。另请参见关于执行国际劳工组织第</w:t>
      </w:r>
      <w:r>
        <w:rPr>
          <w:snapToGrid/>
          <w:szCs w:val="24"/>
        </w:rPr>
        <w:t>122</w:t>
      </w:r>
      <w:r>
        <w:rPr>
          <w:rFonts w:hint="eastAsia"/>
          <w:snapToGrid/>
          <w:szCs w:val="24"/>
        </w:rPr>
        <w:t>号《就业政策公约》的报告。</w:t>
      </w:r>
    </w:p>
    <w:p w:rsidR="00000000" w:rsidRDefault="00000000">
      <w:pPr>
        <w:pStyle w:val="Heading4"/>
        <w:spacing w:after="160"/>
      </w:pPr>
      <w:r>
        <w:rPr>
          <w:rFonts w:hint="eastAsia"/>
        </w:rPr>
        <w:t>国家的社会扶助</w:t>
      </w:r>
    </w:p>
    <w:p w:rsidR="00000000" w:rsidRDefault="00000000">
      <w:pPr>
        <w:rPr>
          <w:snapToGrid/>
          <w:spacing w:val="8"/>
          <w:szCs w:val="26"/>
        </w:rPr>
      </w:pPr>
      <w:r>
        <w:rPr>
          <w:rFonts w:hint="eastAsia"/>
          <w:snapToGrid/>
          <w:szCs w:val="24"/>
        </w:rPr>
        <w:tab/>
      </w:r>
      <w:r>
        <w:rPr>
          <w:snapToGrid/>
          <w:szCs w:val="24"/>
        </w:rPr>
        <w:t xml:space="preserve">340.  </w:t>
      </w:r>
      <w:r>
        <w:rPr>
          <w:rFonts w:hint="eastAsia"/>
          <w:snapToGrid/>
          <w:spacing w:val="8"/>
          <w:szCs w:val="24"/>
        </w:rPr>
        <w:t>国家的社会扶助是指按照无孩家庭支援有孩家庭、高收入家庭支援低收入家庭的原则</w:t>
      </w:r>
      <w:r>
        <w:rPr>
          <w:snapToGrid/>
          <w:spacing w:val="8"/>
          <w:szCs w:val="24"/>
        </w:rPr>
        <w:t>，</w:t>
      </w:r>
      <w:r>
        <w:rPr>
          <w:rFonts w:hint="eastAsia"/>
          <w:snapToGrid/>
          <w:spacing w:val="8"/>
          <w:szCs w:val="24"/>
        </w:rPr>
        <w:t>从国家预算中拨款提供的支持。国家福利津贴制度的目的是</w:t>
      </w:r>
      <w:r>
        <w:rPr>
          <w:snapToGrid/>
          <w:spacing w:val="8"/>
          <w:szCs w:val="24"/>
        </w:rPr>
        <w:t>，</w:t>
      </w:r>
      <w:r>
        <w:rPr>
          <w:rFonts w:hint="eastAsia"/>
          <w:snapToGrid/>
          <w:spacing w:val="8"/>
          <w:szCs w:val="24"/>
        </w:rPr>
        <w:t>在领取者特别是有孩家庭无法解决自身问题时</w:t>
      </w:r>
      <w:r>
        <w:rPr>
          <w:snapToGrid/>
          <w:spacing w:val="8"/>
          <w:szCs w:val="24"/>
        </w:rPr>
        <w:t>，</w:t>
      </w:r>
      <w:r>
        <w:rPr>
          <w:rFonts w:hint="eastAsia"/>
          <w:snapToGrid/>
          <w:spacing w:val="8"/>
          <w:szCs w:val="24"/>
        </w:rPr>
        <w:t>或在国家希望鼓励的情况</w:t>
      </w:r>
      <w:r>
        <w:rPr>
          <w:rFonts w:hint="eastAsia"/>
          <w:snapToGrid/>
          <w:spacing w:val="8"/>
          <w:szCs w:val="26"/>
        </w:rPr>
        <w:t>下</w:t>
      </w:r>
      <w:r>
        <w:rPr>
          <w:snapToGrid/>
          <w:spacing w:val="8"/>
          <w:szCs w:val="26"/>
        </w:rPr>
        <w:t>，</w:t>
      </w:r>
      <w:r>
        <w:rPr>
          <w:rFonts w:hint="eastAsia"/>
          <w:snapToGrid/>
          <w:spacing w:val="8"/>
          <w:szCs w:val="26"/>
        </w:rPr>
        <w:t>增加他们的收入。社会扶助津贴有助于在家庭收入相对下降或支出增加时</w:t>
      </w:r>
      <w:r>
        <w:rPr>
          <w:snapToGrid/>
          <w:spacing w:val="8"/>
          <w:szCs w:val="26"/>
        </w:rPr>
        <w:t>，</w:t>
      </w:r>
      <w:r>
        <w:rPr>
          <w:rFonts w:hint="eastAsia"/>
          <w:snapToGrid/>
          <w:spacing w:val="8"/>
          <w:szCs w:val="26"/>
        </w:rPr>
        <w:t>保持收入。</w:t>
      </w:r>
    </w:p>
    <w:p w:rsidR="00000000" w:rsidRDefault="00000000">
      <w:pPr>
        <w:rPr>
          <w:snapToGrid/>
          <w:szCs w:val="26"/>
        </w:rPr>
      </w:pPr>
      <w:r>
        <w:rPr>
          <w:rFonts w:hint="eastAsia"/>
          <w:snapToGrid/>
          <w:szCs w:val="26"/>
        </w:rPr>
        <w:tab/>
      </w:r>
      <w:r>
        <w:rPr>
          <w:snapToGrid/>
          <w:szCs w:val="26"/>
        </w:rPr>
        <w:t>3</w:t>
      </w:r>
      <w:r>
        <w:rPr>
          <w:rFonts w:hint="eastAsia"/>
          <w:snapToGrid/>
          <w:szCs w:val="26"/>
        </w:rPr>
        <w:t xml:space="preserve">41.  </w:t>
      </w:r>
      <w:r>
        <w:rPr>
          <w:rFonts w:hint="eastAsia"/>
          <w:snapToGrid/>
          <w:szCs w:val="26"/>
        </w:rPr>
        <w:t>与社会保障不同，国家福利津贴与预扣工资收入不相联系。国家的福利津贴由国家支出。国家通过福利津贴分担儿童和家庭的生活和其他基本需求费用</w:t>
      </w:r>
      <w:r>
        <w:rPr>
          <w:snapToGrid/>
          <w:szCs w:val="26"/>
        </w:rPr>
        <w:t>，</w:t>
      </w:r>
      <w:r>
        <w:rPr>
          <w:rFonts w:hint="eastAsia"/>
          <w:snapToGrid/>
          <w:szCs w:val="26"/>
        </w:rPr>
        <w:t>以及某些困难情况下的费用。社会福利津贴的发放取决于收入水平。</w:t>
      </w:r>
    </w:p>
    <w:p w:rsidR="00000000" w:rsidRDefault="00000000">
      <w:pPr>
        <w:rPr>
          <w:snapToGrid/>
          <w:szCs w:val="26"/>
        </w:rPr>
      </w:pPr>
      <w:r>
        <w:rPr>
          <w:rFonts w:hint="eastAsia"/>
          <w:snapToGrid/>
          <w:szCs w:val="26"/>
        </w:rPr>
        <w:tab/>
      </w:r>
      <w:r>
        <w:rPr>
          <w:snapToGrid/>
          <w:szCs w:val="26"/>
        </w:rPr>
        <w:t xml:space="preserve">342.  </w:t>
      </w:r>
      <w:r>
        <w:rPr>
          <w:rFonts w:hint="eastAsia"/>
          <w:snapToGrid/>
          <w:szCs w:val="26"/>
        </w:rPr>
        <w:t>根据《国家社会抚养扶助法》</w:t>
      </w:r>
      <w:r>
        <w:rPr>
          <w:rStyle w:val="EndnoteReference"/>
          <w:snapToGrid/>
        </w:rPr>
        <w:endnoteReference w:id="203"/>
      </w:r>
      <w:r>
        <w:rPr>
          <w:rFonts w:hint="eastAsia"/>
          <w:snapToGrid/>
          <w:szCs w:val="26"/>
        </w:rPr>
        <w:t xml:space="preserve">  </w:t>
      </w:r>
      <w:r>
        <w:rPr>
          <w:snapToGrid/>
          <w:szCs w:val="26"/>
        </w:rPr>
        <w:t>(</w:t>
      </w:r>
      <w:r>
        <w:rPr>
          <w:rFonts w:hint="eastAsia"/>
          <w:snapToGrid/>
          <w:szCs w:val="26"/>
        </w:rPr>
        <w:t>第</w:t>
      </w:r>
      <w:r>
        <w:rPr>
          <w:snapToGrid/>
          <w:szCs w:val="26"/>
        </w:rPr>
        <w:t>2</w:t>
      </w:r>
      <w:r>
        <w:rPr>
          <w:rFonts w:hint="eastAsia"/>
          <w:snapToGrid/>
          <w:szCs w:val="26"/>
        </w:rPr>
        <w:t>条</w:t>
      </w:r>
      <w:r>
        <w:rPr>
          <w:rFonts w:hint="eastAsia"/>
          <w:snapToGrid/>
          <w:szCs w:val="26"/>
        </w:rPr>
        <w:t>)</w:t>
      </w:r>
      <w:r>
        <w:rPr>
          <w:snapToGrid/>
          <w:szCs w:val="26"/>
        </w:rPr>
        <w:t>，</w:t>
      </w:r>
      <w:r>
        <w:rPr>
          <w:rFonts w:hint="eastAsia"/>
          <w:snapToGrid/>
          <w:szCs w:val="26"/>
        </w:rPr>
        <w:t>提供以下国家福利津贴</w:t>
      </w:r>
      <w:r>
        <w:rPr>
          <w:snapToGrid/>
          <w:szCs w:val="26"/>
        </w:rPr>
        <w:t>：</w:t>
      </w:r>
    </w:p>
    <w:p w:rsidR="00000000" w:rsidRDefault="00000000">
      <w:pPr>
        <w:numPr>
          <w:ilvl w:val="0"/>
          <w:numId w:val="159"/>
        </w:numPr>
        <w:rPr>
          <w:rFonts w:hint="eastAsia"/>
          <w:snapToGrid/>
          <w:szCs w:val="26"/>
        </w:rPr>
      </w:pPr>
      <w:r>
        <w:rPr>
          <w:rFonts w:hint="eastAsia"/>
          <w:snapToGrid/>
          <w:szCs w:val="26"/>
        </w:rPr>
        <w:t>依照收入水平提供的津贴</w:t>
      </w:r>
      <w:r>
        <w:rPr>
          <w:snapToGrid/>
          <w:szCs w:val="26"/>
        </w:rPr>
        <w:t>：</w:t>
      </w:r>
      <w:r>
        <w:rPr>
          <w:rFonts w:hint="eastAsia"/>
          <w:snapToGrid/>
          <w:szCs w:val="26"/>
        </w:rPr>
        <w:t>儿童津贴、社会补充津贴、住房补贴、交通补贴；</w:t>
      </w:r>
    </w:p>
    <w:p w:rsidR="00000000" w:rsidRDefault="00000000">
      <w:pPr>
        <w:numPr>
          <w:ilvl w:val="0"/>
          <w:numId w:val="159"/>
        </w:numPr>
        <w:rPr>
          <w:snapToGrid/>
          <w:szCs w:val="26"/>
        </w:rPr>
      </w:pPr>
      <w:r>
        <w:rPr>
          <w:rFonts w:hint="eastAsia"/>
          <w:snapToGrid/>
          <w:szCs w:val="26"/>
        </w:rPr>
        <w:t>其他津贴</w:t>
      </w:r>
      <w:r>
        <w:rPr>
          <w:snapToGrid/>
          <w:szCs w:val="26"/>
        </w:rPr>
        <w:t>：</w:t>
      </w:r>
      <w:r>
        <w:rPr>
          <w:rFonts w:hint="eastAsia"/>
          <w:snapToGrid/>
          <w:szCs w:val="26"/>
        </w:rPr>
        <w:t>父母津贴、监护人津贴、领养津贴</w:t>
      </w:r>
      <w:r>
        <w:rPr>
          <w:snapToGrid/>
          <w:szCs w:val="26"/>
        </w:rPr>
        <w:t>(</w:t>
      </w:r>
      <w:r>
        <w:rPr>
          <w:rFonts w:hint="eastAsia"/>
          <w:snapToGrid/>
          <w:szCs w:val="26"/>
        </w:rPr>
        <w:t>满足领养儿童需求的费用、领养父母补贴、接受领养儿童的补助金和购买一辆机动车的补贴</w:t>
      </w:r>
      <w:r>
        <w:rPr>
          <w:rFonts w:hint="eastAsia"/>
          <w:snapToGrid/>
          <w:szCs w:val="26"/>
        </w:rPr>
        <w:t>)</w:t>
      </w:r>
      <w:r>
        <w:rPr>
          <w:rFonts w:hint="eastAsia"/>
          <w:snapToGrid/>
          <w:szCs w:val="26"/>
        </w:rPr>
        <w:t>、生育津贴和丧葬费。</w:t>
      </w:r>
    </w:p>
    <w:p w:rsidR="00000000" w:rsidRDefault="00000000">
      <w:pPr>
        <w:rPr>
          <w:snapToGrid/>
          <w:szCs w:val="26"/>
        </w:rPr>
      </w:pPr>
      <w:r>
        <w:rPr>
          <w:rFonts w:hint="eastAsia"/>
          <w:snapToGrid/>
          <w:szCs w:val="26"/>
        </w:rPr>
        <w:tab/>
      </w:r>
      <w:r>
        <w:rPr>
          <w:snapToGrid/>
          <w:szCs w:val="26"/>
        </w:rPr>
        <w:t xml:space="preserve">343.  </w:t>
      </w:r>
      <w:r>
        <w:rPr>
          <w:rFonts w:hint="eastAsia"/>
          <w:snapToGrid/>
          <w:szCs w:val="26"/>
        </w:rPr>
        <w:t>除了依《国家社会抚养扶助法》发放的津贴外</w:t>
      </w:r>
      <w:r>
        <w:rPr>
          <w:snapToGrid/>
          <w:szCs w:val="26"/>
        </w:rPr>
        <w:t>，</w:t>
      </w:r>
      <w:r>
        <w:rPr>
          <w:rFonts w:hint="eastAsia"/>
          <w:snapToGrid/>
          <w:szCs w:val="26"/>
        </w:rPr>
        <w:t>从</w:t>
      </w:r>
      <w:r>
        <w:rPr>
          <w:snapToGrid/>
          <w:szCs w:val="26"/>
        </w:rPr>
        <w:t>1997</w:t>
      </w:r>
      <w:r>
        <w:rPr>
          <w:rFonts w:hint="eastAsia"/>
          <w:snapToGrid/>
          <w:szCs w:val="26"/>
        </w:rPr>
        <w:t>年</w:t>
      </w:r>
      <w:r>
        <w:rPr>
          <w:snapToGrid/>
          <w:szCs w:val="26"/>
        </w:rPr>
        <w:t>7</w:t>
      </w:r>
      <w:r>
        <w:rPr>
          <w:rFonts w:hint="eastAsia"/>
          <w:snapToGrid/>
          <w:szCs w:val="26"/>
        </w:rPr>
        <w:t>月</w:t>
      </w:r>
      <w:r>
        <w:rPr>
          <w:snapToGrid/>
          <w:szCs w:val="26"/>
        </w:rPr>
        <w:t>1</w:t>
      </w:r>
      <w:r>
        <w:rPr>
          <w:rFonts w:hint="eastAsia"/>
          <w:snapToGrid/>
          <w:szCs w:val="26"/>
        </w:rPr>
        <w:t>日起</w:t>
      </w:r>
      <w:r>
        <w:rPr>
          <w:snapToGrid/>
          <w:szCs w:val="26"/>
        </w:rPr>
        <w:t>，</w:t>
      </w:r>
      <w:r>
        <w:rPr>
          <w:rFonts w:hint="eastAsia"/>
          <w:snapToGrid/>
          <w:szCs w:val="26"/>
        </w:rPr>
        <w:t>还根据收入水平在一定期限内发放另外两种福利津贴</w:t>
      </w:r>
      <w:r>
        <w:rPr>
          <w:snapToGrid/>
          <w:szCs w:val="26"/>
        </w:rPr>
        <w:t>；</w:t>
      </w:r>
      <w:r>
        <w:rPr>
          <w:rFonts w:hint="eastAsia"/>
          <w:snapToGrid/>
          <w:szCs w:val="26"/>
        </w:rPr>
        <w:t>采暖价格提高的补贴</w:t>
      </w:r>
      <w:r>
        <w:rPr>
          <w:snapToGrid/>
          <w:szCs w:val="26"/>
        </w:rPr>
        <w:t>(</w:t>
      </w:r>
      <w:r>
        <w:rPr>
          <w:rFonts w:hint="eastAsia"/>
          <w:snapToGrid/>
          <w:szCs w:val="26"/>
        </w:rPr>
        <w:t>最迟至</w:t>
      </w:r>
      <w:r>
        <w:rPr>
          <w:snapToGrid/>
          <w:szCs w:val="26"/>
        </w:rPr>
        <w:t>2000</w:t>
      </w:r>
      <w:r>
        <w:rPr>
          <w:rFonts w:hint="eastAsia"/>
          <w:snapToGrid/>
          <w:szCs w:val="26"/>
        </w:rPr>
        <w:t>年</w:t>
      </w:r>
      <w:r>
        <w:rPr>
          <w:snapToGrid/>
          <w:szCs w:val="26"/>
        </w:rPr>
        <w:t>7</w:t>
      </w:r>
      <w:r>
        <w:rPr>
          <w:rFonts w:hint="eastAsia"/>
          <w:snapToGrid/>
          <w:szCs w:val="26"/>
        </w:rPr>
        <w:t>月</w:t>
      </w:r>
      <w:r>
        <w:rPr>
          <w:snapToGrid/>
          <w:szCs w:val="26"/>
        </w:rPr>
        <w:t>30</w:t>
      </w:r>
      <w:r>
        <w:rPr>
          <w:rFonts w:hint="eastAsia"/>
          <w:snapToGrid/>
          <w:szCs w:val="26"/>
        </w:rPr>
        <w:t>日</w:t>
      </w:r>
      <w:r>
        <w:rPr>
          <w:rFonts w:hint="eastAsia"/>
          <w:snapToGrid/>
          <w:szCs w:val="26"/>
        </w:rPr>
        <w:t>)</w:t>
      </w:r>
      <w:r>
        <w:rPr>
          <w:snapToGrid/>
          <w:szCs w:val="26"/>
        </w:rPr>
        <w:t>；</w:t>
      </w:r>
      <w:r>
        <w:rPr>
          <w:rFonts w:hint="eastAsia"/>
          <w:snapToGrid/>
          <w:szCs w:val="26"/>
        </w:rPr>
        <w:t>房租增加的补贴</w:t>
      </w:r>
      <w:r>
        <w:rPr>
          <w:snapToGrid/>
          <w:szCs w:val="26"/>
        </w:rPr>
        <w:t>(</w:t>
      </w:r>
      <w:r>
        <w:rPr>
          <w:rFonts w:hint="eastAsia"/>
          <w:snapToGrid/>
          <w:szCs w:val="26"/>
        </w:rPr>
        <w:t>最迟至</w:t>
      </w:r>
      <w:r>
        <w:rPr>
          <w:snapToGrid/>
          <w:szCs w:val="26"/>
        </w:rPr>
        <w:t>2000</w:t>
      </w:r>
      <w:r>
        <w:rPr>
          <w:rFonts w:hint="eastAsia"/>
          <w:snapToGrid/>
          <w:szCs w:val="26"/>
        </w:rPr>
        <w:t>年</w:t>
      </w:r>
      <w:r>
        <w:rPr>
          <w:snapToGrid/>
          <w:szCs w:val="26"/>
        </w:rPr>
        <w:t>12</w:t>
      </w:r>
      <w:r>
        <w:rPr>
          <w:rFonts w:hint="eastAsia"/>
          <w:snapToGrid/>
          <w:szCs w:val="26"/>
        </w:rPr>
        <w:t>月</w:t>
      </w:r>
      <w:r>
        <w:rPr>
          <w:snapToGrid/>
          <w:szCs w:val="26"/>
        </w:rPr>
        <w:t>31</w:t>
      </w:r>
      <w:r>
        <w:rPr>
          <w:rFonts w:hint="eastAsia"/>
          <w:snapToGrid/>
          <w:szCs w:val="26"/>
        </w:rPr>
        <w:t>日</w:t>
      </w:r>
      <w:r>
        <w:rPr>
          <w:rFonts w:hint="eastAsia"/>
          <w:snapToGrid/>
          <w:szCs w:val="26"/>
        </w:rPr>
        <w:t>)</w:t>
      </w:r>
      <w:r>
        <w:rPr>
          <w:rFonts w:hint="eastAsia"/>
          <w:snapToGrid/>
          <w:szCs w:val="26"/>
        </w:rPr>
        <w:t>。这些补贴的详情见本报告的其他部分。</w:t>
      </w:r>
    </w:p>
    <w:p w:rsidR="00000000" w:rsidRDefault="00000000">
      <w:pPr>
        <w:widowControl w:val="0"/>
        <w:rPr>
          <w:snapToGrid/>
          <w:szCs w:val="26"/>
        </w:rPr>
      </w:pPr>
      <w:r>
        <w:rPr>
          <w:rFonts w:hint="eastAsia"/>
          <w:snapToGrid/>
          <w:szCs w:val="26"/>
        </w:rPr>
        <w:tab/>
      </w:r>
      <w:r>
        <w:rPr>
          <w:snapToGrid/>
          <w:szCs w:val="26"/>
        </w:rPr>
        <w:t xml:space="preserve">344.  </w:t>
      </w:r>
      <w:r>
        <w:rPr>
          <w:rFonts w:hint="eastAsia"/>
          <w:snapToGrid/>
          <w:szCs w:val="26"/>
        </w:rPr>
        <w:t>《国家社会抚养扶助法》第</w:t>
      </w:r>
      <w:r>
        <w:rPr>
          <w:snapToGrid/>
          <w:szCs w:val="26"/>
        </w:rPr>
        <w:t>3</w:t>
      </w:r>
      <w:r>
        <w:rPr>
          <w:rFonts w:hint="eastAsia"/>
          <w:snapToGrid/>
          <w:szCs w:val="26"/>
        </w:rPr>
        <w:t>条第</w:t>
      </w:r>
      <w:r>
        <w:rPr>
          <w:snapToGrid/>
          <w:szCs w:val="26"/>
        </w:rPr>
        <w:t>1</w:t>
      </w:r>
      <w:r>
        <w:rPr>
          <w:rFonts w:hint="eastAsia"/>
          <w:snapToGrid/>
          <w:szCs w:val="26"/>
        </w:rPr>
        <w:t>款</w:t>
      </w:r>
      <w:r>
        <w:rPr>
          <w:snapToGrid/>
          <w:szCs w:val="26"/>
        </w:rPr>
        <w:t>(</w:t>
      </w:r>
      <w:r>
        <w:rPr>
          <w:rFonts w:hint="eastAsia"/>
          <w:snapToGrid/>
          <w:szCs w:val="26"/>
        </w:rPr>
        <w:t>享受人范围</w:t>
      </w:r>
      <w:r>
        <w:rPr>
          <w:rFonts w:hint="eastAsia"/>
          <w:snapToGrid/>
          <w:szCs w:val="26"/>
        </w:rPr>
        <w:t>)</w:t>
      </w:r>
      <w:r>
        <w:rPr>
          <w:rFonts w:hint="eastAsia"/>
          <w:snapToGrid/>
          <w:szCs w:val="26"/>
        </w:rPr>
        <w:t>规定：“根据特别条例</w:t>
      </w:r>
      <w:r>
        <w:rPr>
          <w:snapToGrid/>
          <w:szCs w:val="26"/>
        </w:rPr>
        <w:t>，</w:t>
      </w:r>
      <w:r>
        <w:rPr>
          <w:rStyle w:val="EndnoteReference"/>
          <w:snapToGrid/>
        </w:rPr>
        <w:endnoteReference w:id="204"/>
      </w:r>
      <w:r>
        <w:rPr>
          <w:rFonts w:hint="eastAsia"/>
          <w:snapToGrid/>
          <w:szCs w:val="26"/>
        </w:rPr>
        <w:t xml:space="preserve">  </w:t>
      </w:r>
      <w:r>
        <w:rPr>
          <w:rFonts w:hint="eastAsia"/>
          <w:snapToGrid/>
          <w:szCs w:val="26"/>
        </w:rPr>
        <w:t>只有自然人在符合以下条件时</w:t>
      </w:r>
      <w:r>
        <w:rPr>
          <w:snapToGrid/>
          <w:szCs w:val="26"/>
        </w:rPr>
        <w:t>，</w:t>
      </w:r>
      <w:r>
        <w:rPr>
          <w:rFonts w:hint="eastAsia"/>
          <w:snapToGrid/>
          <w:szCs w:val="26"/>
        </w:rPr>
        <w:t>可以领取国家福利扶助津贴</w:t>
      </w:r>
      <w:r>
        <w:rPr>
          <w:snapToGrid/>
          <w:szCs w:val="26"/>
        </w:rPr>
        <w:t>：</w:t>
      </w:r>
      <w:r>
        <w:rPr>
          <w:rFonts w:hint="eastAsia"/>
          <w:snapToGrid/>
          <w:szCs w:val="26"/>
        </w:rPr>
        <w:t>该人以及与其一起接受评定的人经登记后常住捷克共利国。”</w:t>
      </w:r>
      <w:r>
        <w:rPr>
          <w:rStyle w:val="EndnoteReference"/>
          <w:snapToGrid/>
        </w:rPr>
        <w:endnoteReference w:id="205"/>
      </w:r>
      <w:r>
        <w:rPr>
          <w:rFonts w:hint="eastAsia"/>
          <w:snapToGrid/>
          <w:szCs w:val="26"/>
          <w:vertAlign w:val="superscript"/>
        </w:rPr>
        <w:t xml:space="preserve"> </w:t>
      </w:r>
      <w:r>
        <w:rPr>
          <w:rFonts w:hint="eastAsia"/>
          <w:snapToGrid/>
          <w:szCs w:val="26"/>
        </w:rPr>
        <w:t>然而，对于托付捷克共和国替代父母或机构照顾的未成年儿童</w:t>
      </w:r>
      <w:r>
        <w:rPr>
          <w:snapToGrid/>
          <w:szCs w:val="26"/>
        </w:rPr>
        <w:t>，</w:t>
      </w:r>
      <w:r>
        <w:rPr>
          <w:rFonts w:hint="eastAsia"/>
          <w:snapToGrid/>
          <w:szCs w:val="26"/>
        </w:rPr>
        <w:t>该法律第</w:t>
      </w:r>
      <w:r>
        <w:rPr>
          <w:snapToGrid/>
          <w:szCs w:val="26"/>
        </w:rPr>
        <w:t>2</w:t>
      </w:r>
      <w:r>
        <w:rPr>
          <w:rFonts w:hint="eastAsia"/>
          <w:snapToGrid/>
          <w:szCs w:val="26"/>
        </w:rPr>
        <w:t>条规定其享受此种津贴无须具备常住或长期居住的登记条件。根据该法律第</w:t>
      </w:r>
      <w:r>
        <w:rPr>
          <w:snapToGrid/>
          <w:szCs w:val="26"/>
        </w:rPr>
        <w:t>3</w:t>
      </w:r>
      <w:r>
        <w:rPr>
          <w:rFonts w:hint="eastAsia"/>
          <w:snapToGrid/>
          <w:szCs w:val="26"/>
        </w:rPr>
        <w:t>条第</w:t>
      </w:r>
      <w:r>
        <w:rPr>
          <w:snapToGrid/>
          <w:szCs w:val="26"/>
        </w:rPr>
        <w:t>3</w:t>
      </w:r>
      <w:r>
        <w:rPr>
          <w:rFonts w:hint="eastAsia"/>
          <w:snapToGrid/>
          <w:szCs w:val="26"/>
        </w:rPr>
        <w:t>款</w:t>
      </w:r>
      <w:r>
        <w:rPr>
          <w:snapToGrid/>
          <w:szCs w:val="26"/>
        </w:rPr>
        <w:t>，</w:t>
      </w:r>
      <w:r>
        <w:rPr>
          <w:rFonts w:hint="eastAsia"/>
          <w:snapToGrid/>
          <w:szCs w:val="26"/>
        </w:rPr>
        <w:t>自</w:t>
      </w:r>
      <w:r>
        <w:rPr>
          <w:snapToGrid/>
          <w:szCs w:val="26"/>
        </w:rPr>
        <w:t>1998</w:t>
      </w:r>
      <w:r>
        <w:rPr>
          <w:rFonts w:hint="eastAsia"/>
          <w:snapToGrid/>
          <w:szCs w:val="26"/>
        </w:rPr>
        <w:t>年起</w:t>
      </w:r>
      <w:r>
        <w:rPr>
          <w:snapToGrid/>
          <w:szCs w:val="26"/>
        </w:rPr>
        <w:t>，</w:t>
      </w:r>
      <w:r>
        <w:rPr>
          <w:rStyle w:val="EndnoteReference"/>
          <w:snapToGrid/>
        </w:rPr>
        <w:endnoteReference w:id="206"/>
      </w:r>
      <w:r>
        <w:rPr>
          <w:rFonts w:hint="eastAsia"/>
          <w:snapToGrid/>
          <w:szCs w:val="26"/>
        </w:rPr>
        <w:t xml:space="preserve"> </w:t>
      </w:r>
      <w:r>
        <w:rPr>
          <w:rFonts w:hint="eastAsia"/>
          <w:snapToGrid/>
          <w:szCs w:val="26"/>
        </w:rPr>
        <w:t>有正当理由时，“如果个人生存或其子女的生存受到危及时，对其居住地拥有管辖权的区办事处可以对申请捷克共和国常住权的人豁免常住条件要求。”此外</w:t>
      </w:r>
      <w:r>
        <w:rPr>
          <w:snapToGrid/>
          <w:szCs w:val="26"/>
        </w:rPr>
        <w:t>，</w:t>
      </w:r>
      <w:r>
        <w:rPr>
          <w:rFonts w:hint="eastAsia"/>
          <w:snapToGrid/>
          <w:szCs w:val="26"/>
        </w:rPr>
        <w:t>该法令第</w:t>
      </w:r>
      <w:r>
        <w:rPr>
          <w:snapToGrid/>
          <w:szCs w:val="26"/>
        </w:rPr>
        <w:t>74</w:t>
      </w:r>
      <w:r>
        <w:rPr>
          <w:rFonts w:hint="eastAsia"/>
          <w:snapToGrid/>
          <w:szCs w:val="26"/>
        </w:rPr>
        <w:t>条第</w:t>
      </w:r>
      <w:r>
        <w:rPr>
          <w:snapToGrid/>
          <w:szCs w:val="26"/>
        </w:rPr>
        <w:t>5</w:t>
      </w:r>
      <w:r>
        <w:rPr>
          <w:rFonts w:hint="eastAsia"/>
          <w:snapToGrid/>
          <w:szCs w:val="26"/>
        </w:rPr>
        <w:t>款还规定</w:t>
      </w:r>
      <w:r>
        <w:rPr>
          <w:snapToGrid/>
          <w:szCs w:val="26"/>
        </w:rPr>
        <w:t>，</w:t>
      </w:r>
      <w:r>
        <w:rPr>
          <w:rStyle w:val="EndnoteReference"/>
          <w:snapToGrid/>
        </w:rPr>
        <w:endnoteReference w:id="207"/>
      </w:r>
      <w:r>
        <w:rPr>
          <w:rFonts w:hint="eastAsia"/>
          <w:snapToGrid/>
          <w:szCs w:val="26"/>
        </w:rPr>
        <w:t xml:space="preserve"> </w:t>
      </w:r>
      <w:r>
        <w:rPr>
          <w:rFonts w:hint="eastAsia"/>
          <w:snapToGrid/>
          <w:szCs w:val="26"/>
        </w:rPr>
        <w:t>“劳动和社会事务部可以在合理的情况下豁免常住条件要求。”豁免条款适用于所有与其一起接受评定者。</w:t>
      </w:r>
    </w:p>
    <w:p w:rsidR="00000000" w:rsidRDefault="00000000">
      <w:pPr>
        <w:rPr>
          <w:snapToGrid/>
          <w:szCs w:val="26"/>
        </w:rPr>
      </w:pPr>
      <w:r>
        <w:rPr>
          <w:rFonts w:hint="eastAsia"/>
          <w:snapToGrid/>
          <w:szCs w:val="26"/>
        </w:rPr>
        <w:tab/>
      </w:r>
      <w:r>
        <w:rPr>
          <w:snapToGrid/>
          <w:szCs w:val="26"/>
        </w:rPr>
        <w:t xml:space="preserve">345.  </w:t>
      </w:r>
      <w:r>
        <w:rPr>
          <w:rFonts w:hint="eastAsia"/>
          <w:snapToGrid/>
          <w:szCs w:val="26"/>
        </w:rPr>
        <w:t>然而</w:t>
      </w:r>
      <w:r>
        <w:rPr>
          <w:snapToGrid/>
          <w:szCs w:val="26"/>
        </w:rPr>
        <w:t>，</w:t>
      </w:r>
      <w:r>
        <w:rPr>
          <w:rFonts w:hint="eastAsia"/>
          <w:snapToGrid/>
          <w:szCs w:val="26"/>
        </w:rPr>
        <w:t>由于上述法令第</w:t>
      </w:r>
      <w:r>
        <w:rPr>
          <w:snapToGrid/>
          <w:szCs w:val="26"/>
        </w:rPr>
        <w:t>3</w:t>
      </w:r>
      <w:r>
        <w:rPr>
          <w:rFonts w:hint="eastAsia"/>
          <w:snapToGrid/>
          <w:szCs w:val="26"/>
        </w:rPr>
        <w:t>条第</w:t>
      </w:r>
      <w:r>
        <w:rPr>
          <w:snapToGrid/>
          <w:szCs w:val="26"/>
        </w:rPr>
        <w:t>1</w:t>
      </w:r>
      <w:r>
        <w:rPr>
          <w:rFonts w:hint="eastAsia"/>
          <w:snapToGrid/>
          <w:szCs w:val="26"/>
        </w:rPr>
        <w:t>款的措辞</w:t>
      </w:r>
      <w:r>
        <w:rPr>
          <w:snapToGrid/>
          <w:szCs w:val="26"/>
        </w:rPr>
        <w:t>，</w:t>
      </w:r>
      <w:r>
        <w:rPr>
          <w:rFonts w:hint="eastAsia"/>
          <w:snapToGrid/>
          <w:szCs w:val="26"/>
        </w:rPr>
        <w:t>在所报告期间</w:t>
      </w:r>
      <w:r>
        <w:rPr>
          <w:snapToGrid/>
          <w:szCs w:val="26"/>
        </w:rPr>
        <w:t>(</w:t>
      </w:r>
      <w:r>
        <w:rPr>
          <w:rFonts w:hint="eastAsia"/>
          <w:snapToGrid/>
          <w:szCs w:val="26"/>
        </w:rPr>
        <w:t>特别是该法律</w:t>
      </w:r>
      <w:r>
        <w:rPr>
          <w:snapToGrid/>
          <w:szCs w:val="26"/>
        </w:rPr>
        <w:t>1996</w:t>
      </w:r>
      <w:r>
        <w:rPr>
          <w:rFonts w:hint="eastAsia"/>
          <w:snapToGrid/>
          <w:szCs w:val="26"/>
        </w:rPr>
        <w:t>年和</w:t>
      </w:r>
      <w:r>
        <w:rPr>
          <w:snapToGrid/>
          <w:szCs w:val="26"/>
        </w:rPr>
        <w:t>1998</w:t>
      </w:r>
      <w:r>
        <w:rPr>
          <w:rFonts w:hint="eastAsia"/>
          <w:snapToGrid/>
          <w:szCs w:val="26"/>
        </w:rPr>
        <w:t>年修正以前</w:t>
      </w:r>
      <w:r>
        <w:rPr>
          <w:snapToGrid/>
          <w:szCs w:val="26"/>
        </w:rPr>
        <w:t>)</w:t>
      </w:r>
      <w:r>
        <w:rPr>
          <w:snapToGrid/>
          <w:szCs w:val="26"/>
        </w:rPr>
        <w:t>，</w:t>
      </w:r>
      <w:r>
        <w:rPr>
          <w:rFonts w:hint="eastAsia"/>
          <w:snapToGrid/>
          <w:szCs w:val="26"/>
        </w:rPr>
        <w:t>有时享受此项权利的人根据特别条例符合登记永久居住的条件</w:t>
      </w:r>
      <w:r>
        <w:rPr>
          <w:snapToGrid/>
          <w:szCs w:val="26"/>
        </w:rPr>
        <w:t>，</w:t>
      </w:r>
      <w:r>
        <w:rPr>
          <w:rFonts w:hint="eastAsia"/>
          <w:snapToGrid/>
          <w:szCs w:val="26"/>
        </w:rPr>
        <w:t>但与其一起接受评定的人则不符合这一条件。许多申请国家福利津贴者遭到拒绝，却不知道按上述程序这一条件可以豁免。鉴此，劳动和社会事务部在准备《国家社会抚养扶助法》修正大纲。享受津贴的条件将不再是常住</w:t>
      </w:r>
      <w:r>
        <w:rPr>
          <w:snapToGrid/>
          <w:szCs w:val="26"/>
        </w:rPr>
        <w:t>，</w:t>
      </w:r>
      <w:r>
        <w:rPr>
          <w:rFonts w:hint="eastAsia"/>
          <w:snapToGrid/>
          <w:szCs w:val="26"/>
        </w:rPr>
        <w:t>而是所有共同接受评定者拥有永久居所。这一修正预期于</w:t>
      </w:r>
      <w:r>
        <w:rPr>
          <w:snapToGrid/>
          <w:szCs w:val="26"/>
        </w:rPr>
        <w:t>2002</w:t>
      </w:r>
      <w:r>
        <w:rPr>
          <w:rFonts w:hint="eastAsia"/>
          <w:snapToGrid/>
          <w:szCs w:val="26"/>
        </w:rPr>
        <w:t>年生效。</w:t>
      </w:r>
      <w:r>
        <w:rPr>
          <w:rStyle w:val="EndnoteReference"/>
          <w:snapToGrid/>
        </w:rPr>
        <w:endnoteReference w:id="208"/>
      </w:r>
    </w:p>
    <w:p w:rsidR="00000000" w:rsidRDefault="00000000">
      <w:pPr>
        <w:spacing w:after="160"/>
        <w:rPr>
          <w:snapToGrid/>
          <w:spacing w:val="8"/>
          <w:szCs w:val="26"/>
        </w:rPr>
      </w:pPr>
      <w:r>
        <w:rPr>
          <w:rFonts w:hint="eastAsia"/>
          <w:snapToGrid/>
          <w:szCs w:val="26"/>
        </w:rPr>
        <w:tab/>
      </w:r>
      <w:r>
        <w:rPr>
          <w:snapToGrid/>
          <w:szCs w:val="26"/>
        </w:rPr>
        <w:t xml:space="preserve">346. </w:t>
      </w:r>
      <w:r>
        <w:rPr>
          <w:snapToGrid/>
          <w:spacing w:val="8"/>
          <w:szCs w:val="26"/>
        </w:rPr>
        <w:t xml:space="preserve"> </w:t>
      </w:r>
      <w:r>
        <w:rPr>
          <w:rFonts w:hint="eastAsia"/>
          <w:snapToGrid/>
          <w:spacing w:val="8"/>
          <w:szCs w:val="26"/>
        </w:rPr>
        <w:t>国家福利津贴的享受及其数额是根据《最低生活水准法》</w:t>
      </w:r>
      <w:r>
        <w:rPr>
          <w:rStyle w:val="EndnoteReference"/>
          <w:snapToGrid/>
        </w:rPr>
        <w:endnoteReference w:id="209"/>
      </w:r>
      <w:r>
        <w:rPr>
          <w:rFonts w:hint="eastAsia"/>
          <w:snapToGrid/>
          <w:spacing w:val="8"/>
          <w:szCs w:val="26"/>
        </w:rPr>
        <w:t xml:space="preserve">  </w:t>
      </w:r>
      <w:r>
        <w:rPr>
          <w:rFonts w:hint="eastAsia"/>
          <w:snapToGrid/>
          <w:spacing w:val="8"/>
          <w:szCs w:val="26"/>
        </w:rPr>
        <w:t>第</w:t>
      </w:r>
      <w:r>
        <w:rPr>
          <w:snapToGrid/>
          <w:spacing w:val="8"/>
          <w:szCs w:val="26"/>
        </w:rPr>
        <w:t>3</w:t>
      </w:r>
      <w:r>
        <w:rPr>
          <w:rFonts w:hint="eastAsia"/>
          <w:snapToGrid/>
          <w:spacing w:val="8"/>
          <w:szCs w:val="26"/>
        </w:rPr>
        <w:t>条所确定的所谓最低生活水平来计算的。关于最低生活水平，详见以下社会抚养一节。</w:t>
      </w:r>
    </w:p>
    <w:p w:rsidR="00000000" w:rsidRDefault="00000000">
      <w:pPr>
        <w:pStyle w:val="Heading3"/>
        <w:spacing w:after="160"/>
      </w:pPr>
      <w:r>
        <w:rPr>
          <w:rFonts w:hint="eastAsia"/>
        </w:rPr>
        <w:t>国家社会扶助津贴</w:t>
      </w:r>
      <w:r>
        <w:t>(</w:t>
      </w:r>
      <w:r>
        <w:rPr>
          <w:rFonts w:hint="eastAsia"/>
        </w:rPr>
        <w:t>百万捷克克朗</w:t>
      </w:r>
      <w:r>
        <w:t>)</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840"/>
        <w:gridCol w:w="1290"/>
        <w:gridCol w:w="1290"/>
        <w:gridCol w:w="1290"/>
        <w:gridCol w:w="1290"/>
      </w:tblGrid>
      <w:tr w:rsidR="00000000">
        <w:tblPrEx>
          <w:tblCellMar>
            <w:top w:w="0" w:type="dxa"/>
            <w:bottom w:w="0" w:type="dxa"/>
          </w:tblCellMar>
        </w:tblPrEx>
        <w:tc>
          <w:tcPr>
            <w:tcW w:w="384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1995</w:t>
            </w:r>
            <w:r>
              <w:rPr>
                <w:rStyle w:val="FootnoteReference"/>
              </w:rPr>
              <w:t>a</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1996</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1997</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pPr>
            <w:r>
              <w:t>1998</w:t>
            </w:r>
          </w:p>
        </w:tc>
      </w:tr>
      <w:tr w:rsidR="00000000">
        <w:tblPrEx>
          <w:tblCellMar>
            <w:top w:w="0" w:type="dxa"/>
            <w:bottom w:w="0" w:type="dxa"/>
          </w:tblCellMar>
        </w:tblPrEx>
        <w:tc>
          <w:tcPr>
            <w:tcW w:w="3840"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总数</w:t>
            </w:r>
          </w:p>
        </w:tc>
        <w:tc>
          <w:tcPr>
            <w:tcW w:w="1290" w:type="dxa"/>
            <w:tcBorders>
              <w:top w:val="single" w:sz="4" w:space="0" w:color="auto"/>
              <w:left w:val="single" w:sz="4" w:space="0" w:color="auto"/>
              <w:bottom w:val="nil"/>
              <w:right w:val="single" w:sz="4" w:space="0" w:color="auto"/>
            </w:tcBorders>
          </w:tcPr>
          <w:p w:rsidR="00000000" w:rsidRDefault="00000000">
            <w:pPr>
              <w:pStyle w:val="aa"/>
              <w:ind w:right="309"/>
              <w:jc w:val="right"/>
            </w:pPr>
            <w:r>
              <w:t>1 195</w:t>
            </w:r>
          </w:p>
        </w:tc>
        <w:tc>
          <w:tcPr>
            <w:tcW w:w="1290" w:type="dxa"/>
            <w:tcBorders>
              <w:top w:val="single" w:sz="4" w:space="0" w:color="auto"/>
              <w:left w:val="single" w:sz="4" w:space="0" w:color="auto"/>
              <w:bottom w:val="nil"/>
              <w:right w:val="single" w:sz="4" w:space="0" w:color="auto"/>
            </w:tcBorders>
          </w:tcPr>
          <w:p w:rsidR="00000000" w:rsidRDefault="00000000">
            <w:pPr>
              <w:pStyle w:val="aa"/>
              <w:ind w:right="299"/>
              <w:jc w:val="right"/>
            </w:pPr>
            <w:r>
              <w:t>26 692</w:t>
            </w:r>
          </w:p>
        </w:tc>
        <w:tc>
          <w:tcPr>
            <w:tcW w:w="1290" w:type="dxa"/>
            <w:tcBorders>
              <w:top w:val="single" w:sz="4" w:space="0" w:color="auto"/>
              <w:left w:val="single" w:sz="4" w:space="0" w:color="auto"/>
              <w:bottom w:val="nil"/>
              <w:right w:val="single" w:sz="4" w:space="0" w:color="auto"/>
            </w:tcBorders>
          </w:tcPr>
          <w:p w:rsidR="00000000" w:rsidRDefault="00000000">
            <w:pPr>
              <w:pStyle w:val="aa"/>
              <w:ind w:right="289"/>
              <w:jc w:val="right"/>
            </w:pPr>
            <w:r>
              <w:t>29 237</w:t>
            </w:r>
          </w:p>
        </w:tc>
        <w:tc>
          <w:tcPr>
            <w:tcW w:w="1290" w:type="dxa"/>
            <w:tcBorders>
              <w:top w:val="single" w:sz="4" w:space="0" w:color="auto"/>
              <w:left w:val="single" w:sz="4" w:space="0" w:color="auto"/>
              <w:bottom w:val="nil"/>
              <w:right w:val="single" w:sz="4" w:space="0" w:color="auto"/>
            </w:tcBorders>
          </w:tcPr>
          <w:p w:rsidR="00000000" w:rsidRDefault="00000000">
            <w:pPr>
              <w:pStyle w:val="aa"/>
              <w:ind w:right="113"/>
              <w:jc w:val="right"/>
            </w:pPr>
            <w:r>
              <w:t>29 637</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其中：生育津贴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75</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483</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525</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563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pPr>
            <w:r>
              <w:rPr>
                <w:rFonts w:hint="eastAsia"/>
                <w:szCs w:val="26"/>
              </w:rPr>
              <w:t>丧葬费</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62</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347</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331</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519</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pPr>
            <w:r>
              <w:rPr>
                <w:rFonts w:hint="eastAsia"/>
                <w:sz w:val="22"/>
                <w:szCs w:val="26"/>
              </w:rPr>
              <w:t>儿童津贴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11 124</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12 495</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11 493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pPr>
            <w:r>
              <w:rPr>
                <w:rFonts w:hint="eastAsia"/>
                <w:sz w:val="22"/>
                <w:szCs w:val="26"/>
              </w:rPr>
              <w:t>领养抚育津贴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20</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144</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153</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233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pPr>
            <w:r>
              <w:rPr>
                <w:rFonts w:hint="eastAsia"/>
                <w:sz w:val="22"/>
                <w:szCs w:val="26"/>
              </w:rPr>
              <w:t>抚育者津贴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5</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33</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25</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23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pPr>
            <w:r>
              <w:rPr>
                <w:rFonts w:hint="eastAsia"/>
                <w:sz w:val="22"/>
                <w:szCs w:val="26"/>
              </w:rPr>
              <w:t>父母津贴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1 033</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7 354</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7 612</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7 780</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rPr>
                <w:rFonts w:hint="eastAsia"/>
              </w:rPr>
            </w:pPr>
            <w:r>
              <w:rPr>
                <w:rFonts w:hint="eastAsia"/>
              </w:rPr>
              <w:t>社会补充津贴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5 691</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6 224</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6 273</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pPr>
            <w:r>
              <w:rPr>
                <w:rFonts w:hint="eastAsia"/>
                <w:sz w:val="22"/>
                <w:szCs w:val="26"/>
              </w:rPr>
              <w:t>住房补贴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677</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813</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1 367</w:t>
            </w:r>
          </w:p>
        </w:tc>
      </w:tr>
      <w:tr w:rsidR="00000000">
        <w:tblPrEx>
          <w:tblCellMar>
            <w:top w:w="0" w:type="dxa"/>
            <w:bottom w:w="0" w:type="dxa"/>
          </w:tblCellMar>
        </w:tblPrEx>
        <w:tc>
          <w:tcPr>
            <w:tcW w:w="3840" w:type="dxa"/>
            <w:tcBorders>
              <w:top w:val="nil"/>
              <w:left w:val="single" w:sz="4" w:space="0" w:color="auto"/>
              <w:bottom w:val="nil"/>
              <w:right w:val="single" w:sz="4" w:space="0" w:color="auto"/>
            </w:tcBorders>
          </w:tcPr>
          <w:p w:rsidR="00000000" w:rsidRDefault="00000000">
            <w:pPr>
              <w:pStyle w:val="aa"/>
              <w:ind w:left="227"/>
              <w:rPr>
                <w:rFonts w:hint="eastAsia"/>
              </w:rPr>
            </w:pPr>
            <w:r>
              <w:rPr>
                <w:rFonts w:hint="eastAsia"/>
              </w:rPr>
              <w:t>交通补贴</w:t>
            </w:r>
          </w:p>
        </w:tc>
        <w:tc>
          <w:tcPr>
            <w:tcW w:w="1290" w:type="dxa"/>
            <w:tcBorders>
              <w:top w:val="nil"/>
              <w:left w:val="single" w:sz="4" w:space="0" w:color="auto"/>
              <w:bottom w:val="nil"/>
              <w:right w:val="single" w:sz="4" w:space="0" w:color="auto"/>
            </w:tcBorders>
          </w:tcPr>
          <w:p w:rsidR="00000000" w:rsidRDefault="00000000">
            <w:pPr>
              <w:pStyle w:val="aa"/>
              <w:ind w:right="309"/>
              <w:jc w:val="right"/>
            </w:pPr>
            <w:r>
              <w:t>-</w:t>
            </w:r>
          </w:p>
        </w:tc>
        <w:tc>
          <w:tcPr>
            <w:tcW w:w="1290" w:type="dxa"/>
            <w:tcBorders>
              <w:top w:val="nil"/>
              <w:left w:val="single" w:sz="4" w:space="0" w:color="auto"/>
              <w:bottom w:val="nil"/>
              <w:right w:val="single" w:sz="4" w:space="0" w:color="auto"/>
            </w:tcBorders>
          </w:tcPr>
          <w:p w:rsidR="00000000" w:rsidRDefault="00000000">
            <w:pPr>
              <w:pStyle w:val="aa"/>
              <w:ind w:right="299"/>
              <w:jc w:val="right"/>
            </w:pPr>
            <w:r>
              <w:t>839</w:t>
            </w:r>
          </w:p>
        </w:tc>
        <w:tc>
          <w:tcPr>
            <w:tcW w:w="1290" w:type="dxa"/>
            <w:tcBorders>
              <w:top w:val="nil"/>
              <w:left w:val="single" w:sz="4" w:space="0" w:color="auto"/>
              <w:bottom w:val="nil"/>
              <w:right w:val="single" w:sz="4" w:space="0" w:color="auto"/>
            </w:tcBorders>
          </w:tcPr>
          <w:p w:rsidR="00000000" w:rsidRDefault="00000000">
            <w:pPr>
              <w:pStyle w:val="aa"/>
              <w:ind w:right="289"/>
              <w:jc w:val="right"/>
            </w:pPr>
            <w:r>
              <w:t>938</w:t>
            </w:r>
          </w:p>
        </w:tc>
        <w:tc>
          <w:tcPr>
            <w:tcW w:w="1290" w:type="dxa"/>
            <w:tcBorders>
              <w:top w:val="nil"/>
              <w:left w:val="single" w:sz="4" w:space="0" w:color="auto"/>
              <w:bottom w:val="nil"/>
              <w:right w:val="single" w:sz="4" w:space="0" w:color="auto"/>
            </w:tcBorders>
          </w:tcPr>
          <w:p w:rsidR="00000000" w:rsidRDefault="00000000">
            <w:pPr>
              <w:pStyle w:val="aa"/>
              <w:ind w:right="113"/>
              <w:jc w:val="right"/>
            </w:pPr>
            <w:r>
              <w:t>946</w:t>
            </w:r>
          </w:p>
        </w:tc>
      </w:tr>
      <w:tr w:rsidR="00000000">
        <w:tblPrEx>
          <w:tblCellMar>
            <w:top w:w="0" w:type="dxa"/>
            <w:bottom w:w="0" w:type="dxa"/>
          </w:tblCellMar>
        </w:tblPrEx>
        <w:tc>
          <w:tcPr>
            <w:tcW w:w="3840" w:type="dxa"/>
            <w:tcBorders>
              <w:top w:val="nil"/>
              <w:left w:val="single" w:sz="4" w:space="0" w:color="auto"/>
              <w:bottom w:val="single" w:sz="4" w:space="0" w:color="auto"/>
              <w:right w:val="single" w:sz="4" w:space="0" w:color="auto"/>
            </w:tcBorders>
          </w:tcPr>
          <w:p w:rsidR="00000000" w:rsidRDefault="00000000">
            <w:pPr>
              <w:pStyle w:val="aa"/>
              <w:ind w:left="227"/>
            </w:pPr>
            <w:r>
              <w:rPr>
                <w:rFonts w:hint="eastAsia"/>
                <w:sz w:val="22"/>
                <w:szCs w:val="26"/>
              </w:rPr>
              <w:t>单项津贴</w:t>
            </w:r>
            <w:r>
              <w:rPr>
                <w:sz w:val="22"/>
                <w:szCs w:val="26"/>
              </w:rPr>
              <w:t>(</w:t>
            </w:r>
            <w:r>
              <w:rPr>
                <w:rFonts w:hint="eastAsia"/>
                <w:sz w:val="22"/>
                <w:szCs w:val="26"/>
              </w:rPr>
              <w:t>采暖补贴和房租补贴</w:t>
            </w:r>
            <w:r>
              <w:t>)</w:t>
            </w:r>
            <w:r>
              <w:rPr>
                <w:b/>
                <w:bCs/>
                <w:vertAlign w:val="superscript"/>
              </w:rPr>
              <w:t>b</w:t>
            </w:r>
          </w:p>
        </w:tc>
        <w:tc>
          <w:tcPr>
            <w:tcW w:w="1290" w:type="dxa"/>
            <w:tcBorders>
              <w:top w:val="nil"/>
              <w:left w:val="single" w:sz="4" w:space="0" w:color="auto"/>
              <w:bottom w:val="single" w:sz="4" w:space="0" w:color="auto"/>
              <w:right w:val="single" w:sz="4" w:space="0" w:color="auto"/>
            </w:tcBorders>
          </w:tcPr>
          <w:p w:rsidR="00000000" w:rsidRDefault="00000000">
            <w:pPr>
              <w:pStyle w:val="aa"/>
              <w:ind w:right="309"/>
              <w:jc w:val="right"/>
            </w:pPr>
            <w:r>
              <w:t>-</w:t>
            </w:r>
          </w:p>
        </w:tc>
        <w:tc>
          <w:tcPr>
            <w:tcW w:w="1290" w:type="dxa"/>
            <w:tcBorders>
              <w:top w:val="nil"/>
              <w:left w:val="single" w:sz="4" w:space="0" w:color="auto"/>
              <w:bottom w:val="single" w:sz="4" w:space="0" w:color="auto"/>
              <w:right w:val="single" w:sz="4" w:space="0" w:color="auto"/>
            </w:tcBorders>
          </w:tcPr>
          <w:p w:rsidR="00000000" w:rsidRDefault="00000000">
            <w:pPr>
              <w:pStyle w:val="aa"/>
              <w:ind w:right="299"/>
              <w:jc w:val="right"/>
            </w:pPr>
            <w:r>
              <w:t>-</w:t>
            </w:r>
          </w:p>
        </w:tc>
        <w:tc>
          <w:tcPr>
            <w:tcW w:w="1290" w:type="dxa"/>
            <w:tcBorders>
              <w:top w:val="nil"/>
              <w:left w:val="single" w:sz="4" w:space="0" w:color="auto"/>
              <w:bottom w:val="single" w:sz="4" w:space="0" w:color="auto"/>
              <w:right w:val="single" w:sz="4" w:space="0" w:color="auto"/>
            </w:tcBorders>
          </w:tcPr>
          <w:p w:rsidR="00000000" w:rsidRDefault="00000000">
            <w:pPr>
              <w:pStyle w:val="aa"/>
              <w:ind w:right="289"/>
              <w:jc w:val="right"/>
            </w:pPr>
            <w:r>
              <w:t>116</w:t>
            </w:r>
          </w:p>
        </w:tc>
        <w:tc>
          <w:tcPr>
            <w:tcW w:w="1290" w:type="dxa"/>
            <w:tcBorders>
              <w:top w:val="nil"/>
              <w:left w:val="single" w:sz="4" w:space="0" w:color="auto"/>
              <w:bottom w:val="single" w:sz="4" w:space="0" w:color="auto"/>
              <w:right w:val="single" w:sz="4" w:space="0" w:color="auto"/>
            </w:tcBorders>
          </w:tcPr>
          <w:p w:rsidR="00000000" w:rsidRDefault="00000000">
            <w:pPr>
              <w:pStyle w:val="aa"/>
              <w:ind w:right="113"/>
              <w:jc w:val="right"/>
            </w:pPr>
            <w:r>
              <w:t>440</w:t>
            </w:r>
          </w:p>
        </w:tc>
      </w:tr>
    </w:tbl>
    <w:p w:rsidR="00000000" w:rsidRDefault="00000000">
      <w:pPr>
        <w:spacing w:before="160" w:line="264" w:lineRule="auto"/>
        <w:ind w:left="510"/>
        <w:rPr>
          <w:rFonts w:eastAsia="KaiTi_GB2312"/>
          <w:snapToGrid/>
          <w:spacing w:val="0"/>
          <w:sz w:val="21"/>
          <w:szCs w:val="26"/>
        </w:rPr>
      </w:pPr>
      <w:r>
        <w:rPr>
          <w:rFonts w:eastAsia="KaiTi_GB2312" w:hint="eastAsia"/>
          <w:snapToGrid/>
          <w:spacing w:val="0"/>
          <w:sz w:val="21"/>
          <w:szCs w:val="26"/>
          <w:u w:val="single"/>
        </w:rPr>
        <w:t>资料来源</w:t>
      </w:r>
      <w:r>
        <w:rPr>
          <w:rFonts w:eastAsia="KaiTi_GB2312"/>
          <w:snapToGrid/>
          <w:spacing w:val="0"/>
          <w:sz w:val="21"/>
          <w:szCs w:val="26"/>
        </w:rPr>
        <w:t>：</w:t>
      </w:r>
      <w:r>
        <w:rPr>
          <w:rFonts w:eastAsia="KaiTi_GB2312" w:hint="eastAsia"/>
          <w:snapToGrid/>
          <w:spacing w:val="0"/>
          <w:sz w:val="21"/>
          <w:szCs w:val="26"/>
        </w:rPr>
        <w:t>捷克共和国统计年鉴，</w:t>
      </w:r>
      <w:r>
        <w:rPr>
          <w:rFonts w:eastAsia="KaiTi_GB2312" w:hint="eastAsia"/>
          <w:snapToGrid/>
          <w:spacing w:val="0"/>
          <w:sz w:val="21"/>
          <w:szCs w:val="26"/>
        </w:rPr>
        <w:t>1999</w:t>
      </w:r>
      <w:r>
        <w:rPr>
          <w:rFonts w:eastAsia="KaiTi_GB2312" w:hint="eastAsia"/>
          <w:snapToGrid/>
          <w:spacing w:val="0"/>
          <w:sz w:val="21"/>
          <w:szCs w:val="26"/>
        </w:rPr>
        <w:t>年。</w:t>
      </w:r>
    </w:p>
    <w:p w:rsidR="00000000" w:rsidRDefault="00000000">
      <w:pPr>
        <w:tabs>
          <w:tab w:val="left" w:pos="1690"/>
        </w:tabs>
        <w:spacing w:line="264" w:lineRule="auto"/>
        <w:ind w:left="1020"/>
        <w:rPr>
          <w:rFonts w:eastAsia="KaiTi_GB2312"/>
          <w:snapToGrid/>
          <w:spacing w:val="0"/>
          <w:sz w:val="21"/>
          <w:szCs w:val="26"/>
        </w:rPr>
      </w:pPr>
      <w:r>
        <w:rPr>
          <w:rFonts w:eastAsia="KaiTi_GB2312"/>
          <w:snapToGrid/>
          <w:spacing w:val="0"/>
          <w:sz w:val="21"/>
          <w:szCs w:val="26"/>
        </w:rPr>
        <w:t>a</w:t>
      </w:r>
      <w:r>
        <w:rPr>
          <w:rFonts w:eastAsia="KaiTi_GB2312" w:hint="eastAsia"/>
          <w:snapToGrid/>
          <w:spacing w:val="0"/>
          <w:sz w:val="21"/>
          <w:szCs w:val="26"/>
        </w:rPr>
        <w:tab/>
      </w:r>
      <w:r>
        <w:rPr>
          <w:rFonts w:eastAsia="KaiTi_GB2312" w:hint="eastAsia"/>
          <w:snapToGrid/>
          <w:spacing w:val="0"/>
          <w:sz w:val="21"/>
          <w:szCs w:val="26"/>
        </w:rPr>
        <w:t>从</w:t>
      </w:r>
      <w:r>
        <w:rPr>
          <w:rFonts w:eastAsia="KaiTi_GB2312"/>
          <w:snapToGrid/>
          <w:spacing w:val="0"/>
          <w:sz w:val="21"/>
          <w:szCs w:val="26"/>
        </w:rPr>
        <w:t>1995</w:t>
      </w:r>
      <w:r>
        <w:rPr>
          <w:rFonts w:eastAsia="KaiTi_GB2312" w:hint="eastAsia"/>
          <w:snapToGrid/>
          <w:spacing w:val="0"/>
          <w:sz w:val="21"/>
          <w:szCs w:val="26"/>
        </w:rPr>
        <w:t>年</w:t>
      </w:r>
      <w:r>
        <w:rPr>
          <w:rFonts w:eastAsia="KaiTi_GB2312"/>
          <w:snapToGrid/>
          <w:spacing w:val="0"/>
          <w:sz w:val="21"/>
          <w:szCs w:val="26"/>
        </w:rPr>
        <w:t>10</w:t>
      </w:r>
      <w:r>
        <w:rPr>
          <w:rFonts w:eastAsia="KaiTi_GB2312" w:hint="eastAsia"/>
          <w:snapToGrid/>
          <w:spacing w:val="0"/>
          <w:sz w:val="21"/>
          <w:szCs w:val="26"/>
        </w:rPr>
        <w:t>月</w:t>
      </w:r>
      <w:r>
        <w:rPr>
          <w:rFonts w:eastAsia="KaiTi_GB2312"/>
          <w:snapToGrid/>
          <w:spacing w:val="0"/>
          <w:sz w:val="21"/>
          <w:szCs w:val="26"/>
        </w:rPr>
        <w:t>1</w:t>
      </w:r>
      <w:r>
        <w:rPr>
          <w:rFonts w:eastAsia="KaiTi_GB2312" w:hint="eastAsia"/>
          <w:snapToGrid/>
          <w:spacing w:val="0"/>
          <w:sz w:val="21"/>
          <w:szCs w:val="26"/>
        </w:rPr>
        <w:t>日《国家社会抚养扶助法》生效之日起发放。</w:t>
      </w:r>
    </w:p>
    <w:p w:rsidR="00000000" w:rsidRDefault="00000000">
      <w:pPr>
        <w:tabs>
          <w:tab w:val="left" w:pos="1690"/>
        </w:tabs>
        <w:spacing w:line="264" w:lineRule="auto"/>
        <w:ind w:left="1690" w:hanging="670"/>
        <w:rPr>
          <w:rFonts w:eastAsia="KaiTi_GB2312"/>
          <w:snapToGrid/>
          <w:spacing w:val="0"/>
          <w:sz w:val="21"/>
          <w:szCs w:val="26"/>
        </w:rPr>
      </w:pPr>
      <w:r>
        <w:rPr>
          <w:rFonts w:eastAsia="KaiTi_GB2312"/>
          <w:snapToGrid/>
          <w:spacing w:val="0"/>
          <w:sz w:val="21"/>
          <w:szCs w:val="26"/>
        </w:rPr>
        <w:t>b</w:t>
      </w:r>
      <w:r>
        <w:rPr>
          <w:rFonts w:eastAsia="KaiTi_GB2312" w:hint="eastAsia"/>
          <w:snapToGrid/>
          <w:spacing w:val="0"/>
          <w:sz w:val="21"/>
          <w:szCs w:val="26"/>
        </w:rPr>
        <w:tab/>
      </w:r>
      <w:r>
        <w:rPr>
          <w:rFonts w:eastAsia="KaiTi_GB2312"/>
          <w:snapToGrid/>
          <w:spacing w:val="0"/>
          <w:sz w:val="21"/>
          <w:szCs w:val="26"/>
        </w:rPr>
        <w:t>1997</w:t>
      </w:r>
      <w:r>
        <w:rPr>
          <w:rFonts w:eastAsia="KaiTi_GB2312" w:hint="eastAsia"/>
          <w:snapToGrid/>
          <w:spacing w:val="0"/>
          <w:sz w:val="21"/>
          <w:szCs w:val="26"/>
        </w:rPr>
        <w:t>年</w:t>
      </w:r>
      <w:r>
        <w:rPr>
          <w:rFonts w:eastAsia="KaiTi_GB2312"/>
          <w:snapToGrid/>
          <w:spacing w:val="0"/>
          <w:sz w:val="21"/>
          <w:szCs w:val="26"/>
        </w:rPr>
        <w:t>7</w:t>
      </w:r>
      <w:r>
        <w:rPr>
          <w:rFonts w:eastAsia="KaiTi_GB2312" w:hint="eastAsia"/>
          <w:snapToGrid/>
          <w:spacing w:val="0"/>
          <w:sz w:val="21"/>
          <w:szCs w:val="26"/>
        </w:rPr>
        <w:t>月</w:t>
      </w:r>
      <w:r>
        <w:rPr>
          <w:rFonts w:eastAsia="KaiTi_GB2312"/>
          <w:snapToGrid/>
          <w:spacing w:val="0"/>
          <w:sz w:val="21"/>
          <w:szCs w:val="26"/>
        </w:rPr>
        <w:t>1</w:t>
      </w:r>
      <w:r>
        <w:rPr>
          <w:rFonts w:eastAsia="KaiTi_GB2312" w:hint="eastAsia"/>
          <w:snapToGrid/>
          <w:spacing w:val="0"/>
          <w:sz w:val="21"/>
          <w:szCs w:val="26"/>
        </w:rPr>
        <w:t>日</w:t>
      </w:r>
      <w:r>
        <w:rPr>
          <w:rFonts w:eastAsia="KaiTi_GB2312"/>
          <w:snapToGrid/>
          <w:spacing w:val="0"/>
          <w:sz w:val="21"/>
          <w:szCs w:val="26"/>
        </w:rPr>
        <w:t>，</w:t>
      </w:r>
      <w:r>
        <w:rPr>
          <w:rFonts w:eastAsia="KaiTi_GB2312" w:hint="eastAsia"/>
          <w:snapToGrid/>
          <w:spacing w:val="0"/>
          <w:sz w:val="21"/>
          <w:szCs w:val="26"/>
        </w:rPr>
        <w:t>根据第</w:t>
      </w:r>
      <w:r>
        <w:rPr>
          <w:rFonts w:eastAsia="KaiTi_GB2312"/>
          <w:snapToGrid/>
          <w:spacing w:val="0"/>
          <w:sz w:val="21"/>
          <w:szCs w:val="26"/>
        </w:rPr>
        <w:t>75/1997Coll.</w:t>
      </w:r>
      <w:r>
        <w:rPr>
          <w:rFonts w:eastAsia="KaiTi_GB2312" w:hint="eastAsia"/>
          <w:snapToGrid/>
          <w:spacing w:val="0"/>
          <w:sz w:val="21"/>
          <w:szCs w:val="26"/>
        </w:rPr>
        <w:t>号《关于补贴采暖价格提高的福利津贴法》开始发放所谓的单项补贴。后来对该法律进行了修订</w:t>
      </w:r>
      <w:r>
        <w:rPr>
          <w:rFonts w:eastAsia="KaiTi_GB2312"/>
          <w:snapToGrid/>
          <w:spacing w:val="0"/>
          <w:sz w:val="21"/>
          <w:szCs w:val="26"/>
        </w:rPr>
        <w:t>，</w:t>
      </w:r>
      <w:r>
        <w:rPr>
          <w:rFonts w:eastAsia="KaiTi_GB2312" w:hint="eastAsia"/>
          <w:snapToGrid/>
          <w:spacing w:val="0"/>
          <w:sz w:val="21"/>
          <w:szCs w:val="26"/>
        </w:rPr>
        <w:t>改为采暖价格提高补贴和房租补贴</w:t>
      </w:r>
      <w:r>
        <w:rPr>
          <w:rFonts w:eastAsia="KaiTi_GB2312"/>
          <w:snapToGrid/>
          <w:spacing w:val="0"/>
          <w:sz w:val="21"/>
          <w:szCs w:val="26"/>
        </w:rPr>
        <w:t>，</w:t>
      </w:r>
      <w:r>
        <w:rPr>
          <w:rFonts w:eastAsia="KaiTi_GB2312" w:hint="eastAsia"/>
          <w:snapToGrid/>
          <w:spacing w:val="0"/>
          <w:sz w:val="21"/>
          <w:szCs w:val="26"/>
        </w:rPr>
        <w:t>都是国家福利补贴。这两项补贴的享受由单独法律调整</w:t>
      </w:r>
      <w:r>
        <w:rPr>
          <w:rFonts w:eastAsia="KaiTi_GB2312"/>
          <w:snapToGrid/>
          <w:spacing w:val="0"/>
          <w:sz w:val="21"/>
          <w:szCs w:val="26"/>
        </w:rPr>
        <w:t>，</w:t>
      </w:r>
      <w:r>
        <w:rPr>
          <w:rFonts w:eastAsia="KaiTi_GB2312" w:hint="eastAsia"/>
          <w:snapToGrid/>
          <w:spacing w:val="0"/>
          <w:sz w:val="21"/>
          <w:szCs w:val="26"/>
        </w:rPr>
        <w:t>因为它具有平衡价格的特点</w:t>
      </w:r>
      <w:r>
        <w:rPr>
          <w:rFonts w:eastAsia="KaiTi_GB2312"/>
          <w:snapToGrid/>
          <w:spacing w:val="0"/>
          <w:sz w:val="21"/>
          <w:szCs w:val="26"/>
        </w:rPr>
        <w:t>，</w:t>
      </w:r>
      <w:r>
        <w:rPr>
          <w:rFonts w:eastAsia="KaiTi_GB2312" w:hint="eastAsia"/>
          <w:snapToGrid/>
          <w:spacing w:val="0"/>
          <w:sz w:val="21"/>
          <w:szCs w:val="26"/>
        </w:rPr>
        <w:t>只在三年的过渡期发放。</w:t>
      </w:r>
    </w:p>
    <w:p w:rsidR="00000000" w:rsidRDefault="00000000">
      <w:pPr>
        <w:rPr>
          <w:rFonts w:hint="eastAsia"/>
          <w:snapToGrid/>
          <w:szCs w:val="26"/>
        </w:rPr>
      </w:pPr>
    </w:p>
    <w:p w:rsidR="00000000" w:rsidRDefault="00000000">
      <w:pPr>
        <w:rPr>
          <w:rFonts w:hint="eastAsia"/>
        </w:rPr>
      </w:pPr>
      <w:r>
        <w:rPr>
          <w:rFonts w:hint="eastAsia"/>
          <w:snapToGrid/>
          <w:szCs w:val="26"/>
        </w:rPr>
        <w:tab/>
      </w:r>
      <w:r>
        <w:rPr>
          <w:snapToGrid/>
          <w:szCs w:val="26"/>
        </w:rPr>
        <w:t xml:space="preserve">347. </w:t>
      </w:r>
      <w:r>
        <w:t xml:space="preserve"> </w:t>
      </w:r>
      <w:r>
        <w:rPr>
          <w:rFonts w:hint="eastAsia"/>
        </w:rPr>
        <w:t>关于社会保障</w:t>
      </w:r>
      <w:r>
        <w:t>，</w:t>
      </w:r>
      <w:r>
        <w:rPr>
          <w:rFonts w:hint="eastAsia"/>
        </w:rPr>
        <w:t>通过国家福利系统发放的最主要津贴是对有孩子家庭的补贴。</w:t>
      </w:r>
    </w:p>
    <w:p w:rsidR="00000000" w:rsidRDefault="00000000">
      <w:pPr>
        <w:numPr>
          <w:ilvl w:val="0"/>
          <w:numId w:val="160"/>
        </w:numPr>
        <w:rPr>
          <w:snapToGrid/>
        </w:rPr>
      </w:pPr>
      <w:r>
        <w:rPr>
          <w:rFonts w:hint="eastAsia"/>
          <w:snapToGrid/>
          <w:szCs w:val="34"/>
          <w:u w:val="single"/>
        </w:rPr>
        <w:t>儿童津贴</w:t>
      </w:r>
      <w:r>
        <w:rPr>
          <w:rFonts w:hint="eastAsia"/>
          <w:snapToGrid/>
          <w:szCs w:val="34"/>
        </w:rPr>
        <w:t>：从</w:t>
      </w:r>
      <w:r>
        <w:rPr>
          <w:rFonts w:hint="eastAsia"/>
          <w:snapToGrid/>
          <w:szCs w:val="34"/>
        </w:rPr>
        <w:t>1996</w:t>
      </w:r>
      <w:r>
        <w:rPr>
          <w:rFonts w:hint="eastAsia"/>
          <w:snapToGrid/>
          <w:szCs w:val="34"/>
        </w:rPr>
        <w:t>年</w:t>
      </w:r>
      <w:r>
        <w:rPr>
          <w:rFonts w:hint="eastAsia"/>
          <w:snapToGrid/>
          <w:szCs w:val="34"/>
        </w:rPr>
        <w:t>1</w:t>
      </w:r>
      <w:r>
        <w:rPr>
          <w:rFonts w:hint="eastAsia"/>
          <w:snapToGrid/>
          <w:szCs w:val="34"/>
        </w:rPr>
        <w:t>月</w:t>
      </w:r>
      <w:r>
        <w:rPr>
          <w:rFonts w:hint="eastAsia"/>
          <w:snapToGrid/>
          <w:szCs w:val="34"/>
        </w:rPr>
        <w:t>1</w:t>
      </w:r>
      <w:r>
        <w:rPr>
          <w:rFonts w:hint="eastAsia"/>
          <w:snapToGrid/>
          <w:szCs w:val="34"/>
        </w:rPr>
        <w:t>日起发放，属于国家福利扶助有孩子家庭</w:t>
      </w:r>
      <w:r>
        <w:rPr>
          <w:rFonts w:hint="eastAsia"/>
          <w:snapToGrid/>
        </w:rPr>
        <w:t>计划的一部分，旨在帮助支付抚养和喂养孩子的费用。收入低于家庭最低生活水准的所有家庭，其子女均可领取此种津贴。数额取决于儿童年龄和家庭总收入</w:t>
      </w:r>
      <w:r>
        <w:rPr>
          <w:snapToGrid/>
        </w:rPr>
        <w:t>，</w:t>
      </w:r>
      <w:r>
        <w:rPr>
          <w:rFonts w:hint="eastAsia"/>
          <w:snapToGrid/>
        </w:rPr>
        <w:t>按确保最低生活水平和儿童的其他基本需求的数额来计算。</w:t>
      </w:r>
    </w:p>
    <w:p w:rsidR="00000000" w:rsidRDefault="00000000">
      <w:pPr>
        <w:numPr>
          <w:ilvl w:val="0"/>
          <w:numId w:val="160"/>
        </w:numPr>
        <w:rPr>
          <w:snapToGrid/>
        </w:rPr>
      </w:pPr>
      <w:r>
        <w:rPr>
          <w:rFonts w:hint="eastAsia"/>
          <w:snapToGrid/>
          <w:u w:val="single"/>
        </w:rPr>
        <w:t>父母津贴</w:t>
      </w:r>
      <w:r>
        <w:rPr>
          <w:snapToGrid/>
        </w:rPr>
        <w:t>：</w:t>
      </w:r>
      <w:r>
        <w:rPr>
          <w:rFonts w:hint="eastAsia"/>
          <w:snapToGrid/>
        </w:rPr>
        <w:t>此种津贴帮助父母一方</w:t>
      </w:r>
      <w:r>
        <w:rPr>
          <w:rFonts w:hint="eastAsia"/>
          <w:snapToGrid/>
        </w:rPr>
        <w:t>(</w:t>
      </w:r>
      <w:r>
        <w:rPr>
          <w:rFonts w:hint="eastAsia"/>
          <w:snapToGrid/>
        </w:rPr>
        <w:t>母亲或父亲</w:t>
      </w:r>
      <w:r>
        <w:rPr>
          <w:rFonts w:hint="eastAsia"/>
          <w:snapToGrid/>
        </w:rPr>
        <w:t>)</w:t>
      </w:r>
      <w:r>
        <w:rPr>
          <w:rFonts w:hint="eastAsia"/>
          <w:snapToGrid/>
        </w:rPr>
        <w:t>在家里亲自照顾幼儿直至</w:t>
      </w:r>
      <w:r>
        <w:rPr>
          <w:snapToGrid/>
        </w:rPr>
        <w:t>4</w:t>
      </w:r>
      <w:r>
        <w:rPr>
          <w:rFonts w:hint="eastAsia"/>
          <w:snapToGrid/>
        </w:rPr>
        <w:t>岁或长期残疾儿童直至</w:t>
      </w:r>
      <w:r>
        <w:rPr>
          <w:snapToGrid/>
        </w:rPr>
        <w:t>7</w:t>
      </w:r>
      <w:r>
        <w:rPr>
          <w:rFonts w:hint="eastAsia"/>
          <w:snapToGrid/>
        </w:rPr>
        <w:t>岁的费用。数额为满足照顾孩子父母个人需求的最低生活水准的</w:t>
      </w:r>
      <w:r>
        <w:rPr>
          <w:snapToGrid/>
        </w:rPr>
        <w:t>1.1</w:t>
      </w:r>
      <w:r>
        <w:rPr>
          <w:rFonts w:hint="eastAsia"/>
          <w:snapToGrid/>
        </w:rPr>
        <w:t>倍。领取这一津贴时</w:t>
      </w:r>
      <w:r>
        <w:rPr>
          <w:snapToGrid/>
        </w:rPr>
        <w:t>，</w:t>
      </w:r>
      <w:r>
        <w:rPr>
          <w:rFonts w:hint="eastAsia"/>
          <w:snapToGrid/>
        </w:rPr>
        <w:t>父母可一定限度内就业</w:t>
      </w:r>
      <w:r>
        <w:rPr>
          <w:snapToGrid/>
        </w:rPr>
        <w:t>，</w:t>
      </w:r>
      <w:r>
        <w:rPr>
          <w:rFonts w:hint="eastAsia"/>
          <w:snapToGrid/>
        </w:rPr>
        <w:t>但不能中断全日照顾孩子。</w:t>
      </w:r>
    </w:p>
    <w:p w:rsidR="00000000" w:rsidRDefault="00000000">
      <w:pPr>
        <w:numPr>
          <w:ilvl w:val="0"/>
          <w:numId w:val="160"/>
        </w:numPr>
        <w:rPr>
          <w:snapToGrid/>
          <w:szCs w:val="46"/>
        </w:rPr>
      </w:pPr>
      <w:r>
        <w:rPr>
          <w:rFonts w:hint="eastAsia"/>
          <w:snapToGrid/>
          <w:szCs w:val="28"/>
          <w:u w:val="single"/>
        </w:rPr>
        <w:t>社会补充津贴</w:t>
      </w:r>
      <w:r>
        <w:rPr>
          <w:snapToGrid/>
          <w:szCs w:val="28"/>
        </w:rPr>
        <w:t>：</w:t>
      </w:r>
      <w:r>
        <w:rPr>
          <w:rFonts w:hint="eastAsia"/>
          <w:snapToGrid/>
          <w:szCs w:val="28"/>
        </w:rPr>
        <w:t>此种津贴是协助低收入家庭支付满足孩子需求的费</w:t>
      </w:r>
      <w:r>
        <w:rPr>
          <w:rFonts w:hint="eastAsia"/>
          <w:snapToGrid/>
          <w:szCs w:val="26"/>
        </w:rPr>
        <w:t>用。如果父母一方照顾孩子</w:t>
      </w:r>
      <w:r>
        <w:rPr>
          <w:snapToGrid/>
          <w:szCs w:val="26"/>
        </w:rPr>
        <w:t>，</w:t>
      </w:r>
      <w:r>
        <w:rPr>
          <w:rFonts w:hint="eastAsia"/>
          <w:snapToGrid/>
          <w:szCs w:val="26"/>
        </w:rPr>
        <w:t>家庭收入不超过家庭最低生活水平</w:t>
      </w:r>
      <w:r>
        <w:rPr>
          <w:snapToGrid/>
          <w:szCs w:val="26"/>
        </w:rPr>
        <w:t>1.6</w:t>
      </w:r>
      <w:r>
        <w:rPr>
          <w:rFonts w:hint="eastAsia"/>
          <w:snapToGrid/>
          <w:szCs w:val="26"/>
        </w:rPr>
        <w:t>倍</w:t>
      </w:r>
      <w:r>
        <w:rPr>
          <w:snapToGrid/>
          <w:szCs w:val="26"/>
        </w:rPr>
        <w:t>，</w:t>
      </w:r>
      <w:r>
        <w:rPr>
          <w:rFonts w:hint="eastAsia"/>
          <w:snapToGrid/>
          <w:szCs w:val="26"/>
        </w:rPr>
        <w:t>有权</w:t>
      </w:r>
      <w:r>
        <w:rPr>
          <w:rFonts w:hint="eastAsia"/>
          <w:snapToGrid/>
          <w:szCs w:val="46"/>
        </w:rPr>
        <w:t>领取此种津贴。</w:t>
      </w:r>
    </w:p>
    <w:p w:rsidR="00000000" w:rsidRDefault="00000000">
      <w:pPr>
        <w:pStyle w:val="Heading4"/>
        <w:spacing w:before="160" w:after="160"/>
        <w:rPr>
          <w:rFonts w:hint="eastAsia"/>
        </w:rPr>
      </w:pPr>
      <w:r>
        <w:rPr>
          <w:rFonts w:hint="eastAsia"/>
        </w:rPr>
        <w:t>社会照顾</w:t>
      </w:r>
    </w:p>
    <w:p w:rsidR="00000000" w:rsidRDefault="00000000">
      <w:pPr>
        <w:rPr>
          <w:rFonts w:hint="eastAsia"/>
        </w:rPr>
      </w:pPr>
      <w:r>
        <w:rPr>
          <w:rFonts w:hint="eastAsia"/>
        </w:rPr>
        <w:tab/>
        <w:t xml:space="preserve">348.  </w:t>
      </w:r>
      <w:r>
        <w:rPr>
          <w:rFonts w:hint="eastAsia"/>
        </w:rPr>
        <w:t>社会照顾对象是在物质或社会上需要照顾的人。根据社会贫困法</w:t>
      </w:r>
      <w:r>
        <w:t xml:space="preserve"> </w:t>
      </w:r>
      <w:r>
        <w:rPr>
          <w:rStyle w:val="EndnoteReference"/>
        </w:rPr>
        <w:endnoteReference w:id="210"/>
      </w:r>
      <w:r>
        <w:rPr>
          <w:rFonts w:hint="eastAsia"/>
        </w:rPr>
        <w:t xml:space="preserve"> </w:t>
      </w:r>
      <w:r>
        <w:rPr>
          <w:rFonts w:hint="eastAsia"/>
        </w:rPr>
        <w:t>，“如果一个公民的收入达不到特别法</w:t>
      </w:r>
      <w:r>
        <w:rPr>
          <w:rFonts w:hint="eastAsia"/>
        </w:rPr>
        <w:t xml:space="preserve"> </w:t>
      </w:r>
      <w:r>
        <w:rPr>
          <w:rStyle w:val="EndnoteReference"/>
        </w:rPr>
        <w:endnoteReference w:id="211"/>
      </w:r>
      <w:r>
        <w:rPr>
          <w:rFonts w:hint="eastAsia"/>
        </w:rPr>
        <w:t xml:space="preserve"> </w:t>
      </w:r>
      <w:r>
        <w:rPr>
          <w:rFonts w:hint="eastAsia"/>
        </w:rPr>
        <w:t>规定的维持生计水平的数额并且因其年龄、健康状况或由于其自己的行为，特别是自己的工作引起的其他严重原因而不能增加收入，他</w:t>
      </w:r>
      <w:r>
        <w:rPr>
          <w:rFonts w:hint="eastAsia"/>
        </w:rPr>
        <w:t>/</w:t>
      </w:r>
      <w:r>
        <w:rPr>
          <w:rFonts w:hint="eastAsia"/>
        </w:rPr>
        <w:t>她被视为社会贫困者。”</w:t>
      </w:r>
    </w:p>
    <w:p w:rsidR="00000000" w:rsidRDefault="00000000">
      <w:pPr>
        <w:rPr>
          <w:rFonts w:hint="eastAsia"/>
        </w:rPr>
      </w:pPr>
      <w:r>
        <w:rPr>
          <w:rFonts w:hint="eastAsia"/>
        </w:rPr>
        <w:tab/>
        <w:t xml:space="preserve">349.  </w:t>
      </w:r>
      <w:r>
        <w:rPr>
          <w:rFonts w:hint="eastAsia"/>
        </w:rPr>
        <w:t>根据该法，维持生计水平是社会承认的最低收入水平，低于此水平的人为物质贫困者。维持生计水平法第</w:t>
      </w:r>
      <w:r>
        <w:rPr>
          <w:rFonts w:hint="eastAsia"/>
        </w:rPr>
        <w:t>2</w:t>
      </w:r>
      <w:r>
        <w:rPr>
          <w:rFonts w:hint="eastAsia"/>
        </w:rPr>
        <w:t>条第</w:t>
      </w:r>
      <w:r>
        <w:rPr>
          <w:rFonts w:hint="eastAsia"/>
        </w:rPr>
        <w:t>2</w:t>
      </w:r>
      <w:r>
        <w:rPr>
          <w:rFonts w:hint="eastAsia"/>
        </w:rPr>
        <w:t>款规定：“向如其收入达不到维持生计水平并因其年龄、身体状况或由于其自己的行为特别是自己的工作引起的其他严重原因而不能增加该收入的提供援助；提供援助的方法和形式、其他条件和援助水平由特别条例规定。”维持生计水平是一种标准，其主要职能是为了对公民或家庭给予社会保护的目的评估收入是否适足。援助依据社会贫困法以社会照顾福利的形式提供，补充公民及其家庭的收入不足，通常使其达到维持生计水平的数额。然而，如果根据对家庭的社会和经济情况的个别评估确认有理由维持较高的基本生活需要，例如因医生建议的食谱、住房开支较高等，这种援助可高出维持生计水平。</w:t>
      </w:r>
    </w:p>
    <w:p w:rsidR="00000000" w:rsidRDefault="00000000">
      <w:pPr>
        <w:rPr>
          <w:rFonts w:hint="eastAsia"/>
        </w:rPr>
      </w:pPr>
      <w:r>
        <w:rPr>
          <w:rFonts w:hint="eastAsia"/>
        </w:rPr>
        <w:tab/>
        <w:t xml:space="preserve">350.  </w:t>
      </w:r>
      <w:r>
        <w:rPr>
          <w:rFonts w:hint="eastAsia"/>
          <w:spacing w:val="6"/>
        </w:rPr>
        <w:t>一个公民或其收入加起来共同评估的一个以上的公民</w:t>
      </w:r>
      <w:r>
        <w:rPr>
          <w:rFonts w:hint="eastAsia"/>
          <w:spacing w:val="6"/>
        </w:rPr>
        <w:t xml:space="preserve"> </w:t>
      </w:r>
      <w:r>
        <w:rPr>
          <w:rStyle w:val="EndnoteReference"/>
          <w:spacing w:val="6"/>
        </w:rPr>
        <w:endnoteReference w:id="212"/>
      </w:r>
      <w:r>
        <w:rPr>
          <w:rFonts w:hint="eastAsia"/>
          <w:spacing w:val="6"/>
        </w:rPr>
        <w:t xml:space="preserve"> </w:t>
      </w:r>
      <w:r>
        <w:rPr>
          <w:rFonts w:hint="eastAsia"/>
          <w:spacing w:val="6"/>
        </w:rPr>
        <w:t>的维持生计水平为维持生计水平法</w:t>
      </w:r>
      <w:r>
        <w:rPr>
          <w:rFonts w:hint="eastAsia"/>
          <w:spacing w:val="6"/>
        </w:rPr>
        <w:t xml:space="preserve"> </w:t>
      </w:r>
      <w:r>
        <w:rPr>
          <w:rStyle w:val="EndnoteReference"/>
          <w:spacing w:val="6"/>
        </w:rPr>
        <w:endnoteReference w:id="213"/>
      </w:r>
      <w:r>
        <w:rPr>
          <w:rFonts w:hint="eastAsia"/>
          <w:spacing w:val="6"/>
        </w:rPr>
        <w:t xml:space="preserve"> </w:t>
      </w:r>
      <w:r>
        <w:rPr>
          <w:rFonts w:hint="eastAsia"/>
          <w:spacing w:val="6"/>
        </w:rPr>
        <w:t>规定的确保食品和其他基本个人需要和解决家庭必要支出的所有收入之和。捷克共和国维持生计水平有两个部分。第一部分指家庭中其收入加起来共同评估的每个人的基本个人需要。个人需要主要包括食物、衣服、鞋、供短期使用的其他工业品、服务和个人发展。为确保个人需要规定的维持生计水平的数额对于需抚养子女按年龄区分，对于成年人也因人而异。维持生计水平的第二部分是支付家庭共同费用所需资金</w:t>
      </w:r>
      <w:r>
        <w:rPr>
          <w:rFonts w:hint="eastAsia"/>
          <w:spacing w:val="6"/>
        </w:rPr>
        <w:t>(</w:t>
      </w:r>
      <w:r>
        <w:rPr>
          <w:rFonts w:hint="eastAsia"/>
          <w:spacing w:val="6"/>
        </w:rPr>
        <w:t>如主要的住房及其服务支出</w:t>
      </w:r>
      <w:r>
        <w:rPr>
          <w:rFonts w:hint="eastAsia"/>
          <w:spacing w:val="6"/>
        </w:rPr>
        <w:t>)</w:t>
      </w:r>
      <w:r>
        <w:rPr>
          <w:rFonts w:hint="eastAsia"/>
          <w:spacing w:val="6"/>
        </w:rPr>
        <w:t>并因家庭人数而异。维持生计水平的总数是家庭每个成员个人需要的所有部分加上共同需要的一部分之和。</w:t>
      </w:r>
    </w:p>
    <w:p w:rsidR="00000000" w:rsidRDefault="00000000">
      <w:pPr>
        <w:rPr>
          <w:rFonts w:hint="eastAsia"/>
        </w:rPr>
      </w:pPr>
      <w:r>
        <w:rPr>
          <w:rFonts w:hint="eastAsia"/>
        </w:rPr>
        <w:tab/>
        <w:t xml:space="preserve">351.  </w:t>
      </w:r>
      <w:r>
        <w:rPr>
          <w:rFonts w:hint="eastAsia"/>
          <w:spacing w:val="4"/>
        </w:rPr>
        <w:t>如果消费者价格联合指数比上一水平上涨至少</w:t>
      </w:r>
      <w:r>
        <w:rPr>
          <w:rFonts w:hint="eastAsia"/>
          <w:spacing w:val="4"/>
        </w:rPr>
        <w:t>5%</w:t>
      </w:r>
      <w:r>
        <w:rPr>
          <w:rFonts w:hint="eastAsia"/>
          <w:spacing w:val="4"/>
        </w:rPr>
        <w:t>，维持生计水平就通过政府条例作不定期调整。政府通过条例提高维持生计水平数额的最后一次调整于</w:t>
      </w:r>
      <w:r>
        <w:rPr>
          <w:rFonts w:hint="eastAsia"/>
          <w:spacing w:val="4"/>
        </w:rPr>
        <w:t>1998</w:t>
      </w:r>
      <w:r>
        <w:rPr>
          <w:rFonts w:hint="eastAsia"/>
          <w:spacing w:val="4"/>
        </w:rPr>
        <w:t>年</w:t>
      </w:r>
      <w:r>
        <w:rPr>
          <w:rFonts w:hint="eastAsia"/>
          <w:spacing w:val="4"/>
        </w:rPr>
        <w:t>4</w:t>
      </w:r>
      <w:r>
        <w:rPr>
          <w:rFonts w:hint="eastAsia"/>
          <w:spacing w:val="4"/>
        </w:rPr>
        <w:t>月</w:t>
      </w:r>
      <w:r>
        <w:rPr>
          <w:rFonts w:hint="eastAsia"/>
          <w:spacing w:val="4"/>
        </w:rPr>
        <w:t>1</w:t>
      </w:r>
      <w:r>
        <w:rPr>
          <w:rFonts w:hint="eastAsia"/>
          <w:spacing w:val="4"/>
        </w:rPr>
        <w:t>日起生效。</w:t>
      </w:r>
      <w:r>
        <w:rPr>
          <w:rStyle w:val="EndnoteReference"/>
          <w:spacing w:val="4"/>
        </w:rPr>
        <w:endnoteReference w:id="214"/>
      </w:r>
      <w:r>
        <w:rPr>
          <w:rFonts w:hint="eastAsia"/>
          <w:spacing w:val="4"/>
        </w:rPr>
        <w:t xml:space="preserve"> </w:t>
      </w:r>
      <w:r>
        <w:rPr>
          <w:rFonts w:hint="eastAsia"/>
          <w:spacing w:val="4"/>
        </w:rPr>
        <w:t>自</w:t>
      </w:r>
      <w:r>
        <w:rPr>
          <w:rFonts w:hint="eastAsia"/>
          <w:spacing w:val="4"/>
        </w:rPr>
        <w:t>1991</w:t>
      </w:r>
      <w:r>
        <w:rPr>
          <w:rFonts w:hint="eastAsia"/>
          <w:spacing w:val="4"/>
        </w:rPr>
        <w:t>年第一次确定维持生计水平以来，它已调整过</w:t>
      </w:r>
      <w:r>
        <w:rPr>
          <w:rFonts w:hint="eastAsia"/>
          <w:spacing w:val="4"/>
        </w:rPr>
        <w:t>7</w:t>
      </w:r>
      <w:r>
        <w:rPr>
          <w:rFonts w:hint="eastAsia"/>
          <w:spacing w:val="4"/>
        </w:rPr>
        <w:t>次</w:t>
      </w:r>
      <w:r>
        <w:rPr>
          <w:rFonts w:hint="eastAsia"/>
        </w:rPr>
        <w:t>。</w:t>
      </w:r>
    </w:p>
    <w:p w:rsidR="00000000" w:rsidRDefault="00000000">
      <w:pPr>
        <w:rPr>
          <w:rFonts w:hint="eastAsia"/>
        </w:rPr>
      </w:pPr>
      <w:r>
        <w:rPr>
          <w:rFonts w:hint="eastAsia"/>
        </w:rPr>
        <w:tab/>
        <w:t xml:space="preserve">352.  </w:t>
      </w:r>
      <w:r>
        <w:rPr>
          <w:rFonts w:hint="eastAsia"/>
          <w:spacing w:val="8"/>
        </w:rPr>
        <w:t>在捷克共和国，维持生计水平不仅仅用作评估收入不足的标准。国家社会照顾资助法自</w:t>
      </w:r>
      <w:r>
        <w:rPr>
          <w:rFonts w:hint="eastAsia"/>
          <w:spacing w:val="8"/>
        </w:rPr>
        <w:t>1996</w:t>
      </w:r>
      <w:r>
        <w:rPr>
          <w:rFonts w:hint="eastAsia"/>
          <w:spacing w:val="8"/>
        </w:rPr>
        <w:t>年通过以来被用作为官方贫困标准，也用作衡量总收入水平的技术工具</w:t>
      </w:r>
      <w:r>
        <w:rPr>
          <w:rFonts w:hint="eastAsia"/>
          <w:spacing w:val="8"/>
        </w:rPr>
        <w:t>(</w:t>
      </w:r>
      <w:r>
        <w:rPr>
          <w:rFonts w:hint="eastAsia"/>
          <w:spacing w:val="8"/>
        </w:rPr>
        <w:t>特别是有子女的家庭</w:t>
      </w:r>
      <w:r>
        <w:rPr>
          <w:rFonts w:hint="eastAsia"/>
          <w:spacing w:val="8"/>
        </w:rPr>
        <w:t>)</w:t>
      </w:r>
      <w:r>
        <w:rPr>
          <w:rFonts w:hint="eastAsia"/>
          <w:spacing w:val="8"/>
        </w:rPr>
        <w:t>，而总收入水平用于确定家庭有资格享受基本福利津贴及其程度。与维持生计水平有关的福利津贴不利于鼓励通过就业取得收入，较大家庭尤其如此。</w:t>
      </w:r>
      <w:r>
        <w:rPr>
          <w:rFonts w:hint="eastAsia"/>
          <w:spacing w:val="8"/>
        </w:rPr>
        <w:t>1998</w:t>
      </w:r>
      <w:r>
        <w:rPr>
          <w:rFonts w:hint="eastAsia"/>
          <w:spacing w:val="8"/>
        </w:rPr>
        <w:t>年国家用于福利资助的支出为</w:t>
      </w:r>
      <w:r>
        <w:rPr>
          <w:rFonts w:hint="eastAsia"/>
          <w:spacing w:val="8"/>
        </w:rPr>
        <w:t>296</w:t>
      </w:r>
      <w:r>
        <w:rPr>
          <w:rFonts w:hint="eastAsia"/>
          <w:spacing w:val="8"/>
        </w:rPr>
        <w:t>亿捷克克朗</w:t>
      </w:r>
      <w:r>
        <w:rPr>
          <w:rFonts w:hint="eastAsia"/>
          <w:spacing w:val="8"/>
        </w:rPr>
        <w:t>(</w:t>
      </w:r>
      <w:r>
        <w:rPr>
          <w:rFonts w:hint="eastAsia"/>
          <w:spacing w:val="8"/>
        </w:rPr>
        <w:t>占国内生产总值的</w:t>
      </w:r>
      <w:r>
        <w:rPr>
          <w:rFonts w:hint="eastAsia"/>
          <w:spacing w:val="8"/>
        </w:rPr>
        <w:t>1.63%)</w:t>
      </w:r>
      <w:r>
        <w:rPr>
          <w:rFonts w:hint="eastAsia"/>
          <w:spacing w:val="8"/>
        </w:rPr>
        <w:t>，比社会照顾津贴支出</w:t>
      </w:r>
      <w:r>
        <w:rPr>
          <w:rFonts w:hint="eastAsia"/>
          <w:spacing w:val="-40"/>
        </w:rPr>
        <w:t>——</w:t>
      </w:r>
      <w:r>
        <w:rPr>
          <w:spacing w:val="8"/>
        </w:rPr>
        <w:t xml:space="preserve"> </w:t>
      </w:r>
      <w:r>
        <w:rPr>
          <w:rFonts w:hint="eastAsia"/>
          <w:spacing w:val="8"/>
        </w:rPr>
        <w:t xml:space="preserve"> </w:t>
      </w:r>
      <w:r>
        <w:rPr>
          <w:rFonts w:hint="eastAsia"/>
          <w:spacing w:val="8"/>
        </w:rPr>
        <w:t>社会保险的第三支柱</w:t>
      </w:r>
      <w:r>
        <w:rPr>
          <w:rFonts w:hint="eastAsia"/>
          <w:spacing w:val="8"/>
        </w:rPr>
        <w:t>(46.5</w:t>
      </w:r>
      <w:r>
        <w:rPr>
          <w:rFonts w:hint="eastAsia"/>
          <w:spacing w:val="8"/>
        </w:rPr>
        <w:t>亿捷克克朗，为国内生产总值的</w:t>
      </w:r>
      <w:r>
        <w:rPr>
          <w:rFonts w:hint="eastAsia"/>
          <w:spacing w:val="8"/>
        </w:rPr>
        <w:t>0.25%)</w:t>
      </w:r>
      <w:r>
        <w:rPr>
          <w:rFonts w:hint="eastAsia"/>
          <w:spacing w:val="-40"/>
        </w:rPr>
        <w:t>——</w:t>
      </w:r>
      <w:r>
        <w:rPr>
          <w:spacing w:val="8"/>
        </w:rPr>
        <w:t xml:space="preserve">  </w:t>
      </w:r>
      <w:r>
        <w:rPr>
          <w:rFonts w:hint="eastAsia"/>
          <w:spacing w:val="8"/>
        </w:rPr>
        <w:t>多</w:t>
      </w:r>
      <w:r>
        <w:rPr>
          <w:rFonts w:hint="eastAsia"/>
          <w:spacing w:val="8"/>
        </w:rPr>
        <w:t>6.4</w:t>
      </w:r>
      <w:r>
        <w:rPr>
          <w:rFonts w:hint="eastAsia"/>
          <w:spacing w:val="8"/>
        </w:rPr>
        <w:t>倍以上。社会照顾津贴旨在为防止物质匮乏给予直接保护</w:t>
      </w:r>
      <w:r>
        <w:rPr>
          <w:rFonts w:hint="eastAsia"/>
          <w:spacing w:val="8"/>
        </w:rPr>
        <w:t>(</w:t>
      </w:r>
      <w:r>
        <w:rPr>
          <w:rFonts w:hint="eastAsia"/>
          <w:spacing w:val="8"/>
        </w:rPr>
        <w:t>它是确立维持生计水平作为社会保护制度组成部分的直接目的</w:t>
      </w:r>
      <w:r>
        <w:rPr>
          <w:rFonts w:hint="eastAsia"/>
          <w:spacing w:val="8"/>
        </w:rPr>
        <w:t>)</w:t>
      </w:r>
      <w:r>
        <w:rPr>
          <w:rFonts w:hint="eastAsia"/>
          <w:spacing w:val="8"/>
        </w:rPr>
        <w:t>。</w:t>
      </w:r>
    </w:p>
    <w:p w:rsidR="00000000" w:rsidRDefault="00000000">
      <w:pPr>
        <w:pStyle w:val="Heading3"/>
        <w:spacing w:before="160" w:after="160"/>
        <w:rPr>
          <w:rFonts w:hint="eastAsia"/>
        </w:rPr>
      </w:pPr>
      <w:r>
        <w:rPr>
          <w:rFonts w:hint="eastAsia"/>
        </w:rPr>
        <w:t>家庭维持生计水平占平均工资</w:t>
      </w:r>
      <w:r>
        <w:rPr>
          <w:rFonts w:hint="eastAsia"/>
        </w:rPr>
        <w:t>(</w:t>
      </w:r>
      <w:r>
        <w:rPr>
          <w:rFonts w:hint="eastAsia"/>
        </w:rPr>
        <w:t>名义工资</w:t>
      </w:r>
      <w:r>
        <w:rPr>
          <w:rFonts w:hint="eastAsia"/>
        </w:rPr>
        <w:t>)</w:t>
      </w:r>
      <w:r>
        <w:rPr>
          <w:rFonts w:hint="eastAsia"/>
        </w:rPr>
        <w:t>的比例</w:t>
      </w:r>
    </w:p>
    <w:tbl>
      <w:tblPr>
        <w:tblW w:w="9216" w:type="dxa"/>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391"/>
        <w:gridCol w:w="1270"/>
        <w:gridCol w:w="1170"/>
        <w:gridCol w:w="1190"/>
        <w:gridCol w:w="1195"/>
      </w:tblGrid>
      <w:tr w:rsidR="00000000">
        <w:tblPrEx>
          <w:tblCellMar>
            <w:top w:w="0" w:type="dxa"/>
            <w:bottom w:w="0" w:type="dxa"/>
          </w:tblCellMar>
        </w:tblPrEx>
        <w:trPr>
          <w:cantSplit/>
          <w:trHeight w:val="195"/>
        </w:trPr>
        <w:tc>
          <w:tcPr>
            <w:tcW w:w="4391"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pPr>
          </w:p>
          <w:p w:rsidR="00000000" w:rsidRDefault="00000000">
            <w:pPr>
              <w:pStyle w:val="aa"/>
              <w:tabs>
                <w:tab w:val="left" w:pos="227"/>
              </w:tabs>
              <w:spacing w:before="60" w:line="240" w:lineRule="exact"/>
              <w:ind w:left="57" w:right="57"/>
            </w:pPr>
          </w:p>
        </w:tc>
        <w:tc>
          <w:tcPr>
            <w:tcW w:w="2440"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rPr>
                <w:rFonts w:hint="eastAsia"/>
              </w:rPr>
            </w:pPr>
            <w:r>
              <w:rPr>
                <w:rFonts w:hint="eastAsia"/>
              </w:rPr>
              <w:t>维持生计水平</w:t>
            </w:r>
            <w:r>
              <w:br/>
            </w:r>
            <w:r>
              <w:rPr>
                <w:rFonts w:hint="eastAsia"/>
              </w:rPr>
              <w:t>(</w:t>
            </w:r>
            <w:r>
              <w:rPr>
                <w:rFonts w:hint="eastAsia"/>
              </w:rPr>
              <w:t>捷克克朗</w:t>
            </w:r>
            <w:r>
              <w:rPr>
                <w:rFonts w:hint="eastAsia"/>
              </w:rPr>
              <w:t>)</w:t>
            </w:r>
          </w:p>
        </w:tc>
        <w:tc>
          <w:tcPr>
            <w:tcW w:w="2385"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rPr>
                <w:rFonts w:hint="eastAsia"/>
              </w:rPr>
            </w:pPr>
            <w:r>
              <w:rPr>
                <w:rFonts w:hint="eastAsia"/>
              </w:rPr>
              <w:t>维持生计水平</w:t>
            </w:r>
            <w:r>
              <w:br/>
            </w:r>
            <w:r>
              <w:rPr>
                <w:rFonts w:hint="eastAsia"/>
              </w:rPr>
              <w:t>占工资的比例</w:t>
            </w:r>
          </w:p>
        </w:tc>
      </w:tr>
      <w:tr w:rsidR="00000000">
        <w:tblPrEx>
          <w:tblCellMar>
            <w:top w:w="0" w:type="dxa"/>
            <w:bottom w:w="0" w:type="dxa"/>
          </w:tblCellMar>
        </w:tblPrEx>
        <w:trPr>
          <w:cantSplit/>
          <w:trHeight w:val="195"/>
        </w:trPr>
        <w:tc>
          <w:tcPr>
            <w:tcW w:w="4391" w:type="dxa"/>
            <w:vMerge/>
            <w:tcBorders>
              <w:top w:val="nil"/>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pPr>
          </w:p>
        </w:tc>
        <w:tc>
          <w:tcPr>
            <w:tcW w:w="1270" w:type="dxa"/>
            <w:tcBorders>
              <w:top w:val="single" w:sz="4" w:space="0" w:color="auto"/>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rPr>
                <w:rFonts w:hint="eastAsia"/>
              </w:rPr>
            </w:pPr>
            <w:r>
              <w:t>1997</w:t>
            </w:r>
            <w:r>
              <w:rPr>
                <w:rFonts w:hint="eastAsia"/>
              </w:rPr>
              <w:t>年</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rPr>
                <w:rFonts w:hint="eastAsia"/>
              </w:rPr>
            </w:pPr>
            <w:r>
              <w:t>1998</w:t>
            </w:r>
            <w:r>
              <w:rPr>
                <w:rFonts w:hint="eastAsia"/>
              </w:rPr>
              <w:t>年</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rPr>
                <w:rFonts w:hint="eastAsia"/>
              </w:rPr>
            </w:pPr>
            <w:r>
              <w:t>1997</w:t>
            </w:r>
            <w:r>
              <w:rPr>
                <w:rFonts w:hint="eastAsia"/>
              </w:rPr>
              <w:t>年</w:t>
            </w:r>
          </w:p>
        </w:tc>
        <w:tc>
          <w:tcPr>
            <w:tcW w:w="1195" w:type="dxa"/>
            <w:tcBorders>
              <w:top w:val="single" w:sz="4" w:space="0" w:color="auto"/>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rPr>
                <w:rFonts w:hint="eastAsia"/>
              </w:rPr>
            </w:pPr>
            <w:r>
              <w:t>1998</w:t>
            </w:r>
            <w:r>
              <w:rPr>
                <w:rFonts w:hint="eastAsia"/>
              </w:rPr>
              <w:t>年</w:t>
            </w:r>
          </w:p>
        </w:tc>
      </w:tr>
      <w:tr w:rsidR="00000000">
        <w:tblPrEx>
          <w:tblCellMar>
            <w:top w:w="0" w:type="dxa"/>
            <w:bottom w:w="0" w:type="dxa"/>
          </w:tblCellMar>
        </w:tblPrEx>
        <w:trPr>
          <w:cantSplit/>
        </w:trPr>
        <w:tc>
          <w:tcPr>
            <w:tcW w:w="4391" w:type="dxa"/>
            <w:tcBorders>
              <w:top w:val="single" w:sz="4" w:space="0" w:color="auto"/>
              <w:left w:val="single" w:sz="4" w:space="0" w:color="auto"/>
              <w:bottom w:val="nil"/>
              <w:right w:val="single" w:sz="4" w:space="0" w:color="auto"/>
            </w:tcBorders>
          </w:tcPr>
          <w:p w:rsidR="00000000" w:rsidRDefault="00000000">
            <w:pPr>
              <w:pStyle w:val="aa"/>
              <w:tabs>
                <w:tab w:val="left" w:pos="227"/>
              </w:tabs>
              <w:spacing w:before="60" w:line="240" w:lineRule="exact"/>
              <w:ind w:left="57" w:right="57"/>
              <w:rPr>
                <w:rFonts w:hint="eastAsia"/>
              </w:rPr>
            </w:pPr>
            <w:r>
              <w:rPr>
                <w:rFonts w:hint="eastAsia"/>
              </w:rPr>
              <w:t>个</w:t>
            </w:r>
            <w:r>
              <w:rPr>
                <w:rFonts w:hint="eastAsia"/>
              </w:rPr>
              <w:t xml:space="preserve">  </w:t>
            </w:r>
            <w:r>
              <w:rPr>
                <w:rFonts w:hint="eastAsia"/>
              </w:rPr>
              <w:t>人</w:t>
            </w:r>
          </w:p>
        </w:tc>
        <w:tc>
          <w:tcPr>
            <w:tcW w:w="1270" w:type="dxa"/>
            <w:tcBorders>
              <w:top w:val="single" w:sz="4" w:space="0" w:color="auto"/>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2 965</w:t>
            </w:r>
          </w:p>
        </w:tc>
        <w:tc>
          <w:tcPr>
            <w:tcW w:w="1170" w:type="dxa"/>
            <w:tcBorders>
              <w:top w:val="single" w:sz="4" w:space="0" w:color="auto"/>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3 333</w:t>
            </w:r>
          </w:p>
        </w:tc>
        <w:tc>
          <w:tcPr>
            <w:tcW w:w="1190" w:type="dxa"/>
            <w:tcBorders>
              <w:top w:val="single" w:sz="4" w:space="0" w:color="auto"/>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27.7</w:t>
            </w:r>
          </w:p>
        </w:tc>
        <w:tc>
          <w:tcPr>
            <w:tcW w:w="1195" w:type="dxa"/>
            <w:tcBorders>
              <w:top w:val="single" w:sz="4" w:space="0" w:color="auto"/>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28.5</w:t>
            </w:r>
          </w:p>
        </w:tc>
      </w:tr>
      <w:tr w:rsidR="00000000">
        <w:tblPrEx>
          <w:tblCellMar>
            <w:top w:w="0" w:type="dxa"/>
            <w:bottom w:w="0" w:type="dxa"/>
          </w:tblCellMar>
        </w:tblPrEx>
        <w:trPr>
          <w:cantSplit/>
        </w:trPr>
        <w:tc>
          <w:tcPr>
            <w:tcW w:w="4391"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rPr>
                <w:rFonts w:hint="eastAsia"/>
              </w:rPr>
            </w:pPr>
            <w:r>
              <w:rPr>
                <w:rFonts w:hint="eastAsia"/>
              </w:rPr>
              <w:t>2</w:t>
            </w:r>
            <w:r>
              <w:rPr>
                <w:rFonts w:hint="eastAsia"/>
              </w:rPr>
              <w:t>个成年人</w:t>
            </w:r>
          </w:p>
        </w:tc>
        <w:tc>
          <w:tcPr>
            <w:tcW w:w="12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5 240</w:t>
            </w:r>
          </w:p>
        </w:tc>
        <w:tc>
          <w:tcPr>
            <w:tcW w:w="11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5 813</w:t>
            </w:r>
          </w:p>
        </w:tc>
        <w:tc>
          <w:tcPr>
            <w:tcW w:w="119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49.0</w:t>
            </w:r>
          </w:p>
        </w:tc>
        <w:tc>
          <w:tcPr>
            <w:tcW w:w="1195"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49.7</w:t>
            </w:r>
          </w:p>
        </w:tc>
      </w:tr>
      <w:tr w:rsidR="00000000">
        <w:tblPrEx>
          <w:tblCellMar>
            <w:top w:w="0" w:type="dxa"/>
            <w:bottom w:w="0" w:type="dxa"/>
          </w:tblCellMar>
        </w:tblPrEx>
        <w:trPr>
          <w:cantSplit/>
        </w:trPr>
        <w:tc>
          <w:tcPr>
            <w:tcW w:w="4391"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rPr>
                <w:rFonts w:hint="eastAsia"/>
              </w:rPr>
            </w:pPr>
            <w:r>
              <w:rPr>
                <w:rFonts w:hint="eastAsia"/>
              </w:rPr>
              <w:t>1</w:t>
            </w:r>
            <w:r>
              <w:rPr>
                <w:rFonts w:hint="eastAsia"/>
              </w:rPr>
              <w:t>个成年人和</w:t>
            </w:r>
            <w:r>
              <w:rPr>
                <w:rFonts w:hint="eastAsia"/>
              </w:rPr>
              <w:t>1</w:t>
            </w:r>
            <w:r>
              <w:rPr>
                <w:rFonts w:hint="eastAsia"/>
              </w:rPr>
              <w:t>个</w:t>
            </w:r>
            <w:r>
              <w:t>(5</w:t>
            </w:r>
            <w:r>
              <w:rPr>
                <w:rFonts w:hint="eastAsia"/>
              </w:rPr>
              <w:t>岁</w:t>
            </w:r>
            <w:r>
              <w:t>)</w:t>
            </w:r>
            <w:r>
              <w:rPr>
                <w:rFonts w:hint="eastAsia"/>
              </w:rPr>
              <w:t>的孩子</w:t>
            </w:r>
          </w:p>
        </w:tc>
        <w:tc>
          <w:tcPr>
            <w:tcW w:w="12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4 715</w:t>
            </w:r>
          </w:p>
        </w:tc>
        <w:tc>
          <w:tcPr>
            <w:tcW w:w="11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5 250</w:t>
            </w:r>
          </w:p>
        </w:tc>
        <w:tc>
          <w:tcPr>
            <w:tcW w:w="119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44.1</w:t>
            </w:r>
          </w:p>
        </w:tc>
        <w:tc>
          <w:tcPr>
            <w:tcW w:w="1195"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44.9</w:t>
            </w:r>
          </w:p>
        </w:tc>
      </w:tr>
      <w:tr w:rsidR="00000000">
        <w:tblPrEx>
          <w:tblCellMar>
            <w:top w:w="0" w:type="dxa"/>
            <w:bottom w:w="0" w:type="dxa"/>
          </w:tblCellMar>
        </w:tblPrEx>
        <w:trPr>
          <w:cantSplit/>
        </w:trPr>
        <w:tc>
          <w:tcPr>
            <w:tcW w:w="4391"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rPr>
                <w:rFonts w:hint="eastAsia"/>
              </w:rPr>
            </w:pPr>
            <w:r>
              <w:rPr>
                <w:rFonts w:hint="eastAsia"/>
              </w:rPr>
              <w:t>两个成年人和</w:t>
            </w:r>
            <w:r>
              <w:rPr>
                <w:rFonts w:hint="eastAsia"/>
              </w:rPr>
              <w:t>1</w:t>
            </w:r>
            <w:r>
              <w:rPr>
                <w:rFonts w:hint="eastAsia"/>
              </w:rPr>
              <w:t>个</w:t>
            </w:r>
            <w:r>
              <w:t>(5</w:t>
            </w:r>
            <w:r>
              <w:rPr>
                <w:rFonts w:hint="eastAsia"/>
              </w:rPr>
              <w:t>岁</w:t>
            </w:r>
            <w:r>
              <w:t>)</w:t>
            </w:r>
            <w:r>
              <w:rPr>
                <w:rFonts w:hint="eastAsia"/>
              </w:rPr>
              <w:t>的孩子</w:t>
            </w:r>
          </w:p>
        </w:tc>
        <w:tc>
          <w:tcPr>
            <w:tcW w:w="12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6 995</w:t>
            </w:r>
          </w:p>
        </w:tc>
        <w:tc>
          <w:tcPr>
            <w:tcW w:w="11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7 740</w:t>
            </w:r>
          </w:p>
        </w:tc>
        <w:tc>
          <w:tcPr>
            <w:tcW w:w="119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65.4</w:t>
            </w:r>
          </w:p>
        </w:tc>
        <w:tc>
          <w:tcPr>
            <w:tcW w:w="1195"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66.2</w:t>
            </w:r>
          </w:p>
        </w:tc>
      </w:tr>
      <w:tr w:rsidR="00000000">
        <w:tblPrEx>
          <w:tblCellMar>
            <w:top w:w="0" w:type="dxa"/>
            <w:bottom w:w="0" w:type="dxa"/>
          </w:tblCellMar>
        </w:tblPrEx>
        <w:trPr>
          <w:cantSplit/>
        </w:trPr>
        <w:tc>
          <w:tcPr>
            <w:tcW w:w="4391"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rPr>
                <w:rFonts w:hint="eastAsia"/>
              </w:rPr>
            </w:pPr>
            <w:r>
              <w:rPr>
                <w:rFonts w:hint="eastAsia"/>
              </w:rPr>
              <w:t>两个成年人和两个</w:t>
            </w:r>
            <w:r>
              <w:t>(8</w:t>
            </w:r>
            <w:r>
              <w:rPr>
                <w:rFonts w:hint="eastAsia"/>
              </w:rPr>
              <w:t>岁和</w:t>
            </w:r>
            <w:r>
              <w:t>12</w:t>
            </w:r>
            <w:r>
              <w:rPr>
                <w:rFonts w:hint="eastAsia"/>
              </w:rPr>
              <w:t>岁</w:t>
            </w:r>
            <w:r>
              <w:t>)</w:t>
            </w:r>
            <w:r>
              <w:rPr>
                <w:rFonts w:hint="eastAsia"/>
              </w:rPr>
              <w:t>的孩子</w:t>
            </w:r>
          </w:p>
        </w:tc>
        <w:tc>
          <w:tcPr>
            <w:tcW w:w="12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9 045</w:t>
            </w:r>
          </w:p>
        </w:tc>
        <w:tc>
          <w:tcPr>
            <w:tcW w:w="117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9 930</w:t>
            </w:r>
          </w:p>
        </w:tc>
        <w:tc>
          <w:tcPr>
            <w:tcW w:w="1190"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84.6</w:t>
            </w:r>
          </w:p>
        </w:tc>
        <w:tc>
          <w:tcPr>
            <w:tcW w:w="1195" w:type="dxa"/>
            <w:tcBorders>
              <w:top w:val="nil"/>
              <w:left w:val="single" w:sz="4" w:space="0" w:color="auto"/>
              <w:bottom w:val="nil"/>
              <w:right w:val="single" w:sz="4" w:space="0" w:color="auto"/>
            </w:tcBorders>
          </w:tcPr>
          <w:p w:rsidR="00000000" w:rsidRDefault="00000000">
            <w:pPr>
              <w:pStyle w:val="aa"/>
              <w:tabs>
                <w:tab w:val="left" w:pos="227"/>
              </w:tabs>
              <w:spacing w:before="60" w:line="240" w:lineRule="exact"/>
              <w:ind w:left="57" w:right="57"/>
              <w:jc w:val="center"/>
            </w:pPr>
            <w:r>
              <w:t>84.9</w:t>
            </w:r>
          </w:p>
        </w:tc>
      </w:tr>
      <w:tr w:rsidR="00000000">
        <w:tblPrEx>
          <w:tblCellMar>
            <w:top w:w="0" w:type="dxa"/>
            <w:bottom w:w="0" w:type="dxa"/>
          </w:tblCellMar>
        </w:tblPrEx>
        <w:trPr>
          <w:cantSplit/>
        </w:trPr>
        <w:tc>
          <w:tcPr>
            <w:tcW w:w="4391" w:type="dxa"/>
            <w:tcBorders>
              <w:top w:val="nil"/>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rPr>
                <w:rFonts w:hint="eastAsia"/>
              </w:rPr>
            </w:pPr>
            <w:r>
              <w:rPr>
                <w:rFonts w:hint="eastAsia"/>
              </w:rPr>
              <w:t>两个成年人和</w:t>
            </w:r>
            <w:r>
              <w:rPr>
                <w:rFonts w:hint="eastAsia"/>
              </w:rPr>
              <w:t>3</w:t>
            </w:r>
            <w:r>
              <w:rPr>
                <w:rFonts w:hint="eastAsia"/>
              </w:rPr>
              <w:t>个</w:t>
            </w:r>
            <w:r>
              <w:t>(5</w:t>
            </w:r>
            <w:r>
              <w:rPr>
                <w:rFonts w:hint="eastAsia"/>
              </w:rPr>
              <w:t>岁、</w:t>
            </w:r>
            <w:r>
              <w:t>8</w:t>
            </w:r>
            <w:r>
              <w:rPr>
                <w:rFonts w:hint="eastAsia"/>
              </w:rPr>
              <w:t>岁和</w:t>
            </w:r>
            <w:r>
              <w:rPr>
                <w:rFonts w:hint="eastAsia"/>
              </w:rPr>
              <w:t>1</w:t>
            </w:r>
            <w:r>
              <w:t>2</w:t>
            </w:r>
            <w:r>
              <w:rPr>
                <w:rFonts w:hint="eastAsia"/>
              </w:rPr>
              <w:t>岁</w:t>
            </w:r>
            <w:r>
              <w:t>)</w:t>
            </w:r>
            <w:r>
              <w:rPr>
                <w:rFonts w:hint="eastAsia"/>
              </w:rPr>
              <w:t>的孩子</w:t>
            </w:r>
          </w:p>
        </w:tc>
        <w:tc>
          <w:tcPr>
            <w:tcW w:w="1270" w:type="dxa"/>
            <w:tcBorders>
              <w:top w:val="nil"/>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pPr>
            <w:r>
              <w:t>10 695</w:t>
            </w:r>
          </w:p>
        </w:tc>
        <w:tc>
          <w:tcPr>
            <w:tcW w:w="1170" w:type="dxa"/>
            <w:tcBorders>
              <w:top w:val="nil"/>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pPr>
            <w:r>
              <w:t>11 718</w:t>
            </w:r>
          </w:p>
        </w:tc>
        <w:tc>
          <w:tcPr>
            <w:tcW w:w="1190" w:type="dxa"/>
            <w:tcBorders>
              <w:top w:val="nil"/>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pPr>
            <w:r>
              <w:t>100.0</w:t>
            </w:r>
          </w:p>
        </w:tc>
        <w:tc>
          <w:tcPr>
            <w:tcW w:w="1195" w:type="dxa"/>
            <w:tcBorders>
              <w:top w:val="nil"/>
              <w:left w:val="single" w:sz="4" w:space="0" w:color="auto"/>
              <w:bottom w:val="single" w:sz="4" w:space="0" w:color="auto"/>
              <w:right w:val="single" w:sz="4" w:space="0" w:color="auto"/>
            </w:tcBorders>
          </w:tcPr>
          <w:p w:rsidR="00000000" w:rsidRDefault="00000000">
            <w:pPr>
              <w:pStyle w:val="aa"/>
              <w:tabs>
                <w:tab w:val="left" w:pos="227"/>
              </w:tabs>
              <w:spacing w:before="60" w:line="240" w:lineRule="exact"/>
              <w:ind w:left="57" w:right="57"/>
              <w:jc w:val="center"/>
            </w:pPr>
            <w:r>
              <w:t>100.2</w:t>
            </w:r>
          </w:p>
        </w:tc>
      </w:tr>
    </w:tbl>
    <w:p w:rsidR="00000000" w:rsidRDefault="00000000">
      <w:pPr>
        <w:pStyle w:val="FootnoteText"/>
        <w:spacing w:before="160"/>
        <w:ind w:left="1200" w:hanging="690"/>
        <w:rPr>
          <w:rFonts w:hint="eastAsia"/>
          <w:sz w:val="21"/>
        </w:rPr>
      </w:pPr>
      <w:r>
        <w:rPr>
          <w:rFonts w:hint="eastAsia"/>
          <w:sz w:val="21"/>
          <w:u w:val="single"/>
        </w:rPr>
        <w:t>说明</w:t>
      </w:r>
      <w:r>
        <w:rPr>
          <w:rFonts w:hint="eastAsia"/>
          <w:sz w:val="21"/>
        </w:rPr>
        <w:t>：平均名义工资</w:t>
      </w:r>
      <w:r>
        <w:rPr>
          <w:rFonts w:hint="eastAsia"/>
          <w:sz w:val="21"/>
        </w:rPr>
        <w:t>1997</w:t>
      </w:r>
      <w:r>
        <w:rPr>
          <w:rFonts w:hint="eastAsia"/>
          <w:sz w:val="21"/>
        </w:rPr>
        <w:t>年</w:t>
      </w:r>
      <w:r>
        <w:rPr>
          <w:rFonts w:hint="eastAsia"/>
          <w:sz w:val="21"/>
        </w:rPr>
        <w:t>10,691</w:t>
      </w:r>
      <w:r>
        <w:rPr>
          <w:rFonts w:hint="eastAsia"/>
          <w:sz w:val="21"/>
        </w:rPr>
        <w:t>捷克克朗，</w:t>
      </w:r>
      <w:r>
        <w:rPr>
          <w:rFonts w:hint="eastAsia"/>
          <w:sz w:val="21"/>
        </w:rPr>
        <w:t>1998</w:t>
      </w:r>
      <w:r>
        <w:rPr>
          <w:rFonts w:hint="eastAsia"/>
          <w:sz w:val="21"/>
        </w:rPr>
        <w:t>年为</w:t>
      </w:r>
      <w:r>
        <w:rPr>
          <w:rFonts w:hint="eastAsia"/>
          <w:sz w:val="21"/>
        </w:rPr>
        <w:t>11,693</w:t>
      </w:r>
      <w:r>
        <w:rPr>
          <w:rFonts w:hint="eastAsia"/>
          <w:sz w:val="21"/>
        </w:rPr>
        <w:t>克朗。计算平均维持生计水平时考虑到当年各项内容的调整情况。</w:t>
      </w:r>
    </w:p>
    <w:p w:rsidR="00000000" w:rsidRDefault="00000000">
      <w:pPr>
        <w:rPr>
          <w:rFonts w:hint="eastAsia"/>
        </w:rPr>
      </w:pPr>
      <w:r>
        <w:rPr>
          <w:rFonts w:hint="eastAsia"/>
        </w:rPr>
        <w:tab/>
        <w:t xml:space="preserve">353.  </w:t>
      </w:r>
      <w:r>
        <w:rPr>
          <w:rFonts w:hint="eastAsia"/>
        </w:rPr>
        <w:t>用经合发组织方法按家庭收入分配衡量贫困程度的估计显示，相对而言捷克共和国贫困户有限。依据</w:t>
      </w:r>
      <w:r>
        <w:rPr>
          <w:rFonts w:hint="eastAsia"/>
        </w:rPr>
        <w:t>1999</w:t>
      </w:r>
      <w:r>
        <w:rPr>
          <w:rFonts w:hint="eastAsia"/>
        </w:rPr>
        <w:t>年微型人口普查为基础进行计算，收入不超过中等水平</w:t>
      </w:r>
      <w:r>
        <w:rPr>
          <w:rFonts w:hint="eastAsia"/>
        </w:rPr>
        <w:t>50%</w:t>
      </w:r>
      <w:r>
        <w:rPr>
          <w:rFonts w:hint="eastAsia"/>
        </w:rPr>
        <w:t>的贫困家庭比例仅为</w:t>
      </w:r>
      <w:r>
        <w:rPr>
          <w:rFonts w:hint="eastAsia"/>
        </w:rPr>
        <w:t>3.61%</w:t>
      </w:r>
      <w:r>
        <w:rPr>
          <w:rFonts w:hint="eastAsia"/>
        </w:rPr>
        <w:t>。其中养老金保险和国家福利资助制度发挥了重要作用。该制度所包含的重要规定事实上将多数养老金领取者和有儿童家庭的收入提高到超出欧洲普遍公认的水平。</w:t>
      </w:r>
    </w:p>
    <w:p w:rsidR="00000000" w:rsidRDefault="00000000">
      <w:pPr>
        <w:rPr>
          <w:rFonts w:hint="eastAsia"/>
        </w:rPr>
      </w:pPr>
      <w:r>
        <w:rPr>
          <w:rFonts w:hint="eastAsia"/>
        </w:rPr>
        <w:tab/>
        <w:t xml:space="preserve">354.  </w:t>
      </w:r>
      <w:r>
        <w:rPr>
          <w:rFonts w:hint="eastAsia"/>
        </w:rPr>
        <w:t>在</w:t>
      </w:r>
      <w:r>
        <w:rPr>
          <w:rFonts w:hint="eastAsia"/>
        </w:rPr>
        <w:t>1996</w:t>
      </w:r>
      <w:r>
        <w:rPr>
          <w:rFonts w:hint="eastAsia"/>
        </w:rPr>
        <w:t>年，捷克共和国</w:t>
      </w:r>
      <w:r>
        <w:rPr>
          <w:rFonts w:hint="eastAsia"/>
        </w:rPr>
        <w:t>2.1%</w:t>
      </w:r>
      <w:r>
        <w:rPr>
          <w:rFonts w:hint="eastAsia"/>
        </w:rPr>
        <w:t>的家庭收入达到平均收入的</w:t>
      </w:r>
      <w:r>
        <w:rPr>
          <w:rFonts w:hint="eastAsia"/>
        </w:rPr>
        <w:t>40%</w:t>
      </w:r>
      <w:r>
        <w:rPr>
          <w:rFonts w:hint="eastAsia"/>
        </w:rPr>
        <w:t>、</w:t>
      </w:r>
      <w:r>
        <w:rPr>
          <w:rFonts w:hint="eastAsia"/>
        </w:rPr>
        <w:t>5.4%</w:t>
      </w:r>
      <w:r>
        <w:rPr>
          <w:rFonts w:hint="eastAsia"/>
        </w:rPr>
        <w:t>的家庭的收入达到平均收入的</w:t>
      </w:r>
      <w:r>
        <w:rPr>
          <w:rFonts w:hint="eastAsia"/>
        </w:rPr>
        <w:t>50%</w:t>
      </w:r>
      <w:r>
        <w:rPr>
          <w:rFonts w:hint="eastAsia"/>
        </w:rPr>
        <w:t>、</w:t>
      </w:r>
      <w:r>
        <w:rPr>
          <w:rFonts w:hint="eastAsia"/>
        </w:rPr>
        <w:t>11.6%</w:t>
      </w:r>
      <w:r>
        <w:rPr>
          <w:rFonts w:hint="eastAsia"/>
        </w:rPr>
        <w:t>的家庭的收入达到平均收入的</w:t>
      </w:r>
      <w:r>
        <w:rPr>
          <w:rFonts w:hint="eastAsia"/>
        </w:rPr>
        <w:t>60%</w:t>
      </w:r>
      <w:r>
        <w:rPr>
          <w:rFonts w:hint="eastAsia"/>
        </w:rPr>
        <w:t>。关于同一年的维持生计水平，</w:t>
      </w:r>
      <w:r>
        <w:rPr>
          <w:rFonts w:hint="eastAsia"/>
        </w:rPr>
        <w:t>2.1%</w:t>
      </w:r>
      <w:r>
        <w:rPr>
          <w:rFonts w:hint="eastAsia"/>
        </w:rPr>
        <w:t>的家庭的收入低于维持生计水平，</w:t>
      </w:r>
      <w:r>
        <w:rPr>
          <w:rFonts w:hint="eastAsia"/>
        </w:rPr>
        <w:t>18%</w:t>
      </w:r>
      <w:r>
        <w:rPr>
          <w:rFonts w:hint="eastAsia"/>
        </w:rPr>
        <w:t>的家庭的收入低于维持生计水平</w:t>
      </w:r>
      <w:r>
        <w:rPr>
          <w:rFonts w:hint="eastAsia"/>
        </w:rPr>
        <w:t>1.6</w:t>
      </w:r>
      <w:r>
        <w:rPr>
          <w:rFonts w:hint="eastAsia"/>
        </w:rPr>
        <w:t>倍。共有</w:t>
      </w:r>
      <w:r>
        <w:rPr>
          <w:rFonts w:hint="eastAsia"/>
        </w:rPr>
        <w:t>70.6%</w:t>
      </w:r>
      <w:r>
        <w:rPr>
          <w:rFonts w:hint="eastAsia"/>
        </w:rPr>
        <w:t>的家庭的收入相当于维持生计水平的三倍，仅</w:t>
      </w:r>
      <w:r>
        <w:rPr>
          <w:rFonts w:hint="eastAsia"/>
        </w:rPr>
        <w:t>29.4%</w:t>
      </w:r>
      <w:r>
        <w:rPr>
          <w:rFonts w:hint="eastAsia"/>
        </w:rPr>
        <w:t>的家庭的收入高于维持生计水平的三倍以上。贫困家庭的主要特点是家庭中较多的人数不从事经济活动以及由仅受过基础教育或仅学过手艺的人当家。</w:t>
      </w:r>
    </w:p>
    <w:p w:rsidR="00000000" w:rsidRDefault="00000000">
      <w:pPr>
        <w:rPr>
          <w:rFonts w:hint="eastAsia"/>
        </w:rPr>
      </w:pPr>
      <w:r>
        <w:rPr>
          <w:rFonts w:hint="eastAsia"/>
        </w:rPr>
        <w:tab/>
        <w:t xml:space="preserve">355.  </w:t>
      </w:r>
      <w:r>
        <w:rPr>
          <w:rFonts w:hint="eastAsia"/>
        </w:rPr>
        <w:t>社会照顾津贴的目的主要是解决生活困难。这种困难可以是沉重的医疗负担、一家庭成员长期失业、生活水准明显下降、自然灾害和其他因素。社会贫困法第</w:t>
      </w:r>
      <w:r>
        <w:rPr>
          <w:rFonts w:hint="eastAsia"/>
        </w:rPr>
        <w:t>4</w:t>
      </w:r>
      <w:r>
        <w:rPr>
          <w:rFonts w:hint="eastAsia"/>
        </w:rPr>
        <w:t>条规定：“向根据本法被视为社会贫困的公民提供一次性或每月财务或物质津贴，以确保食品和其他基本家庭开支”或因意外情况引起的开支增加。“为了确保公民的生活需要</w:t>
      </w:r>
      <w:r>
        <w:rPr>
          <w:rFonts w:hint="eastAsia"/>
        </w:rPr>
        <w:t>(</w:t>
      </w:r>
      <w:r>
        <w:rPr>
          <w:rFonts w:hint="eastAsia"/>
        </w:rPr>
        <w:t>需抚养子女的生活需要</w:t>
      </w:r>
      <w:r>
        <w:rPr>
          <w:rFonts w:hint="eastAsia"/>
        </w:rPr>
        <w:t>)</w:t>
      </w:r>
      <w:r>
        <w:rPr>
          <w:rFonts w:hint="eastAsia"/>
        </w:rPr>
        <w:t>，要考虑他</w:t>
      </w:r>
      <w:r>
        <w:rPr>
          <w:rFonts w:hint="eastAsia"/>
        </w:rPr>
        <w:t>/</w:t>
      </w:r>
      <w:r>
        <w:rPr>
          <w:rFonts w:hint="eastAsia"/>
        </w:rPr>
        <w:t>她是否行使领取了疾病保险</w:t>
      </w:r>
      <w:r>
        <w:rPr>
          <w:rFonts w:hint="eastAsia"/>
        </w:rPr>
        <w:t>(</w:t>
      </w:r>
      <w:r>
        <w:rPr>
          <w:rFonts w:hint="eastAsia"/>
        </w:rPr>
        <w:t>照顾</w:t>
      </w:r>
      <w:r>
        <w:rPr>
          <w:rFonts w:hint="eastAsia"/>
        </w:rPr>
        <w:t>)</w:t>
      </w:r>
      <w:r>
        <w:rPr>
          <w:rFonts w:hint="eastAsia"/>
        </w:rPr>
        <w:t>或养老金保险待遇或国家福利资助津贴的权利，根据家庭法提供的一次性津贴或为购买食品和为帮助购买食品提供的津贴除外。”</w:t>
      </w:r>
    </w:p>
    <w:p w:rsidR="00000000" w:rsidRDefault="00000000">
      <w:pPr>
        <w:rPr>
          <w:rFonts w:hint="eastAsia"/>
        </w:rPr>
      </w:pPr>
      <w:r>
        <w:rPr>
          <w:rFonts w:hint="eastAsia"/>
        </w:rPr>
        <w:tab/>
        <w:t xml:space="preserve">356.  </w:t>
      </w:r>
      <w:r>
        <w:rPr>
          <w:rFonts w:hint="eastAsia"/>
        </w:rPr>
        <w:t>向其收入与他人</w:t>
      </w:r>
      <w:r>
        <w:rPr>
          <w:rFonts w:hint="eastAsia"/>
        </w:rPr>
        <w:t>(</w:t>
      </w:r>
      <w:r>
        <w:rPr>
          <w:rFonts w:hint="eastAsia"/>
        </w:rPr>
        <w:t>例如在一家庭内</w:t>
      </w:r>
      <w:r>
        <w:rPr>
          <w:rFonts w:hint="eastAsia"/>
        </w:rPr>
        <w:t>)</w:t>
      </w:r>
      <w:r>
        <w:rPr>
          <w:rFonts w:hint="eastAsia"/>
        </w:rPr>
        <w:t>联合评估的公民提供一次性或每月重复津贴，以补充所有联合评估人员的收入。社会贫困法规定的基本津贴是：</w:t>
      </w:r>
    </w:p>
    <w:p w:rsidR="00000000" w:rsidRDefault="00000000">
      <w:pPr>
        <w:numPr>
          <w:ilvl w:val="0"/>
          <w:numId w:val="164"/>
        </w:numPr>
        <w:rPr>
          <w:rFonts w:hint="eastAsia"/>
        </w:rPr>
      </w:pPr>
      <w:r>
        <w:rPr>
          <w:rFonts w:hint="eastAsia"/>
        </w:rPr>
        <w:t>抚养儿童津贴</w:t>
      </w:r>
      <w:r>
        <w:rPr>
          <w:rFonts w:hint="eastAsia"/>
        </w:rPr>
        <w:t>(</w:t>
      </w:r>
      <w:r>
        <w:rPr>
          <w:rFonts w:hint="eastAsia"/>
        </w:rPr>
        <w:t>社会贫困法第</w:t>
      </w:r>
      <w:r>
        <w:rPr>
          <w:rFonts w:hint="eastAsia"/>
        </w:rPr>
        <w:t>5</w:t>
      </w:r>
      <w:r>
        <w:rPr>
          <w:rFonts w:hint="eastAsia"/>
        </w:rPr>
        <w:t>条</w:t>
      </w:r>
      <w:r>
        <w:rPr>
          <w:rFonts w:hint="eastAsia"/>
          <w:spacing w:val="-40"/>
        </w:rPr>
        <w:t>--</w:t>
      </w:r>
      <w:r>
        <w:t xml:space="preserve"> </w:t>
      </w:r>
      <w:r>
        <w:rPr>
          <w:rFonts w:hint="eastAsia"/>
        </w:rPr>
        <w:t>一种月津贴，最多不超过维持生计水平，特别是在义务人不履行对子女的赡养义务时，所谓赡养预付款</w:t>
      </w:r>
      <w:r>
        <w:rPr>
          <w:rFonts w:hint="eastAsia"/>
        </w:rPr>
        <w:t>)</w:t>
      </w:r>
      <w:r>
        <w:rPr>
          <w:rFonts w:hint="eastAsia"/>
        </w:rPr>
        <w:t>；</w:t>
      </w:r>
    </w:p>
    <w:p w:rsidR="00000000" w:rsidRDefault="00000000">
      <w:pPr>
        <w:numPr>
          <w:ilvl w:val="0"/>
          <w:numId w:val="164"/>
        </w:numPr>
        <w:rPr>
          <w:rFonts w:hint="eastAsia"/>
        </w:rPr>
      </w:pPr>
      <w:r>
        <w:rPr>
          <w:rFonts w:hint="eastAsia"/>
        </w:rPr>
        <w:t>特别情形中的社会照顾津贴</w:t>
      </w:r>
      <w:r>
        <w:rPr>
          <w:rFonts w:hint="eastAsia"/>
        </w:rPr>
        <w:t>(</w:t>
      </w:r>
      <w:r>
        <w:rPr>
          <w:rFonts w:hint="eastAsia"/>
        </w:rPr>
        <w:t>上述法律第</w:t>
      </w:r>
      <w:r>
        <w:rPr>
          <w:rFonts w:hint="eastAsia"/>
        </w:rPr>
        <w:t>8</w:t>
      </w:r>
      <w:r>
        <w:rPr>
          <w:rFonts w:hint="eastAsia"/>
        </w:rPr>
        <w:t>条</w:t>
      </w:r>
      <w:r>
        <w:rPr>
          <w:rFonts w:hint="eastAsia"/>
        </w:rPr>
        <w:t>)</w:t>
      </w:r>
      <w:r>
        <w:rPr>
          <w:rFonts w:hint="eastAsia"/>
        </w:rPr>
        <w:t>；</w:t>
      </w:r>
    </w:p>
    <w:p w:rsidR="00000000" w:rsidRDefault="00000000">
      <w:pPr>
        <w:numPr>
          <w:ilvl w:val="0"/>
          <w:numId w:val="164"/>
        </w:numPr>
        <w:rPr>
          <w:rFonts w:hint="eastAsia"/>
        </w:rPr>
      </w:pPr>
      <w:r>
        <w:rPr>
          <w:rFonts w:hint="eastAsia"/>
        </w:rPr>
        <w:t>其他财务津贴，尤其以残疾人为对象。</w:t>
      </w:r>
      <w:r>
        <w:rPr>
          <w:rStyle w:val="EndnoteReference"/>
        </w:rPr>
        <w:endnoteReference w:id="215"/>
      </w:r>
    </w:p>
    <w:p w:rsidR="00000000" w:rsidRDefault="00000000">
      <w:pPr>
        <w:rPr>
          <w:rFonts w:hint="eastAsia"/>
        </w:rPr>
      </w:pPr>
      <w:r>
        <w:rPr>
          <w:rFonts w:hint="eastAsia"/>
        </w:rPr>
        <w:tab/>
        <w:t xml:space="preserve">357.  </w:t>
      </w:r>
      <w:r>
        <w:rPr>
          <w:rFonts w:hint="eastAsia"/>
        </w:rPr>
        <w:t>下列津贴和服务根据社会保险法第</w:t>
      </w:r>
      <w:r>
        <w:rPr>
          <w:rFonts w:hint="eastAsia"/>
        </w:rPr>
        <w:t>73</w:t>
      </w:r>
      <w:r>
        <w:rPr>
          <w:rFonts w:hint="eastAsia"/>
        </w:rPr>
        <w:t>条作为社会照顾的一部分提供：财务津贴、物质津贴、教育和咨询照顾、社会法律保护、恢复就业、机构社会看护、其他社会看护机构的看护、家庭看护服务、膳食、文化和娱乐、对严重残疾公民某些群体的特殊优待和无息贷款。社会照顾服务非法定待遇。得到津贴和服务的待遇通常要经过对申请人或家庭社会贫困情况进行审查</w:t>
      </w:r>
      <w:r>
        <w:rPr>
          <w:rFonts w:hint="eastAsia"/>
        </w:rPr>
        <w:t>(</w:t>
      </w:r>
      <w:r>
        <w:rPr>
          <w:rFonts w:hint="eastAsia"/>
        </w:rPr>
        <w:t>为家庭照顾服务付款目的对社会贫困程度进行审查</w:t>
      </w:r>
      <w:r>
        <w:rPr>
          <w:rFonts w:hint="eastAsia"/>
        </w:rPr>
        <w:t>)</w:t>
      </w:r>
      <w:r>
        <w:rPr>
          <w:rFonts w:hint="eastAsia"/>
        </w:rPr>
        <w:t>。</w:t>
      </w:r>
    </w:p>
    <w:p w:rsidR="00000000" w:rsidRDefault="00000000">
      <w:pPr>
        <w:rPr>
          <w:rFonts w:hint="eastAsia"/>
        </w:rPr>
      </w:pPr>
      <w:r>
        <w:rPr>
          <w:rFonts w:hint="eastAsia"/>
        </w:rPr>
        <w:tab/>
        <w:t xml:space="preserve">358.  </w:t>
      </w:r>
      <w:r>
        <w:rPr>
          <w:rFonts w:hint="eastAsia"/>
        </w:rPr>
        <w:t>社会服务除了国家外可由非政府组织和公民提供。国家可向他们捐助这些服务的费用。</w:t>
      </w:r>
    </w:p>
    <w:p w:rsidR="00000000" w:rsidRDefault="00000000">
      <w:pPr>
        <w:spacing w:after="320"/>
        <w:rPr>
          <w:rFonts w:hint="eastAsia"/>
        </w:rPr>
      </w:pPr>
      <w:r>
        <w:rPr>
          <w:rFonts w:hint="eastAsia"/>
        </w:rPr>
        <w:tab/>
        <w:t xml:space="preserve">359.  </w:t>
      </w:r>
      <w:r>
        <w:rPr>
          <w:rFonts w:hint="eastAsia"/>
        </w:rPr>
        <w:t>旨在解决一次性特殊开支的社会照顾津贴可选择一次性财务或物质津贴提供。一次性财务津贴总数不超过</w:t>
      </w:r>
      <w:r>
        <w:rPr>
          <w:rFonts w:hint="eastAsia"/>
        </w:rPr>
        <w:t>15,000</w:t>
      </w:r>
      <w:r>
        <w:rPr>
          <w:rFonts w:hint="eastAsia"/>
        </w:rPr>
        <w:t>克朗。物质津贴总数不超过</w:t>
      </w:r>
      <w:r>
        <w:rPr>
          <w:rFonts w:hint="eastAsia"/>
        </w:rPr>
        <w:t>8,000</w:t>
      </w:r>
      <w:r>
        <w:rPr>
          <w:rFonts w:hint="eastAsia"/>
        </w:rPr>
        <w:t>克朗，特殊情况可达到</w:t>
      </w:r>
      <w:r>
        <w:rPr>
          <w:rFonts w:hint="eastAsia"/>
        </w:rPr>
        <w:t>15,000</w:t>
      </w:r>
      <w:r>
        <w:rPr>
          <w:rFonts w:hint="eastAsia"/>
        </w:rPr>
        <w:t>克朗。此外，还提供下列津贴：为获得儿童基本辅助用品给予的捐助、在寄养儿童结婚时给予的捐助、为其抚养的孤儿使用公寓给予的经济捐助和对领取养恤金者的儿童的娱乐给予的捐助。有儿童的家庭也可利用借无息贷款的机会。然而，他们并不自动享有无息贷款；它由区办事处依据其财力和借贷家庭有无偿还贷款的能力来提供。</w:t>
      </w:r>
    </w:p>
    <w:p w:rsidR="00000000" w:rsidRDefault="00000000">
      <w:pPr>
        <w:pStyle w:val="Heading3"/>
        <w:rPr>
          <w:u w:val="none"/>
        </w:rPr>
      </w:pPr>
      <w:r>
        <w:rPr>
          <w:rFonts w:hint="eastAsia"/>
        </w:rPr>
        <w:t>社会照顾服务支出</w:t>
      </w:r>
      <w:r>
        <w:rPr>
          <w:rFonts w:hint="eastAsia"/>
        </w:rPr>
        <w:t>(</w:t>
      </w:r>
      <w:r>
        <w:rPr>
          <w:rFonts w:hint="eastAsia"/>
        </w:rPr>
        <w:t>单位：百万克朗</w:t>
      </w:r>
      <w:r>
        <w:rPr>
          <w:rFonts w:hint="eastAsia"/>
          <w:u w:val="none"/>
        </w:rPr>
        <w:t>)</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407"/>
        <w:gridCol w:w="964"/>
        <w:gridCol w:w="964"/>
        <w:gridCol w:w="964"/>
        <w:gridCol w:w="964"/>
        <w:gridCol w:w="964"/>
      </w:tblGrid>
      <w:tr w:rsidR="00000000">
        <w:tblPrEx>
          <w:tblCellMar>
            <w:top w:w="0" w:type="dxa"/>
            <w:bottom w:w="0" w:type="dxa"/>
          </w:tblCellMar>
        </w:tblPrEx>
        <w:tc>
          <w:tcPr>
            <w:tcW w:w="4407" w:type="dxa"/>
            <w:tcBorders>
              <w:top w:val="single" w:sz="4" w:space="0" w:color="auto"/>
              <w:left w:val="single" w:sz="4" w:space="0" w:color="auto"/>
              <w:bottom w:val="single" w:sz="4" w:space="0" w:color="auto"/>
              <w:right w:val="single" w:sz="4" w:space="0" w:color="auto"/>
            </w:tcBorders>
          </w:tcPr>
          <w:p w:rsidR="00000000" w:rsidRDefault="00000000">
            <w:pPr>
              <w:pStyle w:val="aa"/>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aa"/>
              <w:rPr>
                <w:rFonts w:hint="eastAsia"/>
              </w:rPr>
            </w:pPr>
            <w:r>
              <w:t>1991</w:t>
            </w:r>
            <w:r>
              <w:rPr>
                <w:rFonts w:hint="eastAsia"/>
              </w:rPr>
              <w:t>年</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aa"/>
              <w:rPr>
                <w:rFonts w:hint="eastAsia"/>
              </w:rPr>
            </w:pPr>
            <w:r>
              <w:t>1995</w:t>
            </w:r>
            <w:r>
              <w:rPr>
                <w:rFonts w:hint="eastAsia"/>
              </w:rPr>
              <w:t>年</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aa"/>
              <w:rPr>
                <w:rFonts w:hint="eastAsia"/>
              </w:rPr>
            </w:pPr>
            <w:r>
              <w:t>1996</w:t>
            </w:r>
            <w:r>
              <w:rPr>
                <w:rFonts w:hint="eastAsia"/>
              </w:rPr>
              <w:t>年</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aa"/>
              <w:rPr>
                <w:rFonts w:hint="eastAsia"/>
              </w:rPr>
            </w:pPr>
            <w:r>
              <w:t>1997</w:t>
            </w:r>
            <w:r>
              <w:rPr>
                <w:rFonts w:hint="eastAsia"/>
              </w:rPr>
              <w:t>年</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aa"/>
              <w:rPr>
                <w:rFonts w:hint="eastAsia"/>
              </w:rPr>
            </w:pPr>
            <w:r>
              <w:t>1998</w:t>
            </w:r>
            <w:r>
              <w:rPr>
                <w:rFonts w:hint="eastAsia"/>
              </w:rPr>
              <w:t>年</w:t>
            </w:r>
          </w:p>
        </w:tc>
      </w:tr>
      <w:tr w:rsidR="00000000">
        <w:tblPrEx>
          <w:tblCellMar>
            <w:top w:w="0" w:type="dxa"/>
            <w:bottom w:w="0" w:type="dxa"/>
          </w:tblCellMar>
        </w:tblPrEx>
        <w:tc>
          <w:tcPr>
            <w:tcW w:w="4407"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总</w:t>
            </w:r>
            <w:r>
              <w:rPr>
                <w:rFonts w:hint="eastAsia"/>
              </w:rPr>
              <w:t xml:space="preserve">  </w:t>
            </w:r>
            <w:r>
              <w:rPr>
                <w:rFonts w:hint="eastAsia"/>
              </w:rPr>
              <w:t>计</w:t>
            </w:r>
          </w:p>
        </w:tc>
        <w:tc>
          <w:tcPr>
            <w:tcW w:w="964" w:type="dxa"/>
            <w:tcBorders>
              <w:top w:val="single" w:sz="4" w:space="0" w:color="auto"/>
              <w:left w:val="single" w:sz="4" w:space="0" w:color="auto"/>
              <w:bottom w:val="nil"/>
              <w:right w:val="single" w:sz="4" w:space="0" w:color="auto"/>
            </w:tcBorders>
          </w:tcPr>
          <w:p w:rsidR="00000000" w:rsidRDefault="00000000">
            <w:pPr>
              <w:pStyle w:val="aa"/>
              <w:ind w:right="170"/>
              <w:jc w:val="right"/>
            </w:pPr>
            <w:r>
              <w:t>1,351</w:t>
            </w:r>
          </w:p>
        </w:tc>
        <w:tc>
          <w:tcPr>
            <w:tcW w:w="964" w:type="dxa"/>
            <w:tcBorders>
              <w:top w:val="single" w:sz="4" w:space="0" w:color="auto"/>
              <w:left w:val="single" w:sz="4" w:space="0" w:color="auto"/>
              <w:bottom w:val="nil"/>
              <w:right w:val="single" w:sz="4" w:space="0" w:color="auto"/>
            </w:tcBorders>
          </w:tcPr>
          <w:p w:rsidR="00000000" w:rsidRDefault="00000000">
            <w:pPr>
              <w:pStyle w:val="aa"/>
              <w:ind w:right="170"/>
              <w:jc w:val="right"/>
            </w:pPr>
            <w:r>
              <w:t>4,112</w:t>
            </w:r>
          </w:p>
        </w:tc>
        <w:tc>
          <w:tcPr>
            <w:tcW w:w="964" w:type="dxa"/>
            <w:tcBorders>
              <w:top w:val="single" w:sz="4" w:space="0" w:color="auto"/>
              <w:left w:val="single" w:sz="4" w:space="0" w:color="auto"/>
              <w:bottom w:val="nil"/>
              <w:right w:val="single" w:sz="4" w:space="0" w:color="auto"/>
            </w:tcBorders>
          </w:tcPr>
          <w:p w:rsidR="00000000" w:rsidRDefault="00000000">
            <w:pPr>
              <w:pStyle w:val="aa"/>
              <w:ind w:right="170"/>
              <w:jc w:val="right"/>
            </w:pPr>
            <w:r>
              <w:t>4,171</w:t>
            </w:r>
          </w:p>
        </w:tc>
        <w:tc>
          <w:tcPr>
            <w:tcW w:w="964" w:type="dxa"/>
            <w:tcBorders>
              <w:top w:val="single" w:sz="4" w:space="0" w:color="auto"/>
              <w:left w:val="single" w:sz="4" w:space="0" w:color="auto"/>
              <w:bottom w:val="nil"/>
              <w:right w:val="single" w:sz="4" w:space="0" w:color="auto"/>
            </w:tcBorders>
          </w:tcPr>
          <w:p w:rsidR="00000000" w:rsidRDefault="00000000">
            <w:pPr>
              <w:pStyle w:val="aa"/>
              <w:ind w:right="170"/>
              <w:jc w:val="right"/>
            </w:pPr>
            <w:r>
              <w:t>5,188</w:t>
            </w:r>
          </w:p>
        </w:tc>
        <w:tc>
          <w:tcPr>
            <w:tcW w:w="964" w:type="dxa"/>
            <w:tcBorders>
              <w:top w:val="single" w:sz="4" w:space="0" w:color="auto"/>
              <w:left w:val="single" w:sz="4" w:space="0" w:color="auto"/>
              <w:bottom w:val="nil"/>
              <w:right w:val="single" w:sz="4" w:space="0" w:color="auto"/>
            </w:tcBorders>
          </w:tcPr>
          <w:p w:rsidR="00000000" w:rsidRDefault="00000000">
            <w:pPr>
              <w:pStyle w:val="aa"/>
              <w:ind w:right="170"/>
              <w:jc w:val="right"/>
            </w:pPr>
            <w:r>
              <w:t>6,644</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其中用于下列人的照顾为：</w:t>
            </w:r>
          </w:p>
        </w:tc>
        <w:tc>
          <w:tcPr>
            <w:tcW w:w="964" w:type="dxa"/>
            <w:tcBorders>
              <w:top w:val="nil"/>
              <w:left w:val="single" w:sz="4" w:space="0" w:color="auto"/>
              <w:bottom w:val="nil"/>
              <w:right w:val="single" w:sz="4" w:space="0" w:color="auto"/>
            </w:tcBorders>
          </w:tcPr>
          <w:p w:rsidR="00000000" w:rsidRDefault="00000000">
            <w:pPr>
              <w:pStyle w:val="aa"/>
              <w:ind w:right="170"/>
              <w:jc w:val="right"/>
            </w:pPr>
          </w:p>
        </w:tc>
        <w:tc>
          <w:tcPr>
            <w:tcW w:w="964" w:type="dxa"/>
            <w:tcBorders>
              <w:top w:val="nil"/>
              <w:left w:val="single" w:sz="4" w:space="0" w:color="auto"/>
              <w:bottom w:val="nil"/>
              <w:right w:val="single" w:sz="4" w:space="0" w:color="auto"/>
            </w:tcBorders>
          </w:tcPr>
          <w:p w:rsidR="00000000" w:rsidRDefault="00000000">
            <w:pPr>
              <w:pStyle w:val="aa"/>
              <w:ind w:right="170"/>
              <w:jc w:val="right"/>
            </w:pPr>
          </w:p>
        </w:tc>
        <w:tc>
          <w:tcPr>
            <w:tcW w:w="964" w:type="dxa"/>
            <w:tcBorders>
              <w:top w:val="nil"/>
              <w:left w:val="single" w:sz="4" w:space="0" w:color="auto"/>
              <w:bottom w:val="nil"/>
              <w:right w:val="single" w:sz="4" w:space="0" w:color="auto"/>
            </w:tcBorders>
          </w:tcPr>
          <w:p w:rsidR="00000000" w:rsidRDefault="00000000">
            <w:pPr>
              <w:pStyle w:val="aa"/>
              <w:ind w:right="170"/>
              <w:jc w:val="right"/>
            </w:pPr>
          </w:p>
        </w:tc>
        <w:tc>
          <w:tcPr>
            <w:tcW w:w="964" w:type="dxa"/>
            <w:tcBorders>
              <w:top w:val="nil"/>
              <w:left w:val="single" w:sz="4" w:space="0" w:color="auto"/>
              <w:bottom w:val="nil"/>
              <w:right w:val="single" w:sz="4" w:space="0" w:color="auto"/>
            </w:tcBorders>
          </w:tcPr>
          <w:p w:rsidR="00000000" w:rsidRDefault="00000000">
            <w:pPr>
              <w:pStyle w:val="aa"/>
              <w:ind w:right="170"/>
              <w:jc w:val="right"/>
            </w:pPr>
          </w:p>
        </w:tc>
        <w:tc>
          <w:tcPr>
            <w:tcW w:w="964" w:type="dxa"/>
            <w:tcBorders>
              <w:top w:val="nil"/>
              <w:left w:val="single" w:sz="4" w:space="0" w:color="auto"/>
              <w:bottom w:val="nil"/>
              <w:right w:val="single" w:sz="4" w:space="0" w:color="auto"/>
            </w:tcBorders>
          </w:tcPr>
          <w:p w:rsidR="00000000" w:rsidRDefault="00000000">
            <w:pPr>
              <w:pStyle w:val="aa"/>
              <w:ind w:right="170"/>
              <w:jc w:val="right"/>
            </w:pP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老年人</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717</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697</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622</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591</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743</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残疾和严重残疾人</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217</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851</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1,407</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1,621</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1,519</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有儿童的家庭</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390</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1,853</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1,388</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1,604</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2,317</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被劳工市场排除在外的人</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12</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704</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748</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1,358</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2,056</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不适应社会的人</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14</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8</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10</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14</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9</w:t>
            </w:r>
          </w:p>
        </w:tc>
      </w:tr>
      <w:tr w:rsidR="00000000">
        <w:tblPrEx>
          <w:tblCellMar>
            <w:top w:w="0" w:type="dxa"/>
            <w:bottom w:w="0" w:type="dxa"/>
          </w:tblCellMar>
        </w:tblPrEx>
        <w:tc>
          <w:tcPr>
            <w:tcW w:w="4407"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家庭</w:t>
            </w:r>
            <w:r>
              <w:rPr>
                <w:rFonts w:hint="eastAsia"/>
              </w:rPr>
              <w:t>(</w:t>
            </w:r>
            <w:r>
              <w:rPr>
                <w:rFonts w:hint="eastAsia"/>
              </w:rPr>
              <w:t>社区</w:t>
            </w:r>
            <w:r>
              <w:rPr>
                <w:rFonts w:hint="eastAsia"/>
              </w:rPr>
              <w:t>)</w:t>
            </w:r>
            <w:r>
              <w:rPr>
                <w:rFonts w:hint="eastAsia"/>
              </w:rPr>
              <w:t>照顾服务</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186</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640</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761</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733</w:t>
            </w:r>
          </w:p>
        </w:tc>
        <w:tc>
          <w:tcPr>
            <w:tcW w:w="964" w:type="dxa"/>
            <w:tcBorders>
              <w:top w:val="nil"/>
              <w:left w:val="single" w:sz="4" w:space="0" w:color="auto"/>
              <w:bottom w:val="nil"/>
              <w:right w:val="single" w:sz="4" w:space="0" w:color="auto"/>
            </w:tcBorders>
          </w:tcPr>
          <w:p w:rsidR="00000000" w:rsidRDefault="00000000">
            <w:pPr>
              <w:pStyle w:val="aa"/>
              <w:ind w:right="170"/>
              <w:jc w:val="right"/>
            </w:pPr>
            <w:r>
              <w:t>783</w:t>
            </w:r>
          </w:p>
        </w:tc>
      </w:tr>
      <w:tr w:rsidR="00000000">
        <w:tblPrEx>
          <w:tblCellMar>
            <w:top w:w="0" w:type="dxa"/>
            <w:bottom w:w="0" w:type="dxa"/>
          </w:tblCellMar>
        </w:tblPrEx>
        <w:tc>
          <w:tcPr>
            <w:tcW w:w="4407"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由机构提供的社会照顾</w:t>
            </w:r>
          </w:p>
        </w:tc>
        <w:tc>
          <w:tcPr>
            <w:tcW w:w="964" w:type="dxa"/>
            <w:tcBorders>
              <w:top w:val="nil"/>
              <w:left w:val="single" w:sz="4" w:space="0" w:color="auto"/>
              <w:bottom w:val="single" w:sz="4" w:space="0" w:color="auto"/>
              <w:right w:val="single" w:sz="4" w:space="0" w:color="auto"/>
            </w:tcBorders>
          </w:tcPr>
          <w:p w:rsidR="00000000" w:rsidRDefault="00000000">
            <w:pPr>
              <w:pStyle w:val="aa"/>
              <w:ind w:right="170"/>
              <w:jc w:val="right"/>
            </w:pPr>
            <w:r>
              <w:t>1,852</w:t>
            </w:r>
          </w:p>
        </w:tc>
        <w:tc>
          <w:tcPr>
            <w:tcW w:w="964" w:type="dxa"/>
            <w:tcBorders>
              <w:top w:val="nil"/>
              <w:left w:val="single" w:sz="4" w:space="0" w:color="auto"/>
              <w:bottom w:val="single" w:sz="4" w:space="0" w:color="auto"/>
              <w:right w:val="single" w:sz="4" w:space="0" w:color="auto"/>
            </w:tcBorders>
          </w:tcPr>
          <w:p w:rsidR="00000000" w:rsidRDefault="00000000">
            <w:pPr>
              <w:pStyle w:val="aa"/>
              <w:ind w:right="170"/>
              <w:jc w:val="right"/>
            </w:pPr>
            <w:r>
              <w:t>4,703</w:t>
            </w:r>
          </w:p>
        </w:tc>
        <w:tc>
          <w:tcPr>
            <w:tcW w:w="964" w:type="dxa"/>
            <w:tcBorders>
              <w:top w:val="nil"/>
              <w:left w:val="single" w:sz="4" w:space="0" w:color="auto"/>
              <w:bottom w:val="single" w:sz="4" w:space="0" w:color="auto"/>
              <w:right w:val="single" w:sz="4" w:space="0" w:color="auto"/>
            </w:tcBorders>
          </w:tcPr>
          <w:p w:rsidR="00000000" w:rsidRDefault="00000000">
            <w:pPr>
              <w:pStyle w:val="aa"/>
              <w:ind w:right="170"/>
              <w:jc w:val="right"/>
            </w:pPr>
            <w:r>
              <w:t>5,252</w:t>
            </w:r>
          </w:p>
        </w:tc>
        <w:tc>
          <w:tcPr>
            <w:tcW w:w="964" w:type="dxa"/>
            <w:tcBorders>
              <w:top w:val="nil"/>
              <w:left w:val="single" w:sz="4" w:space="0" w:color="auto"/>
              <w:bottom w:val="single" w:sz="4" w:space="0" w:color="auto"/>
              <w:right w:val="single" w:sz="4" w:space="0" w:color="auto"/>
            </w:tcBorders>
          </w:tcPr>
          <w:p w:rsidR="00000000" w:rsidRDefault="00000000">
            <w:pPr>
              <w:pStyle w:val="aa"/>
              <w:ind w:right="170"/>
              <w:jc w:val="right"/>
            </w:pPr>
            <w:r>
              <w:t>5,479</w:t>
            </w:r>
          </w:p>
        </w:tc>
        <w:tc>
          <w:tcPr>
            <w:tcW w:w="964" w:type="dxa"/>
            <w:tcBorders>
              <w:top w:val="nil"/>
              <w:left w:val="single" w:sz="4" w:space="0" w:color="auto"/>
              <w:bottom w:val="single" w:sz="4" w:space="0" w:color="auto"/>
              <w:right w:val="single" w:sz="4" w:space="0" w:color="auto"/>
            </w:tcBorders>
          </w:tcPr>
          <w:p w:rsidR="00000000" w:rsidRDefault="00000000">
            <w:pPr>
              <w:pStyle w:val="aa"/>
              <w:ind w:right="170"/>
              <w:jc w:val="right"/>
            </w:pPr>
            <w:r>
              <w:t>5,998</w:t>
            </w:r>
          </w:p>
        </w:tc>
      </w:tr>
    </w:tbl>
    <w:p w:rsidR="00000000" w:rsidRDefault="00000000">
      <w:pPr>
        <w:pStyle w:val="FootnoteText"/>
        <w:spacing w:before="160" w:after="320"/>
        <w:ind w:left="1587" w:hanging="1077"/>
        <w:rPr>
          <w:rFonts w:hint="eastAsia"/>
          <w:sz w:val="21"/>
        </w:rPr>
      </w:pPr>
      <w:r>
        <w:rPr>
          <w:rFonts w:hint="eastAsia"/>
          <w:sz w:val="21"/>
        </w:rPr>
        <w:t xml:space="preserve">  </w:t>
      </w:r>
      <w:r>
        <w:rPr>
          <w:rFonts w:hint="eastAsia"/>
          <w:sz w:val="21"/>
          <w:u w:val="single"/>
        </w:rPr>
        <w:t>资料来源</w:t>
      </w:r>
      <w:r>
        <w:rPr>
          <w:rFonts w:hint="eastAsia"/>
          <w:sz w:val="21"/>
        </w:rPr>
        <w:t>：劳工和社会事务部；</w:t>
      </w:r>
      <w:r>
        <w:rPr>
          <w:rFonts w:hint="eastAsia"/>
          <w:sz w:val="21"/>
        </w:rPr>
        <w:t>1999</w:t>
      </w:r>
      <w:r>
        <w:rPr>
          <w:rFonts w:hint="eastAsia"/>
          <w:sz w:val="21"/>
        </w:rPr>
        <w:t>年捷克共和国统计年鉴。</w:t>
      </w:r>
    </w:p>
    <w:p w:rsidR="00000000" w:rsidRDefault="00000000">
      <w:pPr>
        <w:rPr>
          <w:rFonts w:hint="eastAsia"/>
        </w:rPr>
      </w:pPr>
      <w:r>
        <w:rPr>
          <w:rFonts w:hint="eastAsia"/>
        </w:rPr>
        <w:tab/>
        <w:t xml:space="preserve">360.  </w:t>
      </w:r>
      <w:r>
        <w:rPr>
          <w:rFonts w:hint="eastAsia"/>
        </w:rPr>
        <w:t>现有社会照顾制度</w:t>
      </w:r>
      <w:r>
        <w:rPr>
          <w:rFonts w:hint="eastAsia"/>
        </w:rPr>
        <w:t xml:space="preserve"> </w:t>
      </w:r>
      <w:r>
        <w:rPr>
          <w:rStyle w:val="EndnoteReference"/>
        </w:rPr>
        <w:endnoteReference w:id="216"/>
      </w:r>
      <w:r>
        <w:rPr>
          <w:rFonts w:hint="eastAsia"/>
        </w:rPr>
        <w:t xml:space="preserve"> </w:t>
      </w:r>
      <w:r>
        <w:rPr>
          <w:rFonts w:hint="eastAsia"/>
        </w:rPr>
        <w:t>分为社会照顾津贴和社会照顾服务，处理因各种原因需要物质帮助的公民的情况，主要是符合社会贫困法规定的条件的公民。在公民不符合这些条件的情形中，如果他们的健康有受到严重伤害的危险，可以根据社会贫困法第</w:t>
      </w:r>
      <w:r>
        <w:rPr>
          <w:rFonts w:hint="eastAsia"/>
        </w:rPr>
        <w:t>8</w:t>
      </w:r>
      <w:r>
        <w:t>a</w:t>
      </w:r>
      <w:r>
        <w:rPr>
          <w:rFonts w:hint="eastAsia"/>
        </w:rPr>
        <w:t>条向他们提供必要的津贴和服务。对在捷克共和国无长期居住权的未成年人不仅在其健康有受到严重伤害之险的情形中而且在其正常成长受到威胁的情形中均得向其提供津贴和服务。</w:t>
      </w:r>
    </w:p>
    <w:p w:rsidR="00000000" w:rsidRDefault="00000000">
      <w:pPr>
        <w:spacing w:after="320"/>
        <w:rPr>
          <w:rFonts w:hint="eastAsia"/>
        </w:rPr>
      </w:pPr>
      <w:r>
        <w:rPr>
          <w:rFonts w:hint="eastAsia"/>
        </w:rPr>
        <w:tab/>
        <w:t xml:space="preserve">361.  </w:t>
      </w:r>
      <w:r>
        <w:rPr>
          <w:rFonts w:hint="eastAsia"/>
        </w:rPr>
        <w:t>社会照顾制度需要改革。在解决物质需要时，该制度的改革应根据受援者通过自己的行动包括利用资产解决其情况所作的努力来更好地区别援助的程度和形式。改革也应提出明确和可执行的要求，请公民积极努力解决其社会情况并与适当部门合作，然而当受援者得到其他社会保护制度</w:t>
      </w:r>
      <w:r>
        <w:rPr>
          <w:rFonts w:hint="eastAsia"/>
        </w:rPr>
        <w:t>(</w:t>
      </w:r>
      <w:r>
        <w:rPr>
          <w:rFonts w:hint="eastAsia"/>
        </w:rPr>
        <w:t>如疾病保险、失业支助</w:t>
      </w:r>
      <w:r>
        <w:rPr>
          <w:rFonts w:hint="eastAsia"/>
        </w:rPr>
        <w:t>)</w:t>
      </w:r>
      <w:r>
        <w:rPr>
          <w:rFonts w:hint="eastAsia"/>
        </w:rPr>
        <w:t>的津贴，但不能解决其生活需要和至少在实质上不能解决其家庭需要时，这些改革也应同时在一定时期内提供更为有利的条件；也需要根据物质需要对帮助加以区别。就社会服务而言，有必要发展新类型的服务，同时减少某些传统服务。我们认为，儿童教育和给残疾人提供的社会照顾非制度化十分重要。基本原则应该是依靠个人和家庭自己的能力。</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pStyle w:val="Heading4"/>
        <w:rPr>
          <w:rFonts w:hint="eastAsia"/>
        </w:rPr>
      </w:pPr>
      <w:r>
        <w:rPr>
          <w:rFonts w:hint="eastAsia"/>
        </w:rPr>
        <w:t>第</w:t>
      </w:r>
      <w:r>
        <w:rPr>
          <w:rFonts w:hint="eastAsia"/>
        </w:rPr>
        <w:t xml:space="preserve"> 1 </w:t>
      </w:r>
      <w:r>
        <w:rPr>
          <w:rFonts w:hint="eastAsia"/>
        </w:rPr>
        <w:t>款</w:t>
      </w:r>
    </w:p>
    <w:p w:rsidR="00000000" w:rsidRDefault="00000000">
      <w:pPr>
        <w:rPr>
          <w:rFonts w:hint="eastAsia"/>
        </w:rPr>
      </w:pPr>
      <w:r>
        <w:rPr>
          <w:rFonts w:hint="eastAsia"/>
        </w:rPr>
        <w:tab/>
        <w:t xml:space="preserve">362.  </w:t>
      </w:r>
      <w:r>
        <w:rPr>
          <w:rFonts w:hint="eastAsia"/>
        </w:rPr>
        <w:t>保护和援助家庭的基础是宪章第</w:t>
      </w:r>
      <w:r>
        <w:rPr>
          <w:rFonts w:hint="eastAsia"/>
        </w:rPr>
        <w:t>32</w:t>
      </w:r>
      <w:r>
        <w:rPr>
          <w:rFonts w:hint="eastAsia"/>
        </w:rPr>
        <w:t>条：</w:t>
      </w:r>
    </w:p>
    <w:p w:rsidR="00000000" w:rsidRDefault="00000000">
      <w:pPr>
        <w:pStyle w:val="a5"/>
        <w:rPr>
          <w:rFonts w:hint="eastAsia"/>
        </w:rPr>
      </w:pPr>
      <w:r>
        <w:rPr>
          <w:rFonts w:hint="eastAsia"/>
        </w:rPr>
        <w:t>“</w:t>
      </w:r>
      <w:r>
        <w:rPr>
          <w:rFonts w:hint="eastAsia"/>
        </w:rPr>
        <w:t>(1)</w:t>
      </w:r>
      <w:r>
        <w:rPr>
          <w:rFonts w:hint="eastAsia"/>
        </w:rPr>
        <w:tab/>
      </w:r>
      <w:r>
        <w:rPr>
          <w:rFonts w:hint="eastAsia"/>
        </w:rPr>
        <w:t>父母身份和家庭受法律保护。儿童和青少年受到特别保护。</w:t>
      </w:r>
    </w:p>
    <w:p w:rsidR="00000000" w:rsidRDefault="00000000">
      <w:pPr>
        <w:pStyle w:val="a5"/>
        <w:ind w:left="2040" w:hanging="1019"/>
        <w:rPr>
          <w:rFonts w:hint="eastAsia"/>
        </w:rPr>
      </w:pPr>
      <w:r>
        <w:rPr>
          <w:rFonts w:hint="eastAsia"/>
        </w:rPr>
        <w:t>“</w:t>
      </w:r>
      <w:r>
        <w:rPr>
          <w:rFonts w:hint="eastAsia"/>
        </w:rPr>
        <w:t>(2)</w:t>
      </w:r>
      <w:r>
        <w:rPr>
          <w:rFonts w:hint="eastAsia"/>
        </w:rPr>
        <w:tab/>
      </w:r>
      <w:r>
        <w:rPr>
          <w:rFonts w:hint="eastAsia"/>
        </w:rPr>
        <w:t>孕妇保证提到特别照顾，在劳资关系中受到保护和享有适当的工作条件。</w:t>
      </w:r>
    </w:p>
    <w:p w:rsidR="00000000" w:rsidRDefault="00000000">
      <w:pPr>
        <w:pStyle w:val="a5"/>
        <w:ind w:left="2040" w:hanging="1019"/>
        <w:rPr>
          <w:rFonts w:hint="eastAsia"/>
        </w:rPr>
      </w:pPr>
      <w:r>
        <w:rPr>
          <w:rFonts w:hint="eastAsia"/>
        </w:rPr>
        <w:t>“</w:t>
      </w:r>
      <w:r>
        <w:rPr>
          <w:rFonts w:hint="eastAsia"/>
        </w:rPr>
        <w:t>(3)</w:t>
      </w:r>
      <w:r>
        <w:rPr>
          <w:rFonts w:hint="eastAsia"/>
        </w:rPr>
        <w:tab/>
      </w:r>
      <w:r>
        <w:rPr>
          <w:rFonts w:hint="eastAsia"/>
        </w:rPr>
        <w:t>无论婚生还是非婚生儿童均享有公平权利。</w:t>
      </w:r>
    </w:p>
    <w:p w:rsidR="00000000" w:rsidRDefault="00000000">
      <w:pPr>
        <w:pStyle w:val="a5"/>
        <w:ind w:left="2040" w:hanging="1019"/>
        <w:rPr>
          <w:rFonts w:hint="eastAsia"/>
        </w:rPr>
      </w:pPr>
      <w:r>
        <w:rPr>
          <w:rFonts w:hint="eastAsia"/>
        </w:rPr>
        <w:t>“</w:t>
      </w:r>
      <w:r>
        <w:rPr>
          <w:rFonts w:hint="eastAsia"/>
        </w:rPr>
        <w:t>(4)</w:t>
      </w:r>
      <w:r>
        <w:rPr>
          <w:rFonts w:hint="eastAsia"/>
        </w:rPr>
        <w:tab/>
      </w:r>
      <w:r>
        <w:rPr>
          <w:rFonts w:hint="eastAsia"/>
        </w:rPr>
        <w:t>照顾和抚养儿童是父母的权利，儿童享有父母抚养和照顾的权利。只有法院依据法律作出的决定才可限制父母的权利和在违背父母意愿的情况下取消父母对未成年儿童的监护权。</w:t>
      </w:r>
    </w:p>
    <w:p w:rsidR="00000000" w:rsidRDefault="00000000">
      <w:pPr>
        <w:pStyle w:val="a5"/>
        <w:rPr>
          <w:rFonts w:hint="eastAsia"/>
        </w:rPr>
      </w:pPr>
      <w:r>
        <w:rPr>
          <w:rFonts w:hint="eastAsia"/>
        </w:rPr>
        <w:t>“</w:t>
      </w:r>
      <w:r>
        <w:rPr>
          <w:rFonts w:hint="eastAsia"/>
        </w:rPr>
        <w:t>(5)</w:t>
      </w:r>
      <w:r>
        <w:rPr>
          <w:rFonts w:hint="eastAsia"/>
        </w:rPr>
        <w:tab/>
      </w:r>
      <w:r>
        <w:rPr>
          <w:rFonts w:hint="eastAsia"/>
        </w:rPr>
        <w:t>抚养儿童的父母享有得到国家援助的权利。</w:t>
      </w:r>
    </w:p>
    <w:p w:rsidR="00000000" w:rsidRDefault="00000000">
      <w:pPr>
        <w:pStyle w:val="a5"/>
        <w:rPr>
          <w:rFonts w:hint="eastAsia"/>
        </w:rPr>
      </w:pPr>
      <w:r>
        <w:rPr>
          <w:rFonts w:hint="eastAsia"/>
        </w:rPr>
        <w:t>“</w:t>
      </w:r>
      <w:r>
        <w:rPr>
          <w:rFonts w:hint="eastAsia"/>
        </w:rPr>
        <w:t>(6)</w:t>
      </w:r>
      <w:r>
        <w:rPr>
          <w:rFonts w:hint="eastAsia"/>
        </w:rPr>
        <w:tab/>
      </w:r>
      <w:r>
        <w:rPr>
          <w:rFonts w:hint="eastAsia"/>
        </w:rPr>
        <w:t>详细规定由法律确定。”</w:t>
      </w:r>
    </w:p>
    <w:p w:rsidR="00000000" w:rsidRDefault="00000000">
      <w:pPr>
        <w:rPr>
          <w:rFonts w:hint="eastAsia"/>
        </w:rPr>
      </w:pPr>
      <w:r>
        <w:rPr>
          <w:rFonts w:hint="eastAsia"/>
        </w:rPr>
        <w:tab/>
        <w:t xml:space="preserve">363.  </w:t>
      </w:r>
      <w:r>
        <w:rPr>
          <w:rFonts w:hint="eastAsia"/>
        </w:rPr>
        <w:t>在捷克共和国，家庭被理解为包含一对男女</w:t>
      </w:r>
      <w:r>
        <w:rPr>
          <w:rFonts w:hint="eastAsia"/>
        </w:rPr>
        <w:t>(</w:t>
      </w:r>
      <w:r>
        <w:rPr>
          <w:rFonts w:hint="eastAsia"/>
        </w:rPr>
        <w:t>通常已结婚</w:t>
      </w:r>
      <w:r>
        <w:rPr>
          <w:rFonts w:hint="eastAsia"/>
        </w:rPr>
        <w:t>)</w:t>
      </w:r>
      <w:r>
        <w:rPr>
          <w:rFonts w:hint="eastAsia"/>
        </w:rPr>
        <w:t>及其儿童组成。因此，家庭关系指父、母和同胞关系。然而，有些法律规章</w:t>
      </w:r>
      <w:r>
        <w:rPr>
          <w:rFonts w:hint="eastAsia"/>
        </w:rPr>
        <w:t>(</w:t>
      </w:r>
      <w:r>
        <w:rPr>
          <w:rFonts w:hint="eastAsia"/>
        </w:rPr>
        <w:t>特别是有关社会保障的条例</w:t>
      </w:r>
      <w:r>
        <w:rPr>
          <w:rFonts w:hint="eastAsia"/>
        </w:rPr>
        <w:t>)</w:t>
      </w:r>
      <w:r>
        <w:rPr>
          <w:rFonts w:hint="eastAsia"/>
        </w:rPr>
        <w:t>使用一户人家的概念而不是核心家庭的基本单位</w:t>
      </w:r>
      <w:r>
        <w:rPr>
          <w:rFonts w:hint="eastAsia"/>
        </w:rPr>
        <w:t>(</w:t>
      </w:r>
      <w:r>
        <w:rPr>
          <w:rFonts w:hint="eastAsia"/>
        </w:rPr>
        <w:t>男人、妇女和儿童</w:t>
      </w:r>
      <w:r>
        <w:rPr>
          <w:rFonts w:hint="eastAsia"/>
        </w:rPr>
        <w:t>)</w:t>
      </w:r>
      <w:r>
        <w:rPr>
          <w:rFonts w:hint="eastAsia"/>
        </w:rPr>
        <w:t>。一户人家指住在一个公寓，共同管理居家生活的一群人</w:t>
      </w:r>
      <w:r>
        <w:rPr>
          <w:rFonts w:hint="eastAsia"/>
        </w:rPr>
        <w:t>(</w:t>
      </w:r>
      <w:r>
        <w:rPr>
          <w:rFonts w:hint="eastAsia"/>
        </w:rPr>
        <w:t>一个居民和经济单位</w:t>
      </w:r>
      <w:r>
        <w:rPr>
          <w:rFonts w:hint="eastAsia"/>
        </w:rPr>
        <w:t>)</w:t>
      </w:r>
      <w:r>
        <w:rPr>
          <w:rFonts w:hint="eastAsia"/>
        </w:rPr>
        <w:t>。在捷克共和国，一户人家常常是一个核心家庭，但也可以包括其他人。</w:t>
      </w:r>
    </w:p>
    <w:p w:rsidR="00000000" w:rsidRDefault="00000000">
      <w:pPr>
        <w:rPr>
          <w:rFonts w:hint="eastAsia"/>
        </w:rPr>
      </w:pPr>
      <w:r>
        <w:rPr>
          <w:rFonts w:hint="eastAsia"/>
        </w:rPr>
        <w:tab/>
        <w:t xml:space="preserve">364.  </w:t>
      </w:r>
      <w:r>
        <w:rPr>
          <w:rFonts w:hint="eastAsia"/>
        </w:rPr>
        <w:t>家庭法和有关的条例是家庭保护其成员的权利和义务的准则。家庭法适用于缔婚、配偶关系、离婚、父母与子女之间的关系、对儿童的社会法律保护、父母身份的确定、收养、托管和监护与赡养义务。它保证生活伙伴的选择是一私人事务，婚姻由未婚夫妇依据双方自愿决定为建立和谐、牢靠和永久生活单位而缔结，其主要目的是建立一个家庭和适当抚养儿童。多配偶制为法律所不容。根据家庭法，未婚夫妇可缔结世俗婚姻或通过宗教仪式缔婚。</w:t>
      </w:r>
    </w:p>
    <w:p w:rsidR="00000000" w:rsidRDefault="00000000">
      <w:pPr>
        <w:rPr>
          <w:rFonts w:hint="eastAsia"/>
        </w:rPr>
      </w:pPr>
      <w:r>
        <w:rPr>
          <w:rFonts w:hint="eastAsia"/>
        </w:rPr>
        <w:tab/>
        <w:t xml:space="preserve">365.  </w:t>
      </w:r>
      <w:r>
        <w:rPr>
          <w:rFonts w:hint="eastAsia"/>
        </w:rPr>
        <w:t>家庭法规定，未成年人，即</w:t>
      </w:r>
      <w:r>
        <w:rPr>
          <w:rFonts w:hint="eastAsia"/>
        </w:rPr>
        <w:t>18</w:t>
      </w:r>
      <w:r>
        <w:rPr>
          <w:rFonts w:hint="eastAsia"/>
        </w:rPr>
        <w:t>岁以下的人不能缔婚。特殊情况下，如果符合婚姻的社会目的，法院出于严肃理由可允许</w:t>
      </w:r>
      <w:r>
        <w:rPr>
          <w:rFonts w:hint="eastAsia"/>
        </w:rPr>
        <w:t>16</w:t>
      </w:r>
      <w:r>
        <w:rPr>
          <w:rFonts w:hint="eastAsia"/>
        </w:rPr>
        <w:t>岁以上的未成年人结婚。没有这一许可，婚姻无效。被剥夺法律能力的人也不能结婚。</w:t>
      </w:r>
    </w:p>
    <w:p w:rsidR="00000000" w:rsidRDefault="00000000">
      <w:pPr>
        <w:rPr>
          <w:rFonts w:hint="eastAsia"/>
        </w:rPr>
      </w:pPr>
      <w:r>
        <w:rPr>
          <w:rFonts w:hint="eastAsia"/>
        </w:rPr>
        <w:tab/>
        <w:t xml:space="preserve">366.  </w:t>
      </w:r>
      <w:r>
        <w:rPr>
          <w:rFonts w:hint="eastAsia"/>
        </w:rPr>
        <w:t>配偶共同财产机构</w:t>
      </w:r>
      <w:r>
        <w:rPr>
          <w:rFonts w:hint="eastAsia"/>
        </w:rPr>
        <w:t xml:space="preserve"> </w:t>
      </w:r>
      <w:r>
        <w:rPr>
          <w:rStyle w:val="EndnoteReference"/>
        </w:rPr>
        <w:endnoteReference w:id="217"/>
      </w:r>
      <w:r>
        <w:rPr>
          <w:rFonts w:hint="eastAsia"/>
        </w:rPr>
        <w:t xml:space="preserve"> </w:t>
      </w:r>
      <w:r>
        <w:rPr>
          <w:rFonts w:hint="eastAsia"/>
        </w:rPr>
        <w:t>除其他外阐明了配偶法律地位平等。这种财产包括婚姻期间配偶一方取得的一切，但通过继承或捐赠取得的东西和因其性质用于个人需要或配偶一方从事职业所需要的东西除外。</w:t>
      </w:r>
    </w:p>
    <w:p w:rsidR="00000000" w:rsidRDefault="00000000">
      <w:pPr>
        <w:rPr>
          <w:rFonts w:hint="eastAsia"/>
        </w:rPr>
      </w:pPr>
      <w:r>
        <w:rPr>
          <w:rFonts w:hint="eastAsia"/>
        </w:rPr>
        <w:tab/>
        <w:t xml:space="preserve">367.  </w:t>
      </w:r>
      <w:r>
        <w:rPr>
          <w:rFonts w:hint="eastAsia"/>
        </w:rPr>
        <w:t>配偶在婚姻期间享有公平权利和义务。配偶双方须根据其能力和机会解决家庭所需。他们为家庭事务共同作出决定。家庭法还规定了共同赡养义务。法律对赡养义务的程度作了规定，因此配偶双方享有物质和文化生活的程度将基本上相等。</w:t>
      </w:r>
    </w:p>
    <w:p w:rsidR="00000000" w:rsidRDefault="00000000">
      <w:pPr>
        <w:rPr>
          <w:rFonts w:hint="eastAsia"/>
        </w:rPr>
      </w:pPr>
      <w:r>
        <w:rPr>
          <w:rFonts w:hint="eastAsia"/>
        </w:rPr>
        <w:tab/>
        <w:t xml:space="preserve">368.  </w:t>
      </w:r>
      <w:r>
        <w:rPr>
          <w:rFonts w:hint="eastAsia"/>
        </w:rPr>
        <w:t>父母在抚养子女方面起决定作用，父母双方均有父母权利和义务。父母有权并必须代表其未成年子女和管理其事务。然而，如果儿童的利益需要，法院可授权除父母以外的人抚养儿童。</w:t>
      </w:r>
    </w:p>
    <w:p w:rsidR="00000000" w:rsidRDefault="00000000">
      <w:pPr>
        <w:rPr>
          <w:rFonts w:hint="eastAsia"/>
        </w:rPr>
      </w:pPr>
      <w:r>
        <w:rPr>
          <w:rFonts w:hint="eastAsia"/>
        </w:rPr>
        <w:tab/>
        <w:t xml:space="preserve">369.  </w:t>
      </w:r>
      <w:r>
        <w:rPr>
          <w:rFonts w:hint="eastAsia"/>
        </w:rPr>
        <w:t>新通过的</w:t>
      </w:r>
      <w:r>
        <w:rPr>
          <w:rFonts w:hint="eastAsia"/>
        </w:rPr>
        <w:t>1998</w:t>
      </w:r>
      <w:r>
        <w:rPr>
          <w:rFonts w:hint="eastAsia"/>
        </w:rPr>
        <w:t>年家庭法修正案对过去的规定作了相当大的修改。修正案尤其涉及到配偶之间的关系的法律规章和离婚程序</w:t>
      </w:r>
      <w:r>
        <w:rPr>
          <w:rFonts w:hint="eastAsia"/>
        </w:rPr>
        <w:t>(</w:t>
      </w:r>
      <w:r>
        <w:rPr>
          <w:rFonts w:hint="eastAsia"/>
        </w:rPr>
        <w:t>该法第</w:t>
      </w:r>
      <w:r>
        <w:rPr>
          <w:rFonts w:hint="eastAsia"/>
        </w:rPr>
        <w:t>24</w:t>
      </w:r>
      <w:r>
        <w:rPr>
          <w:rFonts w:hint="eastAsia"/>
        </w:rPr>
        <w:t>至</w:t>
      </w:r>
      <w:r>
        <w:rPr>
          <w:rFonts w:hint="eastAsia"/>
        </w:rPr>
        <w:t>29</w:t>
      </w:r>
      <w:r>
        <w:rPr>
          <w:rFonts w:hint="eastAsia"/>
        </w:rPr>
        <w:t>条</w:t>
      </w:r>
      <w:r>
        <w:rPr>
          <w:rFonts w:hint="eastAsia"/>
        </w:rPr>
        <w:t>)</w:t>
      </w:r>
      <w:r>
        <w:rPr>
          <w:rFonts w:hint="eastAsia"/>
        </w:rPr>
        <w:t>。修正案也扩大了父母责任概念，并增加了对收养和监护的法律管制。</w:t>
      </w:r>
    </w:p>
    <w:p w:rsidR="00000000" w:rsidRDefault="00000000">
      <w:pPr>
        <w:rPr>
          <w:rFonts w:hint="eastAsia"/>
        </w:rPr>
      </w:pPr>
      <w:r>
        <w:rPr>
          <w:rFonts w:hint="eastAsia"/>
        </w:rPr>
        <w:tab/>
        <w:t xml:space="preserve">370.  </w:t>
      </w:r>
      <w:r>
        <w:rPr>
          <w:rFonts w:hint="eastAsia"/>
        </w:rPr>
        <w:t>修正法对离婚实行新管理办法，由配偶双方相互商定。该法还规定如果婚姻破裂太深太久，不可能期待配偶双方重新共处，法院考虑到破裂原因可解除该婚姻。离婚一般条例仍保留了离婚的原客观规则，变化仅仅在于形式方面。破裂界定为深刻和永久性不和，不可能期待恢复婚姻式共处。法院须确定客观情况，即是否真的深刻和永久破裂。</w:t>
      </w:r>
      <w:r>
        <w:rPr>
          <w:rStyle w:val="EndnoteReference"/>
        </w:rPr>
        <w:endnoteReference w:id="218"/>
      </w:r>
      <w:r>
        <w:rPr>
          <w:rFonts w:hint="eastAsia"/>
        </w:rPr>
        <w:t xml:space="preserve"> </w:t>
      </w:r>
    </w:p>
    <w:p w:rsidR="00000000" w:rsidRDefault="00000000">
      <w:pPr>
        <w:rPr>
          <w:rFonts w:hint="eastAsia"/>
        </w:rPr>
      </w:pPr>
      <w:r>
        <w:rPr>
          <w:rFonts w:hint="eastAsia"/>
        </w:rPr>
        <w:tab/>
        <w:t xml:space="preserve">371.  </w:t>
      </w:r>
      <w:r>
        <w:rPr>
          <w:rFonts w:hint="eastAsia"/>
        </w:rPr>
        <w:t>如果配偶有未成年儿童且解除婚姻因特别原因会与儿童利益相悖，该婚姻就不能解除。与该法原措词相比，这一修改加强了对未成年儿童的保护，维护了生孩子的共同决定的连续性。新条例还允许法院在有理由和有条件的情况下并也为儿童的利益，决定儿童以另外的方式或由父母双方共同培养。</w:t>
      </w:r>
    </w:p>
    <w:p w:rsidR="00000000" w:rsidRDefault="00000000">
      <w:pPr>
        <w:rPr>
          <w:rFonts w:hint="eastAsia"/>
        </w:rPr>
      </w:pPr>
      <w:r>
        <w:rPr>
          <w:rFonts w:hint="eastAsia"/>
        </w:rPr>
        <w:tab/>
        <w:t xml:space="preserve">372.  </w:t>
      </w:r>
      <w:r>
        <w:rPr>
          <w:rFonts w:hint="eastAsia"/>
        </w:rPr>
        <w:t>如果结婚至少一年，配偶双方至少</w:t>
      </w:r>
      <w:r>
        <w:rPr>
          <w:rFonts w:hint="eastAsia"/>
        </w:rPr>
        <w:t>6</w:t>
      </w:r>
      <w:r>
        <w:rPr>
          <w:rFonts w:hint="eastAsia"/>
        </w:rPr>
        <w:t>个月没有生活在一起，而第二个配偶加入离婚诉讼，这种情况被视为符合离婚条件。在此情况中，法院一经收到解决离婚后财产关系、有关共建之家的权利和义务和任何抚养义务的书面协议与具有法律效力，批准有关离婚后照顾未成年儿童的协议的法院决定，即可无须确定婚姻破裂原因而解除婚姻。与原法律相比，新内容是给配偶双方有机会经协商全面处理解除婚姻及其未来关系的问题，从而尽量限制离婚夫妇的冲突情况，特别是如果他们也是未成年儿童的父母。</w:t>
      </w:r>
    </w:p>
    <w:p w:rsidR="00000000" w:rsidRDefault="00000000">
      <w:pPr>
        <w:rPr>
          <w:rFonts w:hint="eastAsia"/>
        </w:rPr>
      </w:pPr>
      <w:r>
        <w:rPr>
          <w:rFonts w:hint="eastAsia"/>
        </w:rPr>
        <w:tab/>
        <w:t xml:space="preserve">373.  </w:t>
      </w:r>
      <w:r>
        <w:rPr>
          <w:rFonts w:hint="eastAsia"/>
        </w:rPr>
        <w:t>如果配偶另一方不同意离婚并且没有因违背婚姻义务而造成婚姻破裂，或者如果离婚会给他造成严重伤害，婚姻就不得解散，条件是特殊情况证明有利于维持该婚姻。特殊情况包括年龄、经济依赖或健康状况。这项条例并非要推行过失原则，而是支持在解除婚姻的特定情形中将受到明显伤害的配偶方。</w:t>
      </w:r>
    </w:p>
    <w:p w:rsidR="00000000" w:rsidRDefault="00000000">
      <w:pPr>
        <w:rPr>
          <w:rFonts w:hint="eastAsia"/>
        </w:rPr>
      </w:pPr>
      <w:r>
        <w:rPr>
          <w:rFonts w:hint="eastAsia"/>
        </w:rPr>
        <w:tab/>
        <w:t xml:space="preserve">374.  </w:t>
      </w:r>
      <w:r>
        <w:rPr>
          <w:rFonts w:hint="eastAsia"/>
        </w:rPr>
        <w:t>家庭法修正案实施后对离婚率产生的后果尚无时间充分体现出来。离婚数目大体稳定，因为事实是提出离婚的常常是妇女。有未成年儿童的婚姻在离婚中所占比例正在下降。</w:t>
      </w:r>
    </w:p>
    <w:p w:rsidR="00000000" w:rsidRDefault="00000000">
      <w:pPr>
        <w:pStyle w:val="Heading3"/>
        <w:rPr>
          <w:rFonts w:hint="eastAsia"/>
          <w:kern w:val="0"/>
        </w:rPr>
      </w:pPr>
      <w:r>
        <w:rPr>
          <w:rFonts w:hint="eastAsia"/>
          <w:kern w:val="0"/>
        </w:rPr>
        <w:t>离</w:t>
      </w:r>
      <w:r>
        <w:rPr>
          <w:rFonts w:hint="eastAsia"/>
          <w:kern w:val="0"/>
        </w:rPr>
        <w:t xml:space="preserve">  </w:t>
      </w:r>
      <w:r>
        <w:rPr>
          <w:rFonts w:hint="eastAsia"/>
          <w:kern w:val="0"/>
        </w:rPr>
        <w:t>婚</w:t>
      </w:r>
    </w:p>
    <w:tbl>
      <w:tblPr>
        <w:tblW w:w="5000" w:type="pct"/>
        <w:tblBorders>
          <w:top w:val="single" w:sz="12" w:space="0" w:color="008000"/>
          <w:bottom w:val="single" w:sz="12" w:space="0" w:color="008000"/>
        </w:tblBorders>
        <w:tblCellMar>
          <w:left w:w="70" w:type="dxa"/>
          <w:right w:w="70" w:type="dxa"/>
        </w:tblCellMar>
        <w:tblLook w:val="0000" w:firstRow="0" w:lastRow="0" w:firstColumn="0" w:lastColumn="0" w:noHBand="0" w:noVBand="0"/>
      </w:tblPr>
      <w:tblGrid>
        <w:gridCol w:w="792"/>
        <w:gridCol w:w="1504"/>
        <w:gridCol w:w="1424"/>
        <w:gridCol w:w="1424"/>
        <w:gridCol w:w="1424"/>
        <w:gridCol w:w="1138"/>
        <w:gridCol w:w="1789"/>
      </w:tblGrid>
      <w:tr w:rsidR="00000000">
        <w:tblPrEx>
          <w:tblCellMar>
            <w:top w:w="0" w:type="dxa"/>
            <w:bottom w:w="0" w:type="dxa"/>
          </w:tblCellMar>
        </w:tblPrEx>
        <w:trPr>
          <w:cantSplit/>
        </w:trPr>
        <w:tc>
          <w:tcPr>
            <w:tcW w:w="417" w:type="pct"/>
            <w:vMerge w:val="restart"/>
            <w:tcBorders>
              <w:top w:val="single" w:sz="4" w:space="0" w:color="auto"/>
              <w:left w:val="single" w:sz="4" w:space="0" w:color="auto"/>
              <w:bottom w:val="single" w:sz="6" w:space="0" w:color="008000"/>
              <w:right w:val="single" w:sz="4" w:space="0" w:color="auto"/>
            </w:tcBorders>
          </w:tcPr>
          <w:p w:rsidR="00000000" w:rsidRDefault="00000000">
            <w:pPr>
              <w:pStyle w:val="aa"/>
              <w:spacing w:line="336" w:lineRule="auto"/>
              <w:jc w:val="center"/>
            </w:pPr>
          </w:p>
          <w:p w:rsidR="00000000" w:rsidRDefault="00000000">
            <w:pPr>
              <w:pStyle w:val="aa"/>
              <w:spacing w:line="336" w:lineRule="auto"/>
              <w:jc w:val="center"/>
              <w:rPr>
                <w:rFonts w:hint="eastAsia"/>
              </w:rPr>
            </w:pPr>
            <w:r>
              <w:rPr>
                <w:rFonts w:hint="eastAsia"/>
              </w:rPr>
              <w:t>年份</w:t>
            </w:r>
          </w:p>
        </w:tc>
        <w:tc>
          <w:tcPr>
            <w:tcW w:w="792" w:type="pct"/>
            <w:vMerge w:val="restart"/>
            <w:tcBorders>
              <w:top w:val="single" w:sz="4" w:space="0" w:color="auto"/>
              <w:left w:val="single" w:sz="4" w:space="0" w:color="auto"/>
              <w:bottom w:val="single" w:sz="6" w:space="0" w:color="008000"/>
              <w:right w:val="single" w:sz="4" w:space="0" w:color="auto"/>
            </w:tcBorders>
          </w:tcPr>
          <w:p w:rsidR="00000000" w:rsidRDefault="00000000">
            <w:pPr>
              <w:pStyle w:val="aa"/>
              <w:spacing w:line="336" w:lineRule="auto"/>
              <w:jc w:val="center"/>
            </w:pPr>
          </w:p>
          <w:p w:rsidR="00000000" w:rsidRDefault="00000000">
            <w:pPr>
              <w:pStyle w:val="aa"/>
              <w:spacing w:line="336" w:lineRule="auto"/>
              <w:jc w:val="center"/>
              <w:rPr>
                <w:rFonts w:hint="eastAsia"/>
              </w:rPr>
            </w:pPr>
            <w:r>
              <w:rPr>
                <w:rFonts w:hint="eastAsia"/>
              </w:rPr>
              <w:t>离婚起诉数目</w:t>
            </w:r>
          </w:p>
        </w:tc>
        <w:tc>
          <w:tcPr>
            <w:tcW w:w="750" w:type="pct"/>
            <w:vMerge w:val="restart"/>
            <w:tcBorders>
              <w:top w:val="single" w:sz="4" w:space="0" w:color="auto"/>
              <w:left w:val="single" w:sz="4" w:space="0" w:color="auto"/>
              <w:bottom w:val="single" w:sz="6" w:space="0" w:color="008000"/>
              <w:right w:val="single" w:sz="4" w:space="0" w:color="auto"/>
            </w:tcBorders>
          </w:tcPr>
          <w:p w:rsidR="00000000" w:rsidRDefault="00000000">
            <w:pPr>
              <w:pStyle w:val="aa"/>
              <w:spacing w:before="160" w:line="336" w:lineRule="auto"/>
              <w:jc w:val="center"/>
              <w:rPr>
                <w:rFonts w:hint="eastAsia"/>
              </w:rPr>
            </w:pPr>
            <w:r>
              <w:rPr>
                <w:rFonts w:hint="eastAsia"/>
              </w:rPr>
              <w:t>批准离婚</w:t>
            </w:r>
            <w:r>
              <w:br/>
            </w:r>
            <w:r>
              <w:rPr>
                <w:rFonts w:hint="eastAsia"/>
              </w:rPr>
              <w:t>(</w:t>
            </w:r>
            <w:r>
              <w:rPr>
                <w:rFonts w:hint="eastAsia"/>
              </w:rPr>
              <w:t>百分比</w:t>
            </w:r>
            <w:r>
              <w:rPr>
                <w:rFonts w:hint="eastAsia"/>
              </w:rPr>
              <w:t>)</w:t>
            </w:r>
          </w:p>
        </w:tc>
        <w:tc>
          <w:tcPr>
            <w:tcW w:w="1500" w:type="pct"/>
            <w:gridSpan w:val="2"/>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60" w:line="336" w:lineRule="auto"/>
              <w:jc w:val="center"/>
              <w:rPr>
                <w:rFonts w:hint="eastAsia"/>
              </w:rPr>
            </w:pPr>
            <w:r>
              <w:rPr>
                <w:rFonts w:hint="eastAsia"/>
              </w:rPr>
              <w:t>起诉方</w:t>
            </w:r>
          </w:p>
        </w:tc>
        <w:tc>
          <w:tcPr>
            <w:tcW w:w="1542" w:type="pct"/>
            <w:gridSpan w:val="2"/>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60" w:line="336" w:lineRule="auto"/>
              <w:jc w:val="center"/>
              <w:rPr>
                <w:rFonts w:hint="eastAsia"/>
              </w:rPr>
            </w:pPr>
            <w:r>
              <w:rPr>
                <w:rFonts w:hint="eastAsia"/>
              </w:rPr>
              <w:t>有未成年儿童的婚姻解除数目</w:t>
            </w:r>
          </w:p>
        </w:tc>
      </w:tr>
      <w:tr w:rsidR="00000000">
        <w:tblPrEx>
          <w:tblCellMar>
            <w:top w:w="0" w:type="dxa"/>
            <w:bottom w:w="0" w:type="dxa"/>
          </w:tblCellMar>
        </w:tblPrEx>
        <w:trPr>
          <w:cantSplit/>
        </w:trPr>
        <w:tc>
          <w:tcPr>
            <w:tcW w:w="417" w:type="pct"/>
            <w:vMerge/>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p>
        </w:tc>
        <w:tc>
          <w:tcPr>
            <w:tcW w:w="792" w:type="pct"/>
            <w:vMerge/>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p>
        </w:tc>
        <w:tc>
          <w:tcPr>
            <w:tcW w:w="750" w:type="pct"/>
            <w:vMerge/>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p>
        </w:tc>
        <w:tc>
          <w:tcPr>
            <w:tcW w:w="750"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60" w:line="336" w:lineRule="auto"/>
              <w:jc w:val="center"/>
              <w:rPr>
                <w:rFonts w:hint="eastAsia"/>
              </w:rPr>
            </w:pPr>
            <w:r>
              <w:rPr>
                <w:rFonts w:hint="eastAsia"/>
              </w:rPr>
              <w:t>男</w:t>
            </w:r>
          </w:p>
        </w:tc>
        <w:tc>
          <w:tcPr>
            <w:tcW w:w="750"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60" w:line="336" w:lineRule="auto"/>
              <w:jc w:val="center"/>
              <w:rPr>
                <w:rFonts w:hint="eastAsia"/>
              </w:rPr>
            </w:pPr>
            <w:r>
              <w:rPr>
                <w:rFonts w:hint="eastAsia"/>
              </w:rPr>
              <w:t>女</w:t>
            </w:r>
          </w:p>
        </w:tc>
        <w:tc>
          <w:tcPr>
            <w:tcW w:w="599"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60" w:line="336" w:lineRule="auto"/>
              <w:jc w:val="center"/>
              <w:rPr>
                <w:rFonts w:hint="eastAsia"/>
              </w:rPr>
            </w:pPr>
            <w:r>
              <w:rPr>
                <w:rFonts w:hint="eastAsia"/>
              </w:rPr>
              <w:t>总</w:t>
            </w:r>
            <w:r>
              <w:rPr>
                <w:rFonts w:hint="eastAsia"/>
              </w:rPr>
              <w:t xml:space="preserve">  </w:t>
            </w:r>
            <w:r>
              <w:rPr>
                <w:rFonts w:hint="eastAsia"/>
              </w:rPr>
              <w:t>计</w:t>
            </w:r>
          </w:p>
        </w:tc>
        <w:tc>
          <w:tcPr>
            <w:tcW w:w="943"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88" w:lineRule="auto"/>
              <w:jc w:val="center"/>
              <w:rPr>
                <w:rFonts w:hint="eastAsia"/>
              </w:rPr>
            </w:pPr>
            <w:r>
              <w:rPr>
                <w:rFonts w:hint="eastAsia"/>
              </w:rPr>
              <w:t>占离婚总数</w:t>
            </w:r>
            <w:r>
              <w:br/>
            </w:r>
            <w:r>
              <w:rPr>
                <w:rFonts w:hint="eastAsia"/>
              </w:rPr>
              <w:t>的百分比</w:t>
            </w:r>
          </w:p>
        </w:tc>
      </w:tr>
      <w:tr w:rsidR="00000000">
        <w:tblPrEx>
          <w:tblCellMar>
            <w:top w:w="0" w:type="dxa"/>
            <w:bottom w:w="0" w:type="dxa"/>
          </w:tblCellMar>
        </w:tblPrEx>
        <w:trPr>
          <w:cantSplit/>
        </w:trPr>
        <w:tc>
          <w:tcPr>
            <w:tcW w:w="417" w:type="pct"/>
            <w:tcBorders>
              <w:top w:val="single" w:sz="4" w:space="0" w:color="auto"/>
              <w:left w:val="single" w:sz="4" w:space="0" w:color="auto"/>
              <w:bottom w:val="single" w:sz="4" w:space="0" w:color="auto"/>
              <w:right w:val="single" w:sz="4" w:space="0" w:color="auto"/>
            </w:tcBorders>
          </w:tcPr>
          <w:p w:rsidR="00000000" w:rsidRDefault="00000000">
            <w:pPr>
              <w:pStyle w:val="aa"/>
              <w:spacing w:line="336" w:lineRule="auto"/>
              <w:jc w:val="center"/>
            </w:pPr>
            <w:r>
              <w:t>1994</w:t>
            </w:r>
          </w:p>
          <w:p w:rsidR="00000000" w:rsidRDefault="00000000">
            <w:pPr>
              <w:pStyle w:val="aa"/>
              <w:spacing w:line="336" w:lineRule="auto"/>
              <w:jc w:val="center"/>
            </w:pPr>
            <w:r>
              <w:t>1995</w:t>
            </w:r>
          </w:p>
          <w:p w:rsidR="00000000" w:rsidRDefault="00000000">
            <w:pPr>
              <w:pStyle w:val="aa"/>
              <w:spacing w:line="336" w:lineRule="auto"/>
              <w:jc w:val="center"/>
            </w:pPr>
            <w:r>
              <w:t>1996</w:t>
            </w:r>
          </w:p>
          <w:p w:rsidR="00000000" w:rsidRDefault="00000000">
            <w:pPr>
              <w:pStyle w:val="aa"/>
              <w:spacing w:line="336" w:lineRule="auto"/>
              <w:jc w:val="center"/>
            </w:pPr>
            <w:r>
              <w:t>1997</w:t>
            </w:r>
          </w:p>
          <w:p w:rsidR="00000000" w:rsidRDefault="00000000">
            <w:pPr>
              <w:pStyle w:val="aa"/>
              <w:spacing w:line="336" w:lineRule="auto"/>
              <w:jc w:val="center"/>
            </w:pPr>
            <w:r>
              <w:t>1998</w:t>
            </w:r>
          </w:p>
        </w:tc>
        <w:tc>
          <w:tcPr>
            <w:tcW w:w="792" w:type="pct"/>
            <w:tcBorders>
              <w:top w:val="single" w:sz="4" w:space="0" w:color="auto"/>
              <w:left w:val="single" w:sz="4" w:space="0" w:color="auto"/>
              <w:bottom w:val="single" w:sz="4" w:space="0" w:color="auto"/>
              <w:right w:val="single" w:sz="4" w:space="0" w:color="auto"/>
            </w:tcBorders>
          </w:tcPr>
          <w:p w:rsidR="00000000" w:rsidRDefault="00000000">
            <w:pPr>
              <w:pStyle w:val="aa"/>
              <w:spacing w:line="336" w:lineRule="auto"/>
              <w:jc w:val="center"/>
            </w:pPr>
            <w:r>
              <w:t>38 614</w:t>
            </w:r>
          </w:p>
          <w:p w:rsidR="00000000" w:rsidRDefault="00000000">
            <w:pPr>
              <w:pStyle w:val="aa"/>
              <w:spacing w:line="336" w:lineRule="auto"/>
              <w:jc w:val="center"/>
            </w:pPr>
            <w:r>
              <w:t>38 766</w:t>
            </w:r>
          </w:p>
          <w:p w:rsidR="00000000" w:rsidRDefault="00000000">
            <w:pPr>
              <w:pStyle w:val="aa"/>
              <w:spacing w:line="336" w:lineRule="auto"/>
              <w:jc w:val="center"/>
            </w:pPr>
            <w:r>
              <w:t>40 451</w:t>
            </w:r>
          </w:p>
          <w:p w:rsidR="00000000" w:rsidRDefault="00000000">
            <w:pPr>
              <w:pStyle w:val="aa"/>
              <w:spacing w:line="336" w:lineRule="auto"/>
              <w:jc w:val="center"/>
            </w:pPr>
            <w:r>
              <w:t>39 592</w:t>
            </w:r>
          </w:p>
          <w:p w:rsidR="00000000" w:rsidRDefault="00000000">
            <w:pPr>
              <w:pStyle w:val="aa"/>
              <w:spacing w:line="336" w:lineRule="auto"/>
              <w:jc w:val="center"/>
            </w:pPr>
            <w:r>
              <w:t>39 616</w:t>
            </w:r>
          </w:p>
        </w:tc>
        <w:tc>
          <w:tcPr>
            <w:tcW w:w="750" w:type="pct"/>
            <w:tcBorders>
              <w:top w:val="single" w:sz="4" w:space="0" w:color="auto"/>
              <w:left w:val="single" w:sz="4" w:space="0" w:color="auto"/>
              <w:bottom w:val="single" w:sz="4" w:space="0" w:color="auto"/>
              <w:right w:val="single" w:sz="4" w:space="0" w:color="auto"/>
            </w:tcBorders>
          </w:tcPr>
          <w:p w:rsidR="00000000" w:rsidRDefault="00000000">
            <w:pPr>
              <w:pStyle w:val="aa"/>
              <w:spacing w:line="336" w:lineRule="auto"/>
              <w:jc w:val="center"/>
            </w:pPr>
            <w:r>
              <w:t>80.1</w:t>
            </w:r>
          </w:p>
          <w:p w:rsidR="00000000" w:rsidRDefault="00000000">
            <w:pPr>
              <w:pStyle w:val="aa"/>
              <w:spacing w:line="336" w:lineRule="auto"/>
              <w:jc w:val="center"/>
            </w:pPr>
            <w:r>
              <w:t>80.3</w:t>
            </w:r>
          </w:p>
          <w:p w:rsidR="00000000" w:rsidRDefault="00000000">
            <w:pPr>
              <w:pStyle w:val="aa"/>
              <w:spacing w:line="336" w:lineRule="auto"/>
              <w:jc w:val="center"/>
            </w:pPr>
            <w:r>
              <w:t>81.9</w:t>
            </w:r>
          </w:p>
          <w:p w:rsidR="00000000" w:rsidRDefault="00000000">
            <w:pPr>
              <w:pStyle w:val="aa"/>
              <w:spacing w:line="336" w:lineRule="auto"/>
              <w:jc w:val="center"/>
            </w:pPr>
            <w:r>
              <w:t>82.0</w:t>
            </w:r>
          </w:p>
          <w:p w:rsidR="00000000" w:rsidRDefault="00000000">
            <w:pPr>
              <w:pStyle w:val="aa"/>
              <w:spacing w:line="336" w:lineRule="auto"/>
              <w:jc w:val="center"/>
            </w:pPr>
            <w:r>
              <w:t>81.7</w:t>
            </w:r>
          </w:p>
        </w:tc>
        <w:tc>
          <w:tcPr>
            <w:tcW w:w="750" w:type="pct"/>
            <w:tcBorders>
              <w:top w:val="single" w:sz="4" w:space="0" w:color="auto"/>
              <w:left w:val="single" w:sz="4" w:space="0" w:color="auto"/>
              <w:bottom w:val="single" w:sz="4" w:space="0" w:color="auto"/>
              <w:right w:val="single" w:sz="4" w:space="0" w:color="auto"/>
            </w:tcBorders>
          </w:tcPr>
          <w:p w:rsidR="00000000" w:rsidRDefault="00000000">
            <w:pPr>
              <w:pStyle w:val="aa"/>
              <w:spacing w:line="336" w:lineRule="auto"/>
              <w:jc w:val="center"/>
            </w:pPr>
            <w:r>
              <w:t>12 321</w:t>
            </w:r>
          </w:p>
          <w:p w:rsidR="00000000" w:rsidRDefault="00000000">
            <w:pPr>
              <w:pStyle w:val="aa"/>
              <w:spacing w:line="336" w:lineRule="auto"/>
              <w:jc w:val="center"/>
            </w:pPr>
            <w:r>
              <w:t>12 400</w:t>
            </w:r>
          </w:p>
          <w:p w:rsidR="00000000" w:rsidRDefault="00000000">
            <w:pPr>
              <w:pStyle w:val="aa"/>
              <w:spacing w:line="336" w:lineRule="auto"/>
              <w:jc w:val="center"/>
            </w:pPr>
            <w:r>
              <w:t>13 201</w:t>
            </w:r>
          </w:p>
          <w:p w:rsidR="00000000" w:rsidRDefault="00000000">
            <w:pPr>
              <w:pStyle w:val="aa"/>
              <w:spacing w:line="336" w:lineRule="auto"/>
              <w:jc w:val="center"/>
            </w:pPr>
            <w:r>
              <w:t>12 450</w:t>
            </w:r>
          </w:p>
          <w:p w:rsidR="00000000" w:rsidRDefault="00000000">
            <w:pPr>
              <w:pStyle w:val="aa"/>
              <w:spacing w:line="336" w:lineRule="auto"/>
              <w:jc w:val="center"/>
            </w:pPr>
            <w:r>
              <w:t>12 405</w:t>
            </w:r>
          </w:p>
        </w:tc>
        <w:tc>
          <w:tcPr>
            <w:tcW w:w="750" w:type="pct"/>
            <w:tcBorders>
              <w:top w:val="single" w:sz="4" w:space="0" w:color="auto"/>
              <w:left w:val="single" w:sz="4" w:space="0" w:color="auto"/>
              <w:bottom w:val="single" w:sz="4" w:space="0" w:color="auto"/>
              <w:right w:val="single" w:sz="4" w:space="0" w:color="auto"/>
            </w:tcBorders>
          </w:tcPr>
          <w:p w:rsidR="00000000" w:rsidRDefault="00000000">
            <w:pPr>
              <w:pStyle w:val="aa"/>
              <w:spacing w:line="336" w:lineRule="auto"/>
              <w:jc w:val="center"/>
            </w:pPr>
            <w:r>
              <w:t>26 267</w:t>
            </w:r>
          </w:p>
          <w:p w:rsidR="00000000" w:rsidRDefault="00000000">
            <w:pPr>
              <w:pStyle w:val="aa"/>
              <w:spacing w:line="336" w:lineRule="auto"/>
              <w:jc w:val="center"/>
            </w:pPr>
            <w:r>
              <w:t>26 362</w:t>
            </w:r>
          </w:p>
          <w:p w:rsidR="00000000" w:rsidRDefault="00000000">
            <w:pPr>
              <w:pStyle w:val="aa"/>
              <w:spacing w:line="336" w:lineRule="auto"/>
              <w:jc w:val="center"/>
            </w:pPr>
            <w:r>
              <w:t>27 249</w:t>
            </w:r>
          </w:p>
          <w:p w:rsidR="00000000" w:rsidRDefault="00000000">
            <w:pPr>
              <w:pStyle w:val="aa"/>
              <w:spacing w:line="336" w:lineRule="auto"/>
              <w:jc w:val="center"/>
            </w:pPr>
            <w:r>
              <w:t>27 141</w:t>
            </w:r>
          </w:p>
          <w:p w:rsidR="00000000" w:rsidRDefault="00000000">
            <w:pPr>
              <w:pStyle w:val="aa"/>
              <w:spacing w:line="336" w:lineRule="auto"/>
              <w:jc w:val="center"/>
            </w:pPr>
            <w:r>
              <w:t>27 211</w:t>
            </w:r>
          </w:p>
        </w:tc>
        <w:tc>
          <w:tcPr>
            <w:tcW w:w="599" w:type="pct"/>
            <w:tcBorders>
              <w:top w:val="single" w:sz="4" w:space="0" w:color="auto"/>
              <w:left w:val="single" w:sz="4" w:space="0" w:color="auto"/>
              <w:bottom w:val="single" w:sz="4" w:space="0" w:color="auto"/>
              <w:right w:val="single" w:sz="4" w:space="0" w:color="auto"/>
            </w:tcBorders>
          </w:tcPr>
          <w:p w:rsidR="00000000" w:rsidRDefault="00000000">
            <w:pPr>
              <w:pStyle w:val="aa"/>
              <w:spacing w:line="336" w:lineRule="auto"/>
              <w:jc w:val="center"/>
            </w:pPr>
            <w:r>
              <w:t>22 289</w:t>
            </w:r>
          </w:p>
          <w:p w:rsidR="00000000" w:rsidRDefault="00000000">
            <w:pPr>
              <w:pStyle w:val="aa"/>
              <w:spacing w:line="336" w:lineRule="auto"/>
              <w:jc w:val="center"/>
            </w:pPr>
            <w:r>
              <w:t>22 108</w:t>
            </w:r>
          </w:p>
          <w:p w:rsidR="00000000" w:rsidRDefault="00000000">
            <w:pPr>
              <w:pStyle w:val="aa"/>
              <w:spacing w:line="336" w:lineRule="auto"/>
              <w:jc w:val="center"/>
            </w:pPr>
            <w:r>
              <w:t>23 438</w:t>
            </w:r>
          </w:p>
          <w:p w:rsidR="00000000" w:rsidRDefault="00000000">
            <w:pPr>
              <w:pStyle w:val="aa"/>
              <w:spacing w:line="336" w:lineRule="auto"/>
              <w:jc w:val="center"/>
            </w:pPr>
            <w:r>
              <w:t>22 603</w:t>
            </w:r>
          </w:p>
          <w:p w:rsidR="00000000" w:rsidRDefault="00000000">
            <w:pPr>
              <w:pStyle w:val="aa"/>
              <w:spacing w:line="336" w:lineRule="auto"/>
              <w:jc w:val="center"/>
            </w:pPr>
            <w:r>
              <w:t>21 636</w:t>
            </w:r>
          </w:p>
        </w:tc>
        <w:tc>
          <w:tcPr>
            <w:tcW w:w="943" w:type="pct"/>
            <w:tcBorders>
              <w:top w:val="single" w:sz="4" w:space="0" w:color="auto"/>
              <w:left w:val="single" w:sz="4" w:space="0" w:color="auto"/>
              <w:bottom w:val="single" w:sz="4" w:space="0" w:color="auto"/>
              <w:right w:val="single" w:sz="4" w:space="0" w:color="auto"/>
            </w:tcBorders>
          </w:tcPr>
          <w:p w:rsidR="00000000" w:rsidRDefault="00000000">
            <w:pPr>
              <w:pStyle w:val="aa"/>
              <w:spacing w:line="336" w:lineRule="auto"/>
              <w:jc w:val="center"/>
            </w:pPr>
            <w:r>
              <w:t>72.0</w:t>
            </w:r>
          </w:p>
          <w:p w:rsidR="00000000" w:rsidRDefault="00000000">
            <w:pPr>
              <w:pStyle w:val="aa"/>
              <w:spacing w:line="336" w:lineRule="auto"/>
              <w:jc w:val="center"/>
            </w:pPr>
            <w:r>
              <w:t>71.0</w:t>
            </w:r>
          </w:p>
          <w:p w:rsidR="00000000" w:rsidRDefault="00000000">
            <w:pPr>
              <w:pStyle w:val="aa"/>
              <w:spacing w:line="336" w:lineRule="auto"/>
              <w:jc w:val="center"/>
            </w:pPr>
            <w:r>
              <w:t>70.8</w:t>
            </w:r>
          </w:p>
          <w:p w:rsidR="00000000" w:rsidRDefault="00000000">
            <w:pPr>
              <w:pStyle w:val="aa"/>
              <w:spacing w:line="336" w:lineRule="auto"/>
              <w:jc w:val="center"/>
            </w:pPr>
            <w:r>
              <w:t>69.6</w:t>
            </w:r>
          </w:p>
          <w:p w:rsidR="00000000" w:rsidRDefault="00000000">
            <w:pPr>
              <w:pStyle w:val="aa"/>
              <w:spacing w:line="336" w:lineRule="auto"/>
              <w:jc w:val="center"/>
            </w:pPr>
            <w:r>
              <w:t>66.9</w:t>
            </w:r>
          </w:p>
        </w:tc>
      </w:tr>
    </w:tbl>
    <w:p w:rsidR="00000000" w:rsidRDefault="00000000">
      <w:pPr>
        <w:spacing w:before="320"/>
        <w:rPr>
          <w:rFonts w:hint="eastAsia"/>
        </w:rPr>
      </w:pPr>
      <w:r>
        <w:rPr>
          <w:rFonts w:hint="eastAsia"/>
        </w:rPr>
        <w:tab/>
        <w:t xml:space="preserve">375.  </w:t>
      </w:r>
      <w:r>
        <w:rPr>
          <w:rFonts w:hint="eastAsia"/>
        </w:rPr>
        <w:t>家庭法修正案也对儿童收养问题作了新规定。收养须征得生身父母的同意。下列情形中无须征得同意：父母在</w:t>
      </w:r>
      <w:r>
        <w:rPr>
          <w:rFonts w:hint="eastAsia"/>
        </w:rPr>
        <w:t>6</w:t>
      </w:r>
      <w:r>
        <w:rPr>
          <w:rFonts w:hint="eastAsia"/>
        </w:rPr>
        <w:t>个月的期间内一再显示不真正关心其儿童或在其儿童出生</w:t>
      </w:r>
      <w:r>
        <w:rPr>
          <w:rFonts w:hint="eastAsia"/>
        </w:rPr>
        <w:t>2</w:t>
      </w:r>
      <w:r>
        <w:rPr>
          <w:rFonts w:hint="eastAsia"/>
        </w:rPr>
        <w:t>个月后对其漠不关心，而且并不存在妨碍他们关心儿童的严重障碍。</w:t>
      </w:r>
    </w:p>
    <w:p w:rsidR="00000000" w:rsidRDefault="00000000">
      <w:pPr>
        <w:rPr>
          <w:rFonts w:hint="eastAsia"/>
        </w:rPr>
      </w:pPr>
      <w:r>
        <w:rPr>
          <w:rFonts w:hint="eastAsia"/>
        </w:rPr>
        <w:tab/>
        <w:t xml:space="preserve">376.  </w:t>
      </w:r>
      <w:r>
        <w:rPr>
          <w:rFonts w:hint="eastAsia"/>
        </w:rPr>
        <w:t>对有儿童家庭的照顾也依关于社会保障的条例，特别是社会保障法</w:t>
      </w:r>
      <w:r>
        <w:rPr>
          <w:rFonts w:hint="eastAsia"/>
        </w:rPr>
        <w:t xml:space="preserve"> </w:t>
      </w:r>
      <w:r>
        <w:rPr>
          <w:rStyle w:val="EndnoteReference"/>
        </w:rPr>
        <w:endnoteReference w:id="219"/>
      </w:r>
      <w:r>
        <w:rPr>
          <w:rFonts w:hint="eastAsia"/>
        </w:rPr>
        <w:t xml:space="preserve"> </w:t>
      </w:r>
      <w:r>
        <w:rPr>
          <w:rFonts w:hint="eastAsia"/>
        </w:rPr>
        <w:t>和捷克共和国关于当局对社会保障问题的管辖范围法</w:t>
      </w:r>
      <w:r>
        <w:rPr>
          <w:rFonts w:hint="eastAsia"/>
        </w:rPr>
        <w:t xml:space="preserve"> </w:t>
      </w:r>
      <w:r>
        <w:rPr>
          <w:rStyle w:val="EndnoteReference"/>
        </w:rPr>
        <w:endnoteReference w:id="220"/>
      </w:r>
      <w:r>
        <w:rPr>
          <w:rFonts w:hint="eastAsia"/>
        </w:rPr>
        <w:t xml:space="preserve"> </w:t>
      </w:r>
      <w:r>
        <w:rPr>
          <w:rFonts w:hint="eastAsia"/>
        </w:rPr>
        <w:t>为准则。根据社会保障法第</w:t>
      </w:r>
      <w:r>
        <w:rPr>
          <w:rFonts w:hint="eastAsia"/>
        </w:rPr>
        <w:t>74</w:t>
      </w:r>
      <w:r>
        <w:rPr>
          <w:rFonts w:hint="eastAsia"/>
        </w:rPr>
        <w:t>条，适当的国家机构提供社会照顾津贴和服务，确保需抚养儿童、其父母、单身母亲</w:t>
      </w:r>
      <w:r>
        <w:rPr>
          <w:rFonts w:hint="eastAsia"/>
        </w:rPr>
        <w:t>(</w:t>
      </w:r>
      <w:r>
        <w:rPr>
          <w:rFonts w:hint="eastAsia"/>
        </w:rPr>
        <w:t>父亲</w:t>
      </w:r>
      <w:r>
        <w:rPr>
          <w:rFonts w:hint="eastAsia"/>
        </w:rPr>
        <w:t>)</w:t>
      </w:r>
      <w:r>
        <w:rPr>
          <w:rFonts w:hint="eastAsia"/>
        </w:rPr>
        <w:t>、孕妇和其他公民的基本需要。这些机构与其他组织合作通过咨询和教育活动对儿童和青年人进行有关婚姻和负有责任的父母资格的准备教育、帮助在面临破裂危险的家庭创造有利的关系和协助克服这种破裂的后果。</w:t>
      </w:r>
    </w:p>
    <w:p w:rsidR="00000000" w:rsidRDefault="00000000">
      <w:pPr>
        <w:spacing w:before="240" w:after="120"/>
        <w:jc w:val="center"/>
        <w:rPr>
          <w:rFonts w:hint="eastAsia"/>
        </w:rPr>
      </w:pPr>
      <w:r>
        <w:rPr>
          <w:rFonts w:hint="eastAsia"/>
          <w:u w:val="single"/>
        </w:rPr>
        <w:t>给有儿童家庭的福利援助</w:t>
      </w:r>
      <w:r>
        <w:rPr>
          <w:rFonts w:hint="eastAsia"/>
          <w:u w:val="single"/>
        </w:rPr>
        <w:t>(</w:t>
      </w:r>
      <w:r>
        <w:rPr>
          <w:rFonts w:hint="eastAsia"/>
          <w:u w:val="single"/>
        </w:rPr>
        <w:t>百万克朗</w:t>
      </w:r>
      <w:r>
        <w:rPr>
          <w:rFonts w:hint="eastAsia"/>
        </w:rPr>
        <w:t>)</w:t>
      </w:r>
    </w:p>
    <w:tbl>
      <w:tblPr>
        <w:tblW w:w="5000" w:type="pct"/>
        <w:tblBorders>
          <w:top w:val="single" w:sz="12" w:space="0" w:color="008000"/>
          <w:bottom w:val="single" w:sz="12" w:space="0" w:color="008000"/>
        </w:tblBorders>
        <w:tblCellMar>
          <w:left w:w="70" w:type="dxa"/>
          <w:right w:w="70" w:type="dxa"/>
        </w:tblCellMar>
        <w:tblLook w:val="0000" w:firstRow="0" w:lastRow="0" w:firstColumn="0" w:lastColumn="0" w:noHBand="0" w:noVBand="0"/>
      </w:tblPr>
      <w:tblGrid>
        <w:gridCol w:w="4991"/>
        <w:gridCol w:w="961"/>
        <w:gridCol w:w="839"/>
        <w:gridCol w:w="959"/>
        <w:gridCol w:w="839"/>
        <w:gridCol w:w="906"/>
      </w:tblGrid>
      <w:tr w:rsidR="00000000">
        <w:tblPrEx>
          <w:tblCellMar>
            <w:top w:w="0" w:type="dxa"/>
            <w:bottom w:w="0" w:type="dxa"/>
          </w:tblCellMar>
        </w:tblPrEx>
        <w:tc>
          <w:tcPr>
            <w:tcW w:w="2628"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20" w:after="60" w:line="336" w:lineRule="auto"/>
              <w:jc w:val="center"/>
            </w:pPr>
          </w:p>
        </w:tc>
        <w:tc>
          <w:tcPr>
            <w:tcW w:w="506"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20" w:after="60" w:line="336" w:lineRule="auto"/>
              <w:jc w:val="center"/>
            </w:pPr>
            <w:r>
              <w:t>1990</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20" w:after="60" w:line="336" w:lineRule="auto"/>
              <w:jc w:val="center"/>
            </w:pPr>
            <w:r>
              <w:t>1995</w:t>
            </w:r>
          </w:p>
        </w:tc>
        <w:tc>
          <w:tcPr>
            <w:tcW w:w="505"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20" w:after="60" w:line="336" w:lineRule="auto"/>
              <w:jc w:val="center"/>
            </w:pPr>
            <w:r>
              <w:t>1996</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20" w:after="60" w:line="336" w:lineRule="auto"/>
              <w:jc w:val="center"/>
            </w:pPr>
            <w:r>
              <w:t>1997</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pStyle w:val="aa"/>
              <w:spacing w:before="120" w:after="60" w:line="336" w:lineRule="auto"/>
              <w:jc w:val="center"/>
            </w:pPr>
            <w:r>
              <w:t>1998</w:t>
            </w:r>
          </w:p>
        </w:tc>
      </w:tr>
      <w:tr w:rsidR="00000000">
        <w:tblPrEx>
          <w:tblCellMar>
            <w:top w:w="0" w:type="dxa"/>
            <w:bottom w:w="0" w:type="dxa"/>
          </w:tblCellMar>
        </w:tblPrEx>
        <w:tc>
          <w:tcPr>
            <w:tcW w:w="2628" w:type="pct"/>
            <w:tcBorders>
              <w:top w:val="single" w:sz="4" w:space="0" w:color="auto"/>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直接财务援助</w:t>
            </w:r>
          </w:p>
        </w:tc>
        <w:tc>
          <w:tcPr>
            <w:tcW w:w="506" w:type="pct"/>
            <w:tcBorders>
              <w:top w:val="single" w:sz="4" w:space="0" w:color="auto"/>
              <w:left w:val="single" w:sz="4" w:space="0" w:color="auto"/>
              <w:bottom w:val="nil"/>
              <w:right w:val="single" w:sz="4" w:space="0" w:color="auto"/>
            </w:tcBorders>
          </w:tcPr>
          <w:p w:rsidR="00000000" w:rsidRDefault="00000000">
            <w:pPr>
              <w:pStyle w:val="aa"/>
              <w:spacing w:line="336" w:lineRule="auto"/>
              <w:ind w:right="113"/>
              <w:jc w:val="right"/>
            </w:pPr>
            <w:r>
              <w:t>17 360</w:t>
            </w:r>
          </w:p>
        </w:tc>
        <w:tc>
          <w:tcPr>
            <w:tcW w:w="442" w:type="pct"/>
            <w:tcBorders>
              <w:top w:val="single" w:sz="4" w:space="0" w:color="auto"/>
              <w:left w:val="single" w:sz="4" w:space="0" w:color="auto"/>
              <w:bottom w:val="nil"/>
              <w:right w:val="single" w:sz="4" w:space="0" w:color="auto"/>
            </w:tcBorders>
          </w:tcPr>
          <w:p w:rsidR="00000000" w:rsidRDefault="00000000">
            <w:pPr>
              <w:pStyle w:val="aa"/>
              <w:spacing w:line="336" w:lineRule="auto"/>
              <w:ind w:right="113"/>
              <w:jc w:val="right"/>
            </w:pPr>
            <w:r>
              <w:t>29 662</w:t>
            </w:r>
          </w:p>
        </w:tc>
        <w:tc>
          <w:tcPr>
            <w:tcW w:w="505" w:type="pct"/>
            <w:tcBorders>
              <w:top w:val="single" w:sz="4" w:space="0" w:color="auto"/>
              <w:left w:val="single" w:sz="4" w:space="0" w:color="auto"/>
              <w:bottom w:val="nil"/>
              <w:right w:val="single" w:sz="4" w:space="0" w:color="auto"/>
            </w:tcBorders>
          </w:tcPr>
          <w:p w:rsidR="00000000" w:rsidRDefault="00000000">
            <w:pPr>
              <w:pStyle w:val="aa"/>
              <w:spacing w:line="336" w:lineRule="auto"/>
              <w:ind w:right="113"/>
              <w:jc w:val="right"/>
            </w:pPr>
            <w:r>
              <w:t>32 260</w:t>
            </w:r>
          </w:p>
        </w:tc>
        <w:tc>
          <w:tcPr>
            <w:tcW w:w="442" w:type="pct"/>
            <w:tcBorders>
              <w:top w:val="single" w:sz="4" w:space="0" w:color="auto"/>
              <w:left w:val="single" w:sz="4" w:space="0" w:color="auto"/>
              <w:bottom w:val="nil"/>
              <w:right w:val="single" w:sz="4" w:space="0" w:color="auto"/>
            </w:tcBorders>
          </w:tcPr>
          <w:p w:rsidR="00000000" w:rsidRDefault="00000000">
            <w:pPr>
              <w:pStyle w:val="aa"/>
              <w:spacing w:line="336" w:lineRule="auto"/>
              <w:ind w:right="113"/>
              <w:jc w:val="right"/>
            </w:pPr>
            <w:r>
              <w:t>33 481</w:t>
            </w:r>
          </w:p>
        </w:tc>
        <w:tc>
          <w:tcPr>
            <w:tcW w:w="477" w:type="pct"/>
            <w:tcBorders>
              <w:top w:val="single" w:sz="4" w:space="0" w:color="auto"/>
              <w:left w:val="single" w:sz="4" w:space="0" w:color="auto"/>
              <w:bottom w:val="nil"/>
              <w:right w:val="single" w:sz="4" w:space="0" w:color="auto"/>
            </w:tcBorders>
          </w:tcPr>
          <w:p w:rsidR="00000000" w:rsidRDefault="00000000">
            <w:pPr>
              <w:pStyle w:val="aa"/>
              <w:spacing w:line="336" w:lineRule="auto"/>
              <w:ind w:right="113"/>
              <w:jc w:val="right"/>
            </w:pPr>
            <w:r>
              <w:t>34 348</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pPr>
            <w:r>
              <w:rPr>
                <w:rFonts w:hint="eastAsia"/>
              </w:rPr>
              <w:t>其中：儿童补助</w:t>
            </w:r>
            <w:r>
              <w:rPr>
                <w:rFonts w:hint="eastAsia"/>
              </w:rPr>
              <w:t xml:space="preserve"> </w:t>
            </w:r>
            <w:r>
              <w:t>a</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10 481</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12 770</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12 193</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12 497</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11 493</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rPr>
                <w:rFonts w:hint="eastAsia"/>
              </w:rPr>
            </w:pPr>
            <w:r>
              <w:rPr>
                <w:rFonts w:hint="eastAsia"/>
              </w:rPr>
              <w:t>产妇津贴</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1 349</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1 722</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1 811</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1 963</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2 028</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rPr>
                <w:rFonts w:hint="eastAsia"/>
              </w:rPr>
            </w:pPr>
            <w:r>
              <w:rPr>
                <w:rFonts w:hint="eastAsia"/>
              </w:rPr>
              <w:t>父母津贴</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1 504</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5 824</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7 357</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7 612</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7 781</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pPr>
            <w:r>
              <w:rPr>
                <w:rFonts w:hint="eastAsia"/>
              </w:rPr>
              <w:t>婴儿出生补助</w:t>
            </w:r>
            <w:r>
              <w:rPr>
                <w:rFonts w:hint="eastAsia"/>
              </w:rPr>
              <w:t>(</w:t>
            </w:r>
            <w:r>
              <w:rPr>
                <w:rFonts w:hint="eastAsia"/>
              </w:rPr>
              <w:t>婴儿出生时给予的资助</w:t>
            </w:r>
            <w:r>
              <w:rPr>
                <w:rFonts w:hint="eastAsia"/>
              </w:rPr>
              <w:t>)</w:t>
            </w:r>
            <w:r>
              <w:t>b</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258</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428</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484</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525</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563</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rPr>
                <w:rFonts w:hint="eastAsia"/>
              </w:rPr>
            </w:pPr>
            <w:r>
              <w:rPr>
                <w:rFonts w:hint="eastAsia"/>
              </w:rPr>
              <w:t>产妇和孕妇补偿津贴</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21</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18</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9</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8</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7</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pPr>
            <w:r>
              <w:rPr>
                <w:rFonts w:hint="eastAsia"/>
              </w:rPr>
              <w:t>看护人津贴</w:t>
            </w:r>
            <w:r>
              <w:rPr>
                <w:rFonts w:hint="eastAsia"/>
              </w:rPr>
              <w:t xml:space="preserve"> </w:t>
            </w:r>
            <w:r>
              <w:t>c</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71</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39</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33</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25</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23</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pPr>
            <w:r>
              <w:rPr>
                <w:rFonts w:hint="eastAsia"/>
              </w:rPr>
              <w:t>抚养儿童津贴</w:t>
            </w:r>
            <w:r>
              <w:t xml:space="preserve"> d</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55</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58</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37</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40</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54</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pPr>
            <w:r>
              <w:rPr>
                <w:rFonts w:hint="eastAsia"/>
              </w:rPr>
              <w:t>寄养津贴</w:t>
            </w:r>
            <w:r>
              <w:rPr>
                <w:rFonts w:hint="eastAsia"/>
              </w:rPr>
              <w:t xml:space="preserve"> </w:t>
            </w:r>
            <w:r>
              <w:t>e</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53</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111</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154</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169</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233</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pPr>
            <w:r>
              <w:rPr>
                <w:rFonts w:hint="eastAsia"/>
              </w:rPr>
              <w:t>给其儿童和孕妇没有得到援助的家庭的社会津贴</w:t>
            </w:r>
            <w:r>
              <w:rPr>
                <w:rFonts w:hint="eastAsia"/>
              </w:rPr>
              <w:t xml:space="preserve"> </w:t>
            </w:r>
            <w:r>
              <w:t>f</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rPr>
                <w:rFonts w:hint="eastAsia"/>
              </w:rPr>
            </w:pPr>
            <w:r>
              <w:t>98</w:t>
            </w:r>
            <w:r>
              <w:rPr>
                <w:rFonts w:hint="eastAsia"/>
              </w:rPr>
              <w:t xml:space="preserve">    </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1 634</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1 402</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1 617</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2 322</w:t>
            </w:r>
          </w:p>
        </w:tc>
      </w:tr>
      <w:tr w:rsidR="00000000">
        <w:tblPrEx>
          <w:tblCellMar>
            <w:top w:w="0" w:type="dxa"/>
            <w:bottom w:w="0" w:type="dxa"/>
          </w:tblCellMar>
        </w:tblPrEx>
        <w:tc>
          <w:tcPr>
            <w:tcW w:w="2628" w:type="pct"/>
            <w:tcBorders>
              <w:top w:val="nil"/>
              <w:left w:val="single" w:sz="4" w:space="0" w:color="auto"/>
              <w:bottom w:val="nil"/>
              <w:right w:val="single" w:sz="4" w:space="0" w:color="auto"/>
            </w:tcBorders>
          </w:tcPr>
          <w:p w:rsidR="00000000" w:rsidRDefault="00000000">
            <w:pPr>
              <w:pStyle w:val="aa"/>
              <w:spacing w:line="336" w:lineRule="auto"/>
              <w:ind w:firstLine="240"/>
            </w:pPr>
            <w:r>
              <w:rPr>
                <w:rFonts w:hint="eastAsia"/>
              </w:rPr>
              <w:t>家庭成员照顾</w:t>
            </w:r>
            <w:r>
              <w:t xml:space="preserve"> g</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730</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894</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927</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864</w:t>
            </w:r>
          </w:p>
        </w:tc>
        <w:tc>
          <w:tcPr>
            <w:tcW w:w="477" w:type="pct"/>
            <w:tcBorders>
              <w:top w:val="nil"/>
              <w:left w:val="single" w:sz="4" w:space="0" w:color="auto"/>
              <w:bottom w:val="nil"/>
              <w:right w:val="single" w:sz="4" w:space="0" w:color="auto"/>
            </w:tcBorders>
          </w:tcPr>
          <w:p w:rsidR="00000000" w:rsidRDefault="00000000">
            <w:pPr>
              <w:pStyle w:val="aa"/>
              <w:spacing w:line="336" w:lineRule="auto"/>
              <w:ind w:right="113"/>
              <w:jc w:val="right"/>
            </w:pPr>
            <w:r>
              <w:t>766</w:t>
            </w:r>
          </w:p>
        </w:tc>
      </w:tr>
      <w:tr w:rsidR="00000000">
        <w:tblPrEx>
          <w:tblCellMar>
            <w:top w:w="0" w:type="dxa"/>
            <w:bottom w:w="0" w:type="dxa"/>
          </w:tblCellMar>
        </w:tblPrEx>
        <w:tc>
          <w:tcPr>
            <w:tcW w:w="2628" w:type="pct"/>
            <w:tcBorders>
              <w:top w:val="nil"/>
              <w:left w:val="single" w:sz="4" w:space="0" w:color="auto"/>
              <w:bottom w:val="single" w:sz="4" w:space="0" w:color="auto"/>
              <w:right w:val="single" w:sz="4" w:space="0" w:color="auto"/>
            </w:tcBorders>
          </w:tcPr>
          <w:p w:rsidR="00000000" w:rsidRDefault="00000000">
            <w:pPr>
              <w:pStyle w:val="aa"/>
              <w:spacing w:line="336" w:lineRule="auto"/>
              <w:ind w:firstLine="240"/>
              <w:rPr>
                <w:lang w:val="en-GB"/>
              </w:rPr>
            </w:pPr>
            <w:r>
              <w:rPr>
                <w:rFonts w:hint="eastAsia"/>
              </w:rPr>
              <w:t>社会补充津贴</w:t>
            </w:r>
            <w:r>
              <w:rPr>
                <w:rFonts w:hint="eastAsia"/>
              </w:rPr>
              <w:t xml:space="preserve"> h</w:t>
            </w:r>
          </w:p>
        </w:tc>
        <w:tc>
          <w:tcPr>
            <w:tcW w:w="506"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113"/>
              <w:jc w:val="right"/>
            </w:pPr>
            <w:r>
              <w:t>2 340</w:t>
            </w:r>
          </w:p>
        </w:tc>
        <w:tc>
          <w:tcPr>
            <w:tcW w:w="442"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113"/>
              <w:jc w:val="right"/>
            </w:pPr>
            <w:r>
              <w:t>6 029</w:t>
            </w:r>
          </w:p>
        </w:tc>
        <w:tc>
          <w:tcPr>
            <w:tcW w:w="505"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113"/>
              <w:jc w:val="right"/>
            </w:pPr>
            <w:r>
              <w:t>6 243</w:t>
            </w:r>
          </w:p>
        </w:tc>
        <w:tc>
          <w:tcPr>
            <w:tcW w:w="442"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113"/>
              <w:jc w:val="right"/>
            </w:pPr>
            <w:r>
              <w:t>6 224</w:t>
            </w:r>
          </w:p>
        </w:tc>
        <w:tc>
          <w:tcPr>
            <w:tcW w:w="477"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113"/>
              <w:jc w:val="right"/>
            </w:pPr>
            <w:r>
              <w:t>6 273</w:t>
            </w:r>
          </w:p>
        </w:tc>
      </w:tr>
    </w:tbl>
    <w:p w:rsidR="00000000" w:rsidRDefault="00000000">
      <w:pPr>
        <w:pStyle w:val="FootnoteText"/>
        <w:spacing w:before="160" w:line="240" w:lineRule="auto"/>
        <w:ind w:left="1020" w:hanging="510"/>
        <w:rPr>
          <w:rFonts w:hint="eastAsia"/>
        </w:rPr>
      </w:pPr>
      <w:r>
        <w:t>a</w:t>
      </w:r>
      <w:r>
        <w:tab/>
      </w:r>
      <w:r>
        <w:rPr>
          <w:rFonts w:hint="eastAsia"/>
        </w:rPr>
        <w:t>包括养恤金领取者的父母津贴。在</w:t>
      </w:r>
      <w:r>
        <w:rPr>
          <w:rFonts w:hint="eastAsia"/>
        </w:rPr>
        <w:t>1995</w:t>
      </w:r>
      <w:r>
        <w:rPr>
          <w:rFonts w:hint="eastAsia"/>
        </w:rPr>
        <w:t>年前，提供给其父母有病或从分娩时起其父母领取养恤金保险的所有儿童，直到有资格从事职业；数额因儿童年龄而异。从</w:t>
      </w:r>
      <w:r>
        <w:rPr>
          <w:rFonts w:hint="eastAsia"/>
        </w:rPr>
        <w:t>1996</w:t>
      </w:r>
      <w:r>
        <w:rPr>
          <w:rFonts w:hint="eastAsia"/>
        </w:rPr>
        <w:t>年</w:t>
      </w:r>
      <w:r>
        <w:rPr>
          <w:rFonts w:hint="eastAsia"/>
        </w:rPr>
        <w:t>1</w:t>
      </w:r>
      <w:r>
        <w:rPr>
          <w:rFonts w:hint="eastAsia"/>
        </w:rPr>
        <w:t>月</w:t>
      </w:r>
      <w:r>
        <w:rPr>
          <w:rFonts w:hint="eastAsia"/>
        </w:rPr>
        <w:t>1</w:t>
      </w:r>
      <w:r>
        <w:rPr>
          <w:rFonts w:hint="eastAsia"/>
        </w:rPr>
        <w:t>日起，补充津贴数额取决于儿童的年龄和家庭收入。补充津贴提供给生活在收入低于维持生计水平</w:t>
      </w:r>
      <w:r>
        <w:rPr>
          <w:rFonts w:hint="eastAsia"/>
        </w:rPr>
        <w:t>3</w:t>
      </w:r>
      <w:r>
        <w:rPr>
          <w:rFonts w:hint="eastAsia"/>
        </w:rPr>
        <w:t>倍的家庭的儿童。</w:t>
      </w:r>
    </w:p>
    <w:p w:rsidR="00000000" w:rsidRDefault="00000000">
      <w:pPr>
        <w:pStyle w:val="FootnoteText"/>
        <w:spacing w:line="240" w:lineRule="auto"/>
        <w:ind w:left="1020" w:hanging="510"/>
        <w:rPr>
          <w:rFonts w:hint="eastAsia"/>
        </w:rPr>
      </w:pPr>
      <w:r>
        <w:t>b</w:t>
      </w:r>
      <w:r>
        <w:rPr>
          <w:rFonts w:hint="eastAsia"/>
        </w:rPr>
        <w:tab/>
      </w:r>
      <w:r>
        <w:rPr>
          <w:rFonts w:hint="eastAsia"/>
        </w:rPr>
        <w:t>直到</w:t>
      </w:r>
      <w:r>
        <w:rPr>
          <w:rFonts w:hint="eastAsia"/>
        </w:rPr>
        <w:t>1995</w:t>
      </w:r>
      <w:r>
        <w:rPr>
          <w:rFonts w:hint="eastAsia"/>
        </w:rPr>
        <w:t>年</w:t>
      </w:r>
      <w:r>
        <w:rPr>
          <w:rFonts w:hint="eastAsia"/>
        </w:rPr>
        <w:t>10</w:t>
      </w:r>
      <w:r>
        <w:rPr>
          <w:rFonts w:hint="eastAsia"/>
        </w:rPr>
        <w:t>月</w:t>
      </w:r>
      <w:r>
        <w:rPr>
          <w:rFonts w:hint="eastAsia"/>
        </w:rPr>
        <w:t>1</w:t>
      </w:r>
      <w:r>
        <w:rPr>
          <w:rFonts w:hint="eastAsia"/>
        </w:rPr>
        <w:t>日，在儿童出生时给予的捐助。这种捐助用于支付与婴儿出生有关的特殊开支</w:t>
      </w:r>
      <w:r>
        <w:rPr>
          <w:rFonts w:hint="eastAsia"/>
        </w:rPr>
        <w:t>(</w:t>
      </w:r>
      <w:r>
        <w:rPr>
          <w:rFonts w:hint="eastAsia"/>
        </w:rPr>
        <w:t>数额为维持生计水平的</w:t>
      </w:r>
      <w:r>
        <w:rPr>
          <w:rFonts w:hint="eastAsia"/>
        </w:rPr>
        <w:t>4</w:t>
      </w:r>
      <w:r>
        <w:rPr>
          <w:rFonts w:hint="eastAsia"/>
        </w:rPr>
        <w:t>倍以解决儿童个人需要；不审查家庭收入</w:t>
      </w:r>
      <w:r>
        <w:rPr>
          <w:rFonts w:hint="eastAsia"/>
        </w:rPr>
        <w:t>)</w:t>
      </w:r>
      <w:r>
        <w:rPr>
          <w:rFonts w:hint="eastAsia"/>
        </w:rPr>
        <w:t>。</w:t>
      </w:r>
    </w:p>
    <w:p w:rsidR="00000000" w:rsidRDefault="00000000">
      <w:pPr>
        <w:pStyle w:val="FootnoteText"/>
        <w:spacing w:line="240" w:lineRule="auto"/>
        <w:ind w:left="1020" w:hanging="510"/>
        <w:rPr>
          <w:rFonts w:hint="eastAsia"/>
        </w:rPr>
      </w:pPr>
      <w:r>
        <w:t>c)</w:t>
      </w:r>
      <w:r>
        <w:rPr>
          <w:rFonts w:hint="eastAsia"/>
        </w:rPr>
        <w:tab/>
      </w:r>
      <w:r>
        <w:rPr>
          <w:rFonts w:hint="eastAsia"/>
        </w:rPr>
        <w:t>这种津贴是给下列人员的一种待遇：士兵的孩子、其妻子或该士兵在其基本</w:t>
      </w:r>
      <w:r>
        <w:rPr>
          <w:rFonts w:hint="eastAsia"/>
        </w:rPr>
        <w:t>(</w:t>
      </w:r>
      <w:r>
        <w:rPr>
          <w:rFonts w:hint="eastAsia"/>
        </w:rPr>
        <w:t>替补</w:t>
      </w:r>
      <w:r>
        <w:rPr>
          <w:rFonts w:hint="eastAsia"/>
        </w:rPr>
        <w:t>)</w:t>
      </w:r>
      <w:r>
        <w:rPr>
          <w:rFonts w:hint="eastAsia"/>
        </w:rPr>
        <w:t>义务兵役、公务或军事培训期间有对其支付赡养款项义务的另一人，无论此人的收入如何。妻子享受这种待遇的条件是她照顾孩子，直到</w:t>
      </w:r>
      <w:r>
        <w:rPr>
          <w:rFonts w:hint="eastAsia"/>
        </w:rPr>
        <w:t>4</w:t>
      </w:r>
      <w:r>
        <w:rPr>
          <w:rFonts w:hint="eastAsia"/>
        </w:rPr>
        <w:t>岁</w:t>
      </w:r>
      <w:r>
        <w:rPr>
          <w:rFonts w:hint="eastAsia"/>
        </w:rPr>
        <w:t>(</w:t>
      </w:r>
      <w:r>
        <w:rPr>
          <w:rFonts w:hint="eastAsia"/>
        </w:rPr>
        <w:t>或如孩子残疾，照顾到</w:t>
      </w:r>
      <w:r>
        <w:rPr>
          <w:rFonts w:hint="eastAsia"/>
        </w:rPr>
        <w:t>7</w:t>
      </w:r>
      <w:r>
        <w:rPr>
          <w:rFonts w:hint="eastAsia"/>
        </w:rPr>
        <w:t>岁</w:t>
      </w:r>
      <w:r>
        <w:rPr>
          <w:rFonts w:hint="eastAsia"/>
        </w:rPr>
        <w:t>)</w:t>
      </w:r>
      <w:r>
        <w:rPr>
          <w:rFonts w:hint="eastAsia"/>
        </w:rPr>
        <w:t>或她自己残疾或她不能工作的另一严重理由。</w:t>
      </w:r>
    </w:p>
    <w:p w:rsidR="00000000" w:rsidRDefault="00000000">
      <w:pPr>
        <w:pStyle w:val="FootnoteText"/>
        <w:spacing w:line="240" w:lineRule="auto"/>
        <w:ind w:left="1020" w:hanging="510"/>
        <w:rPr>
          <w:rFonts w:hint="eastAsia"/>
        </w:rPr>
      </w:pPr>
      <w:r>
        <w:t>d)</w:t>
      </w:r>
      <w:r>
        <w:rPr>
          <w:rFonts w:hint="eastAsia"/>
        </w:rPr>
        <w:tab/>
      </w:r>
      <w:r>
        <w:rPr>
          <w:rFonts w:hint="eastAsia"/>
        </w:rPr>
        <w:t>仅提供给其赡养义务由法院规定解决的儿童</w:t>
      </w:r>
      <w:r>
        <w:rPr>
          <w:rFonts w:hint="eastAsia"/>
        </w:rPr>
        <w:t>(</w:t>
      </w:r>
      <w:r>
        <w:rPr>
          <w:rFonts w:hint="eastAsia"/>
        </w:rPr>
        <w:t>所谓赡养存款</w:t>
      </w:r>
      <w:r>
        <w:rPr>
          <w:rFonts w:hint="eastAsia"/>
        </w:rPr>
        <w:t>)</w:t>
      </w:r>
      <w:r>
        <w:rPr>
          <w:rFonts w:hint="eastAsia"/>
        </w:rPr>
        <w:t>，数额相当于社会贫困补助数额。</w:t>
      </w:r>
    </w:p>
    <w:p w:rsidR="00000000" w:rsidRDefault="00000000">
      <w:pPr>
        <w:pStyle w:val="FootnoteText"/>
        <w:spacing w:line="240" w:lineRule="auto"/>
        <w:ind w:left="1020" w:hanging="510"/>
        <w:rPr>
          <w:rFonts w:hint="eastAsia"/>
        </w:rPr>
      </w:pPr>
      <w:r>
        <w:t>e)</w:t>
      </w:r>
      <w:r>
        <w:rPr>
          <w:rFonts w:hint="eastAsia"/>
        </w:rPr>
        <w:tab/>
      </w:r>
      <w:r>
        <w:rPr>
          <w:rFonts w:hint="eastAsia"/>
        </w:rPr>
        <w:t>为购买儿童必需品的捐款、给养父母的奖励、在接收寄养儿童时给予的捐款和为购买机动车辆的捐款。</w:t>
      </w:r>
    </w:p>
    <w:p w:rsidR="00000000" w:rsidRDefault="00000000">
      <w:pPr>
        <w:pStyle w:val="FootnoteText"/>
        <w:spacing w:line="240" w:lineRule="auto"/>
        <w:ind w:left="1020" w:hanging="510"/>
        <w:rPr>
          <w:rFonts w:hint="eastAsia"/>
        </w:rPr>
      </w:pPr>
      <w:r>
        <w:t>f)</w:t>
      </w:r>
      <w:r>
        <w:rPr>
          <w:rFonts w:hint="eastAsia"/>
        </w:rPr>
        <w:tab/>
      </w:r>
      <w:r>
        <w:rPr>
          <w:rFonts w:hint="eastAsia"/>
        </w:rPr>
        <w:t>这种津贴在下列情况下支付：如果他们的生活低于维持生计水平，并且无法通过自己的活动增加其收入。</w:t>
      </w:r>
    </w:p>
    <w:p w:rsidR="00000000" w:rsidRDefault="00000000">
      <w:pPr>
        <w:pStyle w:val="FootnoteText"/>
        <w:spacing w:line="240" w:lineRule="auto"/>
        <w:ind w:left="1020" w:hanging="510"/>
        <w:rPr>
          <w:rFonts w:hint="eastAsia"/>
        </w:rPr>
      </w:pPr>
      <w:r>
        <w:t>g)</w:t>
      </w:r>
      <w:r>
        <w:rPr>
          <w:rFonts w:hint="eastAsia"/>
        </w:rPr>
        <w:tab/>
      </w:r>
      <w:r>
        <w:rPr>
          <w:rFonts w:hint="eastAsia"/>
        </w:rPr>
        <w:t>在照顾有病子女时提供给父母之一，通常为期</w:t>
      </w:r>
      <w:r>
        <w:rPr>
          <w:rFonts w:hint="eastAsia"/>
        </w:rPr>
        <w:t>9</w:t>
      </w:r>
      <w:r>
        <w:rPr>
          <w:rFonts w:hint="eastAsia"/>
        </w:rPr>
        <w:t>个日历日。</w:t>
      </w:r>
    </w:p>
    <w:p w:rsidR="00000000" w:rsidRDefault="00000000">
      <w:pPr>
        <w:pStyle w:val="FootnoteText"/>
        <w:spacing w:line="240" w:lineRule="auto"/>
        <w:ind w:left="1020" w:hanging="510"/>
        <w:rPr>
          <w:rFonts w:hint="eastAsia"/>
        </w:rPr>
      </w:pPr>
      <w:r>
        <w:t>h)</w:t>
      </w:r>
      <w:r>
        <w:tab/>
      </w:r>
      <w:r>
        <w:rPr>
          <w:rFonts w:hint="eastAsia"/>
        </w:rPr>
        <w:t>支付给低收入家庭，作为对与确保儿童需要有关的开支的捐助。数额取决于儿童的年龄和家庭收入。如果父母之一照顾孩子，并且家庭收入不超过维持生计水平的</w:t>
      </w:r>
      <w:r>
        <w:rPr>
          <w:rFonts w:hint="eastAsia"/>
        </w:rPr>
        <w:t>1.</w:t>
      </w:r>
      <w:r>
        <w:t>6</w:t>
      </w:r>
      <w:r>
        <w:rPr>
          <w:rFonts w:hint="eastAsia"/>
        </w:rPr>
        <w:t>倍，他即有权享有补充福利津贴。</w:t>
      </w:r>
      <w:r>
        <w:rPr>
          <w:rFonts w:hint="eastAsia"/>
        </w:rPr>
        <w:t>1996</w:t>
      </w:r>
      <w:r>
        <w:rPr>
          <w:rFonts w:hint="eastAsia"/>
        </w:rPr>
        <w:t>年之前没有这种补充福利津贴，但国家提供各种变通的与此相同的捐助。</w:t>
      </w:r>
    </w:p>
    <w:p w:rsidR="00000000" w:rsidRDefault="00000000">
      <w:pPr>
        <w:pStyle w:val="EndnoteText"/>
        <w:spacing w:line="240" w:lineRule="auto"/>
        <w:rPr>
          <w:rFonts w:hint="eastAsia"/>
        </w:rPr>
      </w:pPr>
      <w:r>
        <w:rPr>
          <w:rFonts w:hint="eastAsia"/>
        </w:rPr>
        <w:t>报告案文，特别是与《公约》第</w:t>
      </w:r>
      <w:r>
        <w:rPr>
          <w:rFonts w:hint="eastAsia"/>
        </w:rPr>
        <w:t>9</w:t>
      </w:r>
      <w:r>
        <w:rPr>
          <w:rFonts w:hint="eastAsia"/>
        </w:rPr>
        <w:t>条有关的案文在表格中较详细地叙述了给有孩子的家庭的其他形式的财务援助。</w:t>
      </w:r>
    </w:p>
    <w:p w:rsidR="00000000" w:rsidRDefault="00000000">
      <w:pPr>
        <w:spacing w:before="160" w:after="32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w:t>
      </w:r>
      <w:r>
        <w:rPr>
          <w:rFonts w:eastAsia="KaiTi_GB2312" w:hint="eastAsia"/>
          <w:snapToGrid/>
          <w:spacing w:val="0"/>
        </w:rPr>
        <w:t>1999</w:t>
      </w:r>
      <w:r>
        <w:rPr>
          <w:rFonts w:eastAsia="KaiTi_GB2312" w:hint="eastAsia"/>
          <w:snapToGrid/>
          <w:spacing w:val="0"/>
        </w:rPr>
        <w:t>年捷克共和国统计年鉴。</w:t>
      </w:r>
    </w:p>
    <w:p w:rsidR="00000000" w:rsidRDefault="00000000">
      <w:pPr>
        <w:pStyle w:val="Heading4"/>
        <w:rPr>
          <w:rFonts w:hint="eastAsia"/>
        </w:rPr>
      </w:pPr>
      <w:r>
        <w:rPr>
          <w:rFonts w:hint="eastAsia"/>
        </w:rPr>
        <w:t>第</w:t>
      </w:r>
      <w:r>
        <w:rPr>
          <w:rFonts w:hint="eastAsia"/>
        </w:rPr>
        <w:t xml:space="preserve"> 2 </w:t>
      </w:r>
      <w:r>
        <w:rPr>
          <w:rFonts w:hint="eastAsia"/>
        </w:rPr>
        <w:t>款</w:t>
      </w:r>
    </w:p>
    <w:p w:rsidR="00000000" w:rsidRDefault="00000000">
      <w:pPr>
        <w:rPr>
          <w:rFonts w:hint="eastAsia"/>
        </w:rPr>
      </w:pPr>
      <w:r>
        <w:rPr>
          <w:rFonts w:hint="eastAsia"/>
        </w:rPr>
        <w:tab/>
        <w:t xml:space="preserve">377.  </w:t>
      </w:r>
      <w:r>
        <w:rPr>
          <w:rFonts w:hint="eastAsia"/>
        </w:rPr>
        <w:t>劳工法第</w:t>
      </w:r>
      <w:r>
        <w:rPr>
          <w:rFonts w:hint="eastAsia"/>
        </w:rPr>
        <w:t>153</w:t>
      </w:r>
      <w:r>
        <w:rPr>
          <w:rFonts w:hint="eastAsia"/>
        </w:rPr>
        <w:t>至</w:t>
      </w:r>
      <w:r>
        <w:rPr>
          <w:rFonts w:hint="eastAsia"/>
        </w:rPr>
        <w:t>161</w:t>
      </w:r>
      <w:r>
        <w:rPr>
          <w:rFonts w:hint="eastAsia"/>
        </w:rPr>
        <w:t>条载有对孕妇和母亲实行劳工法律保护的规定。</w:t>
      </w:r>
    </w:p>
    <w:p w:rsidR="00000000" w:rsidRDefault="00000000">
      <w:pPr>
        <w:pStyle w:val="a5"/>
        <w:ind w:left="1530" w:hanging="780"/>
        <w:rPr>
          <w:rFonts w:hint="eastAsia"/>
        </w:rPr>
      </w:pPr>
      <w:r>
        <w:rPr>
          <w:rFonts w:hint="eastAsia"/>
        </w:rPr>
        <w:t>“</w:t>
      </w:r>
      <w:r>
        <w:t>(a)</w:t>
      </w:r>
      <w:r>
        <w:rPr>
          <w:rFonts w:hint="eastAsia"/>
        </w:rPr>
        <w:tab/>
      </w:r>
      <w:r>
        <w:rPr>
          <w:rFonts w:hint="eastAsia"/>
          <w:spacing w:val="6"/>
        </w:rPr>
        <w:t>根据第</w:t>
      </w:r>
      <w:r>
        <w:rPr>
          <w:rFonts w:hint="eastAsia"/>
          <w:spacing w:val="6"/>
        </w:rPr>
        <w:t>153</w:t>
      </w:r>
      <w:r>
        <w:rPr>
          <w:rFonts w:hint="eastAsia"/>
          <w:spacing w:val="6"/>
        </w:rPr>
        <w:t>条，“如果孕妇从事禁止其从事或根据医生意见对妊娠有危险的工作，</w:t>
      </w:r>
      <w:r>
        <w:rPr>
          <w:rStyle w:val="EndnoteReference"/>
          <w:spacing w:val="6"/>
        </w:rPr>
        <w:endnoteReference w:id="221"/>
      </w:r>
      <w:r>
        <w:rPr>
          <w:rFonts w:hint="eastAsia"/>
          <w:spacing w:val="6"/>
        </w:rPr>
        <w:t xml:space="preserve"> </w:t>
      </w:r>
      <w:r>
        <w:rPr>
          <w:rFonts w:hint="eastAsia"/>
          <w:spacing w:val="6"/>
        </w:rPr>
        <w:t>雇主有义务临时给她重新安排适合于她的工作并让她能获得与她从事原工作一样的收入。如果上夜班的孕妇要求改上日班，雇主有义务同意她的要求。”这项规定也适用于分娩不满</w:t>
      </w:r>
      <w:r>
        <w:rPr>
          <w:rFonts w:hint="eastAsia"/>
          <w:spacing w:val="6"/>
        </w:rPr>
        <w:t>9</w:t>
      </w:r>
      <w:r>
        <w:rPr>
          <w:rFonts w:hint="eastAsia"/>
          <w:spacing w:val="6"/>
        </w:rPr>
        <w:t>个月的母亲。如果一名妇女并非因其过失而改换的工作的收入低于原工作的收入，她应根据有关疾病保险的条例获得捐助，以弥补这一差距；</w:t>
      </w:r>
      <w:r>
        <w:rPr>
          <w:rStyle w:val="EndnoteReference"/>
          <w:spacing w:val="6"/>
        </w:rPr>
        <w:endnoteReference w:id="222"/>
      </w:r>
      <w:r>
        <w:rPr>
          <w:rFonts w:hint="eastAsia"/>
          <w:spacing w:val="6"/>
        </w:rPr>
        <w:t xml:space="preserve"> </w:t>
      </w:r>
      <w:r>
        <w:rPr>
          <w:rFonts w:hint="eastAsia"/>
          <w:spacing w:val="6"/>
        </w:rPr>
        <w:t>；</w:t>
      </w:r>
    </w:p>
    <w:p w:rsidR="00000000" w:rsidRDefault="00000000">
      <w:pPr>
        <w:pStyle w:val="a5"/>
        <w:rPr>
          <w:rFonts w:hint="eastAsia"/>
        </w:rPr>
      </w:pPr>
      <w:r>
        <w:t>(b)</w:t>
      </w:r>
      <w:r>
        <w:rPr>
          <w:rFonts w:hint="eastAsia"/>
        </w:rPr>
        <w:tab/>
      </w:r>
      <w:r>
        <w:rPr>
          <w:rFonts w:hint="eastAsia"/>
        </w:rPr>
        <w:t>根据劳工法第</w:t>
      </w:r>
      <w:r>
        <w:rPr>
          <w:rFonts w:hint="eastAsia"/>
        </w:rPr>
        <w:t>155</w:t>
      </w:r>
      <w:r>
        <w:rPr>
          <w:rFonts w:hint="eastAsia"/>
        </w:rPr>
        <w:t>条，孕妇和要照顾</w:t>
      </w:r>
      <w:r>
        <w:rPr>
          <w:rFonts w:hint="eastAsia"/>
        </w:rPr>
        <w:t>3</w:t>
      </w:r>
      <w:r>
        <w:rPr>
          <w:rFonts w:hint="eastAsia"/>
        </w:rPr>
        <w:t>岁以下婴儿的母亲在雇主发通知终止聘用方面受到更多的保护；</w:t>
      </w:r>
    </w:p>
    <w:p w:rsidR="00000000" w:rsidRDefault="00000000">
      <w:pPr>
        <w:pStyle w:val="a5"/>
        <w:rPr>
          <w:rFonts w:hint="eastAsia"/>
        </w:rPr>
      </w:pPr>
      <w:r>
        <w:t>(c)</w:t>
      </w:r>
      <w:r>
        <w:rPr>
          <w:rFonts w:hint="eastAsia"/>
        </w:rPr>
        <w:tab/>
      </w:r>
      <w:r>
        <w:rPr>
          <w:rFonts w:hint="eastAsia"/>
        </w:rPr>
        <w:t>劳工法第</w:t>
      </w:r>
      <w:r>
        <w:rPr>
          <w:rFonts w:hint="eastAsia"/>
        </w:rPr>
        <w:t>156</w:t>
      </w:r>
      <w:r>
        <w:rPr>
          <w:rFonts w:hint="eastAsia"/>
        </w:rPr>
        <w:t>条要求雇主在给雇员排班时考虑要照顾儿童的妇女的需要。他必需准予她们缩短工作时间的要求或如无严重妨碍工作的理由，适当调整每周固定工作时间。雇主也不得让孕妇和照看</w:t>
      </w:r>
      <w:r>
        <w:rPr>
          <w:rFonts w:hint="eastAsia"/>
        </w:rPr>
        <w:t>1</w:t>
      </w:r>
      <w:r>
        <w:rPr>
          <w:rFonts w:hint="eastAsia"/>
        </w:rPr>
        <w:t>岁以下儿童的妇女加班。</w:t>
      </w:r>
    </w:p>
    <w:p w:rsidR="00000000" w:rsidRDefault="00000000">
      <w:r>
        <w:rPr>
          <w:rFonts w:hint="eastAsia"/>
        </w:rPr>
        <w:tab/>
        <w:t xml:space="preserve">378.  </w:t>
      </w:r>
      <w:r>
        <w:rPr>
          <w:rFonts w:hint="eastAsia"/>
        </w:rPr>
        <w:t>目前的法律规章载有男女雇员地位不平等的某些内容；这种情况需要在对劳工法的修正案中加以纠正，根据劳工法照顾儿童的雇员将受到保护，不分性别。关于捷克共和国法律制度与欧共体法律统一的问题，捷克共和国正将欧共体第</w:t>
      </w:r>
      <w:r>
        <w:rPr>
          <w:rFonts w:hint="eastAsia"/>
        </w:rPr>
        <w:t>96/34EEC</w:t>
      </w:r>
      <w:r>
        <w:rPr>
          <w:rFonts w:hint="eastAsia"/>
        </w:rPr>
        <w:t>号理事会指示和欧共体第</w:t>
      </w:r>
      <w:r>
        <w:rPr>
          <w:rFonts w:hint="eastAsia"/>
        </w:rPr>
        <w:t>92/85/EEC</w:t>
      </w:r>
      <w:r>
        <w:rPr>
          <w:rFonts w:hint="eastAsia"/>
        </w:rPr>
        <w:t>号理事会指示纳入其劳工法，前者是</w:t>
      </w:r>
      <w:r>
        <w:rPr>
          <w:rFonts w:hint="eastAsia"/>
        </w:rPr>
        <w:t xml:space="preserve">UNICEF </w:t>
      </w:r>
      <w:r>
        <w:rPr>
          <w:rStyle w:val="EndnoteReference"/>
        </w:rPr>
        <w:endnoteReference w:id="223"/>
      </w:r>
      <w:r>
        <w:rPr>
          <w:rFonts w:hint="eastAsia"/>
        </w:rPr>
        <w:t xml:space="preserve"> </w:t>
      </w:r>
      <w:r>
        <w:rPr>
          <w:rFonts w:hint="eastAsia"/>
        </w:rPr>
        <w:t>、</w:t>
      </w:r>
      <w:r>
        <w:rPr>
          <w:rFonts w:hint="eastAsia"/>
        </w:rPr>
        <w:t xml:space="preserve">CEEP </w:t>
      </w:r>
      <w:r>
        <w:rPr>
          <w:rStyle w:val="EndnoteReference"/>
        </w:rPr>
        <w:endnoteReference w:id="224"/>
      </w:r>
      <w:r>
        <w:rPr>
          <w:rFonts w:hint="eastAsia"/>
        </w:rPr>
        <w:t xml:space="preserve"> </w:t>
      </w:r>
      <w:r>
        <w:rPr>
          <w:rFonts w:hint="eastAsia"/>
        </w:rPr>
        <w:t>和</w:t>
      </w:r>
      <w:r>
        <w:rPr>
          <w:rFonts w:hint="eastAsia"/>
        </w:rPr>
        <w:t xml:space="preserve">ETUC </w:t>
      </w:r>
      <w:r>
        <w:rPr>
          <w:rStyle w:val="EndnoteReference"/>
        </w:rPr>
        <w:endnoteReference w:id="225"/>
      </w:r>
      <w:r>
        <w:rPr>
          <w:rFonts w:hint="eastAsia"/>
        </w:rPr>
        <w:t xml:space="preserve"> </w:t>
      </w:r>
      <w:r>
        <w:rPr>
          <w:rFonts w:hint="eastAsia"/>
        </w:rPr>
        <w:t>之间就父母假期问题达成的框架协定；后者是执行措施，改善孕妇、分娩后的妇女和哺乳母亲的工作场所的保健和健康保护的指示。</w:t>
      </w:r>
    </w:p>
    <w:p w:rsidR="00000000" w:rsidRDefault="00000000">
      <w:pPr>
        <w:rPr>
          <w:rFonts w:hint="eastAsia"/>
        </w:rPr>
      </w:pPr>
      <w:r>
        <w:rPr>
          <w:rFonts w:hint="eastAsia"/>
        </w:rPr>
        <w:tab/>
        <w:t xml:space="preserve">379.  </w:t>
      </w:r>
      <w:r>
        <w:rPr>
          <w:rFonts w:hint="eastAsia"/>
        </w:rPr>
        <w:t>有关疾病保险、社会保障和国家福利资助等条例也载有对孕妇和母亲给予社会保护的规定。保护孕妇和母亲的措施的范围和程度长期以来较稳定，没有考虑对它们进行修改。</w:t>
      </w:r>
    </w:p>
    <w:p w:rsidR="00000000" w:rsidRDefault="00000000">
      <w:pPr>
        <w:rPr>
          <w:rFonts w:hint="eastAsia"/>
        </w:rPr>
      </w:pPr>
      <w:r>
        <w:rPr>
          <w:rFonts w:hint="eastAsia"/>
        </w:rPr>
        <w:tab/>
        <w:t xml:space="preserve">380.  </w:t>
      </w:r>
      <w:r>
        <w:rPr>
          <w:rFonts w:hint="eastAsia"/>
        </w:rPr>
        <w:t>劳工法第</w:t>
      </w:r>
      <w:r>
        <w:rPr>
          <w:rFonts w:hint="eastAsia"/>
        </w:rPr>
        <w:t>157</w:t>
      </w:r>
      <w:r>
        <w:rPr>
          <w:rFonts w:hint="eastAsia"/>
        </w:rPr>
        <w:t>条第</w:t>
      </w:r>
      <w:r>
        <w:rPr>
          <w:rFonts w:hint="eastAsia"/>
        </w:rPr>
        <w:t>1</w:t>
      </w:r>
      <w:r>
        <w:rPr>
          <w:rFonts w:hint="eastAsia"/>
        </w:rPr>
        <w:t>款规定：“妇女在分娩和照顾其已出生的婴儿方面享有</w:t>
      </w:r>
      <w:r>
        <w:rPr>
          <w:rFonts w:hint="eastAsia"/>
        </w:rPr>
        <w:t>28</w:t>
      </w:r>
      <w:r>
        <w:rPr>
          <w:rFonts w:hint="eastAsia"/>
        </w:rPr>
        <w:t>周的产假；如果一个妇女一次分娩两个或更多的婴儿，或如果涉及到一名单身妇女，她有权享受</w:t>
      </w:r>
      <w:r>
        <w:rPr>
          <w:rFonts w:hint="eastAsia"/>
        </w:rPr>
        <w:t>37</w:t>
      </w:r>
      <w:r>
        <w:rPr>
          <w:rFonts w:hint="eastAsia"/>
        </w:rPr>
        <w:t>周的产假。”为了改善产妇护理，根据该节第</w:t>
      </w:r>
      <w:r>
        <w:rPr>
          <w:rFonts w:hint="eastAsia"/>
        </w:rPr>
        <w:t>2</w:t>
      </w:r>
      <w:r>
        <w:rPr>
          <w:rFonts w:hint="eastAsia"/>
        </w:rPr>
        <w:t>款，如果一名妇女要求额外产假，雇主有义务予以同意，直到其婴儿年满</w:t>
      </w:r>
      <w:r>
        <w:rPr>
          <w:rFonts w:hint="eastAsia"/>
        </w:rPr>
        <w:t>3</w:t>
      </w:r>
      <w:r>
        <w:rPr>
          <w:rFonts w:hint="eastAsia"/>
        </w:rPr>
        <w:t>岁。这种假期应按母亲要求的期限给予。</w:t>
      </w:r>
    </w:p>
    <w:p w:rsidR="00000000" w:rsidRDefault="00000000">
      <w:pPr>
        <w:rPr>
          <w:rFonts w:hint="eastAsia"/>
        </w:rPr>
      </w:pPr>
      <w:r>
        <w:rPr>
          <w:rFonts w:hint="eastAsia"/>
        </w:rPr>
        <w:tab/>
        <w:t xml:space="preserve">381.  </w:t>
      </w:r>
      <w:r>
        <w:rPr>
          <w:rFonts w:hint="eastAsia"/>
        </w:rPr>
        <w:t>在产假和额外产假期间，雇员无工资待遇。在此期间的物质保障按有关雇员疾病保险的条例处理。该条例还规定在额外产假期间，一个人在什么样的情况下，在何种条件下和在多长时间内可享受物质保障</w:t>
      </w:r>
      <w:r>
        <w:rPr>
          <w:rFonts w:hint="eastAsia"/>
        </w:rPr>
        <w:t>(</w:t>
      </w:r>
      <w:r>
        <w:rPr>
          <w:rFonts w:hint="eastAsia"/>
        </w:rPr>
        <w:t>也见关于《公约》第</w:t>
      </w:r>
      <w:r>
        <w:rPr>
          <w:rFonts w:hint="eastAsia"/>
        </w:rPr>
        <w:t>9</w:t>
      </w:r>
      <w:r>
        <w:rPr>
          <w:rFonts w:hint="eastAsia"/>
        </w:rPr>
        <w:t>条的案文</w:t>
      </w:r>
      <w:r>
        <w:rPr>
          <w:rFonts w:hint="eastAsia"/>
        </w:rPr>
        <w:t>)</w:t>
      </w:r>
      <w:r>
        <w:rPr>
          <w:rFonts w:hint="eastAsia"/>
        </w:rPr>
        <w:t>。</w:t>
      </w:r>
    </w:p>
    <w:p w:rsidR="00000000" w:rsidRDefault="00000000">
      <w:pPr>
        <w:rPr>
          <w:rFonts w:hint="eastAsia"/>
        </w:rPr>
      </w:pPr>
      <w:r>
        <w:rPr>
          <w:rFonts w:hint="eastAsia"/>
        </w:rPr>
        <w:tab/>
        <w:t xml:space="preserve">382.  </w:t>
      </w:r>
      <w:r>
        <w:rPr>
          <w:rFonts w:hint="eastAsia"/>
        </w:rPr>
        <w:t>产假通常在预产期前第</w:t>
      </w:r>
      <w:r>
        <w:rPr>
          <w:rFonts w:hint="eastAsia"/>
        </w:rPr>
        <w:t>6</w:t>
      </w:r>
      <w:r>
        <w:rPr>
          <w:rFonts w:hint="eastAsia"/>
        </w:rPr>
        <w:t>周开始。与分娩有关的产假决不能少于</w:t>
      </w:r>
      <w:r>
        <w:rPr>
          <w:rFonts w:hint="eastAsia"/>
        </w:rPr>
        <w:t>14</w:t>
      </w:r>
      <w:r>
        <w:rPr>
          <w:rFonts w:hint="eastAsia"/>
        </w:rPr>
        <w:t>周，无论在何种情况下，不得在分娩后</w:t>
      </w:r>
      <w:r>
        <w:rPr>
          <w:rFonts w:hint="eastAsia"/>
        </w:rPr>
        <w:t>6</w:t>
      </w:r>
      <w:r>
        <w:rPr>
          <w:rFonts w:hint="eastAsia"/>
        </w:rPr>
        <w:t>周前结束或中断</w:t>
      </w:r>
      <w:r>
        <w:rPr>
          <w:rFonts w:hint="eastAsia"/>
        </w:rPr>
        <w:t>(</w:t>
      </w:r>
      <w:r>
        <w:rPr>
          <w:rFonts w:hint="eastAsia"/>
        </w:rPr>
        <w:t>劳工法第</w:t>
      </w:r>
      <w:r>
        <w:rPr>
          <w:rFonts w:hint="eastAsia"/>
        </w:rPr>
        <w:t>159</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383.  </w:t>
      </w:r>
      <w:r>
        <w:rPr>
          <w:rFonts w:hint="eastAsia"/>
        </w:rPr>
        <w:t>根据国家福利资助法</w:t>
      </w:r>
      <w:r>
        <w:rPr>
          <w:rFonts w:hint="eastAsia"/>
        </w:rPr>
        <w:t xml:space="preserve"> </w:t>
      </w:r>
      <w:r>
        <w:rPr>
          <w:rStyle w:val="EndnoteReference"/>
        </w:rPr>
        <w:endnoteReference w:id="226"/>
      </w:r>
      <w:r>
        <w:rPr>
          <w:rFonts w:hint="eastAsia"/>
        </w:rPr>
        <w:t xml:space="preserve"> </w:t>
      </w:r>
      <w:r>
        <w:rPr>
          <w:rFonts w:hint="eastAsia"/>
        </w:rPr>
        <w:t>提供的津贴最近的一次增加是在</w:t>
      </w:r>
      <w:r>
        <w:rPr>
          <w:rFonts w:hint="eastAsia"/>
        </w:rPr>
        <w:t>1995</w:t>
      </w:r>
      <w:r>
        <w:rPr>
          <w:rFonts w:hint="eastAsia"/>
        </w:rPr>
        <w:t>年。这种津贴是国家提供给亲自全时照顾婴儿的父母的捐助</w:t>
      </w:r>
      <w:r>
        <w:rPr>
          <w:rFonts w:hint="eastAsia"/>
        </w:rPr>
        <w:t>(</w:t>
      </w:r>
      <w:r>
        <w:rPr>
          <w:rFonts w:hint="eastAsia"/>
        </w:rPr>
        <w:t>父母津贴</w:t>
      </w:r>
      <w:r>
        <w:rPr>
          <w:rFonts w:hint="eastAsia"/>
        </w:rPr>
        <w:t>)</w:t>
      </w:r>
      <w:r>
        <w:rPr>
          <w:rFonts w:hint="eastAsia"/>
        </w:rPr>
        <w:t>，直到婴儿</w:t>
      </w:r>
      <w:r>
        <w:rPr>
          <w:rFonts w:hint="eastAsia"/>
        </w:rPr>
        <w:t>4</w:t>
      </w:r>
      <w:r>
        <w:rPr>
          <w:rFonts w:hint="eastAsia"/>
        </w:rPr>
        <w:t>岁</w:t>
      </w:r>
      <w:r>
        <w:rPr>
          <w:rFonts w:hint="eastAsia"/>
        </w:rPr>
        <w:t>(</w:t>
      </w:r>
      <w:r>
        <w:rPr>
          <w:rFonts w:hint="eastAsia"/>
        </w:rPr>
        <w:t>如果婴儿长期残疾或长期生病，提供到</w:t>
      </w:r>
      <w:r>
        <w:rPr>
          <w:rFonts w:hint="eastAsia"/>
        </w:rPr>
        <w:t>7</w:t>
      </w:r>
      <w:r>
        <w:rPr>
          <w:rFonts w:hint="eastAsia"/>
        </w:rPr>
        <w:t>岁</w:t>
      </w:r>
      <w:r>
        <w:rPr>
          <w:rFonts w:hint="eastAsia"/>
        </w:rPr>
        <w:t>)</w:t>
      </w:r>
      <w:r>
        <w:rPr>
          <w:rFonts w:hint="eastAsia"/>
        </w:rPr>
        <w:t>，不分父亲还是母亲。能获得这种捐助的期限在原局限于婴儿达到</w:t>
      </w:r>
      <w:r>
        <w:rPr>
          <w:rFonts w:hint="eastAsia"/>
        </w:rPr>
        <w:t>3</w:t>
      </w:r>
      <w:r>
        <w:rPr>
          <w:rFonts w:hint="eastAsia"/>
        </w:rPr>
        <w:t>岁年龄的基础上延长了</w:t>
      </w:r>
      <w:r>
        <w:rPr>
          <w:rFonts w:hint="eastAsia"/>
        </w:rPr>
        <w:t>1</w:t>
      </w:r>
      <w:r>
        <w:rPr>
          <w:rFonts w:hint="eastAsia"/>
        </w:rPr>
        <w:t>年。这是一种一次性措施，目的是维持或支持现有人口趋势和减少劳工市场的紧张。</w:t>
      </w:r>
      <w:r>
        <w:rPr>
          <w:rStyle w:val="EndnoteReference"/>
        </w:rPr>
        <w:endnoteReference w:id="227"/>
      </w:r>
      <w:r>
        <w:rPr>
          <w:rFonts w:hint="eastAsia"/>
        </w:rPr>
        <w:t xml:space="preserve">  </w:t>
      </w:r>
    </w:p>
    <w:p w:rsidR="00000000" w:rsidRDefault="00000000">
      <w:pPr>
        <w:rPr>
          <w:rFonts w:hint="eastAsia"/>
        </w:rPr>
      </w:pPr>
      <w:r>
        <w:rPr>
          <w:rFonts w:hint="eastAsia"/>
        </w:rPr>
        <w:tab/>
        <w:t xml:space="preserve">384.  </w:t>
      </w:r>
      <w:r>
        <w:rPr>
          <w:rFonts w:hint="eastAsia"/>
        </w:rPr>
        <w:t>捐助数额由父母津贴法</w:t>
      </w:r>
      <w:r>
        <w:rPr>
          <w:rFonts w:hint="eastAsia"/>
        </w:rPr>
        <w:t xml:space="preserve"> </w:t>
      </w:r>
      <w:r>
        <w:rPr>
          <w:rStyle w:val="EndnoteReference"/>
        </w:rPr>
        <w:endnoteReference w:id="228"/>
      </w:r>
      <w:r>
        <w:t xml:space="preserve"> </w:t>
      </w:r>
      <w:r>
        <w:rPr>
          <w:rFonts w:hint="eastAsia"/>
        </w:rPr>
        <w:t>第</w:t>
      </w:r>
      <w:r>
        <w:rPr>
          <w:rFonts w:hint="eastAsia"/>
        </w:rPr>
        <w:t>7</w:t>
      </w:r>
      <w:r>
        <w:rPr>
          <w:rFonts w:hint="eastAsia"/>
        </w:rPr>
        <w:t>条规定。捐助总是按日历月付，不缴税、不付到国外。月捐助原始数额在</w:t>
      </w:r>
      <w:r>
        <w:rPr>
          <w:rFonts w:hint="eastAsia"/>
        </w:rPr>
        <w:t>1990</w:t>
      </w:r>
      <w:r>
        <w:rPr>
          <w:rFonts w:hint="eastAsia"/>
        </w:rPr>
        <w:t>年为</w:t>
      </w:r>
      <w:r>
        <w:rPr>
          <w:rFonts w:hint="eastAsia"/>
        </w:rPr>
        <w:t>900</w:t>
      </w:r>
      <w:r>
        <w:rPr>
          <w:rFonts w:hint="eastAsia"/>
        </w:rPr>
        <w:t>克朗，通过对父母津贴法的修正而逐步增加：</w:t>
      </w:r>
      <w:r>
        <w:rPr>
          <w:rFonts w:hint="eastAsia"/>
        </w:rPr>
        <w:t>1992</w:t>
      </w:r>
      <w:r>
        <w:rPr>
          <w:rFonts w:hint="eastAsia"/>
        </w:rPr>
        <w:t>年为</w:t>
      </w:r>
      <w:r>
        <w:rPr>
          <w:rFonts w:hint="eastAsia"/>
        </w:rPr>
        <w:t>1,200</w:t>
      </w:r>
      <w:r>
        <w:rPr>
          <w:rFonts w:hint="eastAsia"/>
        </w:rPr>
        <w:t>克朗、</w:t>
      </w:r>
      <w:r>
        <w:rPr>
          <w:rFonts w:hint="eastAsia"/>
        </w:rPr>
        <w:t>1993</w:t>
      </w:r>
      <w:r>
        <w:rPr>
          <w:rFonts w:hint="eastAsia"/>
        </w:rPr>
        <w:t>年为</w:t>
      </w:r>
      <w:r>
        <w:rPr>
          <w:rFonts w:hint="eastAsia"/>
        </w:rPr>
        <w:t>1,360</w:t>
      </w:r>
      <w:r>
        <w:rPr>
          <w:rFonts w:hint="eastAsia"/>
        </w:rPr>
        <w:t>克朗以及从</w:t>
      </w:r>
      <w:r>
        <w:rPr>
          <w:rFonts w:hint="eastAsia"/>
        </w:rPr>
        <w:t>1994</w:t>
      </w:r>
      <w:r>
        <w:rPr>
          <w:rFonts w:hint="eastAsia"/>
        </w:rPr>
        <w:t>年起为</w:t>
      </w:r>
      <w:r>
        <w:rPr>
          <w:rFonts w:hint="eastAsia"/>
        </w:rPr>
        <w:t>1,500</w:t>
      </w:r>
      <w:r>
        <w:rPr>
          <w:rFonts w:hint="eastAsia"/>
        </w:rPr>
        <w:t>克朗；从</w:t>
      </w:r>
      <w:r>
        <w:rPr>
          <w:rFonts w:hint="eastAsia"/>
        </w:rPr>
        <w:t>1995</w:t>
      </w:r>
      <w:r>
        <w:rPr>
          <w:rFonts w:hint="eastAsia"/>
        </w:rPr>
        <w:t>年起，月捐助额为</w:t>
      </w:r>
      <w:r>
        <w:rPr>
          <w:rFonts w:hint="eastAsia"/>
        </w:rPr>
        <w:t>1,</w:t>
      </w:r>
      <w:r>
        <w:t>740</w:t>
      </w:r>
      <w:r>
        <w:rPr>
          <w:rFonts w:hint="eastAsia"/>
        </w:rPr>
        <w:t>克朗。然而，与工资相比，父母津贴相对较低；其固定数额最高为维持生计水平数额的</w:t>
      </w:r>
      <w:r>
        <w:rPr>
          <w:rFonts w:hint="eastAsia"/>
        </w:rPr>
        <w:t>1.</w:t>
      </w:r>
      <w:r>
        <w:t>1</w:t>
      </w:r>
      <w:r>
        <w:rPr>
          <w:rFonts w:hint="eastAsia"/>
        </w:rPr>
        <w:t>倍</w:t>
      </w:r>
      <w:r>
        <w:rPr>
          <w:rFonts w:hint="eastAsia"/>
        </w:rPr>
        <w:t>(</w:t>
      </w:r>
      <w:r>
        <w:rPr>
          <w:rFonts w:hint="eastAsia"/>
        </w:rPr>
        <w:t>大约为平均工资的一半</w:t>
      </w:r>
      <w:r>
        <w:rPr>
          <w:rFonts w:hint="eastAsia"/>
        </w:rPr>
        <w:t>)</w:t>
      </w:r>
      <w:r>
        <w:rPr>
          <w:rFonts w:hint="eastAsia"/>
        </w:rPr>
        <w:t>，用作照顾婴儿的父母的个人需要。如果领款人只能在日历月的一部分时间享受这种捐助，则每个日历日的数额为</w:t>
      </w:r>
      <w:r>
        <w:rPr>
          <w:rFonts w:hint="eastAsia"/>
        </w:rPr>
        <w:t>58</w:t>
      </w:r>
      <w:r>
        <w:rPr>
          <w:rFonts w:hint="eastAsia"/>
        </w:rPr>
        <w:t>克朗</w:t>
      </w:r>
      <w:r>
        <w:rPr>
          <w:rFonts w:hint="eastAsia"/>
        </w:rPr>
        <w:t>(</w:t>
      </w:r>
      <w:r>
        <w:rPr>
          <w:rFonts w:hint="eastAsia"/>
        </w:rPr>
        <w:t>从</w:t>
      </w:r>
      <w:r>
        <w:rPr>
          <w:rFonts w:hint="eastAsia"/>
        </w:rPr>
        <w:t>1990</w:t>
      </w:r>
      <w:r>
        <w:rPr>
          <w:rFonts w:hint="eastAsia"/>
        </w:rPr>
        <w:t>年的原</w:t>
      </w:r>
      <w:r>
        <w:rPr>
          <w:rFonts w:hint="eastAsia"/>
        </w:rPr>
        <w:t>30</w:t>
      </w:r>
      <w:r>
        <w:rPr>
          <w:rFonts w:hint="eastAsia"/>
        </w:rPr>
        <w:t>克朗增加到该数目</w:t>
      </w:r>
      <w:r>
        <w:rPr>
          <w:rFonts w:hint="eastAsia"/>
        </w:rPr>
        <w:t>)</w:t>
      </w:r>
      <w:r>
        <w:rPr>
          <w:rFonts w:hint="eastAsia"/>
        </w:rPr>
        <w:t>。除了全日照顾婴儿外，领取捐助还须符合在捷克共和国长期居住的条件和下列要求：该父母在照顾婴儿期间无权得到薪水、工资或工作报酬或其他就业收入，也不领取给寻求工作者的物质保障津贴。父母即便被雇用，但如果每天被雇用最长不超过两小时或其就业净收入不超过父母个人需要月维持生计水平的数额，他们仍有资格领取捐助。在单身父母的情形中，该收入可能更高。</w:t>
      </w:r>
    </w:p>
    <w:p w:rsidR="00000000" w:rsidRDefault="00000000">
      <w:pPr>
        <w:rPr>
          <w:rFonts w:hint="eastAsia"/>
        </w:rPr>
      </w:pPr>
      <w:r>
        <w:rPr>
          <w:rFonts w:hint="eastAsia"/>
        </w:rPr>
        <w:tab/>
        <w:t xml:space="preserve">385.  </w:t>
      </w:r>
      <w:r>
        <w:rPr>
          <w:rFonts w:hint="eastAsia"/>
        </w:rPr>
        <w:t>在捷克共和国普遍享受医疗保健的机会完全平等。然而，在对家庭、儿童和妇女的全面保健和社会照顾范围内，妇女和儿童得到更多的重视。与妊娠和分娩有关以及产后期间的保健完全由公共健康保险负责。</w:t>
      </w:r>
    </w:p>
    <w:p w:rsidR="00000000" w:rsidRDefault="00000000">
      <w:pPr>
        <w:rPr>
          <w:rFonts w:hint="eastAsia"/>
        </w:rPr>
      </w:pPr>
      <w:r>
        <w:rPr>
          <w:rFonts w:hint="eastAsia"/>
        </w:rPr>
        <w:tab/>
        <w:t xml:space="preserve">386.  </w:t>
      </w:r>
      <w:r>
        <w:rPr>
          <w:rFonts w:hint="eastAsia"/>
        </w:rPr>
        <w:t>自由决定生孩子的数目和何时生的权利受到堕胎法</w:t>
      </w:r>
      <w:r>
        <w:rPr>
          <w:rFonts w:hint="eastAsia"/>
        </w:rPr>
        <w:t xml:space="preserve"> </w:t>
      </w:r>
      <w:r>
        <w:rPr>
          <w:rStyle w:val="EndnoteReference"/>
        </w:rPr>
        <w:endnoteReference w:id="229"/>
      </w:r>
      <w:r>
        <w:rPr>
          <w:rFonts w:hint="eastAsia"/>
        </w:rPr>
        <w:t xml:space="preserve"> </w:t>
      </w:r>
      <w:r>
        <w:rPr>
          <w:rFonts w:hint="eastAsia"/>
        </w:rPr>
        <w:t>的影响，该法有关堕胎的规定非常宽松。反对者担心这会引起引产数目急剧增加，这种担心在实际中没有得到证实</w:t>
      </w:r>
      <w:r>
        <w:rPr>
          <w:rFonts w:hint="eastAsia"/>
        </w:rPr>
        <w:t>(</w:t>
      </w:r>
      <w:r>
        <w:rPr>
          <w:rFonts w:hint="eastAsia"/>
        </w:rPr>
        <w:t>也请见根据《公约》第</w:t>
      </w:r>
      <w:r>
        <w:rPr>
          <w:rFonts w:hint="eastAsia"/>
        </w:rPr>
        <w:t>12</w:t>
      </w:r>
      <w:r>
        <w:rPr>
          <w:rFonts w:hint="eastAsia"/>
        </w:rPr>
        <w:t>条第</w:t>
      </w:r>
      <w:r>
        <w:rPr>
          <w:rFonts w:hint="eastAsia"/>
        </w:rPr>
        <w:t>2</w:t>
      </w:r>
      <w:r>
        <w:rPr>
          <w:rFonts w:hint="eastAsia"/>
        </w:rPr>
        <w:t>款</w:t>
      </w:r>
      <w:r>
        <w:rPr>
          <w:rFonts w:hint="eastAsia"/>
        </w:rPr>
        <w:t>(</w:t>
      </w:r>
      <w:r>
        <w:rPr>
          <w:rFonts w:hint="eastAsia"/>
        </w:rPr>
        <w:t>甲项</w:t>
      </w:r>
      <w:r>
        <w:rPr>
          <w:rFonts w:hint="eastAsia"/>
        </w:rPr>
        <w:t>)</w:t>
      </w:r>
      <w:r>
        <w:rPr>
          <w:rFonts w:hint="eastAsia"/>
        </w:rPr>
        <w:t>提出的表格</w:t>
      </w:r>
      <w:r>
        <w:rPr>
          <w:rFonts w:hint="eastAsia"/>
        </w:rPr>
        <w:t>)</w:t>
      </w:r>
      <w:r>
        <w:rPr>
          <w:rFonts w:hint="eastAsia"/>
        </w:rPr>
        <w:t>。</w:t>
      </w:r>
    </w:p>
    <w:p w:rsidR="00000000" w:rsidRDefault="00000000">
      <w:pPr>
        <w:rPr>
          <w:rFonts w:hint="eastAsia"/>
        </w:rPr>
      </w:pPr>
      <w:r>
        <w:rPr>
          <w:rFonts w:hint="eastAsia"/>
        </w:rPr>
        <w:tab/>
        <w:t xml:space="preserve">387.  </w:t>
      </w:r>
      <w:r>
        <w:rPr>
          <w:rFonts w:hint="eastAsia"/>
        </w:rPr>
        <w:t>目前约</w:t>
      </w:r>
      <w:r>
        <w:rPr>
          <w:rFonts w:hint="eastAsia"/>
        </w:rPr>
        <w:t>25%</w:t>
      </w:r>
      <w:r>
        <w:rPr>
          <w:rFonts w:hint="eastAsia"/>
        </w:rPr>
        <w:t>的孕妇在分娩前住院至少一周、保健设施将</w:t>
      </w:r>
      <w:r>
        <w:rPr>
          <w:rFonts w:hint="eastAsia"/>
        </w:rPr>
        <w:t>43%</w:t>
      </w:r>
      <w:r>
        <w:rPr>
          <w:rFonts w:hint="eastAsia"/>
        </w:rPr>
        <w:t>的孕妇列为高风险孕妇、</w:t>
      </w:r>
      <w:r>
        <w:rPr>
          <w:rFonts w:hint="eastAsia"/>
        </w:rPr>
        <w:t>11%</w:t>
      </w:r>
      <w:r>
        <w:rPr>
          <w:rFonts w:hint="eastAsia"/>
        </w:rPr>
        <w:t>的妇女做剖腹产手术。死胎下降到万分之一以下，达到世界卫生组织为多数发达国家提出的建议</w:t>
      </w:r>
      <w:r>
        <w:rPr>
          <w:rFonts w:hint="eastAsia"/>
        </w:rPr>
        <w:t>(</w:t>
      </w:r>
      <w:r>
        <w:rPr>
          <w:rFonts w:hint="eastAsia"/>
        </w:rPr>
        <w:t>妇女分娩时的死亡率不到万分之</w:t>
      </w:r>
      <w:r>
        <w:rPr>
          <w:rFonts w:hint="eastAsia"/>
        </w:rPr>
        <w:t>1.5)</w:t>
      </w:r>
      <w:r>
        <w:rPr>
          <w:rFonts w:hint="eastAsia"/>
        </w:rPr>
        <w:t>。</w:t>
      </w:r>
    </w:p>
    <w:p w:rsidR="00000000" w:rsidRDefault="00000000">
      <w:pPr>
        <w:spacing w:after="320"/>
        <w:rPr>
          <w:rFonts w:hint="eastAsia"/>
          <w:lang w:val="fr-CH"/>
        </w:rPr>
      </w:pPr>
      <w:r>
        <w:rPr>
          <w:rFonts w:hint="eastAsia"/>
        </w:rPr>
        <w:tab/>
        <w:t xml:space="preserve">388.  </w:t>
      </w:r>
      <w:r>
        <w:rPr>
          <w:rFonts w:hint="eastAsia"/>
        </w:rPr>
        <w:t>作为艾滋病毒</w:t>
      </w:r>
      <w:r>
        <w:rPr>
          <w:rFonts w:hint="eastAsia"/>
        </w:rPr>
        <w:t>/</w:t>
      </w:r>
      <w:r>
        <w:rPr>
          <w:rFonts w:hint="eastAsia"/>
        </w:rPr>
        <w:t>艾滋病方案的一部分，医生建议所有孕妇自愿作艾滋病毒抗体检查并受到匿</w:t>
      </w:r>
      <w:r>
        <w:rPr>
          <w:rFonts w:hint="eastAsia"/>
          <w:lang w:val="fr-CH"/>
        </w:rPr>
        <w:t>名保护。在</w:t>
      </w:r>
      <w:r>
        <w:rPr>
          <w:rFonts w:hint="eastAsia"/>
          <w:lang w:val="fr-CH"/>
        </w:rPr>
        <w:t>1996</w:t>
      </w:r>
      <w:r>
        <w:rPr>
          <w:rFonts w:hint="eastAsia"/>
          <w:lang w:val="fr-CH"/>
        </w:rPr>
        <w:t>年，所有孕妇的</w:t>
      </w:r>
      <w:r>
        <w:t>85%</w:t>
      </w:r>
      <w:r>
        <w:rPr>
          <w:rFonts w:hint="eastAsia"/>
          <w:lang w:val="fr-CH"/>
        </w:rPr>
        <w:t>利用了这一机会。艾滋病毒感染率不高，大约为</w:t>
      </w:r>
      <w:r>
        <w:rPr>
          <w:rFonts w:hint="eastAsia"/>
          <w:lang w:val="fr-CH"/>
        </w:rPr>
        <w:t>0.002%</w:t>
      </w:r>
      <w:r>
        <w:rPr>
          <w:rFonts w:hint="eastAsia"/>
          <w:lang w:val="fr-CH"/>
        </w:rPr>
        <w:t>。所有艾滋病毒呈阳性母亲接受预防性抗艾滋病药物治疗。这种治疗完全由公共医疗保险基金支付。</w:t>
      </w:r>
    </w:p>
    <w:p w:rsidR="00000000" w:rsidRDefault="00000000">
      <w:pPr>
        <w:pStyle w:val="Heading4"/>
        <w:rPr>
          <w:rFonts w:hint="eastAsia"/>
          <w:lang w:val="fr-CH"/>
        </w:rPr>
      </w:pPr>
      <w:r>
        <w:rPr>
          <w:rFonts w:hint="eastAsia"/>
          <w:lang w:val="fr-CH"/>
        </w:rPr>
        <w:t>第</w:t>
      </w:r>
      <w:r>
        <w:rPr>
          <w:rFonts w:hint="eastAsia"/>
          <w:lang w:val="fr-CH"/>
        </w:rPr>
        <w:t xml:space="preserve"> 3 </w:t>
      </w:r>
      <w:r>
        <w:rPr>
          <w:rFonts w:hint="eastAsia"/>
          <w:lang w:val="fr-CH"/>
        </w:rPr>
        <w:t>款</w:t>
      </w:r>
    </w:p>
    <w:p w:rsidR="00000000" w:rsidRDefault="00000000">
      <w:pPr>
        <w:rPr>
          <w:rFonts w:hint="eastAsia"/>
        </w:rPr>
      </w:pPr>
      <w:r>
        <w:rPr>
          <w:rFonts w:hint="eastAsia"/>
          <w:lang w:val="fr-CH"/>
        </w:rPr>
        <w:tab/>
        <w:t xml:space="preserve">389.  </w:t>
      </w:r>
      <w:r>
        <w:rPr>
          <w:rFonts w:hint="eastAsia"/>
          <w:lang w:val="fr-CH"/>
        </w:rPr>
        <w:t>捷克共和国关于国际《儿童权利公约》报告详细叙述了该条的执行情况。</w:t>
      </w:r>
      <w:r>
        <w:rPr>
          <w:rStyle w:val="EndnoteReference"/>
          <w:lang w:val="fr-CH"/>
        </w:rPr>
        <w:endnoteReference w:id="230"/>
      </w:r>
      <w:r>
        <w:rPr>
          <w:rFonts w:hint="eastAsia"/>
          <w:lang w:val="fr-CH"/>
        </w:rPr>
        <w:t xml:space="preserve"> </w:t>
      </w:r>
      <w:r>
        <w:rPr>
          <w:rFonts w:hint="eastAsia"/>
          <w:lang w:val="fr-CH"/>
        </w:rPr>
        <w:t>该</w:t>
      </w:r>
      <w:r>
        <w:rPr>
          <w:rFonts w:hint="eastAsia"/>
        </w:rPr>
        <w:t>《公约》于</w:t>
      </w:r>
      <w:r>
        <w:rPr>
          <w:rFonts w:hint="eastAsia"/>
        </w:rPr>
        <w:t>1991</w:t>
      </w:r>
      <w:r>
        <w:rPr>
          <w:rFonts w:hint="eastAsia"/>
        </w:rPr>
        <w:t>年在捷克共和国生效。捷克共和国承担了《公约》规定的义务并根据第</w:t>
      </w:r>
      <w:r>
        <w:rPr>
          <w:rFonts w:hint="eastAsia"/>
        </w:rPr>
        <w:t>44</w:t>
      </w:r>
      <w:r>
        <w:rPr>
          <w:rFonts w:hint="eastAsia"/>
        </w:rPr>
        <w:t>条于</w:t>
      </w:r>
      <w:r>
        <w:rPr>
          <w:rFonts w:hint="eastAsia"/>
        </w:rPr>
        <w:t>1996</w:t>
      </w:r>
      <w:r>
        <w:rPr>
          <w:rFonts w:hint="eastAsia"/>
        </w:rPr>
        <w:t>年向儿童权利委员会提交了</w:t>
      </w:r>
      <w:r>
        <w:rPr>
          <w:rFonts w:hint="eastAsia"/>
        </w:rPr>
        <w:t>1993</w:t>
      </w:r>
      <w:r>
        <w:rPr>
          <w:rFonts w:hint="eastAsia"/>
        </w:rPr>
        <w:t>年至</w:t>
      </w:r>
      <w:r>
        <w:rPr>
          <w:rFonts w:hint="eastAsia"/>
        </w:rPr>
        <w:t>1994</w:t>
      </w:r>
      <w:r>
        <w:rPr>
          <w:rFonts w:hint="eastAsia"/>
        </w:rPr>
        <w:t>年期间《公约》执行情况的首次报告。</w:t>
      </w:r>
      <w:r>
        <w:rPr>
          <w:rFonts w:hint="eastAsia"/>
        </w:rPr>
        <w:t>1997</w:t>
      </w:r>
      <w:r>
        <w:rPr>
          <w:rFonts w:hint="eastAsia"/>
        </w:rPr>
        <w:t>年对委员会补充问题的答复对报告作了补充。委员会在</w:t>
      </w:r>
      <w:r>
        <w:rPr>
          <w:rFonts w:hint="eastAsia"/>
        </w:rPr>
        <w:t>1997</w:t>
      </w:r>
      <w:r>
        <w:rPr>
          <w:rFonts w:hint="eastAsia"/>
        </w:rPr>
        <w:t>年</w:t>
      </w:r>
      <w:r>
        <w:rPr>
          <w:rFonts w:hint="eastAsia"/>
        </w:rPr>
        <w:t>10</w:t>
      </w:r>
      <w:r>
        <w:rPr>
          <w:rFonts w:hint="eastAsia"/>
        </w:rPr>
        <w:t>月</w:t>
      </w:r>
      <w:r>
        <w:rPr>
          <w:rFonts w:hint="eastAsia"/>
        </w:rPr>
        <w:t>10</w:t>
      </w:r>
      <w:r>
        <w:rPr>
          <w:rFonts w:hint="eastAsia"/>
        </w:rPr>
        <w:t>日的第</w:t>
      </w:r>
      <w:r>
        <w:rPr>
          <w:rFonts w:hint="eastAsia"/>
        </w:rPr>
        <w:t>16</w:t>
      </w:r>
      <w:r>
        <w:rPr>
          <w:rFonts w:hint="eastAsia"/>
        </w:rPr>
        <w:t>次会议上对捷克共和国的报告作了最后审评。捷克共和国于</w:t>
      </w:r>
      <w:r>
        <w:rPr>
          <w:rFonts w:hint="eastAsia"/>
        </w:rPr>
        <w:t>2000</w:t>
      </w:r>
      <w:r>
        <w:rPr>
          <w:rFonts w:hint="eastAsia"/>
        </w:rPr>
        <w:t>年初提交了从</w:t>
      </w:r>
      <w:r>
        <w:rPr>
          <w:rFonts w:hint="eastAsia"/>
        </w:rPr>
        <w:t>1995</w:t>
      </w:r>
      <w:r>
        <w:rPr>
          <w:rFonts w:hint="eastAsia"/>
        </w:rPr>
        <w:t>年至</w:t>
      </w:r>
      <w:r>
        <w:rPr>
          <w:rFonts w:hint="eastAsia"/>
        </w:rPr>
        <w:t>1999</w:t>
      </w:r>
      <w:r>
        <w:rPr>
          <w:rFonts w:hint="eastAsia"/>
        </w:rPr>
        <w:t>年整个五年期执行《儿童权利公约》情况的定期报告。报告包含了</w:t>
      </w:r>
      <w:r>
        <w:rPr>
          <w:rFonts w:hint="eastAsia"/>
        </w:rPr>
        <w:t>1995</w:t>
      </w:r>
      <w:r>
        <w:rPr>
          <w:rFonts w:hint="eastAsia"/>
        </w:rPr>
        <w:t>年至</w:t>
      </w:r>
      <w:r>
        <w:rPr>
          <w:rFonts w:hint="eastAsia"/>
        </w:rPr>
        <w:t>1997</w:t>
      </w:r>
      <w:r>
        <w:rPr>
          <w:rFonts w:hint="eastAsia"/>
        </w:rPr>
        <w:t>年</w:t>
      </w:r>
      <w:r>
        <w:rPr>
          <w:rFonts w:hint="eastAsia"/>
        </w:rPr>
        <w:t>8</w:t>
      </w:r>
      <w:r>
        <w:rPr>
          <w:rFonts w:hint="eastAsia"/>
        </w:rPr>
        <w:t>月期间的有关资料，因为于</w:t>
      </w:r>
      <w:r>
        <w:rPr>
          <w:rFonts w:hint="eastAsia"/>
        </w:rPr>
        <w:t>1997</w:t>
      </w:r>
      <w:r>
        <w:rPr>
          <w:rFonts w:hint="eastAsia"/>
        </w:rPr>
        <w:t>年提交委员会的有关这一期间的资料仅仅是对委员会问题的答复，因此不完整。</w:t>
      </w:r>
    </w:p>
    <w:p w:rsidR="00000000" w:rsidRDefault="00000000">
      <w:pPr>
        <w:rPr>
          <w:rFonts w:hint="eastAsia"/>
        </w:rPr>
      </w:pPr>
      <w:r>
        <w:rPr>
          <w:rFonts w:hint="eastAsia"/>
        </w:rPr>
        <w:tab/>
        <w:t xml:space="preserve">390.  </w:t>
      </w:r>
      <w:r>
        <w:rPr>
          <w:rFonts w:hint="eastAsia"/>
        </w:rPr>
        <w:t>捷克共和国政府根据</w:t>
      </w:r>
      <w:r>
        <w:rPr>
          <w:rFonts w:hint="eastAsia"/>
        </w:rPr>
        <w:t>1990</w:t>
      </w:r>
      <w:r>
        <w:rPr>
          <w:rFonts w:hint="eastAsia"/>
        </w:rPr>
        <w:t>年世界儿童问题首脑会议的结果</w:t>
      </w:r>
      <w:r>
        <w:rPr>
          <w:rFonts w:hint="eastAsia"/>
        </w:rPr>
        <w:t xml:space="preserve"> </w:t>
      </w:r>
      <w:r>
        <w:rPr>
          <w:rStyle w:val="EndnoteReference"/>
        </w:rPr>
        <w:endnoteReference w:id="231"/>
      </w:r>
      <w:r>
        <w:rPr>
          <w:rFonts w:hint="eastAsia"/>
        </w:rPr>
        <w:t xml:space="preserve"> </w:t>
      </w:r>
      <w:r>
        <w:rPr>
          <w:rFonts w:hint="eastAsia"/>
        </w:rPr>
        <w:t>和</w:t>
      </w:r>
      <w:r>
        <w:rPr>
          <w:rFonts w:hint="eastAsia"/>
        </w:rPr>
        <w:t>1995</w:t>
      </w:r>
      <w:r>
        <w:rPr>
          <w:rFonts w:hint="eastAsia"/>
        </w:rPr>
        <w:t>年举行的会议</w:t>
      </w:r>
      <w:r>
        <w:rPr>
          <w:rFonts w:hint="eastAsia"/>
        </w:rPr>
        <w:t>(</w:t>
      </w:r>
      <w:r>
        <w:rPr>
          <w:rFonts w:hint="eastAsia"/>
        </w:rPr>
        <w:t>与会者承诺在每一国家制定一个“</w:t>
      </w:r>
      <w:r>
        <w:rPr>
          <w:rFonts w:hint="eastAsia"/>
        </w:rPr>
        <w:t>2000</w:t>
      </w:r>
      <w:r>
        <w:rPr>
          <w:rFonts w:hint="eastAsia"/>
        </w:rPr>
        <w:t>年及其以后青年人行动纲领”</w:t>
      </w:r>
      <w:r>
        <w:rPr>
          <w:rFonts w:hint="eastAsia"/>
        </w:rPr>
        <w:t>)</w:t>
      </w:r>
      <w:r>
        <w:rPr>
          <w:rFonts w:hint="eastAsia"/>
        </w:rPr>
        <w:t>于</w:t>
      </w:r>
      <w:r>
        <w:rPr>
          <w:rFonts w:hint="eastAsia"/>
        </w:rPr>
        <w:t>1999</w:t>
      </w:r>
      <w:r>
        <w:rPr>
          <w:rFonts w:hint="eastAsia"/>
        </w:rPr>
        <w:t>年批准了一项捷克共和国有关青年人的政策的重要文件：“截至</w:t>
      </w:r>
      <w:r>
        <w:rPr>
          <w:rFonts w:hint="eastAsia"/>
        </w:rPr>
        <w:t>2002</w:t>
      </w:r>
      <w:r>
        <w:rPr>
          <w:rFonts w:hint="eastAsia"/>
        </w:rPr>
        <w:t>年，捷克共和国关于青年一代的国家政策大纲”。</w:t>
      </w:r>
      <w:r>
        <w:rPr>
          <w:rStyle w:val="EndnoteReference"/>
        </w:rPr>
        <w:endnoteReference w:id="232"/>
      </w:r>
      <w:r>
        <w:rPr>
          <w:rFonts w:hint="eastAsia"/>
        </w:rPr>
        <w:t xml:space="preserve"> </w:t>
      </w:r>
      <w:r>
        <w:rPr>
          <w:rFonts w:hint="eastAsia"/>
        </w:rPr>
        <w:t>在该文件中，政府承担责任，让青年一代健康发展并创造条件让青年一代尽可能广泛参与捷克共和国的社会、政治和经济活动。政府委托有关部的部长和不管部部长确保执行该概念规定的任务、制定有关支持和保护儿童和青年人的部级方案并在其预算中为执行这些方案拨款。</w:t>
      </w:r>
    </w:p>
    <w:p w:rsidR="00000000" w:rsidRDefault="00000000">
      <w:pPr>
        <w:rPr>
          <w:rFonts w:hint="eastAsia"/>
        </w:rPr>
      </w:pPr>
      <w:r>
        <w:rPr>
          <w:rFonts w:hint="eastAsia"/>
        </w:rPr>
        <w:tab/>
        <w:t xml:space="preserve">391.  </w:t>
      </w:r>
      <w:r>
        <w:rPr>
          <w:rFonts w:hint="eastAsia"/>
        </w:rPr>
        <w:t>政府根据政策大纲成立了儿童、青年人和家庭问题全国委员会。</w:t>
      </w:r>
      <w:r>
        <w:rPr>
          <w:rStyle w:val="EndnoteReference"/>
        </w:rPr>
        <w:endnoteReference w:id="233"/>
      </w:r>
      <w:r>
        <w:rPr>
          <w:rFonts w:hint="eastAsia"/>
        </w:rPr>
        <w:t xml:space="preserve"> </w:t>
      </w:r>
      <w:r>
        <w:rPr>
          <w:rFonts w:hint="eastAsia"/>
        </w:rPr>
        <w:t>委员会负责起草</w:t>
      </w:r>
      <w:r>
        <w:rPr>
          <w:rFonts w:hint="eastAsia"/>
        </w:rPr>
        <w:t>2002</w:t>
      </w:r>
      <w:r>
        <w:rPr>
          <w:rFonts w:hint="eastAsia"/>
        </w:rPr>
        <w:t>年以后关于青年一代的国家政策大纲。目前保护儿童权利属于人权专员的管辖范围。</w:t>
      </w:r>
    </w:p>
    <w:p w:rsidR="00000000" w:rsidRDefault="00000000">
      <w:pPr>
        <w:rPr>
          <w:rFonts w:hint="eastAsia"/>
          <w:lang w:val="fr-CH"/>
        </w:rPr>
      </w:pPr>
      <w:r>
        <w:rPr>
          <w:rFonts w:hint="eastAsia"/>
        </w:rPr>
        <w:tab/>
        <w:t xml:space="preserve">392.  </w:t>
      </w:r>
      <w:r>
        <w:rPr>
          <w:rFonts w:hint="eastAsia"/>
        </w:rPr>
        <w:t>根据《儿童权利公约》、其他国际文件和《宪章》各项条文的含义，政府于</w:t>
      </w:r>
      <w:r>
        <w:rPr>
          <w:rFonts w:hint="eastAsia"/>
        </w:rPr>
        <w:t>1999</w:t>
      </w:r>
      <w:r>
        <w:rPr>
          <w:rFonts w:hint="eastAsia"/>
        </w:rPr>
        <w:t>年</w:t>
      </w:r>
      <w:r>
        <w:rPr>
          <w:rFonts w:hint="eastAsia"/>
        </w:rPr>
        <w:t>7</w:t>
      </w:r>
      <w:r>
        <w:rPr>
          <w:rFonts w:hint="eastAsia"/>
        </w:rPr>
        <w:t>月讨论了儿童社会法律保护法草案。</w:t>
      </w:r>
      <w:r>
        <w:rPr>
          <w:rStyle w:val="EndnoteReference"/>
        </w:rPr>
        <w:endnoteReference w:id="234"/>
      </w:r>
      <w:r>
        <w:rPr>
          <w:rFonts w:hint="eastAsia"/>
        </w:rPr>
        <w:t xml:space="preserve"> </w:t>
      </w:r>
      <w:r>
        <w:rPr>
          <w:rFonts w:hint="eastAsia"/>
        </w:rPr>
        <w:t>该法案获得通过并于</w:t>
      </w:r>
      <w:r>
        <w:rPr>
          <w:rFonts w:hint="eastAsia"/>
        </w:rPr>
        <w:t>2000</w:t>
      </w:r>
      <w:r>
        <w:rPr>
          <w:rFonts w:hint="eastAsia"/>
        </w:rPr>
        <w:t>年</w:t>
      </w:r>
      <w:r>
        <w:rPr>
          <w:rFonts w:hint="eastAsia"/>
        </w:rPr>
        <w:t>4</w:t>
      </w:r>
      <w:r>
        <w:rPr>
          <w:rFonts w:hint="eastAsia"/>
        </w:rPr>
        <w:t>月</w:t>
      </w:r>
      <w:r>
        <w:rPr>
          <w:rFonts w:hint="eastAsia"/>
        </w:rPr>
        <w:t>1</w:t>
      </w:r>
      <w:r>
        <w:rPr>
          <w:rFonts w:hint="eastAsia"/>
        </w:rPr>
        <w:t>日生效。该法的目的是加强对儿童权利的保护及其在与国际文书，特别是《儿童权利公约》所载原则中的地位并对付儿童面临的新的社会威胁，如危害儿童的暴力行径、各种不良嗜好</w:t>
      </w:r>
      <w:r>
        <w:rPr>
          <w:rFonts w:hint="eastAsia"/>
          <w:lang w:val="fr-CH"/>
        </w:rPr>
        <w:t>(</w:t>
      </w:r>
      <w:r>
        <w:rPr>
          <w:rFonts w:hint="eastAsia"/>
          <w:lang w:val="fr-CH"/>
        </w:rPr>
        <w:t>酿酒、吸毒、赌博、色情、和商业性性虐待</w:t>
      </w:r>
      <w:r>
        <w:rPr>
          <w:rFonts w:hint="eastAsia"/>
          <w:lang w:val="fr-CH"/>
        </w:rPr>
        <w:t>)</w:t>
      </w:r>
      <w:r>
        <w:rPr>
          <w:rFonts w:hint="eastAsia"/>
          <w:lang w:val="fr-CH"/>
        </w:rPr>
        <w:t>等各种消极影响。</w:t>
      </w:r>
      <w:r>
        <w:rPr>
          <w:rStyle w:val="EndnoteReference"/>
          <w:lang w:val="fr-CH"/>
        </w:rPr>
        <w:endnoteReference w:id="235"/>
      </w:r>
      <w:r>
        <w:rPr>
          <w:rFonts w:hint="eastAsia"/>
          <w:lang w:val="fr-CH"/>
        </w:rPr>
        <w:t xml:space="preserve"> </w:t>
      </w:r>
    </w:p>
    <w:p w:rsidR="00000000" w:rsidRDefault="00000000">
      <w:pPr>
        <w:rPr>
          <w:rFonts w:hint="eastAsia"/>
          <w:lang w:val="fr-CH"/>
        </w:rPr>
      </w:pPr>
      <w:r>
        <w:rPr>
          <w:rFonts w:hint="eastAsia"/>
          <w:lang w:val="fr-CH"/>
        </w:rPr>
        <w:tab/>
        <w:t xml:space="preserve">393.  </w:t>
      </w:r>
      <w:r>
        <w:rPr>
          <w:rFonts w:hint="eastAsia"/>
          <w:spacing w:val="6"/>
          <w:lang w:val="fr-CH"/>
        </w:rPr>
        <w:t>该法界定了社会和法律保护机构需要特别照顾的儿童的范围和保护儿童的手段。防患于未然是指导原则，这项活动的重要手段之一是进行预防和咨询活动。这些活动主要由社会部门执行，它们是区、市和布拉格区办事处的组成部分。在社会病理一般预防领域，实地社会工作者</w:t>
      </w:r>
      <w:r>
        <w:rPr>
          <w:rFonts w:hint="eastAsia"/>
          <w:spacing w:val="6"/>
          <w:lang w:val="fr-CH"/>
        </w:rPr>
        <w:t>(</w:t>
      </w:r>
      <w:r>
        <w:rPr>
          <w:rFonts w:hint="eastAsia"/>
          <w:spacing w:val="6"/>
          <w:lang w:val="fr-CH"/>
        </w:rPr>
        <w:t>街头工作者</w:t>
      </w:r>
      <w:r>
        <w:rPr>
          <w:rFonts w:hint="eastAsia"/>
          <w:spacing w:val="6"/>
          <w:lang w:val="fr-CH"/>
        </w:rPr>
        <w:t>)</w:t>
      </w:r>
      <w:r>
        <w:rPr>
          <w:rFonts w:hint="eastAsia"/>
          <w:spacing w:val="6"/>
          <w:lang w:val="fr-CH"/>
        </w:rPr>
        <w:t>也从事这项工作。</w:t>
      </w:r>
      <w:r>
        <w:rPr>
          <w:rStyle w:val="EndnoteReference"/>
          <w:spacing w:val="6"/>
          <w:lang w:val="fr-CH"/>
        </w:rPr>
        <w:endnoteReference w:id="236"/>
      </w:r>
      <w:r>
        <w:rPr>
          <w:rFonts w:hint="eastAsia"/>
          <w:spacing w:val="6"/>
          <w:lang w:val="fr-CH"/>
        </w:rPr>
        <w:t xml:space="preserve"> </w:t>
      </w:r>
      <w:r>
        <w:rPr>
          <w:rFonts w:hint="eastAsia"/>
          <w:spacing w:val="6"/>
          <w:lang w:val="fr-CH"/>
        </w:rPr>
        <w:t>劳工和社会事务部向给予合作的非政府和非营利组织提供资金，支付这些工作者的工资。</w:t>
      </w:r>
    </w:p>
    <w:p w:rsidR="00000000" w:rsidRDefault="00000000">
      <w:pPr>
        <w:rPr>
          <w:rFonts w:hint="eastAsia"/>
          <w:lang w:val="fr-CH"/>
        </w:rPr>
      </w:pPr>
      <w:r>
        <w:rPr>
          <w:rFonts w:hint="eastAsia"/>
          <w:lang w:val="fr-CH"/>
        </w:rPr>
        <w:tab/>
        <w:t xml:space="preserve">394.  </w:t>
      </w:r>
      <w:r>
        <w:rPr>
          <w:rFonts w:hint="eastAsia"/>
          <w:lang w:val="fr-CH"/>
        </w:rPr>
        <w:t>不仅给予儿童社会和法律保护的机构而且在照顾儿童领域从事工作的其他实体，如学校、保健设施和其他类似设施的互相合作均以该法为准则。</w:t>
      </w:r>
    </w:p>
    <w:p w:rsidR="00000000" w:rsidRDefault="00000000">
      <w:pPr>
        <w:rPr>
          <w:rFonts w:hint="eastAsia"/>
          <w:lang w:val="fr-CH"/>
        </w:rPr>
      </w:pPr>
      <w:r>
        <w:rPr>
          <w:rFonts w:hint="eastAsia"/>
          <w:lang w:val="fr-CH"/>
        </w:rPr>
        <w:tab/>
        <w:t xml:space="preserve">395.  </w:t>
      </w:r>
      <w:r>
        <w:rPr>
          <w:rFonts w:hint="eastAsia"/>
          <w:lang w:val="fr-CH"/>
        </w:rPr>
        <w:t>为安排收养和寄养已制定了明确规则</w:t>
      </w:r>
      <w:r>
        <w:rPr>
          <w:rFonts w:hint="eastAsia"/>
          <w:lang w:val="fr-CH"/>
        </w:rPr>
        <w:t>(</w:t>
      </w:r>
      <w:r>
        <w:rPr>
          <w:rFonts w:hint="eastAsia"/>
          <w:lang w:val="fr-CH"/>
        </w:rPr>
        <w:t>组织、手续、各实体的合作、替代家庭照顾的咨询</w:t>
      </w:r>
      <w:r>
        <w:rPr>
          <w:rFonts w:hint="eastAsia"/>
          <w:lang w:val="fr-CH"/>
        </w:rPr>
        <w:t>)</w:t>
      </w:r>
      <w:r>
        <w:rPr>
          <w:rFonts w:hint="eastAsia"/>
          <w:lang w:val="fr-CH"/>
        </w:rPr>
        <w:t>。有关监督收养机构儿童的发展的规则已作了修改。该法也管理给下列儿童的援助</w:t>
      </w:r>
      <w:r>
        <w:rPr>
          <w:rFonts w:hint="eastAsia"/>
          <w:lang w:val="fr-CH"/>
        </w:rPr>
        <w:t> </w:t>
      </w:r>
      <w:r>
        <w:rPr>
          <w:rFonts w:hint="eastAsia"/>
          <w:lang w:val="fr-CH"/>
        </w:rPr>
        <w:t>：他们在捷克共和国无永久或长期居住权和按欧共体理事会</w:t>
      </w:r>
      <w:r>
        <w:rPr>
          <w:rFonts w:hint="eastAsia"/>
          <w:lang w:val="fr-CH"/>
        </w:rPr>
        <w:t>1997</w:t>
      </w:r>
      <w:r>
        <w:rPr>
          <w:rFonts w:hint="eastAsia"/>
          <w:lang w:val="fr-CH"/>
        </w:rPr>
        <w:t>年</w:t>
      </w:r>
      <w:r>
        <w:rPr>
          <w:rFonts w:hint="eastAsia"/>
          <w:lang w:val="fr-CH"/>
        </w:rPr>
        <w:t>6</w:t>
      </w:r>
      <w:r>
        <w:rPr>
          <w:rFonts w:hint="eastAsia"/>
          <w:lang w:val="fr-CH"/>
        </w:rPr>
        <w:t>月</w:t>
      </w:r>
      <w:r>
        <w:rPr>
          <w:rFonts w:hint="eastAsia"/>
          <w:lang w:val="fr-CH"/>
        </w:rPr>
        <w:t>26</w:t>
      </w:r>
      <w:r>
        <w:rPr>
          <w:rFonts w:hint="eastAsia"/>
          <w:lang w:val="fr-CH"/>
        </w:rPr>
        <w:t>日关于第三国公民的无亲属伴随少年问题决议的含意，目前在外国无亲属伴随的儿童。</w:t>
      </w:r>
    </w:p>
    <w:p w:rsidR="00000000" w:rsidRDefault="00000000">
      <w:pPr>
        <w:spacing w:after="320"/>
        <w:rPr>
          <w:rFonts w:hint="eastAsia"/>
          <w:lang w:val="fr-CH"/>
        </w:rPr>
      </w:pPr>
      <w:r>
        <w:rPr>
          <w:rFonts w:hint="eastAsia"/>
          <w:lang w:val="fr-CH"/>
        </w:rPr>
        <w:tab/>
        <w:t xml:space="preserve">396.  </w:t>
      </w:r>
      <w:r>
        <w:rPr>
          <w:rFonts w:hint="eastAsia"/>
          <w:lang w:val="fr-CH"/>
        </w:rPr>
        <w:t>该法还管制社会和法律保护机构的建立</w:t>
      </w:r>
      <w:r>
        <w:rPr>
          <w:rFonts w:hint="eastAsia"/>
          <w:spacing w:val="-50"/>
          <w:lang w:val="fr-CH"/>
        </w:rPr>
        <w:t>―</w:t>
      </w:r>
      <w:r>
        <w:rPr>
          <w:rFonts w:hint="eastAsia"/>
          <w:lang w:val="fr-CH"/>
        </w:rPr>
        <w:t>―儿童专门护理设施、咨询、社会教育设施、需要直接帮助的儿童设施、教育娱乐中心和寄养设施。该法允许非国家实体在符合某些条件下执行一定的社会和法律保护。然而，对儿童地位或负责儿童地位的人进行根本性干预的活动留给国家实体执行。该法也修改了其他法规，其中最重要的是对罪行法的修改。</w:t>
      </w:r>
      <w:r>
        <w:rPr>
          <w:rStyle w:val="EndnoteReference"/>
          <w:lang w:val="fr-CH"/>
        </w:rPr>
        <w:endnoteReference w:id="237"/>
      </w:r>
      <w:r>
        <w:rPr>
          <w:rFonts w:hint="eastAsia"/>
          <w:lang w:val="fr-CH"/>
        </w:rPr>
        <w:t xml:space="preserve"> </w:t>
      </w:r>
      <w:r>
        <w:rPr>
          <w:rFonts w:hint="eastAsia"/>
          <w:lang w:val="fr-CH"/>
        </w:rPr>
        <w:t>该法就犯罪行为问题提出了新概念并应给儿童更大的保护，使之免遭残忍、疏忽和用体力劳动进行虐待等待遇。</w:t>
      </w:r>
    </w:p>
    <w:p w:rsidR="00000000" w:rsidRDefault="00000000">
      <w:pPr>
        <w:pStyle w:val="Heading4"/>
        <w:ind w:left="500"/>
        <w:rPr>
          <w:rFonts w:hint="eastAsia"/>
          <w:lang w:val="fr-CH"/>
        </w:rPr>
      </w:pPr>
      <w:r>
        <w:rPr>
          <w:rFonts w:hint="eastAsia"/>
          <w:lang w:val="fr-CH"/>
        </w:rPr>
        <w:t>儿童和青少年就业</w:t>
      </w:r>
    </w:p>
    <w:p w:rsidR="00000000" w:rsidRDefault="00000000">
      <w:pPr>
        <w:rPr>
          <w:rFonts w:hint="eastAsia"/>
          <w:lang w:val="fr-CH"/>
        </w:rPr>
      </w:pPr>
      <w:r>
        <w:rPr>
          <w:rFonts w:hint="eastAsia"/>
          <w:lang w:val="fr-CH"/>
        </w:rPr>
        <w:tab/>
        <w:t xml:space="preserve">397.  </w:t>
      </w:r>
      <w:r>
        <w:rPr>
          <w:rFonts w:hint="eastAsia"/>
          <w:lang w:val="fr-CH"/>
        </w:rPr>
        <w:t>劳工法第</w:t>
      </w:r>
      <w:r>
        <w:rPr>
          <w:rFonts w:hint="eastAsia"/>
          <w:lang w:val="fr-CH"/>
        </w:rPr>
        <w:t>11</w:t>
      </w:r>
      <w:r>
        <w:rPr>
          <w:rFonts w:hint="eastAsia"/>
          <w:lang w:val="fr-CH"/>
        </w:rPr>
        <w:t>条</w:t>
      </w:r>
      <w:r>
        <w:rPr>
          <w:rFonts w:hint="eastAsia"/>
          <w:lang w:val="fr-CH"/>
        </w:rPr>
        <w:t xml:space="preserve"> </w:t>
      </w:r>
      <w:r>
        <w:rPr>
          <w:rStyle w:val="EndnoteReference"/>
          <w:lang w:val="fr-CH"/>
        </w:rPr>
        <w:endnoteReference w:id="238"/>
      </w:r>
      <w:r>
        <w:rPr>
          <w:rFonts w:hint="eastAsia"/>
          <w:lang w:val="fr-CH"/>
        </w:rPr>
        <w:t xml:space="preserve"> </w:t>
      </w:r>
      <w:r>
        <w:rPr>
          <w:rFonts w:hint="eastAsia"/>
          <w:lang w:val="fr-CH"/>
        </w:rPr>
        <w:t>规定，自然人从年龄达到</w:t>
      </w:r>
      <w:r>
        <w:rPr>
          <w:rFonts w:hint="eastAsia"/>
          <w:lang w:val="fr-CH"/>
        </w:rPr>
        <w:t>15</w:t>
      </w:r>
      <w:r>
        <w:rPr>
          <w:rFonts w:hint="eastAsia"/>
          <w:lang w:val="fr-CH"/>
        </w:rPr>
        <w:t>岁之日起具有劳工法规定的权利和义务的能力和通过自己的行动取得这些权利和承担义务的能力。雇主不得让任何人在完成义务教育之日前开始工作。法律规定义务教育为九年。该法还规定了年满</w:t>
      </w:r>
      <w:r>
        <w:rPr>
          <w:rFonts w:hint="eastAsia"/>
          <w:lang w:val="fr-CH"/>
        </w:rPr>
        <w:t>15</w:t>
      </w:r>
      <w:r>
        <w:rPr>
          <w:rFonts w:hint="eastAsia"/>
          <w:lang w:val="fr-CH"/>
        </w:rPr>
        <w:t>岁之前在补习学校完成义务教育的人的能力。然而，在完成义务教育之日但不得早于年满</w:t>
      </w:r>
      <w:r>
        <w:rPr>
          <w:rFonts w:hint="eastAsia"/>
          <w:lang w:val="fr-CH"/>
        </w:rPr>
        <w:t>15</w:t>
      </w:r>
      <w:r>
        <w:rPr>
          <w:rFonts w:hint="eastAsia"/>
          <w:lang w:val="fr-CH"/>
        </w:rPr>
        <w:t>岁之前才具备通过自己的行动取得劳工法规定的权利和承担义务的能力。</w:t>
      </w:r>
    </w:p>
    <w:p w:rsidR="00000000" w:rsidRDefault="00000000">
      <w:pPr>
        <w:rPr>
          <w:rFonts w:hint="eastAsia"/>
        </w:rPr>
      </w:pPr>
      <w:r>
        <w:rPr>
          <w:rFonts w:hint="eastAsia"/>
          <w:lang w:val="fr-CH"/>
        </w:rPr>
        <w:tab/>
        <w:t xml:space="preserve">398.  </w:t>
      </w:r>
      <w:r>
        <w:rPr>
          <w:rFonts w:hint="eastAsia"/>
          <w:lang w:val="fr-CH"/>
        </w:rPr>
        <w:t>劳工法第三部分从第</w:t>
      </w:r>
      <w:r>
        <w:rPr>
          <w:rFonts w:hint="eastAsia"/>
          <w:lang w:val="fr-CH"/>
        </w:rPr>
        <w:t>163</w:t>
      </w:r>
      <w:r>
        <w:rPr>
          <w:rFonts w:hint="eastAsia"/>
          <w:lang w:val="fr-CH"/>
        </w:rPr>
        <w:t>至</w:t>
      </w:r>
      <w:r>
        <w:rPr>
          <w:rFonts w:hint="eastAsia"/>
          <w:lang w:val="fr-CH"/>
        </w:rPr>
        <w:t>168</w:t>
      </w:r>
      <w:r>
        <w:rPr>
          <w:rFonts w:hint="eastAsia"/>
          <w:lang w:val="fr-CH"/>
        </w:rPr>
        <w:t>条规定了雇用青少年</w:t>
      </w:r>
      <w:r>
        <w:rPr>
          <w:rFonts w:hint="eastAsia"/>
          <w:lang w:val="fr-CH"/>
        </w:rPr>
        <w:t>(</w:t>
      </w:r>
      <w:r>
        <w:rPr>
          <w:rFonts w:hint="eastAsia"/>
          <w:lang w:val="fr-CH"/>
        </w:rPr>
        <w:t>即年龄在</w:t>
      </w:r>
      <w:r>
        <w:rPr>
          <w:rFonts w:hint="eastAsia"/>
          <w:lang w:val="fr-CH"/>
        </w:rPr>
        <w:t>15</w:t>
      </w:r>
      <w:r>
        <w:rPr>
          <w:rFonts w:hint="eastAsia"/>
          <w:lang w:val="fr-CH"/>
        </w:rPr>
        <w:t>至</w:t>
      </w:r>
      <w:r>
        <w:rPr>
          <w:rFonts w:hint="eastAsia"/>
          <w:lang w:val="fr-CH"/>
        </w:rPr>
        <w:t>18</w:t>
      </w:r>
      <w:r>
        <w:rPr>
          <w:rFonts w:hint="eastAsia"/>
          <w:lang w:val="fr-CH"/>
        </w:rPr>
        <w:t>岁之间的人</w:t>
      </w:r>
      <w:r>
        <w:rPr>
          <w:rFonts w:hint="eastAsia"/>
          <w:lang w:val="fr-CH"/>
        </w:rPr>
        <w:t>)</w:t>
      </w:r>
      <w:r>
        <w:rPr>
          <w:rFonts w:hint="eastAsia"/>
          <w:lang w:val="fr-CH"/>
        </w:rPr>
        <w:t>的条件。劳工法还规定，雇主必须征求未成年雇员法律代表的意见。雇主不得让青少年加班或在夜间工作。特殊情况下，如果其职业培训所需，</w:t>
      </w:r>
      <w:r>
        <w:rPr>
          <w:rFonts w:hint="eastAsia"/>
          <w:lang w:val="fr-CH"/>
        </w:rPr>
        <w:t>16</w:t>
      </w:r>
      <w:r>
        <w:rPr>
          <w:rFonts w:hint="eastAsia"/>
          <w:lang w:val="fr-CH"/>
        </w:rPr>
        <w:t>岁以上的青少年可在夜间从事不超过</w:t>
      </w:r>
      <w:r>
        <w:rPr>
          <w:rFonts w:hint="eastAsia"/>
          <w:lang w:val="fr-CH"/>
        </w:rPr>
        <w:t>1</w:t>
      </w:r>
      <w:r>
        <w:rPr>
          <w:rFonts w:hint="eastAsia"/>
          <w:lang w:val="fr-CH"/>
        </w:rPr>
        <w:t>小时以上的工作。不得雇用青少年从事采矿或挖</w:t>
      </w:r>
      <w:r>
        <w:rPr>
          <w:rFonts w:hint="eastAsia"/>
        </w:rPr>
        <w:t>隧道和矿井等地下工作。考虑到青少年在这一年龄阶段的结构、生理和心理特点，也不得雇用他们从事与其健康不相称、危及或有害其健康的工作。</w:t>
      </w:r>
    </w:p>
    <w:p w:rsidR="00000000" w:rsidRDefault="00000000">
      <w:pPr>
        <w:rPr>
          <w:rFonts w:hint="eastAsia"/>
        </w:rPr>
      </w:pPr>
      <w:r>
        <w:rPr>
          <w:rFonts w:hint="eastAsia"/>
        </w:rPr>
        <w:tab/>
        <w:t>399.  18</w:t>
      </w:r>
      <w:r>
        <w:rPr>
          <w:rFonts w:hint="eastAsia"/>
        </w:rPr>
        <w:t>岁年龄限制也适用辅助就业关系的谈判：根据劳工法，不得与未成年雇员达成此类就业关系。在缔结有关在就业关系范围之外从事的工作的协议时也必须考虑雇员的年龄。这些协议只能在不危及其健康发展或职业培训的前提下与青少年缔结。</w:t>
      </w:r>
    </w:p>
    <w:p w:rsidR="00000000" w:rsidRDefault="00000000">
      <w:pPr>
        <w:spacing w:after="320"/>
        <w:rPr>
          <w:rFonts w:hint="eastAsia"/>
        </w:rPr>
      </w:pPr>
      <w:r>
        <w:rPr>
          <w:rFonts w:hint="eastAsia"/>
        </w:rPr>
        <w:tab/>
        <w:t xml:space="preserve">400.  </w:t>
      </w:r>
      <w:r>
        <w:rPr>
          <w:rFonts w:hint="eastAsia"/>
        </w:rPr>
        <w:t>根据劳工法第</w:t>
      </w:r>
      <w:r>
        <w:rPr>
          <w:rFonts w:hint="eastAsia"/>
        </w:rPr>
        <w:t>150</w:t>
      </w:r>
      <w:r>
        <w:rPr>
          <w:rFonts w:hint="eastAsia"/>
        </w:rPr>
        <w:t>条第</w:t>
      </w:r>
      <w:r>
        <w:rPr>
          <w:rFonts w:hint="eastAsia"/>
        </w:rPr>
        <w:t>2</w:t>
      </w:r>
      <w:r>
        <w:rPr>
          <w:rFonts w:hint="eastAsia"/>
        </w:rPr>
        <w:t>款并经教育、青年和体育部的同意，卫生部颁布了劳工法执行法令，</w:t>
      </w:r>
      <w:r>
        <w:rPr>
          <w:rStyle w:val="EndnoteReference"/>
        </w:rPr>
        <w:endnoteReference w:id="239"/>
      </w:r>
      <w:r>
        <w:rPr>
          <w:rFonts w:hint="eastAsia"/>
        </w:rPr>
        <w:t xml:space="preserve"> </w:t>
      </w:r>
      <w:r>
        <w:rPr>
          <w:rFonts w:hint="eastAsia"/>
        </w:rPr>
        <w:t>其中第</w:t>
      </w:r>
      <w:r>
        <w:rPr>
          <w:rFonts w:hint="eastAsia"/>
        </w:rPr>
        <w:t>167</w:t>
      </w:r>
      <w:r>
        <w:rPr>
          <w:rFonts w:hint="eastAsia"/>
        </w:rPr>
        <w:t>条第</w:t>
      </w:r>
      <w:r>
        <w:rPr>
          <w:rFonts w:hint="eastAsia"/>
        </w:rPr>
        <w:t>2</w:t>
      </w:r>
      <w:r>
        <w:rPr>
          <w:rFonts w:hint="eastAsia"/>
        </w:rPr>
        <w:t>款规定了禁止所有妇女、孕妇、分娩不到</w:t>
      </w:r>
      <w:r>
        <w:rPr>
          <w:rFonts w:hint="eastAsia"/>
        </w:rPr>
        <w:t>9</w:t>
      </w:r>
      <w:r>
        <w:rPr>
          <w:rFonts w:hint="eastAsia"/>
        </w:rPr>
        <w:t>个月的母亲和青少年从事的工作和前往的工作场所，还规定了青少年出于职业准备理由破例从事此类工作的条件。</w:t>
      </w:r>
    </w:p>
    <w:p w:rsidR="00000000" w:rsidRDefault="00000000">
      <w:pPr>
        <w:pStyle w:val="Heading4"/>
        <w:ind w:left="500"/>
        <w:rPr>
          <w:rFonts w:hint="eastAsia"/>
        </w:rPr>
      </w:pPr>
      <w:r>
        <w:rPr>
          <w:rFonts w:hint="eastAsia"/>
        </w:rPr>
        <w:t>保护精神发展</w:t>
      </w:r>
    </w:p>
    <w:p w:rsidR="00000000" w:rsidRDefault="00000000">
      <w:pPr>
        <w:rPr>
          <w:rFonts w:hint="eastAsia"/>
        </w:rPr>
      </w:pPr>
      <w:r>
        <w:rPr>
          <w:rFonts w:hint="eastAsia"/>
        </w:rPr>
        <w:tab/>
        <w:t xml:space="preserve">401.  </w:t>
      </w:r>
      <w:r>
        <w:rPr>
          <w:rFonts w:hint="eastAsia"/>
        </w:rPr>
        <w:t>无线电和电视广播法</w:t>
      </w:r>
      <w:r>
        <w:rPr>
          <w:rFonts w:hint="eastAsia"/>
        </w:rPr>
        <w:t xml:space="preserve"> </w:t>
      </w:r>
      <w:r>
        <w:rPr>
          <w:rStyle w:val="EndnoteReference"/>
        </w:rPr>
        <w:endnoteReference w:id="240"/>
      </w:r>
      <w:r>
        <w:rPr>
          <w:rFonts w:hint="eastAsia"/>
        </w:rPr>
        <w:t xml:space="preserve"> </w:t>
      </w:r>
      <w:r>
        <w:rPr>
          <w:rFonts w:hint="eastAsia"/>
        </w:rPr>
        <w:t>第</w:t>
      </w:r>
      <w:r>
        <w:rPr>
          <w:rFonts w:hint="eastAsia"/>
        </w:rPr>
        <w:t>5</w:t>
      </w:r>
      <w:r>
        <w:rPr>
          <w:rFonts w:hint="eastAsia"/>
        </w:rPr>
        <w:t>条责成所有广播台不得在上午</w:t>
      </w:r>
      <w:r>
        <w:rPr>
          <w:rFonts w:hint="eastAsia"/>
        </w:rPr>
        <w:t>6</w:t>
      </w:r>
      <w:r>
        <w:rPr>
          <w:rFonts w:hint="eastAsia"/>
        </w:rPr>
        <w:t>时至晚间</w:t>
      </w:r>
      <w:r>
        <w:rPr>
          <w:rFonts w:hint="eastAsia"/>
        </w:rPr>
        <w:t>10</w:t>
      </w:r>
      <w:r>
        <w:rPr>
          <w:rFonts w:hint="eastAsia"/>
        </w:rPr>
        <w:t>时安排有可能危及儿童和青少年身心发展的节目。此外，第</w:t>
      </w:r>
      <w:r>
        <w:rPr>
          <w:rFonts w:hint="eastAsia"/>
        </w:rPr>
        <w:t>6</w:t>
      </w:r>
      <w:r>
        <w:rPr>
          <w:rFonts w:hint="eastAsia"/>
        </w:rPr>
        <w:t>条责成广播台保证其广告节目宣言的行为如果危及儿童的健康或心理或精神发展，就不得包含针对儿童或儿童在其中出现的广告。有关制作、传播和归档视听作品的某些条件的法律也确保适当资料的获取。</w:t>
      </w:r>
      <w:r>
        <w:rPr>
          <w:rStyle w:val="EndnoteReference"/>
        </w:rPr>
        <w:endnoteReference w:id="241"/>
      </w:r>
      <w:r>
        <w:rPr>
          <w:rFonts w:hint="eastAsia"/>
        </w:rPr>
        <w:t xml:space="preserve"> </w:t>
      </w:r>
      <w:r>
        <w:rPr>
          <w:rFonts w:hint="eastAsia"/>
        </w:rPr>
        <w:t>根据该法第</w:t>
      </w:r>
      <w:r>
        <w:rPr>
          <w:rFonts w:hint="eastAsia"/>
        </w:rPr>
        <w:t>4</w:t>
      </w:r>
      <w:r>
        <w:rPr>
          <w:rFonts w:hint="eastAsia"/>
        </w:rPr>
        <w:t>条，其内容有可能危及青少年精神发展的视听作品的获取限于年龄达到</w:t>
      </w:r>
      <w:r>
        <w:rPr>
          <w:rFonts w:hint="eastAsia"/>
        </w:rPr>
        <w:t>15</w:t>
      </w:r>
      <w:r>
        <w:rPr>
          <w:rFonts w:hint="eastAsia"/>
        </w:rPr>
        <w:t>或</w:t>
      </w:r>
      <w:r>
        <w:rPr>
          <w:rFonts w:hint="eastAsia"/>
        </w:rPr>
        <w:t>18</w:t>
      </w:r>
      <w:r>
        <w:rPr>
          <w:rFonts w:hint="eastAsia"/>
        </w:rPr>
        <w:t>岁的人。</w:t>
      </w:r>
    </w:p>
    <w:p w:rsidR="00000000" w:rsidRDefault="00000000">
      <w:pPr>
        <w:rPr>
          <w:rFonts w:hint="eastAsia"/>
        </w:rPr>
      </w:pPr>
      <w:r>
        <w:rPr>
          <w:rFonts w:hint="eastAsia"/>
        </w:rPr>
        <w:tab/>
        <w:t xml:space="preserve">402.  </w:t>
      </w:r>
      <w:r>
        <w:rPr>
          <w:rFonts w:hint="eastAsia"/>
        </w:rPr>
        <w:t>广告管理法</w:t>
      </w:r>
      <w:r>
        <w:rPr>
          <w:rFonts w:hint="eastAsia"/>
        </w:rPr>
        <w:t xml:space="preserve"> </w:t>
      </w:r>
      <w:r>
        <w:rPr>
          <w:rStyle w:val="EndnoteReference"/>
        </w:rPr>
        <w:endnoteReference w:id="242"/>
      </w:r>
      <w:r>
        <w:rPr>
          <w:rFonts w:hint="eastAsia"/>
        </w:rPr>
        <w:t xml:space="preserve"> </w:t>
      </w:r>
      <w:r>
        <w:rPr>
          <w:rFonts w:hint="eastAsia"/>
        </w:rPr>
        <w:t>第</w:t>
      </w:r>
      <w:r>
        <w:rPr>
          <w:rFonts w:hint="eastAsia"/>
        </w:rPr>
        <w:t>2</w:t>
      </w:r>
      <w:r>
        <w:rPr>
          <w:rFonts w:hint="eastAsia"/>
        </w:rPr>
        <w:t>条规定凡针对</w:t>
      </w:r>
      <w:r>
        <w:rPr>
          <w:rFonts w:hint="eastAsia"/>
        </w:rPr>
        <w:t>15</w:t>
      </w:r>
      <w:r>
        <w:rPr>
          <w:rFonts w:hint="eastAsia"/>
        </w:rPr>
        <w:t>岁以下的人或</w:t>
      </w:r>
      <w:r>
        <w:rPr>
          <w:rFonts w:hint="eastAsia"/>
        </w:rPr>
        <w:t>15</w:t>
      </w:r>
      <w:r>
        <w:rPr>
          <w:rFonts w:hint="eastAsia"/>
        </w:rPr>
        <w:t>岁以下的人在其中出现的广告如果所宣扬的行为危及他们的健康或生理或精神发展，一律予以禁止。该法第</w:t>
      </w:r>
      <w:r>
        <w:rPr>
          <w:rFonts w:hint="eastAsia"/>
        </w:rPr>
        <w:t>3</w:t>
      </w:r>
      <w:r>
        <w:rPr>
          <w:rFonts w:hint="eastAsia"/>
        </w:rPr>
        <w:t>条禁止电视广播播放烟草产品和禁止无线电广播在上午</w:t>
      </w:r>
      <w:r>
        <w:rPr>
          <w:rFonts w:hint="eastAsia"/>
        </w:rPr>
        <w:t>6</w:t>
      </w:r>
      <w:r>
        <w:rPr>
          <w:rFonts w:hint="eastAsia"/>
        </w:rPr>
        <w:t>时至晚间</w:t>
      </w:r>
      <w:r>
        <w:rPr>
          <w:rFonts w:hint="eastAsia"/>
        </w:rPr>
        <w:t>10</w:t>
      </w:r>
      <w:r>
        <w:rPr>
          <w:rFonts w:hint="eastAsia"/>
        </w:rPr>
        <w:t>时期间，即在儿童和青少年有可能收听的时间安排这种广告节目。此外，同一节还禁止针对青少年的烟草产品广告，尤其是禁止使用主要针对青少年的内容、途径或事件作此类广告并且还禁止使用青少年作此类广告。广告也不得鼓励人们吸烟。第</w:t>
      </w:r>
      <w:r>
        <w:rPr>
          <w:rFonts w:hint="eastAsia"/>
        </w:rPr>
        <w:t>4</w:t>
      </w:r>
      <w:r>
        <w:rPr>
          <w:rFonts w:hint="eastAsia"/>
        </w:rPr>
        <w:t>条禁止含酒精饮料的类似广告。</w:t>
      </w:r>
    </w:p>
    <w:p w:rsidR="00000000" w:rsidRDefault="00000000">
      <w:pPr>
        <w:rPr>
          <w:rFonts w:hint="eastAsia"/>
        </w:rPr>
      </w:pPr>
      <w:r>
        <w:rPr>
          <w:rFonts w:hint="eastAsia"/>
        </w:rPr>
        <w:tab/>
        <w:t xml:space="preserve">403.  </w:t>
      </w:r>
      <w:r>
        <w:rPr>
          <w:rFonts w:hint="eastAsia"/>
        </w:rPr>
        <w:t>刑法</w:t>
      </w:r>
      <w:r>
        <w:rPr>
          <w:rFonts w:hint="eastAsia"/>
        </w:rPr>
        <w:t xml:space="preserve"> </w:t>
      </w:r>
      <w:r>
        <w:rPr>
          <w:rStyle w:val="EndnoteReference"/>
        </w:rPr>
        <w:endnoteReference w:id="243"/>
      </w:r>
      <w:r>
        <w:rPr>
          <w:rFonts w:hint="eastAsia"/>
        </w:rPr>
        <w:t xml:space="preserve"> </w:t>
      </w:r>
      <w:r>
        <w:rPr>
          <w:rFonts w:hint="eastAsia"/>
        </w:rPr>
        <w:t>保护儿童免受色情影响。刑法第</w:t>
      </w:r>
      <w:r>
        <w:rPr>
          <w:rFonts w:hint="eastAsia"/>
        </w:rPr>
        <w:t>205</w:t>
      </w:r>
      <w:r>
        <w:rPr>
          <w:rFonts w:hint="eastAsia"/>
        </w:rPr>
        <w:t>条第</w:t>
      </w:r>
      <w:r>
        <w:rPr>
          <w:rFonts w:hint="eastAsia"/>
        </w:rPr>
        <w:t>2</w:t>
      </w:r>
      <w:r>
        <w:rPr>
          <w:rFonts w:hint="eastAsia"/>
        </w:rPr>
        <w:t>款</w:t>
      </w:r>
      <w:r>
        <w:rPr>
          <w:rFonts w:hint="eastAsia"/>
        </w:rPr>
        <w:t>(</w:t>
      </w:r>
      <w:r>
        <w:rPr>
          <w:rFonts w:hint="eastAsia"/>
        </w:rPr>
        <w:t>道德危害</w:t>
      </w:r>
      <w:r>
        <w:rPr>
          <w:rFonts w:hint="eastAsia"/>
        </w:rPr>
        <w:t>)</w:t>
      </w:r>
      <w:r>
        <w:rPr>
          <w:rFonts w:hint="eastAsia"/>
        </w:rPr>
        <w:t>规定犯有下列行为者应受最长一年徒刑、罚款或没收物品的处罚：</w:t>
      </w:r>
    </w:p>
    <w:p w:rsidR="00000000" w:rsidRDefault="00000000">
      <w:pPr>
        <w:numPr>
          <w:ilvl w:val="0"/>
          <w:numId w:val="165"/>
        </w:numPr>
        <w:rPr>
          <w:rFonts w:hint="eastAsia"/>
        </w:rPr>
      </w:pPr>
      <w:r>
        <w:rPr>
          <w:rFonts w:hint="eastAsia"/>
        </w:rPr>
        <w:t>向</w:t>
      </w:r>
      <w:r>
        <w:rPr>
          <w:rFonts w:hint="eastAsia"/>
        </w:rPr>
        <w:t>18</w:t>
      </w:r>
      <w:r>
        <w:rPr>
          <w:rFonts w:hint="eastAsia"/>
        </w:rPr>
        <w:t>岁以下的某人奉送、出借或提供书面、听觉、视觉、或图片黄色作品；或</w:t>
      </w:r>
    </w:p>
    <w:p w:rsidR="00000000" w:rsidRDefault="00000000">
      <w:pPr>
        <w:numPr>
          <w:ilvl w:val="0"/>
          <w:numId w:val="165"/>
        </w:numPr>
        <w:rPr>
          <w:rFonts w:hint="eastAsia"/>
        </w:rPr>
      </w:pPr>
      <w:r>
        <w:rPr>
          <w:rFonts w:hint="eastAsia"/>
        </w:rPr>
        <w:t>在</w:t>
      </w:r>
      <w:r>
        <w:rPr>
          <w:rFonts w:hint="eastAsia"/>
        </w:rPr>
        <w:t>18</w:t>
      </w:r>
      <w:r>
        <w:rPr>
          <w:rFonts w:hint="eastAsia"/>
        </w:rPr>
        <w:t>岁以下的人可进入公共场所展示书面、听觉、视觉或图片黄色作品。</w:t>
      </w:r>
    </w:p>
    <w:p w:rsidR="00000000" w:rsidRDefault="00000000">
      <w:pPr>
        <w:rPr>
          <w:rFonts w:hint="eastAsia"/>
        </w:rPr>
      </w:pPr>
      <w:r>
        <w:rPr>
          <w:rFonts w:hint="eastAsia"/>
        </w:rPr>
        <w:tab/>
        <w:t xml:space="preserve">404.  </w:t>
      </w:r>
      <w:r>
        <w:rPr>
          <w:rFonts w:hint="eastAsia"/>
        </w:rPr>
        <w:t>在实际中，这些法规受到规避。例如，黄色杂志和出版物在街头地摊展示出售。教师、社会和保健工作者尤其指出了这一点，但检查机构对此尚未予以适当重视。</w:t>
      </w:r>
    </w:p>
    <w:p w:rsidR="00000000" w:rsidRDefault="00000000">
      <w:pPr>
        <w:pStyle w:val="Heading3"/>
        <w:spacing w:after="160"/>
        <w:rPr>
          <w:rFonts w:hint="eastAsia"/>
        </w:rPr>
      </w:pPr>
      <w:r>
        <w:rPr>
          <w:rFonts w:hint="eastAsia"/>
        </w:rPr>
        <w:t>第</w:t>
      </w:r>
      <w:r>
        <w:rPr>
          <w:rFonts w:hint="eastAsia"/>
        </w:rPr>
        <w:t xml:space="preserve"> 11 </w:t>
      </w:r>
      <w:r>
        <w:rPr>
          <w:rFonts w:hint="eastAsia"/>
        </w:rPr>
        <w:t>条</w:t>
      </w:r>
    </w:p>
    <w:p w:rsidR="00000000" w:rsidRDefault="00000000">
      <w:pPr>
        <w:pStyle w:val="Heading4"/>
        <w:spacing w:after="160"/>
        <w:rPr>
          <w:rFonts w:hint="eastAsia"/>
        </w:rPr>
      </w:pPr>
      <w:r>
        <w:rPr>
          <w:rFonts w:hint="eastAsia"/>
        </w:rPr>
        <w:t>第</w:t>
      </w:r>
      <w:r>
        <w:rPr>
          <w:rFonts w:hint="eastAsia"/>
        </w:rPr>
        <w:t xml:space="preserve"> 1 </w:t>
      </w:r>
      <w:r>
        <w:rPr>
          <w:rFonts w:hint="eastAsia"/>
        </w:rPr>
        <w:t>款</w:t>
      </w:r>
    </w:p>
    <w:p w:rsidR="00000000" w:rsidRDefault="00000000">
      <w:pPr>
        <w:rPr>
          <w:rFonts w:hint="eastAsia"/>
        </w:rPr>
      </w:pPr>
      <w:r>
        <w:rPr>
          <w:rFonts w:hint="eastAsia"/>
        </w:rPr>
        <w:tab/>
        <w:t xml:space="preserve">405.  </w:t>
      </w:r>
      <w:r>
        <w:rPr>
          <w:rFonts w:hint="eastAsia"/>
        </w:rPr>
        <w:t>宪章专门致力于经济、社会和文化权利的第四章没有任何一条载有享有适足生活标准、适足食物、衣服、住房和改善生活条件的权利。宪章间接保障下列权利：</w:t>
      </w:r>
    </w:p>
    <w:p w:rsidR="00000000" w:rsidRDefault="00000000">
      <w:pPr>
        <w:pStyle w:val="ad"/>
        <w:rPr>
          <w:rFonts w:hint="eastAsia"/>
        </w:rPr>
      </w:pPr>
      <w:r>
        <w:rPr>
          <w:rFonts w:hint="eastAsia"/>
        </w:rPr>
        <w:t>第</w:t>
      </w:r>
      <w:r>
        <w:rPr>
          <w:rFonts w:hint="eastAsia"/>
        </w:rPr>
        <w:t>26</w:t>
      </w:r>
      <w:r>
        <w:rPr>
          <w:rFonts w:hint="eastAsia"/>
        </w:rPr>
        <w:t>条第</w:t>
      </w:r>
      <w:r>
        <w:rPr>
          <w:rFonts w:hint="eastAsia"/>
        </w:rPr>
        <w:t>2</w:t>
      </w:r>
      <w:r>
        <w:rPr>
          <w:rFonts w:hint="eastAsia"/>
        </w:rPr>
        <w:t>款规定：“人人有权通过工作谋生。对因非自己过错而不能行使这项权利的公民，国家应给予适足程度的物质保障；条件应由法律规定。”</w:t>
      </w:r>
    </w:p>
    <w:p w:rsidR="00000000" w:rsidRDefault="00000000">
      <w:pPr>
        <w:pStyle w:val="ad"/>
        <w:rPr>
          <w:rFonts w:hint="eastAsia"/>
        </w:rPr>
      </w:pPr>
      <w:r>
        <w:rPr>
          <w:rFonts w:hint="eastAsia"/>
        </w:rPr>
        <w:t>第</w:t>
      </w:r>
      <w:r>
        <w:rPr>
          <w:rFonts w:hint="eastAsia"/>
        </w:rPr>
        <w:t>30</w:t>
      </w:r>
      <w:r>
        <w:rPr>
          <w:rFonts w:hint="eastAsia"/>
        </w:rPr>
        <w:t>条第</w:t>
      </w:r>
      <w:r>
        <w:rPr>
          <w:rFonts w:hint="eastAsia"/>
        </w:rPr>
        <w:t>1</w:t>
      </w:r>
      <w:r>
        <w:rPr>
          <w:rFonts w:hint="eastAsia"/>
        </w:rPr>
        <w:t>和第</w:t>
      </w:r>
      <w:r>
        <w:rPr>
          <w:rFonts w:hint="eastAsia"/>
        </w:rPr>
        <w:t>2</w:t>
      </w:r>
      <w:r>
        <w:rPr>
          <w:rFonts w:hint="eastAsia"/>
        </w:rPr>
        <w:t>款规定：“公民在老年和无能力工作期间以及在丧失养家活口者时享有得到适足物质保障的权利。物质匮乏者均有权得到确保其基本生活水准所必需的援助。”</w:t>
      </w:r>
    </w:p>
    <w:p w:rsidR="00000000" w:rsidRDefault="00000000">
      <w:pPr>
        <w:pStyle w:val="ad"/>
        <w:rPr>
          <w:rFonts w:hint="eastAsia"/>
        </w:rPr>
      </w:pPr>
      <w:r>
        <w:rPr>
          <w:rFonts w:hint="eastAsia"/>
        </w:rPr>
        <w:t>第</w:t>
      </w:r>
      <w:r>
        <w:rPr>
          <w:rFonts w:hint="eastAsia"/>
        </w:rPr>
        <w:t>31</w:t>
      </w:r>
      <w:r>
        <w:rPr>
          <w:rFonts w:hint="eastAsia"/>
        </w:rPr>
        <w:t>条规定：“人人享有保护健康权。”</w:t>
      </w:r>
    </w:p>
    <w:p w:rsidR="00000000" w:rsidRDefault="00000000">
      <w:pPr>
        <w:pStyle w:val="ad"/>
        <w:spacing w:after="320"/>
        <w:rPr>
          <w:rFonts w:hint="eastAsia"/>
        </w:rPr>
      </w:pPr>
      <w:r>
        <w:rPr>
          <w:rFonts w:hint="eastAsia"/>
        </w:rPr>
        <w:t>第</w:t>
      </w:r>
      <w:r>
        <w:rPr>
          <w:rFonts w:hint="eastAsia"/>
        </w:rPr>
        <w:t>35</w:t>
      </w:r>
      <w:r>
        <w:rPr>
          <w:rFonts w:hint="eastAsia"/>
        </w:rPr>
        <w:t>条规定：“人人享有有利环境权。”</w:t>
      </w:r>
    </w:p>
    <w:p w:rsidR="00000000" w:rsidRDefault="00000000">
      <w:pPr>
        <w:pStyle w:val="Heading4"/>
        <w:ind w:left="500"/>
        <w:rPr>
          <w:rFonts w:hint="eastAsia"/>
        </w:rPr>
      </w:pPr>
      <w:r>
        <w:rPr>
          <w:rFonts w:hint="eastAsia"/>
        </w:rPr>
        <w:t>适足生活水准权</w:t>
      </w:r>
    </w:p>
    <w:p w:rsidR="00000000" w:rsidRDefault="00000000">
      <w:pPr>
        <w:rPr>
          <w:rFonts w:hint="eastAsia"/>
        </w:rPr>
      </w:pPr>
      <w:r>
        <w:rPr>
          <w:rFonts w:hint="eastAsia"/>
        </w:rPr>
        <w:tab/>
        <w:t xml:space="preserve">406.  </w:t>
      </w:r>
      <w:r>
        <w:rPr>
          <w:rFonts w:hint="eastAsia"/>
        </w:rPr>
        <w:t>这方面强调的是每个人对自己及其家庭的生活水准负责，条件是国家必须为履行这一个人责任的机会创造适当条件。即使这些条件不足以确保该国正常的适足生活水准，国家通过社会保障制度帮助个人及其家庭</w:t>
      </w:r>
      <w:r>
        <w:rPr>
          <w:rFonts w:hint="eastAsia"/>
        </w:rPr>
        <w:t>(</w:t>
      </w:r>
      <w:r>
        <w:rPr>
          <w:rFonts w:hint="eastAsia"/>
        </w:rPr>
        <w:t>还见关于《公约》第</w:t>
      </w:r>
      <w:r>
        <w:rPr>
          <w:rFonts w:hint="eastAsia"/>
        </w:rPr>
        <w:t>9</w:t>
      </w:r>
      <w:r>
        <w:rPr>
          <w:rFonts w:hint="eastAsia"/>
        </w:rPr>
        <w:t>和第</w:t>
      </w:r>
      <w:r>
        <w:rPr>
          <w:rFonts w:hint="eastAsia"/>
        </w:rPr>
        <w:t>10</w:t>
      </w:r>
      <w:r>
        <w:rPr>
          <w:rFonts w:hint="eastAsia"/>
        </w:rPr>
        <w:t>条的案文</w:t>
      </w:r>
      <w:r>
        <w:rPr>
          <w:rFonts w:hint="eastAsia"/>
        </w:rPr>
        <w:t>)</w:t>
      </w:r>
      <w:r>
        <w:rPr>
          <w:rFonts w:hint="eastAsia"/>
        </w:rPr>
        <w:t>。</w:t>
      </w:r>
    </w:p>
    <w:p w:rsidR="00000000" w:rsidRDefault="00000000">
      <w:pPr>
        <w:rPr>
          <w:rFonts w:hint="eastAsia"/>
        </w:rPr>
      </w:pPr>
      <w:r>
        <w:rPr>
          <w:rFonts w:hint="eastAsia"/>
        </w:rPr>
        <w:tab/>
        <w:t xml:space="preserve">407.  </w:t>
      </w:r>
      <w:r>
        <w:rPr>
          <w:rFonts w:hint="eastAsia"/>
        </w:rPr>
        <w:t>公民确保生存、基本个人需要和家庭必要开支的法定最低收入限度是维持生计水平，它被视为官方贫困线水平。有关家庭及其收入和支出的资料仅通过抽样调查收集。这些调查也包含有关所谓“最低收入家庭”的数据，即在有儿童情况中收入不超过维持生计水平的</w:t>
      </w:r>
      <w:r>
        <w:rPr>
          <w:rFonts w:hint="eastAsia"/>
        </w:rPr>
        <w:t>1.4</w:t>
      </w:r>
      <w:r>
        <w:rPr>
          <w:rFonts w:hint="eastAsia"/>
        </w:rPr>
        <w:t>倍；在领取养恤金情况中收入不超过维持生计水平的</w:t>
      </w:r>
      <w:r>
        <w:rPr>
          <w:rFonts w:hint="eastAsia"/>
        </w:rPr>
        <w:t>1.5</w:t>
      </w:r>
      <w:r>
        <w:rPr>
          <w:rFonts w:hint="eastAsia"/>
        </w:rPr>
        <w:t>倍。这些数据可用来确定贫困家庭的支出结构，但不能用来确定这些家庭在捷克共和国家庭总数中所占比例</w:t>
      </w:r>
      <w:r>
        <w:rPr>
          <w:rFonts w:hint="eastAsia"/>
        </w:rPr>
        <w:t>(</w:t>
      </w:r>
      <w:r>
        <w:rPr>
          <w:rFonts w:hint="eastAsia"/>
        </w:rPr>
        <w:t>在</w:t>
      </w:r>
      <w:r>
        <w:rPr>
          <w:rFonts w:hint="eastAsia"/>
        </w:rPr>
        <w:t>1996</w:t>
      </w:r>
      <w:r>
        <w:rPr>
          <w:rFonts w:hint="eastAsia"/>
        </w:rPr>
        <w:t>年，净财务收入低于人均工作收入</w:t>
      </w:r>
      <w:r>
        <w:rPr>
          <w:rFonts w:hint="eastAsia"/>
        </w:rPr>
        <w:t>40%</w:t>
      </w:r>
      <w:r>
        <w:rPr>
          <w:rFonts w:hint="eastAsia"/>
        </w:rPr>
        <w:t>的家庭在家庭总数中占</w:t>
      </w:r>
      <w:r>
        <w:rPr>
          <w:rFonts w:hint="eastAsia"/>
        </w:rPr>
        <w:t>2.1%)</w:t>
      </w:r>
      <w:r>
        <w:rPr>
          <w:rFonts w:hint="eastAsia"/>
        </w:rPr>
        <w:t>。</w:t>
      </w:r>
    </w:p>
    <w:p w:rsidR="00000000" w:rsidRDefault="00000000">
      <w:pPr>
        <w:spacing w:after="320"/>
        <w:rPr>
          <w:rFonts w:hint="eastAsia"/>
        </w:rPr>
      </w:pPr>
      <w:r>
        <w:rPr>
          <w:rFonts w:hint="eastAsia"/>
        </w:rPr>
        <w:tab/>
        <w:t xml:space="preserve">408.  </w:t>
      </w:r>
      <w:r>
        <w:rPr>
          <w:rFonts w:hint="eastAsia"/>
        </w:rPr>
        <w:t>就家庭基本收入参数变化而言，</w:t>
      </w:r>
      <w:r>
        <w:rPr>
          <w:rFonts w:hint="eastAsia"/>
        </w:rPr>
        <w:t>1998</w:t>
      </w:r>
      <w:r>
        <w:rPr>
          <w:rFonts w:hint="eastAsia"/>
        </w:rPr>
        <w:t>年是捷克共和国独立以来最糟的一年。收入增长低，滞后与通货膨胀增长、关键支出</w:t>
      </w:r>
      <w:r>
        <w:rPr>
          <w:rFonts w:hint="eastAsia"/>
        </w:rPr>
        <w:t>(</w:t>
      </w:r>
      <w:r>
        <w:rPr>
          <w:rFonts w:hint="eastAsia"/>
        </w:rPr>
        <w:t>不可能受影响的支出</w:t>
      </w:r>
      <w:r>
        <w:rPr>
          <w:rFonts w:hint="eastAsia"/>
        </w:rPr>
        <w:t>)</w:t>
      </w:r>
      <w:r>
        <w:rPr>
          <w:rFonts w:hint="eastAsia"/>
        </w:rPr>
        <w:t>增加、进一步社会和经济发展的不稳定和财务储备优先、失业增加和社会支付计划受到限制，这一切大幅度削减了家庭需求，并在国民经济增长能力下降中起到作用。情况在</w:t>
      </w:r>
      <w:r>
        <w:rPr>
          <w:rFonts w:hint="eastAsia"/>
        </w:rPr>
        <w:t>1999</w:t>
      </w:r>
      <w:r>
        <w:rPr>
          <w:rFonts w:hint="eastAsia"/>
        </w:rPr>
        <w:t>年开始好转，但记录到的总家庭收入实际增长受到其社会收入</w:t>
      </w:r>
      <w:r>
        <w:rPr>
          <w:rFonts w:hint="eastAsia"/>
        </w:rPr>
        <w:t>(</w:t>
      </w:r>
      <w:r>
        <w:rPr>
          <w:rFonts w:hint="eastAsia"/>
        </w:rPr>
        <w:t>调整后的维持生计水平、养恤金、疾病津贴增加、寻求工作者物质保障增加等</w:t>
      </w:r>
      <w:r>
        <w:rPr>
          <w:rFonts w:hint="eastAsia"/>
        </w:rPr>
        <w:t>)</w:t>
      </w:r>
      <w:r>
        <w:rPr>
          <w:rFonts w:hint="eastAsia"/>
        </w:rPr>
        <w:t>购买力增强的影响。而就进一步的经济增长而言，这不是一种积极迹象。低通货膨胀也给实际收入增加带来积极影响。</w:t>
      </w:r>
    </w:p>
    <w:p w:rsidR="00000000" w:rsidRDefault="00000000">
      <w:pPr>
        <w:pStyle w:val="Heading3"/>
        <w:spacing w:after="0"/>
        <w:rPr>
          <w:rFonts w:hint="eastAsia"/>
          <w:u w:val="none"/>
        </w:rPr>
      </w:pPr>
      <w:r>
        <w:rPr>
          <w:rFonts w:hint="eastAsia"/>
        </w:rPr>
        <w:t>货物和服务消费者价格指数增长情况</w:t>
      </w:r>
      <w:r>
        <w:br/>
      </w:r>
      <w:r>
        <w:rPr>
          <w:rFonts w:hint="eastAsia"/>
          <w:u w:val="none"/>
        </w:rPr>
        <w:t>（</w:t>
      </w:r>
      <w:r>
        <w:rPr>
          <w:rFonts w:hint="eastAsia"/>
          <w:u w:val="none"/>
        </w:rPr>
        <w:t>1990</w:t>
      </w:r>
      <w:r>
        <w:rPr>
          <w:rFonts w:hint="eastAsia"/>
          <w:u w:val="none"/>
        </w:rPr>
        <w:t>年平均＝</w:t>
      </w:r>
      <w:r>
        <w:rPr>
          <w:rFonts w:hint="eastAsia"/>
          <w:u w:val="none"/>
        </w:rPr>
        <w:t>100</w:t>
      </w:r>
      <w:r>
        <w:rPr>
          <w:rFonts w:hint="eastAsia"/>
          <w:u w:val="none"/>
        </w:rPr>
        <w:t>）</w:t>
      </w:r>
    </w:p>
    <w:tbl>
      <w:tblPr>
        <w:tblW w:w="9480" w:type="dxa"/>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560"/>
        <w:gridCol w:w="1560"/>
        <w:gridCol w:w="1320"/>
        <w:gridCol w:w="1680"/>
        <w:gridCol w:w="1680"/>
        <w:gridCol w:w="1680"/>
      </w:tblGrid>
      <w:tr w:rsidR="00000000">
        <w:tblPrEx>
          <w:tblCellMar>
            <w:top w:w="0" w:type="dxa"/>
            <w:bottom w:w="0" w:type="dxa"/>
          </w:tblCellMar>
        </w:tblPrEx>
        <w:trPr>
          <w:cantSplit/>
          <w:trHeight w:val="150"/>
        </w:trPr>
        <w:tc>
          <w:tcPr>
            <w:tcW w:w="1560" w:type="dxa"/>
            <w:vMerge w:val="restart"/>
            <w:tcBorders>
              <w:top w:val="single" w:sz="4" w:space="0" w:color="auto"/>
              <w:left w:val="single" w:sz="4" w:space="0" w:color="auto"/>
              <w:bottom w:val="nil"/>
              <w:right w:val="single" w:sz="4" w:space="0" w:color="auto"/>
            </w:tcBorders>
          </w:tcPr>
          <w:p w:rsidR="00000000" w:rsidRDefault="00000000">
            <w:pPr>
              <w:pStyle w:val="aa"/>
              <w:spacing w:before="60" w:line="240" w:lineRule="auto"/>
              <w:jc w:val="center"/>
            </w:pPr>
          </w:p>
          <w:p w:rsidR="00000000" w:rsidRDefault="00000000">
            <w:pPr>
              <w:pStyle w:val="aa"/>
              <w:spacing w:before="60" w:line="240" w:lineRule="auto"/>
              <w:jc w:val="center"/>
            </w:pPr>
          </w:p>
        </w:tc>
        <w:tc>
          <w:tcPr>
            <w:tcW w:w="7920" w:type="dxa"/>
            <w:gridSpan w:val="5"/>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rPr>
                <w:rFonts w:hint="eastAsia"/>
              </w:rPr>
              <w:t>家</w:t>
            </w:r>
            <w:r>
              <w:rPr>
                <w:rFonts w:hint="eastAsia"/>
              </w:rPr>
              <w:t xml:space="preserve">    </w:t>
            </w:r>
            <w:r>
              <w:rPr>
                <w:rFonts w:hint="eastAsia"/>
              </w:rPr>
              <w:t>庭</w:t>
            </w:r>
          </w:p>
        </w:tc>
      </w:tr>
      <w:tr w:rsidR="00000000">
        <w:tblPrEx>
          <w:tblCellMar>
            <w:top w:w="0" w:type="dxa"/>
            <w:bottom w:w="0" w:type="dxa"/>
          </w:tblCellMar>
        </w:tblPrEx>
        <w:trPr>
          <w:cantSplit/>
          <w:trHeight w:val="150"/>
        </w:trPr>
        <w:tc>
          <w:tcPr>
            <w:tcW w:w="1560" w:type="dxa"/>
            <w:vMerge/>
            <w:tcBorders>
              <w:top w:val="nil"/>
              <w:left w:val="single" w:sz="4" w:space="0" w:color="auto"/>
              <w:bottom w:val="nil"/>
              <w:right w:val="single" w:sz="4" w:space="0" w:color="auto"/>
            </w:tcBorders>
          </w:tcPr>
          <w:p w:rsidR="00000000" w:rsidRDefault="00000000">
            <w:pPr>
              <w:pStyle w:val="aa"/>
              <w:spacing w:before="60" w:line="240" w:lineRule="auto"/>
              <w:jc w:val="center"/>
            </w:pPr>
          </w:p>
        </w:tc>
        <w:tc>
          <w:tcPr>
            <w:tcW w:w="1560" w:type="dxa"/>
            <w:vMerge w:val="restart"/>
            <w:tcBorders>
              <w:top w:val="single" w:sz="4" w:space="0" w:color="auto"/>
              <w:left w:val="single" w:sz="4" w:space="0" w:color="auto"/>
              <w:bottom w:val="nil"/>
              <w:right w:val="single" w:sz="4" w:space="0" w:color="auto"/>
            </w:tcBorders>
          </w:tcPr>
          <w:p w:rsidR="00000000" w:rsidRDefault="00000000">
            <w:pPr>
              <w:pStyle w:val="aa"/>
              <w:spacing w:before="60" w:line="240" w:lineRule="auto"/>
              <w:jc w:val="center"/>
              <w:rPr>
                <w:rFonts w:hint="eastAsia"/>
              </w:rPr>
            </w:pPr>
            <w:r>
              <w:br/>
            </w:r>
            <w:r>
              <w:rPr>
                <w:rFonts w:hint="eastAsia"/>
              </w:rPr>
              <w:t>总</w:t>
            </w:r>
            <w:r>
              <w:rPr>
                <w:rFonts w:hint="eastAsia"/>
              </w:rPr>
              <w:t xml:space="preserve">  </w:t>
            </w:r>
            <w:r>
              <w:rPr>
                <w:rFonts w:hint="eastAsia"/>
              </w:rPr>
              <w:t>计</w:t>
            </w:r>
          </w:p>
        </w:tc>
        <w:tc>
          <w:tcPr>
            <w:tcW w:w="3000"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rPr>
                <w:rFonts w:hint="eastAsia"/>
              </w:rPr>
              <w:t>工</w:t>
            </w:r>
            <w:r>
              <w:rPr>
                <w:rFonts w:hint="eastAsia"/>
              </w:rPr>
              <w:t xml:space="preserve">  </w:t>
            </w:r>
            <w:r>
              <w:rPr>
                <w:rFonts w:hint="eastAsia"/>
              </w:rPr>
              <w:t>人</w:t>
            </w:r>
          </w:p>
        </w:tc>
        <w:tc>
          <w:tcPr>
            <w:tcW w:w="3360"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rPr>
                <w:rFonts w:hint="eastAsia"/>
              </w:rPr>
              <w:t>养恤金领取者</w:t>
            </w:r>
          </w:p>
        </w:tc>
      </w:tr>
      <w:tr w:rsidR="00000000">
        <w:tblPrEx>
          <w:tblCellMar>
            <w:top w:w="0" w:type="dxa"/>
            <w:bottom w:w="0" w:type="dxa"/>
          </w:tblCellMar>
        </w:tblPrEx>
        <w:trPr>
          <w:cantSplit/>
          <w:trHeight w:val="150"/>
        </w:trPr>
        <w:tc>
          <w:tcPr>
            <w:tcW w:w="1560" w:type="dxa"/>
            <w:vMerge/>
            <w:tcBorders>
              <w:top w:val="nil"/>
              <w:left w:val="single" w:sz="4" w:space="0" w:color="auto"/>
              <w:bottom w:val="single" w:sz="4" w:space="0" w:color="auto"/>
              <w:right w:val="single" w:sz="4" w:space="0" w:color="auto"/>
            </w:tcBorders>
          </w:tcPr>
          <w:p w:rsidR="00000000" w:rsidRDefault="00000000">
            <w:pPr>
              <w:pStyle w:val="aa"/>
              <w:spacing w:before="60" w:line="240" w:lineRule="auto"/>
              <w:jc w:val="center"/>
            </w:pPr>
          </w:p>
        </w:tc>
        <w:tc>
          <w:tcPr>
            <w:tcW w:w="1560" w:type="dxa"/>
            <w:vMerge/>
            <w:tcBorders>
              <w:top w:val="nil"/>
              <w:left w:val="single" w:sz="4" w:space="0" w:color="auto"/>
              <w:bottom w:val="single" w:sz="4" w:space="0" w:color="auto"/>
              <w:right w:val="single" w:sz="4" w:space="0" w:color="auto"/>
            </w:tcBorders>
          </w:tcPr>
          <w:p w:rsidR="00000000" w:rsidRDefault="00000000">
            <w:pPr>
              <w:pStyle w:val="aa"/>
              <w:spacing w:before="60" w:line="240" w:lineRule="auto"/>
              <w:jc w:val="center"/>
            </w:pPr>
          </w:p>
        </w:tc>
        <w:tc>
          <w:tcPr>
            <w:tcW w:w="1320" w:type="dxa"/>
            <w:tcBorders>
              <w:top w:val="nil"/>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rPr>
                <w:rFonts w:hint="eastAsia"/>
              </w:rPr>
              <w:t>总</w:t>
            </w:r>
            <w:r>
              <w:rPr>
                <w:rFonts w:hint="eastAsia"/>
              </w:rPr>
              <w:t xml:space="preserve">  </w:t>
            </w:r>
            <w:r>
              <w:rPr>
                <w:rFonts w:hint="eastAsia"/>
              </w:rPr>
              <w:t>计</w:t>
            </w:r>
          </w:p>
        </w:tc>
        <w:tc>
          <w:tcPr>
            <w:tcW w:w="1680" w:type="dxa"/>
            <w:tcBorders>
              <w:top w:val="nil"/>
              <w:left w:val="single" w:sz="4" w:space="0" w:color="auto"/>
              <w:bottom w:val="single" w:sz="4" w:space="0" w:color="auto"/>
              <w:right w:val="single" w:sz="4" w:space="0" w:color="auto"/>
            </w:tcBorders>
          </w:tcPr>
          <w:p w:rsidR="00000000" w:rsidRDefault="00000000">
            <w:pPr>
              <w:pStyle w:val="aa"/>
              <w:spacing w:before="60" w:line="240" w:lineRule="auto"/>
              <w:jc w:val="center"/>
              <w:rPr>
                <w:vertAlign w:val="superscript"/>
              </w:rPr>
            </w:pPr>
            <w:r>
              <w:rPr>
                <w:rFonts w:hint="eastAsia"/>
              </w:rPr>
              <w:t>低收入</w:t>
            </w:r>
            <w:r>
              <w:rPr>
                <w:b/>
                <w:bCs/>
                <w:vertAlign w:val="superscript"/>
              </w:rPr>
              <w:t>a</w:t>
            </w:r>
          </w:p>
        </w:tc>
        <w:tc>
          <w:tcPr>
            <w:tcW w:w="1680" w:type="dxa"/>
            <w:tcBorders>
              <w:top w:val="nil"/>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rPr>
                <w:rFonts w:hint="eastAsia"/>
              </w:rPr>
              <w:t>总</w:t>
            </w:r>
            <w:r>
              <w:rPr>
                <w:rFonts w:hint="eastAsia"/>
              </w:rPr>
              <w:t xml:space="preserve">  </w:t>
            </w:r>
            <w:r>
              <w:rPr>
                <w:rFonts w:hint="eastAsia"/>
              </w:rPr>
              <w:t>计</w:t>
            </w:r>
          </w:p>
        </w:tc>
        <w:tc>
          <w:tcPr>
            <w:tcW w:w="1680" w:type="dxa"/>
            <w:tcBorders>
              <w:top w:val="nil"/>
              <w:left w:val="single" w:sz="4" w:space="0" w:color="auto"/>
              <w:bottom w:val="single" w:sz="4" w:space="0" w:color="auto"/>
              <w:right w:val="single" w:sz="4" w:space="0" w:color="auto"/>
            </w:tcBorders>
          </w:tcPr>
          <w:p w:rsidR="00000000" w:rsidRDefault="00000000">
            <w:pPr>
              <w:pStyle w:val="aa"/>
              <w:spacing w:before="60" w:line="240" w:lineRule="auto"/>
              <w:jc w:val="center"/>
              <w:rPr>
                <w:vertAlign w:val="superscript"/>
              </w:rPr>
            </w:pPr>
            <w:r>
              <w:rPr>
                <w:rFonts w:hint="eastAsia"/>
              </w:rPr>
              <w:t>低收入</w:t>
            </w:r>
            <w:r>
              <w:rPr>
                <w:b/>
                <w:bCs/>
                <w:vertAlign w:val="superscript"/>
              </w:rPr>
              <w:t>b</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t>1994</w:t>
            </w:r>
            <w:r>
              <w:rPr>
                <w:rFonts w:hint="eastAsia"/>
              </w:rPr>
              <w:t>年</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231.3</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227.1</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228.5</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227.9</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232.8</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t>1995</w:t>
            </w:r>
            <w:r>
              <w:rPr>
                <w:rFonts w:hint="eastAsia"/>
              </w:rPr>
              <w:t>年</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252.5</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247.5</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250.9</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251.6</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257.2</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t>1996</w:t>
            </w:r>
            <w:r>
              <w:rPr>
                <w:rFonts w:hint="eastAsia"/>
              </w:rPr>
              <w:t>年</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274.7</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269.0</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275.2</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275.3</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281.6</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t>1997</w:t>
            </w:r>
            <w:r>
              <w:rPr>
                <w:rFonts w:hint="eastAsia"/>
              </w:rPr>
              <w:t>年</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297.9</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291.3</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300.0</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302.6</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309.8</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rPr>
                <w:rFonts w:hint="eastAsia"/>
              </w:rPr>
            </w:pPr>
            <w:r>
              <w:t>1998</w:t>
            </w:r>
            <w:r>
              <w:rPr>
                <w:rFonts w:hint="eastAsia"/>
              </w:rPr>
              <w:t>年</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329.7</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321.3</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336.3</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343.5</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240" w:lineRule="auto"/>
              <w:jc w:val="center"/>
            </w:pPr>
            <w:r>
              <w:t>354.4</w:t>
            </w:r>
          </w:p>
        </w:tc>
      </w:tr>
    </w:tbl>
    <w:p w:rsidR="00000000" w:rsidRDefault="00000000">
      <w:pPr>
        <w:pStyle w:val="FootnoteText"/>
        <w:spacing w:before="160" w:line="240" w:lineRule="auto"/>
        <w:ind w:left="760" w:hanging="510"/>
        <w:rPr>
          <w:rFonts w:hint="eastAsia"/>
        </w:rPr>
      </w:pPr>
      <w:r>
        <w:rPr>
          <w:u w:val="single"/>
        </w:rPr>
        <w:t>a</w:t>
      </w:r>
      <w:r>
        <w:t xml:space="preserve">/ </w:t>
      </w:r>
      <w:r>
        <w:rPr>
          <w:rFonts w:hint="eastAsia"/>
        </w:rPr>
        <w:tab/>
      </w:r>
      <w:r>
        <w:rPr>
          <w:rFonts w:hint="eastAsia"/>
        </w:rPr>
        <w:t>在</w:t>
      </w:r>
      <w:r>
        <w:rPr>
          <w:rFonts w:hint="eastAsia"/>
        </w:rPr>
        <w:t>1994</w:t>
      </w:r>
      <w:r>
        <w:rPr>
          <w:rFonts w:hint="eastAsia"/>
        </w:rPr>
        <w:t>年，工人低收入家庭指在</w:t>
      </w:r>
      <w:r>
        <w:rPr>
          <w:rFonts w:hint="eastAsia"/>
        </w:rPr>
        <w:t>1989</w:t>
      </w:r>
      <w:r>
        <w:rPr>
          <w:rFonts w:hint="eastAsia"/>
        </w:rPr>
        <w:t>年人均净货币收入最高为每月</w:t>
      </w:r>
      <w:r>
        <w:rPr>
          <w:rFonts w:hint="eastAsia"/>
        </w:rPr>
        <w:t>1</w:t>
      </w:r>
      <w:r>
        <w:t>,</w:t>
      </w:r>
      <w:r>
        <w:rPr>
          <w:rFonts w:hint="eastAsia"/>
        </w:rPr>
        <w:t>400</w:t>
      </w:r>
      <w:r>
        <w:rPr>
          <w:rFonts w:hint="eastAsia"/>
        </w:rPr>
        <w:t>克朗的家庭；在</w:t>
      </w:r>
      <w:r>
        <w:rPr>
          <w:rFonts w:hint="eastAsia"/>
        </w:rPr>
        <w:t>1995</w:t>
      </w:r>
      <w:r>
        <w:rPr>
          <w:rFonts w:hint="eastAsia"/>
        </w:rPr>
        <w:t>年－</w:t>
      </w:r>
      <w:r>
        <w:rPr>
          <w:rFonts w:hint="eastAsia"/>
        </w:rPr>
        <w:t>1998</w:t>
      </w:r>
      <w:r>
        <w:rPr>
          <w:rFonts w:hint="eastAsia"/>
        </w:rPr>
        <w:t>年期间，工人低收入家庭指在</w:t>
      </w:r>
      <w:r>
        <w:rPr>
          <w:rFonts w:hint="eastAsia"/>
        </w:rPr>
        <w:t>1993</w:t>
      </w:r>
      <w:r>
        <w:rPr>
          <w:rFonts w:hint="eastAsia"/>
        </w:rPr>
        <w:t>年其净月收入不超过维持生计水平</w:t>
      </w:r>
      <w:r>
        <w:rPr>
          <w:rFonts w:hint="eastAsia"/>
        </w:rPr>
        <w:t>1</w:t>
      </w:r>
      <w:r>
        <w:t>.</w:t>
      </w:r>
      <w:r>
        <w:rPr>
          <w:rFonts w:hint="eastAsia"/>
        </w:rPr>
        <w:t>2</w:t>
      </w:r>
      <w:r>
        <w:rPr>
          <w:rFonts w:hint="eastAsia"/>
        </w:rPr>
        <w:t>倍的家庭。</w:t>
      </w:r>
    </w:p>
    <w:p w:rsidR="00000000" w:rsidRDefault="00000000">
      <w:pPr>
        <w:pStyle w:val="FootnoteText"/>
        <w:spacing w:line="240" w:lineRule="auto"/>
        <w:ind w:left="760" w:hanging="510"/>
      </w:pPr>
      <w:r>
        <w:rPr>
          <w:u w:val="single"/>
        </w:rPr>
        <w:t>b</w:t>
      </w:r>
      <w:r>
        <w:t xml:space="preserve">/ </w:t>
      </w:r>
      <w:r>
        <w:rPr>
          <w:rFonts w:hint="eastAsia"/>
        </w:rPr>
        <w:tab/>
      </w:r>
      <w:r>
        <w:rPr>
          <w:rFonts w:hint="eastAsia"/>
        </w:rPr>
        <w:t>在</w:t>
      </w:r>
      <w:r>
        <w:rPr>
          <w:rFonts w:hint="eastAsia"/>
        </w:rPr>
        <w:t>1994</w:t>
      </w:r>
      <w:r>
        <w:rPr>
          <w:rFonts w:hint="eastAsia"/>
        </w:rPr>
        <w:t>年，养恤金领取者低收入家庭指在</w:t>
      </w:r>
      <w:r>
        <w:rPr>
          <w:rFonts w:hint="eastAsia"/>
        </w:rPr>
        <w:t>1989</w:t>
      </w:r>
      <w:r>
        <w:rPr>
          <w:rFonts w:hint="eastAsia"/>
        </w:rPr>
        <w:t>年人均净货币收入最高为每月</w:t>
      </w:r>
      <w:r>
        <w:rPr>
          <w:rFonts w:hint="eastAsia"/>
        </w:rPr>
        <w:t>1,200</w:t>
      </w:r>
      <w:r>
        <w:rPr>
          <w:rFonts w:hint="eastAsia"/>
        </w:rPr>
        <w:t>克朗的家庭；在</w:t>
      </w:r>
      <w:r>
        <w:rPr>
          <w:rFonts w:hint="eastAsia"/>
        </w:rPr>
        <w:t>1995</w:t>
      </w:r>
      <w:r>
        <w:rPr>
          <w:rFonts w:hint="eastAsia"/>
        </w:rPr>
        <w:t>年－</w:t>
      </w:r>
      <w:r>
        <w:rPr>
          <w:rFonts w:hint="eastAsia"/>
        </w:rPr>
        <w:t>1998</w:t>
      </w:r>
      <w:r>
        <w:rPr>
          <w:rFonts w:hint="eastAsia"/>
        </w:rPr>
        <w:t>年期间，养恤金领取者低收入家庭指在</w:t>
      </w:r>
      <w:r>
        <w:rPr>
          <w:rFonts w:hint="eastAsia"/>
        </w:rPr>
        <w:t>1993</w:t>
      </w:r>
      <w:r>
        <w:rPr>
          <w:rFonts w:hint="eastAsia"/>
        </w:rPr>
        <w:t>年其净月收入在加上国家平衡捐助数目后不超过最低养恤金</w:t>
      </w:r>
      <w:r>
        <w:rPr>
          <w:rFonts w:hint="eastAsia"/>
        </w:rPr>
        <w:t>1</w:t>
      </w:r>
      <w:r>
        <w:t>.2</w:t>
      </w:r>
      <w:r>
        <w:rPr>
          <w:rFonts w:hint="eastAsia"/>
        </w:rPr>
        <w:t>倍的家庭。</w:t>
      </w:r>
    </w:p>
    <w:p w:rsidR="00000000" w:rsidRDefault="00000000">
      <w:pPr>
        <w:pStyle w:val="Heading3"/>
        <w:spacing w:before="320" w:after="160"/>
        <w:rPr>
          <w:rFonts w:hint="eastAsia"/>
          <w:u w:val="none"/>
        </w:rPr>
      </w:pPr>
      <w:r>
        <w:rPr>
          <w:rFonts w:hint="eastAsia"/>
        </w:rPr>
        <w:t>1998</w:t>
      </w:r>
      <w:r>
        <w:rPr>
          <w:rFonts w:hint="eastAsia"/>
        </w:rPr>
        <w:t>年最低收入家庭货币收入和支出结构</w:t>
      </w:r>
      <w:r>
        <w:rPr>
          <w:rFonts w:hint="eastAsia"/>
        </w:rPr>
        <w:t>(</w:t>
      </w:r>
      <w:r>
        <w:rPr>
          <w:rFonts w:hint="eastAsia"/>
        </w:rPr>
        <w:t>每个家庭成员</w:t>
      </w:r>
      <w:r>
        <w:rPr>
          <w:rFonts w:hint="eastAsia"/>
          <w:u w:val="none"/>
        </w:rPr>
        <w:t>)</w:t>
      </w:r>
    </w:p>
    <w:tbl>
      <w:tblPr>
        <w:tblW w:w="9338"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992"/>
        <w:gridCol w:w="1409"/>
        <w:gridCol w:w="1200"/>
        <w:gridCol w:w="1218"/>
        <w:gridCol w:w="1542"/>
      </w:tblGrid>
      <w:tr w:rsidR="00000000">
        <w:tblPrEx>
          <w:tblCellMar>
            <w:top w:w="0" w:type="dxa"/>
            <w:bottom w:w="0" w:type="dxa"/>
          </w:tblCellMar>
        </w:tblPrEx>
        <w:trPr>
          <w:cantSplit/>
          <w:trHeight w:val="150"/>
          <w:tblHeader/>
        </w:trPr>
        <w:tc>
          <w:tcPr>
            <w:tcW w:w="2977" w:type="dxa"/>
            <w:vMerge w:val="restart"/>
          </w:tcPr>
          <w:p w:rsidR="00000000" w:rsidRDefault="00000000">
            <w:pPr>
              <w:pStyle w:val="aa"/>
              <w:spacing w:before="40" w:line="240" w:lineRule="auto"/>
            </w:pPr>
          </w:p>
        </w:tc>
        <w:tc>
          <w:tcPr>
            <w:tcW w:w="992" w:type="dxa"/>
            <w:vMerge w:val="restart"/>
          </w:tcPr>
          <w:p w:rsidR="00000000" w:rsidRDefault="00000000">
            <w:pPr>
              <w:pStyle w:val="aa"/>
              <w:spacing w:before="240" w:line="240" w:lineRule="auto"/>
              <w:jc w:val="center"/>
              <w:rPr>
                <w:rFonts w:hint="eastAsia"/>
              </w:rPr>
            </w:pPr>
            <w:r>
              <w:rPr>
                <w:rFonts w:hint="eastAsia"/>
              </w:rPr>
              <w:t>家</w:t>
            </w:r>
            <w:r>
              <w:rPr>
                <w:rFonts w:hint="eastAsia"/>
              </w:rPr>
              <w:t xml:space="preserve">  </w:t>
            </w:r>
            <w:r>
              <w:rPr>
                <w:rFonts w:hint="eastAsia"/>
              </w:rPr>
              <w:t>庭</w:t>
            </w:r>
          </w:p>
        </w:tc>
        <w:tc>
          <w:tcPr>
            <w:tcW w:w="5369" w:type="dxa"/>
            <w:gridSpan w:val="4"/>
          </w:tcPr>
          <w:p w:rsidR="00000000" w:rsidRDefault="00000000">
            <w:pPr>
              <w:pStyle w:val="aa"/>
              <w:spacing w:before="40" w:line="240" w:lineRule="auto"/>
              <w:jc w:val="center"/>
            </w:pPr>
            <w:r>
              <w:rPr>
                <w:rFonts w:hint="eastAsia"/>
              </w:rPr>
              <w:t>父母双全家庭</w:t>
            </w:r>
          </w:p>
        </w:tc>
      </w:tr>
      <w:tr w:rsidR="00000000">
        <w:tblPrEx>
          <w:tblCellMar>
            <w:top w:w="0" w:type="dxa"/>
            <w:bottom w:w="0" w:type="dxa"/>
          </w:tblCellMar>
        </w:tblPrEx>
        <w:trPr>
          <w:cantSplit/>
          <w:trHeight w:val="150"/>
          <w:tblHeader/>
        </w:trPr>
        <w:tc>
          <w:tcPr>
            <w:tcW w:w="2977" w:type="dxa"/>
            <w:vMerge/>
            <w:tcBorders>
              <w:bottom w:val="single" w:sz="4" w:space="0" w:color="auto"/>
            </w:tcBorders>
          </w:tcPr>
          <w:p w:rsidR="00000000" w:rsidRDefault="00000000">
            <w:pPr>
              <w:pStyle w:val="aa"/>
              <w:spacing w:before="40" w:line="240" w:lineRule="auto"/>
            </w:pPr>
          </w:p>
        </w:tc>
        <w:tc>
          <w:tcPr>
            <w:tcW w:w="992" w:type="dxa"/>
            <w:vMerge/>
            <w:tcBorders>
              <w:bottom w:val="single" w:sz="4" w:space="0" w:color="auto"/>
            </w:tcBorders>
          </w:tcPr>
          <w:p w:rsidR="00000000" w:rsidRDefault="00000000">
            <w:pPr>
              <w:pStyle w:val="aa"/>
              <w:spacing w:before="40" w:line="240" w:lineRule="auto"/>
            </w:pPr>
          </w:p>
        </w:tc>
        <w:tc>
          <w:tcPr>
            <w:tcW w:w="1409" w:type="dxa"/>
            <w:tcBorders>
              <w:bottom w:val="single" w:sz="4" w:space="0" w:color="auto"/>
            </w:tcBorders>
          </w:tcPr>
          <w:p w:rsidR="00000000" w:rsidRDefault="00000000">
            <w:pPr>
              <w:pStyle w:val="aa"/>
              <w:spacing w:before="40" w:line="240" w:lineRule="auto"/>
              <w:jc w:val="center"/>
              <w:rPr>
                <w:rFonts w:hint="eastAsia"/>
              </w:rPr>
            </w:pPr>
            <w:r>
              <w:rPr>
                <w:rFonts w:hint="eastAsia"/>
              </w:rPr>
              <w:t>两个孩子</w:t>
            </w:r>
          </w:p>
        </w:tc>
        <w:tc>
          <w:tcPr>
            <w:tcW w:w="1200" w:type="dxa"/>
            <w:tcBorders>
              <w:bottom w:val="single" w:sz="4" w:space="0" w:color="auto"/>
            </w:tcBorders>
          </w:tcPr>
          <w:p w:rsidR="00000000" w:rsidRDefault="00000000">
            <w:pPr>
              <w:pStyle w:val="aa"/>
              <w:spacing w:before="40" w:line="240" w:lineRule="auto"/>
              <w:jc w:val="center"/>
              <w:rPr>
                <w:rFonts w:hint="eastAsia"/>
              </w:rPr>
            </w:pPr>
            <w:r>
              <w:rPr>
                <w:rFonts w:hint="eastAsia"/>
              </w:rPr>
              <w:t>三个孩子</w:t>
            </w:r>
          </w:p>
        </w:tc>
        <w:tc>
          <w:tcPr>
            <w:tcW w:w="1218" w:type="dxa"/>
            <w:tcBorders>
              <w:bottom w:val="single" w:sz="4" w:space="0" w:color="auto"/>
            </w:tcBorders>
          </w:tcPr>
          <w:p w:rsidR="00000000" w:rsidRDefault="00000000">
            <w:pPr>
              <w:pStyle w:val="aa"/>
              <w:spacing w:before="40" w:line="240" w:lineRule="auto"/>
              <w:jc w:val="center"/>
              <w:rPr>
                <w:rFonts w:hint="eastAsia"/>
              </w:rPr>
            </w:pPr>
            <w:r>
              <w:rPr>
                <w:rFonts w:hint="eastAsia"/>
              </w:rPr>
              <w:t>单身父母</w:t>
            </w:r>
          </w:p>
        </w:tc>
        <w:tc>
          <w:tcPr>
            <w:tcW w:w="1542" w:type="dxa"/>
            <w:tcBorders>
              <w:bottom w:val="single" w:sz="4" w:space="0" w:color="auto"/>
            </w:tcBorders>
          </w:tcPr>
          <w:p w:rsidR="00000000" w:rsidRDefault="00000000">
            <w:pPr>
              <w:pStyle w:val="aa"/>
              <w:spacing w:before="40" w:line="240" w:lineRule="auto"/>
              <w:jc w:val="center"/>
              <w:rPr>
                <w:rFonts w:hint="eastAsia"/>
              </w:rPr>
            </w:pPr>
            <w:r>
              <w:rPr>
                <w:rFonts w:hint="eastAsia"/>
              </w:rPr>
              <w:t>养恤金领取者</w:t>
            </w:r>
          </w:p>
        </w:tc>
      </w:tr>
      <w:tr w:rsidR="00000000">
        <w:tblPrEx>
          <w:tblCellMar>
            <w:top w:w="0" w:type="dxa"/>
            <w:bottom w:w="0" w:type="dxa"/>
          </w:tblCellMar>
        </w:tblPrEx>
        <w:tc>
          <w:tcPr>
            <w:tcW w:w="2977" w:type="dxa"/>
            <w:tcBorders>
              <w:top w:val="single" w:sz="4" w:space="0" w:color="auto"/>
              <w:left w:val="single" w:sz="4" w:space="0" w:color="auto"/>
              <w:bottom w:val="nil"/>
              <w:right w:val="single" w:sz="4" w:space="0" w:color="auto"/>
            </w:tcBorders>
          </w:tcPr>
          <w:p w:rsidR="00000000" w:rsidRDefault="00000000">
            <w:pPr>
              <w:pStyle w:val="aa"/>
              <w:spacing w:before="40" w:line="240" w:lineRule="auto"/>
              <w:ind w:left="208" w:right="170" w:hanging="208"/>
              <w:rPr>
                <w:rFonts w:hint="eastAsia"/>
              </w:rPr>
            </w:pPr>
            <w:r>
              <w:rPr>
                <w:rFonts w:hint="eastAsia"/>
              </w:rPr>
              <w:t>货币收入总数</w:t>
            </w:r>
            <w:r>
              <w:rPr>
                <w:rFonts w:hint="eastAsia"/>
              </w:rPr>
              <w:t>,</w:t>
            </w:r>
            <w:r>
              <w:rPr>
                <w:rFonts w:hint="eastAsia"/>
              </w:rPr>
              <w:t>克朗</w:t>
            </w:r>
            <w:r>
              <w:t>,</w:t>
            </w:r>
            <w:r>
              <w:rPr>
                <w:rFonts w:hint="eastAsia"/>
              </w:rPr>
              <w:t>其中包括下列各百分比</w:t>
            </w:r>
          </w:p>
        </w:tc>
        <w:tc>
          <w:tcPr>
            <w:tcW w:w="992" w:type="dxa"/>
            <w:tcBorders>
              <w:top w:val="single" w:sz="4" w:space="0" w:color="auto"/>
              <w:left w:val="single" w:sz="4" w:space="0" w:color="auto"/>
              <w:bottom w:val="nil"/>
              <w:right w:val="single" w:sz="4" w:space="0" w:color="auto"/>
            </w:tcBorders>
          </w:tcPr>
          <w:p w:rsidR="00000000" w:rsidRDefault="00000000">
            <w:pPr>
              <w:pStyle w:val="aa"/>
              <w:spacing w:before="40" w:line="240" w:lineRule="auto"/>
              <w:ind w:right="170"/>
              <w:jc w:val="right"/>
            </w:pPr>
            <w:r>
              <w:t>40,168</w:t>
            </w:r>
          </w:p>
        </w:tc>
        <w:tc>
          <w:tcPr>
            <w:tcW w:w="1409" w:type="dxa"/>
            <w:tcBorders>
              <w:top w:val="single" w:sz="4" w:space="0" w:color="auto"/>
              <w:left w:val="single" w:sz="4" w:space="0" w:color="auto"/>
              <w:bottom w:val="nil"/>
              <w:right w:val="single" w:sz="4" w:space="0" w:color="auto"/>
            </w:tcBorders>
          </w:tcPr>
          <w:p w:rsidR="00000000" w:rsidRDefault="00000000">
            <w:pPr>
              <w:pStyle w:val="aa"/>
              <w:spacing w:before="40" w:line="240" w:lineRule="auto"/>
              <w:ind w:right="170"/>
              <w:jc w:val="right"/>
            </w:pPr>
            <w:r>
              <w:t>40,448</w:t>
            </w:r>
          </w:p>
        </w:tc>
        <w:tc>
          <w:tcPr>
            <w:tcW w:w="1200" w:type="dxa"/>
            <w:tcBorders>
              <w:top w:val="single" w:sz="4" w:space="0" w:color="auto"/>
              <w:left w:val="single" w:sz="4" w:space="0" w:color="auto"/>
              <w:bottom w:val="nil"/>
              <w:right w:val="single" w:sz="4" w:space="0" w:color="auto"/>
            </w:tcBorders>
          </w:tcPr>
          <w:p w:rsidR="00000000" w:rsidRDefault="00000000">
            <w:pPr>
              <w:pStyle w:val="aa"/>
              <w:spacing w:before="40" w:line="240" w:lineRule="auto"/>
              <w:ind w:right="170"/>
              <w:jc w:val="right"/>
            </w:pPr>
            <w:r>
              <w:t>38,317</w:t>
            </w:r>
          </w:p>
        </w:tc>
        <w:tc>
          <w:tcPr>
            <w:tcW w:w="1218" w:type="dxa"/>
            <w:tcBorders>
              <w:top w:val="single" w:sz="4" w:space="0" w:color="auto"/>
              <w:left w:val="single" w:sz="4" w:space="0" w:color="auto"/>
              <w:bottom w:val="nil"/>
              <w:right w:val="single" w:sz="4" w:space="0" w:color="auto"/>
            </w:tcBorders>
          </w:tcPr>
          <w:p w:rsidR="00000000" w:rsidRDefault="00000000">
            <w:pPr>
              <w:pStyle w:val="aa"/>
              <w:spacing w:before="40" w:line="240" w:lineRule="auto"/>
              <w:ind w:right="170"/>
              <w:jc w:val="right"/>
            </w:pPr>
            <w:r>
              <w:t>39,599</w:t>
            </w:r>
          </w:p>
        </w:tc>
        <w:tc>
          <w:tcPr>
            <w:tcW w:w="1542" w:type="dxa"/>
            <w:tcBorders>
              <w:top w:val="single" w:sz="4" w:space="0" w:color="auto"/>
              <w:left w:val="single" w:sz="4" w:space="0" w:color="auto"/>
              <w:bottom w:val="nil"/>
              <w:right w:val="single" w:sz="4" w:space="0" w:color="auto"/>
            </w:tcBorders>
          </w:tcPr>
          <w:p w:rsidR="00000000" w:rsidRDefault="00000000">
            <w:pPr>
              <w:pStyle w:val="aa"/>
              <w:tabs>
                <w:tab w:val="left" w:pos="1442"/>
              </w:tabs>
              <w:spacing w:before="40" w:line="240" w:lineRule="auto"/>
              <w:ind w:right="380"/>
              <w:jc w:val="right"/>
            </w:pPr>
            <w:r>
              <w:t>52,058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就</w:t>
            </w:r>
            <w:r>
              <w:t xml:space="preserve">  </w:t>
            </w:r>
            <w:r>
              <w:rPr>
                <w:rFonts w:hint="eastAsia"/>
              </w:rPr>
              <w:t>业</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59.7</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71.7</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69.1</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38.9</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4.5</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社会收入</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33.0</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25.6</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29.0</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45.1</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94.8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其他收入</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7.3</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2.7</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1.9</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16.0</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0.7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存款提取</w:t>
            </w:r>
            <w:r>
              <w:rPr>
                <w:rFonts w:hint="eastAsia"/>
              </w:rPr>
              <w:t>(</w:t>
            </w:r>
            <w:r>
              <w:rPr>
                <w:rFonts w:hint="eastAsia"/>
              </w:rPr>
              <w:t>克朗</w:t>
            </w:r>
            <w:r>
              <w:rPr>
                <w:rFonts w:hint="eastAsia"/>
              </w:rPr>
              <w:t>)</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9,088</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8,885</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8,184</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8,980</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4,059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left="208" w:right="170" w:hanging="210"/>
              <w:rPr>
                <w:rFonts w:hint="eastAsia"/>
              </w:rPr>
            </w:pPr>
            <w:r>
              <w:rPr>
                <w:rFonts w:hint="eastAsia"/>
              </w:rPr>
              <w:t>总货币支出其中包括下列各百分比</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41,554</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42,361</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39,432</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40,909</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52,350</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食</w:t>
            </w:r>
            <w:r>
              <w:t xml:space="preserve">  </w:t>
            </w:r>
            <w:r>
              <w:rPr>
                <w:rFonts w:hint="eastAsia"/>
              </w:rPr>
              <w:t>物</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30.2</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29.4</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29.7</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31.8</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39.1</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酒和烟</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2.7</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3.3</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2.5</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1.9</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1.9</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衣服和鞋</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6.2</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6.2</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6.5</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6.4</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3.8</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住</w:t>
            </w:r>
            <w:r>
              <w:t xml:space="preserve">  </w:t>
            </w:r>
            <w:r>
              <w:rPr>
                <w:rFonts w:hint="eastAsia"/>
              </w:rPr>
              <w:t>房</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19.0</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16.7</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16.0</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24.8</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28.7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居家开支</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6.0</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6.2</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6.1</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5.3</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6.2</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个人和医疗</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5.3</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5.5</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4.6</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5.8</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5.1</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交通和通讯</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7.5</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8.1</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7.3</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5.5</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3.6</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文化、教育和体育</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7.9</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7.0</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9.9</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8.0</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4.7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pStyle w:val="aa"/>
              <w:spacing w:line="240" w:lineRule="auto"/>
              <w:ind w:right="170"/>
              <w:rPr>
                <w:rFonts w:hint="eastAsia"/>
              </w:rPr>
            </w:pPr>
            <w:r>
              <w:rPr>
                <w:rFonts w:hint="eastAsia"/>
              </w:rPr>
              <w:t>税、保险、付款</w:t>
            </w:r>
          </w:p>
        </w:tc>
        <w:tc>
          <w:tcPr>
            <w:tcW w:w="992"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15.2</w:t>
            </w:r>
          </w:p>
        </w:tc>
        <w:tc>
          <w:tcPr>
            <w:tcW w:w="1409"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17.6</w:t>
            </w:r>
          </w:p>
        </w:tc>
        <w:tc>
          <w:tcPr>
            <w:tcW w:w="1200"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17.4</w:t>
            </w:r>
          </w:p>
        </w:tc>
        <w:tc>
          <w:tcPr>
            <w:tcW w:w="1218" w:type="dxa"/>
            <w:tcBorders>
              <w:top w:val="nil"/>
              <w:left w:val="single" w:sz="4" w:space="0" w:color="auto"/>
              <w:bottom w:val="nil"/>
              <w:right w:val="single" w:sz="4" w:space="0" w:color="auto"/>
            </w:tcBorders>
          </w:tcPr>
          <w:p w:rsidR="00000000" w:rsidRDefault="00000000">
            <w:pPr>
              <w:pStyle w:val="aa"/>
              <w:spacing w:line="240" w:lineRule="auto"/>
              <w:ind w:right="170"/>
              <w:jc w:val="right"/>
            </w:pPr>
            <w:r>
              <w:t>10.5</w:t>
            </w:r>
          </w:p>
        </w:tc>
        <w:tc>
          <w:tcPr>
            <w:tcW w:w="1542" w:type="dxa"/>
            <w:tcBorders>
              <w:top w:val="nil"/>
              <w:left w:val="single" w:sz="4" w:space="0" w:color="auto"/>
              <w:bottom w:val="nil"/>
              <w:right w:val="single" w:sz="4" w:space="0" w:color="auto"/>
            </w:tcBorders>
          </w:tcPr>
          <w:p w:rsidR="00000000" w:rsidRDefault="00000000">
            <w:pPr>
              <w:pStyle w:val="aa"/>
              <w:tabs>
                <w:tab w:val="left" w:pos="1442"/>
              </w:tabs>
              <w:spacing w:line="240" w:lineRule="auto"/>
              <w:ind w:right="380"/>
              <w:jc w:val="right"/>
            </w:pPr>
            <w:r>
              <w:t>6.9</w:t>
            </w:r>
          </w:p>
        </w:tc>
      </w:tr>
      <w:tr w:rsidR="00000000">
        <w:tblPrEx>
          <w:tblCellMar>
            <w:top w:w="0" w:type="dxa"/>
            <w:bottom w:w="0" w:type="dxa"/>
          </w:tblCellMar>
        </w:tblPrEx>
        <w:tc>
          <w:tcPr>
            <w:tcW w:w="2977" w:type="dxa"/>
            <w:tcBorders>
              <w:top w:val="nil"/>
              <w:left w:val="single" w:sz="4" w:space="0" w:color="auto"/>
              <w:bottom w:val="single" w:sz="4" w:space="0" w:color="auto"/>
              <w:right w:val="single" w:sz="4" w:space="0" w:color="auto"/>
            </w:tcBorders>
          </w:tcPr>
          <w:p w:rsidR="00000000" w:rsidRDefault="00000000">
            <w:pPr>
              <w:pStyle w:val="aa"/>
              <w:spacing w:line="240" w:lineRule="auto"/>
              <w:ind w:right="170"/>
              <w:rPr>
                <w:rFonts w:hint="eastAsia"/>
              </w:rPr>
            </w:pPr>
            <w:r>
              <w:rPr>
                <w:rFonts w:hint="eastAsia"/>
              </w:rPr>
              <w:t>存款，克朗</w:t>
            </w:r>
          </w:p>
        </w:tc>
        <w:tc>
          <w:tcPr>
            <w:tcW w:w="992" w:type="dxa"/>
            <w:tcBorders>
              <w:top w:val="nil"/>
              <w:left w:val="single" w:sz="4" w:space="0" w:color="auto"/>
              <w:bottom w:val="single" w:sz="4" w:space="0" w:color="auto"/>
              <w:right w:val="single" w:sz="4" w:space="0" w:color="auto"/>
            </w:tcBorders>
          </w:tcPr>
          <w:p w:rsidR="00000000" w:rsidRDefault="00000000">
            <w:pPr>
              <w:pStyle w:val="aa"/>
              <w:spacing w:line="240" w:lineRule="auto"/>
              <w:ind w:right="170"/>
              <w:jc w:val="right"/>
            </w:pPr>
            <w:r>
              <w:t>7,644</w:t>
            </w:r>
          </w:p>
        </w:tc>
        <w:tc>
          <w:tcPr>
            <w:tcW w:w="1409" w:type="dxa"/>
            <w:tcBorders>
              <w:top w:val="nil"/>
              <w:left w:val="single" w:sz="4" w:space="0" w:color="auto"/>
              <w:bottom w:val="single" w:sz="4" w:space="0" w:color="auto"/>
              <w:right w:val="single" w:sz="4" w:space="0" w:color="auto"/>
            </w:tcBorders>
          </w:tcPr>
          <w:p w:rsidR="00000000" w:rsidRDefault="00000000">
            <w:pPr>
              <w:pStyle w:val="aa"/>
              <w:spacing w:line="240" w:lineRule="auto"/>
              <w:ind w:right="170"/>
              <w:jc w:val="right"/>
            </w:pPr>
            <w:r>
              <w:t>6,841</w:t>
            </w:r>
          </w:p>
        </w:tc>
        <w:tc>
          <w:tcPr>
            <w:tcW w:w="1200" w:type="dxa"/>
            <w:tcBorders>
              <w:top w:val="nil"/>
              <w:left w:val="single" w:sz="4" w:space="0" w:color="auto"/>
              <w:bottom w:val="single" w:sz="4" w:space="0" w:color="auto"/>
              <w:right w:val="single" w:sz="4" w:space="0" w:color="auto"/>
            </w:tcBorders>
          </w:tcPr>
          <w:p w:rsidR="00000000" w:rsidRDefault="00000000">
            <w:pPr>
              <w:pStyle w:val="aa"/>
              <w:spacing w:line="240" w:lineRule="auto"/>
              <w:ind w:right="170"/>
              <w:jc w:val="right"/>
            </w:pPr>
            <w:r>
              <w:t>6,866</w:t>
            </w:r>
          </w:p>
        </w:tc>
        <w:tc>
          <w:tcPr>
            <w:tcW w:w="1218" w:type="dxa"/>
            <w:tcBorders>
              <w:top w:val="nil"/>
              <w:left w:val="single" w:sz="4" w:space="0" w:color="auto"/>
              <w:bottom w:val="single" w:sz="4" w:space="0" w:color="auto"/>
              <w:right w:val="single" w:sz="4" w:space="0" w:color="auto"/>
            </w:tcBorders>
          </w:tcPr>
          <w:p w:rsidR="00000000" w:rsidRDefault="00000000">
            <w:pPr>
              <w:pStyle w:val="aa"/>
              <w:spacing w:line="240" w:lineRule="auto"/>
              <w:ind w:right="170"/>
              <w:jc w:val="right"/>
            </w:pPr>
            <w:r>
              <w:t>7,731</w:t>
            </w:r>
          </w:p>
        </w:tc>
        <w:tc>
          <w:tcPr>
            <w:tcW w:w="1542" w:type="dxa"/>
            <w:tcBorders>
              <w:top w:val="nil"/>
              <w:left w:val="single" w:sz="4" w:space="0" w:color="auto"/>
              <w:bottom w:val="single" w:sz="4" w:space="0" w:color="auto"/>
              <w:right w:val="single" w:sz="4" w:space="0" w:color="auto"/>
            </w:tcBorders>
          </w:tcPr>
          <w:p w:rsidR="00000000" w:rsidRDefault="00000000">
            <w:pPr>
              <w:pStyle w:val="aa"/>
              <w:tabs>
                <w:tab w:val="left" w:pos="1442"/>
              </w:tabs>
              <w:spacing w:line="240" w:lineRule="auto"/>
              <w:ind w:right="380"/>
              <w:jc w:val="right"/>
            </w:pPr>
            <w:r>
              <w:t>3,434</w:t>
            </w:r>
          </w:p>
        </w:tc>
      </w:tr>
    </w:tbl>
    <w:p w:rsidR="00000000" w:rsidRDefault="00000000">
      <w:pPr>
        <w:spacing w:before="240" w:after="240"/>
        <w:rPr>
          <w:rFonts w:eastAsia="KaiTi_GB2312" w:hint="eastAsia"/>
          <w:spacing w:val="0"/>
          <w:sz w:val="21"/>
        </w:rPr>
      </w:pPr>
      <w:r>
        <w:rPr>
          <w:rFonts w:eastAsia="KaiTi_GB2312"/>
          <w:spacing w:val="0"/>
          <w:sz w:val="21"/>
        </w:rPr>
        <w:tab/>
      </w:r>
      <w:r>
        <w:rPr>
          <w:rFonts w:eastAsia="KaiTi_GB2312" w:hint="eastAsia"/>
          <w:spacing w:val="0"/>
          <w:sz w:val="21"/>
          <w:u w:val="single"/>
        </w:rPr>
        <w:t>资料来源</w:t>
      </w:r>
      <w:r>
        <w:rPr>
          <w:rFonts w:eastAsia="KaiTi_GB2312" w:hint="eastAsia"/>
          <w:spacing w:val="0"/>
          <w:sz w:val="21"/>
        </w:rPr>
        <w:t>：捷克共和国</w:t>
      </w:r>
      <w:r>
        <w:rPr>
          <w:rFonts w:eastAsia="KaiTi_GB2312" w:hint="eastAsia"/>
          <w:spacing w:val="0"/>
          <w:sz w:val="21"/>
        </w:rPr>
        <w:t>1999</w:t>
      </w:r>
      <w:r>
        <w:rPr>
          <w:rFonts w:eastAsia="KaiTi_GB2312" w:hint="eastAsia"/>
          <w:spacing w:val="0"/>
          <w:sz w:val="21"/>
        </w:rPr>
        <w:t>年统计年鉴。</w:t>
      </w:r>
    </w:p>
    <w:p w:rsidR="00000000" w:rsidRDefault="00000000">
      <w:pPr>
        <w:spacing w:after="320"/>
        <w:rPr>
          <w:rFonts w:hint="eastAsia"/>
        </w:rPr>
      </w:pPr>
      <w:r>
        <w:rPr>
          <w:rFonts w:hint="eastAsia"/>
        </w:rPr>
        <w:tab/>
        <w:t xml:space="preserve">409.  </w:t>
      </w:r>
      <w:r>
        <w:rPr>
          <w:rFonts w:hint="eastAsia"/>
        </w:rPr>
        <w:t>生活水准也可用家庭拥有长期消费品数目来衡量。</w:t>
      </w:r>
    </w:p>
    <w:p w:rsidR="00000000" w:rsidRDefault="00000000">
      <w:pPr>
        <w:pStyle w:val="Heading3"/>
        <w:spacing w:after="160"/>
        <w:rPr>
          <w:rFonts w:hint="eastAsia"/>
        </w:rPr>
      </w:pPr>
      <w:r>
        <w:rPr>
          <w:rFonts w:hint="eastAsia"/>
        </w:rPr>
        <w:t>家庭耐用消费品</w:t>
      </w:r>
    </w:p>
    <w:tbl>
      <w:tblPr>
        <w:tblW w:w="9360" w:type="dxa"/>
        <w:tblInd w:w="19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240"/>
        <w:gridCol w:w="1320"/>
        <w:gridCol w:w="1320"/>
        <w:gridCol w:w="1080"/>
        <w:gridCol w:w="1200"/>
        <w:gridCol w:w="1200"/>
      </w:tblGrid>
      <w:tr w:rsidR="00000000">
        <w:tblPrEx>
          <w:tblCellMar>
            <w:top w:w="0" w:type="dxa"/>
            <w:bottom w:w="0" w:type="dxa"/>
          </w:tblCellMar>
        </w:tblPrEx>
        <w:trPr>
          <w:cantSplit/>
          <w:trHeight w:val="150"/>
        </w:trPr>
        <w:tc>
          <w:tcPr>
            <w:tcW w:w="3240" w:type="dxa"/>
            <w:vMerge w:val="restart"/>
            <w:tcBorders>
              <w:top w:val="single" w:sz="4" w:space="0" w:color="auto"/>
              <w:left w:val="single" w:sz="4" w:space="0" w:color="auto"/>
              <w:bottom w:val="nil"/>
              <w:right w:val="single" w:sz="4" w:space="0" w:color="auto"/>
            </w:tcBorders>
          </w:tcPr>
          <w:p w:rsidR="00000000" w:rsidRDefault="00000000">
            <w:pPr>
              <w:pStyle w:val="aa"/>
              <w:spacing w:before="40" w:line="336" w:lineRule="auto"/>
            </w:pPr>
          </w:p>
        </w:tc>
        <w:tc>
          <w:tcPr>
            <w:tcW w:w="6120" w:type="dxa"/>
            <w:gridSpan w:val="5"/>
            <w:tcBorders>
              <w:top w:val="single" w:sz="4" w:space="0" w:color="auto"/>
              <w:left w:val="single" w:sz="4" w:space="0" w:color="auto"/>
              <w:bottom w:val="single" w:sz="4" w:space="0" w:color="auto"/>
              <w:right w:val="single" w:sz="4" w:space="0" w:color="auto"/>
            </w:tcBorders>
          </w:tcPr>
          <w:p w:rsidR="00000000" w:rsidRDefault="00000000">
            <w:pPr>
              <w:pStyle w:val="aa"/>
              <w:spacing w:before="40" w:line="288" w:lineRule="auto"/>
              <w:jc w:val="center"/>
              <w:rPr>
                <w:rFonts w:hint="eastAsia"/>
              </w:rPr>
            </w:pPr>
            <w:r>
              <w:rPr>
                <w:rFonts w:hint="eastAsia"/>
              </w:rPr>
              <w:t>每百个家庭耐用品数目</w:t>
            </w:r>
          </w:p>
        </w:tc>
      </w:tr>
      <w:tr w:rsidR="00000000">
        <w:tblPrEx>
          <w:tblCellMar>
            <w:top w:w="0" w:type="dxa"/>
            <w:bottom w:w="0" w:type="dxa"/>
          </w:tblCellMar>
        </w:tblPrEx>
        <w:trPr>
          <w:cantSplit/>
          <w:trHeight w:val="150"/>
        </w:trPr>
        <w:tc>
          <w:tcPr>
            <w:tcW w:w="3240" w:type="dxa"/>
            <w:vMerge/>
            <w:tcBorders>
              <w:top w:val="nil"/>
              <w:left w:val="single" w:sz="4" w:space="0" w:color="auto"/>
              <w:bottom w:val="single" w:sz="4" w:space="0" w:color="auto"/>
              <w:right w:val="single" w:sz="4" w:space="0" w:color="auto"/>
            </w:tcBorders>
          </w:tcPr>
          <w:p w:rsidR="00000000" w:rsidRDefault="00000000">
            <w:pPr>
              <w:pStyle w:val="aa"/>
              <w:spacing w:before="40" w:line="336" w:lineRule="auto"/>
            </w:pP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line="288" w:lineRule="auto"/>
              <w:jc w:val="center"/>
              <w:rPr>
                <w:rFonts w:hint="eastAsia"/>
              </w:rPr>
            </w:pPr>
            <w:r>
              <w:t>1990</w:t>
            </w:r>
            <w:r>
              <w:rPr>
                <w:rFonts w:hint="eastAsia"/>
              </w:rPr>
              <w:t>年</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line="288" w:lineRule="auto"/>
              <w:jc w:val="center"/>
              <w:rPr>
                <w:rFonts w:hint="eastAsia"/>
              </w:rPr>
            </w:pPr>
            <w:r>
              <w:t>1994</w:t>
            </w:r>
            <w:r>
              <w:rPr>
                <w:rFonts w:hint="eastAsia"/>
              </w:rPr>
              <w:t>年</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line="288" w:lineRule="auto"/>
              <w:jc w:val="center"/>
              <w:rPr>
                <w:rFonts w:hint="eastAsia"/>
              </w:rPr>
            </w:pPr>
            <w:r>
              <w:t>1995</w:t>
            </w:r>
            <w:r>
              <w:rPr>
                <w:rFonts w:hint="eastAsia"/>
              </w:rPr>
              <w:t>年</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line="288" w:lineRule="auto"/>
              <w:jc w:val="center"/>
              <w:rPr>
                <w:rFonts w:hint="eastAsia"/>
              </w:rPr>
            </w:pPr>
            <w:r>
              <w:t>1996</w:t>
            </w:r>
            <w:r>
              <w:rPr>
                <w:rFonts w:hint="eastAsia"/>
              </w:rPr>
              <w:t>年</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40" w:line="288" w:lineRule="auto"/>
              <w:jc w:val="center"/>
              <w:rPr>
                <w:rFonts w:hint="eastAsia"/>
              </w:rPr>
            </w:pPr>
            <w:r>
              <w:t>1997</w:t>
            </w:r>
            <w:r>
              <w:rPr>
                <w:rFonts w:hint="eastAsia"/>
              </w:rPr>
              <w:t>年</w:t>
            </w:r>
          </w:p>
        </w:tc>
      </w:tr>
      <w:tr w:rsidR="00000000">
        <w:tblPrEx>
          <w:tblCellMar>
            <w:top w:w="0" w:type="dxa"/>
            <w:bottom w:w="0" w:type="dxa"/>
          </w:tblCellMar>
        </w:tblPrEx>
        <w:tc>
          <w:tcPr>
            <w:tcW w:w="3240" w:type="dxa"/>
            <w:tcBorders>
              <w:top w:val="single" w:sz="4" w:space="0" w:color="auto"/>
              <w:left w:val="single" w:sz="4" w:space="0" w:color="auto"/>
              <w:bottom w:val="nil"/>
              <w:right w:val="single" w:sz="4" w:space="0" w:color="auto"/>
            </w:tcBorders>
          </w:tcPr>
          <w:p w:rsidR="00000000" w:rsidRDefault="00000000">
            <w:pPr>
              <w:pStyle w:val="aa"/>
              <w:spacing w:before="40" w:line="336" w:lineRule="auto"/>
              <w:rPr>
                <w:rFonts w:hint="eastAsia"/>
              </w:rPr>
            </w:pPr>
            <w:r>
              <w:rPr>
                <w:rFonts w:hint="eastAsia"/>
              </w:rPr>
              <w:t>电动洗衣机</w:t>
            </w:r>
            <w:r>
              <w:rPr>
                <w:rFonts w:hint="eastAsia"/>
              </w:rPr>
              <w:t>(</w:t>
            </w:r>
            <w:r>
              <w:rPr>
                <w:rFonts w:hint="eastAsia"/>
              </w:rPr>
              <w:t>包括自动和脱水</w:t>
            </w:r>
            <w:r>
              <w:rPr>
                <w:rFonts w:hint="eastAsia"/>
              </w:rPr>
              <w:t>)</w:t>
            </w:r>
          </w:p>
        </w:tc>
        <w:tc>
          <w:tcPr>
            <w:tcW w:w="1320" w:type="dxa"/>
            <w:tcBorders>
              <w:top w:val="single" w:sz="4" w:space="0" w:color="auto"/>
              <w:left w:val="single" w:sz="4" w:space="0" w:color="auto"/>
              <w:bottom w:val="nil"/>
              <w:right w:val="single" w:sz="4" w:space="0" w:color="auto"/>
            </w:tcBorders>
          </w:tcPr>
          <w:p w:rsidR="00000000" w:rsidRDefault="00000000">
            <w:pPr>
              <w:pStyle w:val="aa"/>
              <w:spacing w:before="40" w:line="336" w:lineRule="auto"/>
              <w:ind w:right="397"/>
              <w:jc w:val="right"/>
            </w:pPr>
            <w:r>
              <w:t>156</w:t>
            </w:r>
          </w:p>
        </w:tc>
        <w:tc>
          <w:tcPr>
            <w:tcW w:w="1320" w:type="dxa"/>
            <w:tcBorders>
              <w:top w:val="single" w:sz="4" w:space="0" w:color="auto"/>
              <w:left w:val="single" w:sz="4" w:space="0" w:color="auto"/>
              <w:bottom w:val="nil"/>
              <w:right w:val="single" w:sz="4" w:space="0" w:color="auto"/>
            </w:tcBorders>
          </w:tcPr>
          <w:p w:rsidR="00000000" w:rsidRDefault="00000000">
            <w:pPr>
              <w:pStyle w:val="aa"/>
              <w:spacing w:before="40" w:line="336" w:lineRule="auto"/>
              <w:ind w:right="397"/>
              <w:jc w:val="right"/>
            </w:pPr>
            <w:r>
              <w:t>159</w:t>
            </w:r>
          </w:p>
        </w:tc>
        <w:tc>
          <w:tcPr>
            <w:tcW w:w="1080" w:type="dxa"/>
            <w:tcBorders>
              <w:top w:val="single" w:sz="4" w:space="0" w:color="auto"/>
              <w:left w:val="single" w:sz="4" w:space="0" w:color="auto"/>
              <w:bottom w:val="nil"/>
              <w:right w:val="single" w:sz="4" w:space="0" w:color="auto"/>
            </w:tcBorders>
          </w:tcPr>
          <w:p w:rsidR="00000000" w:rsidRDefault="00000000">
            <w:pPr>
              <w:pStyle w:val="aa"/>
              <w:spacing w:before="40" w:line="336" w:lineRule="auto"/>
              <w:ind w:right="397"/>
              <w:jc w:val="right"/>
            </w:pPr>
            <w:r>
              <w:t>159</w:t>
            </w:r>
          </w:p>
        </w:tc>
        <w:tc>
          <w:tcPr>
            <w:tcW w:w="1200" w:type="dxa"/>
            <w:tcBorders>
              <w:top w:val="single" w:sz="4" w:space="0" w:color="auto"/>
              <w:left w:val="single" w:sz="4" w:space="0" w:color="auto"/>
              <w:bottom w:val="nil"/>
              <w:right w:val="single" w:sz="4" w:space="0" w:color="auto"/>
            </w:tcBorders>
          </w:tcPr>
          <w:p w:rsidR="00000000" w:rsidRDefault="00000000">
            <w:pPr>
              <w:pStyle w:val="aa"/>
              <w:spacing w:before="40" w:line="336" w:lineRule="auto"/>
              <w:ind w:right="397"/>
              <w:jc w:val="right"/>
            </w:pPr>
            <w:r>
              <w:t>158</w:t>
            </w:r>
          </w:p>
        </w:tc>
        <w:tc>
          <w:tcPr>
            <w:tcW w:w="1200" w:type="dxa"/>
            <w:tcBorders>
              <w:top w:val="single" w:sz="4" w:space="0" w:color="auto"/>
              <w:left w:val="single" w:sz="4" w:space="0" w:color="auto"/>
              <w:bottom w:val="nil"/>
              <w:right w:val="single" w:sz="4" w:space="0" w:color="auto"/>
            </w:tcBorders>
          </w:tcPr>
          <w:p w:rsidR="00000000" w:rsidRDefault="00000000">
            <w:pPr>
              <w:pStyle w:val="aa"/>
              <w:spacing w:before="40" w:line="336" w:lineRule="auto"/>
              <w:ind w:right="397"/>
              <w:jc w:val="right"/>
            </w:pPr>
            <w:r>
              <w:t>159</w:t>
            </w:r>
          </w:p>
        </w:tc>
      </w:tr>
      <w:tr w:rsidR="00000000">
        <w:tblPrEx>
          <w:tblCellMar>
            <w:top w:w="0" w:type="dxa"/>
            <w:bottom w:w="0" w:type="dxa"/>
          </w:tblCellMar>
        </w:tblPrEx>
        <w:tc>
          <w:tcPr>
            <w:tcW w:w="3240" w:type="dxa"/>
            <w:tcBorders>
              <w:top w:val="nil"/>
              <w:left w:val="single" w:sz="4" w:space="0" w:color="auto"/>
              <w:bottom w:val="nil"/>
              <w:right w:val="single" w:sz="4" w:space="0" w:color="auto"/>
            </w:tcBorders>
          </w:tcPr>
          <w:p w:rsidR="00000000" w:rsidRDefault="00000000">
            <w:pPr>
              <w:pStyle w:val="aa"/>
              <w:spacing w:before="40" w:line="336" w:lineRule="auto"/>
              <w:rPr>
                <w:rFonts w:hint="eastAsia"/>
              </w:rPr>
            </w:pPr>
            <w:r>
              <w:rPr>
                <w:rFonts w:hint="eastAsia"/>
              </w:rPr>
              <w:t>冰箱</w:t>
            </w:r>
            <w:r>
              <w:rPr>
                <w:rFonts w:hint="eastAsia"/>
              </w:rPr>
              <w:t>(</w:t>
            </w:r>
            <w:r>
              <w:rPr>
                <w:rFonts w:hint="eastAsia"/>
              </w:rPr>
              <w:t>包括冰冻</w:t>
            </w:r>
            <w:r>
              <w:rPr>
                <w:rFonts w:hint="eastAsia"/>
              </w:rPr>
              <w:t>)</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118</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129</w:t>
            </w:r>
          </w:p>
        </w:tc>
        <w:tc>
          <w:tcPr>
            <w:tcW w:w="108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134</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137</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141</w:t>
            </w:r>
          </w:p>
        </w:tc>
      </w:tr>
      <w:tr w:rsidR="00000000">
        <w:tblPrEx>
          <w:tblCellMar>
            <w:top w:w="0" w:type="dxa"/>
            <w:bottom w:w="0" w:type="dxa"/>
          </w:tblCellMar>
        </w:tblPrEx>
        <w:tc>
          <w:tcPr>
            <w:tcW w:w="3240" w:type="dxa"/>
            <w:tcBorders>
              <w:top w:val="nil"/>
              <w:left w:val="single" w:sz="4" w:space="0" w:color="auto"/>
              <w:bottom w:val="nil"/>
              <w:right w:val="single" w:sz="4" w:space="0" w:color="auto"/>
            </w:tcBorders>
          </w:tcPr>
          <w:p w:rsidR="00000000" w:rsidRDefault="00000000">
            <w:pPr>
              <w:pStyle w:val="aa"/>
              <w:spacing w:before="40" w:line="336" w:lineRule="auto"/>
              <w:rPr>
                <w:rFonts w:hint="eastAsia"/>
              </w:rPr>
            </w:pPr>
            <w:r>
              <w:rPr>
                <w:rFonts w:hint="eastAsia"/>
              </w:rPr>
              <w:t>收音机</w:t>
            </w:r>
            <w:r>
              <w:rPr>
                <w:rFonts w:hint="eastAsia"/>
              </w:rPr>
              <w:t>(</w:t>
            </w:r>
            <w:r>
              <w:rPr>
                <w:rFonts w:hint="eastAsia"/>
              </w:rPr>
              <w:t>包括汽车收音机</w:t>
            </w:r>
            <w:r>
              <w:rPr>
                <w:rFonts w:hint="eastAsia"/>
              </w:rPr>
              <w:t>)</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203</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210</w:t>
            </w:r>
          </w:p>
        </w:tc>
        <w:tc>
          <w:tcPr>
            <w:tcW w:w="108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214</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216</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217</w:t>
            </w:r>
          </w:p>
        </w:tc>
      </w:tr>
      <w:tr w:rsidR="00000000">
        <w:tblPrEx>
          <w:tblCellMar>
            <w:top w:w="0" w:type="dxa"/>
            <w:bottom w:w="0" w:type="dxa"/>
          </w:tblCellMar>
        </w:tblPrEx>
        <w:tc>
          <w:tcPr>
            <w:tcW w:w="3240" w:type="dxa"/>
            <w:tcBorders>
              <w:top w:val="nil"/>
              <w:left w:val="single" w:sz="4" w:space="0" w:color="auto"/>
              <w:bottom w:val="nil"/>
              <w:right w:val="single" w:sz="4" w:space="0" w:color="auto"/>
            </w:tcBorders>
          </w:tcPr>
          <w:p w:rsidR="00000000" w:rsidRDefault="00000000">
            <w:pPr>
              <w:pStyle w:val="aa"/>
              <w:spacing w:before="40" w:line="336" w:lineRule="auto"/>
              <w:rPr>
                <w:rFonts w:hint="eastAsia"/>
              </w:rPr>
            </w:pPr>
            <w:r>
              <w:rPr>
                <w:rFonts w:hint="eastAsia"/>
              </w:rPr>
              <w:t>电视机</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132</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140</w:t>
            </w:r>
          </w:p>
        </w:tc>
        <w:tc>
          <w:tcPr>
            <w:tcW w:w="108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142</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143</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144</w:t>
            </w:r>
          </w:p>
        </w:tc>
      </w:tr>
      <w:tr w:rsidR="00000000">
        <w:tblPrEx>
          <w:tblCellMar>
            <w:top w:w="0" w:type="dxa"/>
            <w:bottom w:w="0" w:type="dxa"/>
          </w:tblCellMar>
        </w:tblPrEx>
        <w:tc>
          <w:tcPr>
            <w:tcW w:w="3240" w:type="dxa"/>
            <w:tcBorders>
              <w:top w:val="nil"/>
              <w:left w:val="single" w:sz="4" w:space="0" w:color="auto"/>
              <w:bottom w:val="nil"/>
              <w:right w:val="single" w:sz="4" w:space="0" w:color="auto"/>
            </w:tcBorders>
          </w:tcPr>
          <w:p w:rsidR="00000000" w:rsidRDefault="00000000">
            <w:pPr>
              <w:pStyle w:val="aa"/>
              <w:spacing w:before="40" w:line="336" w:lineRule="auto"/>
              <w:rPr>
                <w:rFonts w:hint="eastAsia"/>
              </w:rPr>
            </w:pPr>
            <w:r>
              <w:rPr>
                <w:rFonts w:hint="eastAsia"/>
              </w:rPr>
              <w:t>电</w:t>
            </w:r>
            <w:r>
              <w:t xml:space="preserve">  </w:t>
            </w:r>
            <w:r>
              <w:rPr>
                <w:rFonts w:hint="eastAsia"/>
              </w:rPr>
              <w:t>话</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35</w:t>
            </w:r>
          </w:p>
        </w:tc>
        <w:tc>
          <w:tcPr>
            <w:tcW w:w="108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38</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47</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59</w:t>
            </w:r>
          </w:p>
        </w:tc>
      </w:tr>
      <w:tr w:rsidR="00000000">
        <w:tblPrEx>
          <w:tblCellMar>
            <w:top w:w="0" w:type="dxa"/>
            <w:bottom w:w="0" w:type="dxa"/>
          </w:tblCellMar>
        </w:tblPrEx>
        <w:tc>
          <w:tcPr>
            <w:tcW w:w="3240" w:type="dxa"/>
            <w:tcBorders>
              <w:top w:val="nil"/>
              <w:left w:val="single" w:sz="4" w:space="0" w:color="auto"/>
              <w:bottom w:val="nil"/>
              <w:right w:val="single" w:sz="4" w:space="0" w:color="auto"/>
            </w:tcBorders>
          </w:tcPr>
          <w:p w:rsidR="00000000" w:rsidRDefault="00000000">
            <w:pPr>
              <w:pStyle w:val="aa"/>
              <w:spacing w:before="40" w:line="336" w:lineRule="auto"/>
              <w:rPr>
                <w:rFonts w:hint="eastAsia"/>
              </w:rPr>
            </w:pPr>
            <w:r>
              <w:rPr>
                <w:rFonts w:hint="eastAsia"/>
              </w:rPr>
              <w:t>小客车</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 xml:space="preserve">  62</w:t>
            </w:r>
          </w:p>
        </w:tc>
        <w:tc>
          <w:tcPr>
            <w:tcW w:w="132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64</w:t>
            </w:r>
          </w:p>
        </w:tc>
        <w:tc>
          <w:tcPr>
            <w:tcW w:w="108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65</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67</w:t>
            </w:r>
          </w:p>
        </w:tc>
        <w:tc>
          <w:tcPr>
            <w:tcW w:w="1200" w:type="dxa"/>
            <w:tcBorders>
              <w:top w:val="nil"/>
              <w:left w:val="single" w:sz="4" w:space="0" w:color="auto"/>
              <w:bottom w:val="nil"/>
              <w:right w:val="single" w:sz="4" w:space="0" w:color="auto"/>
            </w:tcBorders>
          </w:tcPr>
          <w:p w:rsidR="00000000" w:rsidRDefault="00000000">
            <w:pPr>
              <w:pStyle w:val="aa"/>
              <w:spacing w:before="40" w:line="336" w:lineRule="auto"/>
              <w:ind w:right="397"/>
              <w:jc w:val="right"/>
            </w:pPr>
            <w:r>
              <w:t>68</w:t>
            </w:r>
          </w:p>
        </w:tc>
      </w:tr>
      <w:tr w:rsidR="00000000">
        <w:tblPrEx>
          <w:tblCellMar>
            <w:top w:w="0" w:type="dxa"/>
            <w:bottom w:w="0" w:type="dxa"/>
          </w:tblCellMar>
        </w:tblPrEx>
        <w:tc>
          <w:tcPr>
            <w:tcW w:w="3240" w:type="dxa"/>
            <w:tcBorders>
              <w:top w:val="nil"/>
              <w:left w:val="single" w:sz="4" w:space="0" w:color="auto"/>
              <w:bottom w:val="single" w:sz="4" w:space="0" w:color="auto"/>
              <w:right w:val="single" w:sz="4" w:space="0" w:color="auto"/>
            </w:tcBorders>
          </w:tcPr>
          <w:p w:rsidR="00000000" w:rsidRDefault="00000000">
            <w:pPr>
              <w:pStyle w:val="aa"/>
              <w:spacing w:before="40" w:line="336" w:lineRule="auto"/>
              <w:rPr>
                <w:rFonts w:hint="eastAsia"/>
              </w:rPr>
            </w:pPr>
            <w:r>
              <w:rPr>
                <w:rFonts w:hint="eastAsia"/>
              </w:rPr>
              <w:t>摩托车</w:t>
            </w:r>
          </w:p>
        </w:tc>
        <w:tc>
          <w:tcPr>
            <w:tcW w:w="1320" w:type="dxa"/>
            <w:tcBorders>
              <w:top w:val="nil"/>
              <w:left w:val="single" w:sz="4" w:space="0" w:color="auto"/>
              <w:bottom w:val="single" w:sz="4" w:space="0" w:color="auto"/>
              <w:right w:val="single" w:sz="4" w:space="0" w:color="auto"/>
            </w:tcBorders>
          </w:tcPr>
          <w:p w:rsidR="00000000" w:rsidRDefault="00000000">
            <w:pPr>
              <w:pStyle w:val="aa"/>
              <w:spacing w:before="40" w:line="336" w:lineRule="auto"/>
              <w:ind w:right="397"/>
              <w:jc w:val="right"/>
            </w:pPr>
            <w:r>
              <w:t xml:space="preserve">  30</w:t>
            </w:r>
          </w:p>
        </w:tc>
        <w:tc>
          <w:tcPr>
            <w:tcW w:w="1320" w:type="dxa"/>
            <w:tcBorders>
              <w:top w:val="nil"/>
              <w:left w:val="single" w:sz="4" w:space="0" w:color="auto"/>
              <w:bottom w:val="single" w:sz="4" w:space="0" w:color="auto"/>
              <w:right w:val="single" w:sz="4" w:space="0" w:color="auto"/>
            </w:tcBorders>
          </w:tcPr>
          <w:p w:rsidR="00000000" w:rsidRDefault="00000000">
            <w:pPr>
              <w:pStyle w:val="aa"/>
              <w:spacing w:before="40" w:line="336" w:lineRule="auto"/>
              <w:ind w:right="397"/>
              <w:jc w:val="right"/>
            </w:pPr>
            <w:r>
              <w:t>28</w:t>
            </w:r>
          </w:p>
        </w:tc>
        <w:tc>
          <w:tcPr>
            <w:tcW w:w="1080" w:type="dxa"/>
            <w:tcBorders>
              <w:top w:val="nil"/>
              <w:left w:val="single" w:sz="4" w:space="0" w:color="auto"/>
              <w:bottom w:val="single" w:sz="4" w:space="0" w:color="auto"/>
              <w:right w:val="single" w:sz="4" w:space="0" w:color="auto"/>
            </w:tcBorders>
          </w:tcPr>
          <w:p w:rsidR="00000000" w:rsidRDefault="00000000">
            <w:pPr>
              <w:pStyle w:val="aa"/>
              <w:spacing w:before="40" w:line="336" w:lineRule="auto"/>
              <w:ind w:right="397"/>
              <w:jc w:val="right"/>
            </w:pPr>
            <w:r>
              <w:t>27</w:t>
            </w:r>
          </w:p>
        </w:tc>
        <w:tc>
          <w:tcPr>
            <w:tcW w:w="1200" w:type="dxa"/>
            <w:tcBorders>
              <w:top w:val="nil"/>
              <w:left w:val="single" w:sz="4" w:space="0" w:color="auto"/>
              <w:bottom w:val="single" w:sz="4" w:space="0" w:color="auto"/>
              <w:right w:val="single" w:sz="4" w:space="0" w:color="auto"/>
            </w:tcBorders>
          </w:tcPr>
          <w:p w:rsidR="00000000" w:rsidRDefault="00000000">
            <w:pPr>
              <w:pStyle w:val="aa"/>
              <w:spacing w:before="40" w:line="336" w:lineRule="auto"/>
              <w:ind w:right="397"/>
              <w:jc w:val="right"/>
            </w:pPr>
            <w:r>
              <w:t>27</w:t>
            </w:r>
          </w:p>
        </w:tc>
        <w:tc>
          <w:tcPr>
            <w:tcW w:w="1200" w:type="dxa"/>
            <w:tcBorders>
              <w:top w:val="nil"/>
              <w:left w:val="single" w:sz="4" w:space="0" w:color="auto"/>
              <w:bottom w:val="single" w:sz="4" w:space="0" w:color="auto"/>
              <w:right w:val="single" w:sz="4" w:space="0" w:color="auto"/>
            </w:tcBorders>
          </w:tcPr>
          <w:p w:rsidR="00000000" w:rsidRDefault="00000000">
            <w:pPr>
              <w:pStyle w:val="aa"/>
              <w:spacing w:before="40" w:line="336" w:lineRule="auto"/>
              <w:ind w:right="397"/>
              <w:jc w:val="right"/>
            </w:pPr>
            <w:r>
              <w:t>27</w:t>
            </w:r>
          </w:p>
        </w:tc>
      </w:tr>
    </w:tbl>
    <w:p w:rsidR="00000000" w:rsidRDefault="00000000">
      <w:pPr>
        <w:spacing w:before="240" w:after="240"/>
        <w:rPr>
          <w:rFonts w:eastAsia="KaiTi_GB2312" w:hint="eastAsia"/>
          <w:spacing w:val="0"/>
        </w:rPr>
      </w:pPr>
      <w:r>
        <w:tab/>
      </w:r>
      <w:r>
        <w:rPr>
          <w:rFonts w:eastAsia="KaiTi_GB2312" w:hint="eastAsia"/>
          <w:spacing w:val="0"/>
          <w:u w:val="single"/>
        </w:rPr>
        <w:t>资料来源</w:t>
      </w:r>
      <w:r>
        <w:rPr>
          <w:rFonts w:eastAsia="KaiTi_GB2312" w:hint="eastAsia"/>
          <w:spacing w:val="0"/>
        </w:rPr>
        <w:t>：捷克统计署，</w:t>
      </w:r>
      <w:r>
        <w:rPr>
          <w:rFonts w:eastAsia="KaiTi_GB2312" w:hint="eastAsia"/>
          <w:spacing w:val="0"/>
        </w:rPr>
        <w:t>1999</w:t>
      </w:r>
      <w:r>
        <w:rPr>
          <w:rFonts w:eastAsia="KaiTi_GB2312" w:hint="eastAsia"/>
          <w:spacing w:val="0"/>
        </w:rPr>
        <w:t>年。</w:t>
      </w:r>
    </w:p>
    <w:p w:rsidR="00000000" w:rsidRDefault="00000000">
      <w:pPr>
        <w:spacing w:after="320"/>
        <w:rPr>
          <w:rFonts w:hint="eastAsia"/>
        </w:rPr>
      </w:pPr>
      <w:r>
        <w:rPr>
          <w:rFonts w:hint="eastAsia"/>
        </w:rPr>
        <w:tab/>
        <w:t xml:space="preserve">410.  </w:t>
      </w:r>
      <w:r>
        <w:rPr>
          <w:rFonts w:hint="eastAsia"/>
        </w:rPr>
        <w:t>捷克共和国居民总的生活水准可以说令人满意，特别是与发生政治变化后至</w:t>
      </w:r>
      <w:r>
        <w:rPr>
          <w:rFonts w:hint="eastAsia"/>
        </w:rPr>
        <w:t>1990</w:t>
      </w:r>
      <w:r>
        <w:rPr>
          <w:rFonts w:hint="eastAsia"/>
        </w:rPr>
        <w:t>年以来一直在进行改革的其他国家相比。捷克共和国没有计算实际生活素质指数并在目前不打算这样做。</w:t>
      </w:r>
    </w:p>
    <w:p w:rsidR="00000000" w:rsidRDefault="00000000">
      <w:pPr>
        <w:pStyle w:val="Heading4"/>
        <w:ind w:left="500"/>
        <w:rPr>
          <w:rFonts w:hint="eastAsia"/>
        </w:rPr>
      </w:pPr>
      <w:r>
        <w:rPr>
          <w:rFonts w:hint="eastAsia"/>
        </w:rPr>
        <w:t>适当生活资料权</w:t>
      </w:r>
    </w:p>
    <w:p w:rsidR="00000000" w:rsidRDefault="00000000">
      <w:pPr>
        <w:rPr>
          <w:rFonts w:hint="eastAsia"/>
        </w:rPr>
      </w:pPr>
      <w:r>
        <w:rPr>
          <w:rFonts w:hint="eastAsia"/>
        </w:rPr>
        <w:tab/>
        <w:t xml:space="preserve">411.  </w:t>
      </w:r>
      <w:r>
        <w:rPr>
          <w:rFonts w:hint="eastAsia"/>
        </w:rPr>
        <w:t>捷克共和国不存在饥饿问题，相反捷克人民需要维持食品消费结构的积极变化。</w:t>
      </w:r>
    </w:p>
    <w:p w:rsidR="00000000" w:rsidRDefault="00000000">
      <w:pPr>
        <w:rPr>
          <w:rFonts w:hint="eastAsia"/>
        </w:rPr>
      </w:pPr>
      <w:r>
        <w:rPr>
          <w:rFonts w:hint="eastAsia"/>
        </w:rPr>
        <w:tab/>
        <w:t xml:space="preserve">412.  </w:t>
      </w:r>
      <w:r>
        <w:rPr>
          <w:rFonts w:hint="eastAsia"/>
        </w:rPr>
        <w:t>捷克共和国食品消费在数量和结构上与多数欧盟国家基本食品组相吻合。与欧盟相比，整个谷物消费高，蛋和猪肉消费高出平均数。相反，捷克共和国在消费温带新鲜水果、柑橘水果、蔬菜、奶酪和家禽方面没有达到欧洲平均水平。</w:t>
      </w:r>
    </w:p>
    <w:p w:rsidR="00000000" w:rsidRDefault="00000000">
      <w:pPr>
        <w:pStyle w:val="Heading3"/>
        <w:pageBreakBefore/>
        <w:spacing w:after="160"/>
        <w:rPr>
          <w:rFonts w:hint="eastAsia"/>
        </w:rPr>
      </w:pPr>
      <w:r>
        <w:rPr>
          <w:rFonts w:hint="eastAsia"/>
        </w:rPr>
        <w:t>若干种类食品的消费</w:t>
      </w:r>
    </w:p>
    <w:tbl>
      <w:tblPr>
        <w:tblW w:w="9600" w:type="dxa"/>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4392"/>
        <w:gridCol w:w="1152"/>
        <w:gridCol w:w="1416"/>
        <w:gridCol w:w="1320"/>
        <w:gridCol w:w="1320"/>
      </w:tblGrid>
      <w:tr w:rsidR="00000000">
        <w:tblPrEx>
          <w:tblCellMar>
            <w:top w:w="0" w:type="dxa"/>
            <w:bottom w:w="0" w:type="dxa"/>
          </w:tblCellMar>
        </w:tblPrEx>
        <w:tc>
          <w:tcPr>
            <w:tcW w:w="4392"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336" w:lineRule="auto"/>
              <w:jc w:val="center"/>
              <w:rPr>
                <w:rFonts w:hint="eastAsia"/>
              </w:rPr>
            </w:pPr>
            <w:r>
              <w:rPr>
                <w:rFonts w:hint="eastAsia"/>
              </w:rPr>
              <w:t>食品种类</w:t>
            </w:r>
          </w:p>
        </w:tc>
        <w:tc>
          <w:tcPr>
            <w:tcW w:w="1152"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336" w:lineRule="auto"/>
              <w:jc w:val="center"/>
              <w:rPr>
                <w:rFonts w:hint="eastAsia"/>
              </w:rPr>
            </w:pPr>
            <w:r>
              <w:rPr>
                <w:rFonts w:hint="eastAsia"/>
              </w:rPr>
              <w:t>单</w:t>
            </w:r>
            <w:r>
              <w:rPr>
                <w:rFonts w:hint="eastAsia"/>
              </w:rPr>
              <w:t xml:space="preserve">  </w:t>
            </w:r>
            <w:r>
              <w:rPr>
                <w:rFonts w:hint="eastAsia"/>
              </w:rPr>
              <w:t>位</w:t>
            </w: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336" w:lineRule="auto"/>
              <w:ind w:right="340"/>
              <w:jc w:val="right"/>
              <w:rPr>
                <w:rFonts w:hint="eastAsia"/>
              </w:rPr>
            </w:pPr>
            <w:r>
              <w:t>1992</w:t>
            </w:r>
            <w:r>
              <w:rPr>
                <w:rFonts w:hint="eastAsia"/>
              </w:rPr>
              <w:t>年</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336" w:lineRule="auto"/>
              <w:ind w:right="340"/>
              <w:jc w:val="right"/>
              <w:rPr>
                <w:rFonts w:hint="eastAsia"/>
              </w:rPr>
            </w:pPr>
            <w:r>
              <w:t>1997</w:t>
            </w:r>
            <w:r>
              <w:rPr>
                <w:rFonts w:hint="eastAsia"/>
              </w:rPr>
              <w:t>年</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line="336" w:lineRule="auto"/>
              <w:rPr>
                <w:rFonts w:hint="eastAsia"/>
              </w:rPr>
            </w:pPr>
            <w:r>
              <w:t>97/92</w:t>
            </w:r>
            <w:r>
              <w:rPr>
                <w:rFonts w:hint="eastAsia"/>
              </w:rPr>
              <w:t>年指数</w:t>
            </w:r>
          </w:p>
        </w:tc>
      </w:tr>
      <w:tr w:rsidR="00000000">
        <w:tblPrEx>
          <w:tblCellMar>
            <w:top w:w="0" w:type="dxa"/>
            <w:bottom w:w="0" w:type="dxa"/>
          </w:tblCellMar>
        </w:tblPrEx>
        <w:tc>
          <w:tcPr>
            <w:tcW w:w="4392" w:type="dxa"/>
            <w:tcBorders>
              <w:top w:val="single" w:sz="4" w:space="0" w:color="auto"/>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肉类总计</w:t>
            </w:r>
          </w:p>
        </w:tc>
        <w:tc>
          <w:tcPr>
            <w:tcW w:w="1152" w:type="dxa"/>
            <w:tcBorders>
              <w:top w:val="single" w:sz="4" w:space="0" w:color="auto"/>
              <w:left w:val="single" w:sz="4" w:space="0" w:color="auto"/>
              <w:bottom w:val="nil"/>
              <w:right w:val="single" w:sz="4" w:space="0" w:color="auto"/>
            </w:tcBorders>
          </w:tcPr>
          <w:p w:rsidR="00000000" w:rsidRDefault="00000000">
            <w:pPr>
              <w:pStyle w:val="aa"/>
              <w:spacing w:line="336" w:lineRule="auto"/>
              <w:jc w:val="center"/>
              <w:rPr>
                <w:rFonts w:hint="eastAsia"/>
              </w:rPr>
            </w:pPr>
            <w:r>
              <w:rPr>
                <w:rFonts w:hint="eastAsia"/>
              </w:rPr>
              <w:t>公斤</w:t>
            </w:r>
          </w:p>
        </w:tc>
        <w:tc>
          <w:tcPr>
            <w:tcW w:w="1416" w:type="dxa"/>
            <w:tcBorders>
              <w:top w:val="single" w:sz="4" w:space="0" w:color="auto"/>
              <w:left w:val="single" w:sz="4" w:space="0" w:color="auto"/>
              <w:bottom w:val="nil"/>
              <w:right w:val="single" w:sz="4" w:space="0" w:color="auto"/>
            </w:tcBorders>
          </w:tcPr>
          <w:p w:rsidR="00000000" w:rsidRDefault="00000000">
            <w:pPr>
              <w:pStyle w:val="aa"/>
              <w:spacing w:line="336" w:lineRule="auto"/>
              <w:ind w:right="397"/>
              <w:jc w:val="right"/>
            </w:pPr>
            <w:r>
              <w:t>86.6</w:t>
            </w:r>
          </w:p>
        </w:tc>
        <w:tc>
          <w:tcPr>
            <w:tcW w:w="1320" w:type="dxa"/>
            <w:tcBorders>
              <w:top w:val="single" w:sz="4" w:space="0" w:color="auto"/>
              <w:left w:val="single" w:sz="4" w:space="0" w:color="auto"/>
              <w:bottom w:val="nil"/>
              <w:right w:val="single" w:sz="4" w:space="0" w:color="auto"/>
            </w:tcBorders>
          </w:tcPr>
          <w:p w:rsidR="00000000" w:rsidRDefault="00000000">
            <w:pPr>
              <w:pStyle w:val="aa"/>
              <w:spacing w:line="336" w:lineRule="auto"/>
              <w:ind w:right="397"/>
              <w:jc w:val="right"/>
            </w:pPr>
            <w:r>
              <w:t>81.5</w:t>
            </w:r>
          </w:p>
        </w:tc>
        <w:tc>
          <w:tcPr>
            <w:tcW w:w="1320" w:type="dxa"/>
            <w:tcBorders>
              <w:top w:val="single" w:sz="4" w:space="0" w:color="auto"/>
              <w:left w:val="single" w:sz="4" w:space="0" w:color="auto"/>
              <w:bottom w:val="nil"/>
              <w:right w:val="single" w:sz="4" w:space="0" w:color="auto"/>
            </w:tcBorders>
          </w:tcPr>
          <w:p w:rsidR="00000000" w:rsidRDefault="00000000">
            <w:pPr>
              <w:pStyle w:val="aa"/>
              <w:spacing w:line="336" w:lineRule="auto"/>
              <w:ind w:right="284"/>
              <w:jc w:val="right"/>
            </w:pPr>
            <w:r>
              <w:t>94.1</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鱼类总计</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4.6</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5.5</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119.6</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奶和奶制品</w:t>
            </w:r>
            <w:r>
              <w:rPr>
                <w:rFonts w:hint="eastAsia"/>
              </w:rPr>
              <w:t>(</w:t>
            </w:r>
            <w:r>
              <w:rPr>
                <w:rFonts w:hint="eastAsia"/>
              </w:rPr>
              <w:t>黄油除外</w:t>
            </w:r>
            <w:r>
              <w:rPr>
                <w:rFonts w:hint="eastAsia"/>
              </w:rPr>
              <w:t>)</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升</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208.0</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189.5</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91.1</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pPr>
            <w:r>
              <w:rPr>
                <w:rFonts w:hint="eastAsia"/>
              </w:rPr>
              <w:t>蛋</w:t>
            </w:r>
            <w:r>
              <w:t xml:space="preserve"> </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rPr>
                <w:rFonts w:hint="eastAsia"/>
              </w:rPr>
            </w:pPr>
            <w:r>
              <w:rPr>
                <w:rFonts w:hint="eastAsia"/>
              </w:rPr>
              <w:t>个</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328.0</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311.0</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94.8</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脂肪总计</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26.4</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25.5</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96.6</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 xml:space="preserve">  </w:t>
            </w:r>
            <w:r>
              <w:rPr>
                <w:rFonts w:hint="eastAsia"/>
              </w:rPr>
              <w:t>其中食用植物脂肪和油</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13.8</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16.2</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117.4</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精</w:t>
            </w:r>
            <w:r>
              <w:rPr>
                <w:rFonts w:hint="eastAsia"/>
              </w:rPr>
              <w:t xml:space="preserve">  </w:t>
            </w:r>
            <w:r>
              <w:rPr>
                <w:rFonts w:hint="eastAsia"/>
              </w:rPr>
              <w:t>糖</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39.5</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39.1</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99.0</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谷物，包括大米</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117.2</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107.9</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92.1</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土</w:t>
            </w:r>
            <w:r>
              <w:rPr>
                <w:rFonts w:hint="eastAsia"/>
              </w:rPr>
              <w:t xml:space="preserve">  </w:t>
            </w:r>
            <w:r>
              <w:rPr>
                <w:rFonts w:hint="eastAsia"/>
              </w:rPr>
              <w:t>豆</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84.1</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76.0</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90.4</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蔬</w:t>
            </w:r>
            <w:r>
              <w:rPr>
                <w:rFonts w:hint="eastAsia"/>
              </w:rPr>
              <w:t xml:space="preserve">  </w:t>
            </w:r>
            <w:r>
              <w:rPr>
                <w:rFonts w:hint="eastAsia"/>
              </w:rPr>
              <w:t>菜</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69.7</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81.1</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116.4</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水果总计</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69.5</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71.5</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102.9</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t xml:space="preserve">  </w:t>
            </w:r>
            <w:r>
              <w:rPr>
                <w:rFonts w:hint="eastAsia"/>
              </w:rPr>
              <w:t>其中南方水果</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pPr>
            <w:r>
              <w:rPr>
                <w:rFonts w:hint="eastAsia"/>
              </w:rPr>
              <w:t>公斤</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22.5</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397"/>
              <w:jc w:val="right"/>
            </w:pPr>
            <w:r>
              <w:t>30.7</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pPr>
            <w:r>
              <w:t>136.4</w:t>
            </w:r>
          </w:p>
        </w:tc>
      </w:tr>
      <w:tr w:rsidR="00000000">
        <w:tblPrEx>
          <w:tblCellMar>
            <w:top w:w="0" w:type="dxa"/>
            <w:bottom w:w="0" w:type="dxa"/>
          </w:tblCellMar>
        </w:tblPrEx>
        <w:tc>
          <w:tcPr>
            <w:tcW w:w="4392"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含酒精饮料，纯酒精值</w:t>
            </w:r>
          </w:p>
        </w:tc>
        <w:tc>
          <w:tcPr>
            <w:tcW w:w="1152" w:type="dxa"/>
            <w:tcBorders>
              <w:top w:val="nil"/>
              <w:left w:val="single" w:sz="4" w:space="0" w:color="auto"/>
              <w:bottom w:val="nil"/>
              <w:right w:val="single" w:sz="4" w:space="0" w:color="auto"/>
            </w:tcBorders>
          </w:tcPr>
          <w:p w:rsidR="00000000" w:rsidRDefault="00000000">
            <w:pPr>
              <w:pStyle w:val="aa"/>
              <w:spacing w:line="336" w:lineRule="auto"/>
              <w:jc w:val="center"/>
              <w:rPr>
                <w:rFonts w:hint="eastAsia"/>
                <w:lang w:val="fr-FR"/>
              </w:rPr>
            </w:pPr>
            <w:r>
              <w:rPr>
                <w:rFonts w:hint="eastAsia"/>
                <w:lang w:val="fr-FR"/>
              </w:rPr>
              <w:t>升</w:t>
            </w:r>
          </w:p>
        </w:tc>
        <w:tc>
          <w:tcPr>
            <w:tcW w:w="1416" w:type="dxa"/>
            <w:tcBorders>
              <w:top w:val="nil"/>
              <w:left w:val="single" w:sz="4" w:space="0" w:color="auto"/>
              <w:bottom w:val="nil"/>
              <w:right w:val="single" w:sz="4" w:space="0" w:color="auto"/>
            </w:tcBorders>
          </w:tcPr>
          <w:p w:rsidR="00000000" w:rsidRDefault="00000000">
            <w:pPr>
              <w:pStyle w:val="aa"/>
              <w:spacing w:line="336" w:lineRule="auto"/>
              <w:ind w:right="284"/>
              <w:jc w:val="right"/>
              <w:rPr>
                <w:lang w:val="fr-FR"/>
              </w:rPr>
            </w:pPr>
            <w:r>
              <w:rPr>
                <w:lang w:val="fr-FR"/>
              </w:rPr>
              <w:t>9.4</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rPr>
                <w:lang w:val="fr-FR"/>
              </w:rPr>
            </w:pPr>
            <w:r>
              <w:rPr>
                <w:lang w:val="fr-FR"/>
              </w:rPr>
              <w:t>9.8</w:t>
            </w:r>
          </w:p>
        </w:tc>
        <w:tc>
          <w:tcPr>
            <w:tcW w:w="1320" w:type="dxa"/>
            <w:tcBorders>
              <w:top w:val="nil"/>
              <w:left w:val="single" w:sz="4" w:space="0" w:color="auto"/>
              <w:bottom w:val="nil"/>
              <w:right w:val="single" w:sz="4" w:space="0" w:color="auto"/>
            </w:tcBorders>
          </w:tcPr>
          <w:p w:rsidR="00000000" w:rsidRDefault="00000000">
            <w:pPr>
              <w:pStyle w:val="aa"/>
              <w:spacing w:line="336" w:lineRule="auto"/>
              <w:ind w:right="284"/>
              <w:jc w:val="right"/>
              <w:rPr>
                <w:lang w:val="fr-FR"/>
              </w:rPr>
            </w:pPr>
            <w:r>
              <w:rPr>
                <w:lang w:val="fr-FR"/>
              </w:rPr>
              <w:t>104.3</w:t>
            </w:r>
          </w:p>
        </w:tc>
      </w:tr>
      <w:tr w:rsidR="00000000">
        <w:tblPrEx>
          <w:tblCellMar>
            <w:top w:w="0" w:type="dxa"/>
            <w:bottom w:w="0" w:type="dxa"/>
          </w:tblCellMar>
        </w:tblPrEx>
        <w:tc>
          <w:tcPr>
            <w:tcW w:w="4392" w:type="dxa"/>
            <w:tcBorders>
              <w:top w:val="nil"/>
              <w:left w:val="single" w:sz="4" w:space="0" w:color="auto"/>
              <w:bottom w:val="single" w:sz="4" w:space="0" w:color="auto"/>
              <w:right w:val="single" w:sz="4" w:space="0" w:color="auto"/>
            </w:tcBorders>
          </w:tcPr>
          <w:p w:rsidR="00000000" w:rsidRDefault="00000000">
            <w:pPr>
              <w:pStyle w:val="aa"/>
              <w:spacing w:line="336" w:lineRule="auto"/>
              <w:rPr>
                <w:rFonts w:hint="eastAsia"/>
                <w:lang w:val="fr-FR"/>
              </w:rPr>
            </w:pPr>
            <w:r>
              <w:rPr>
                <w:rFonts w:hint="eastAsia"/>
                <w:lang w:val="fr-FR"/>
              </w:rPr>
              <w:t>不含酒精饮料</w:t>
            </w:r>
          </w:p>
        </w:tc>
        <w:tc>
          <w:tcPr>
            <w:tcW w:w="1152" w:type="dxa"/>
            <w:tcBorders>
              <w:top w:val="nil"/>
              <w:left w:val="single" w:sz="4" w:space="0" w:color="auto"/>
              <w:bottom w:val="single" w:sz="4" w:space="0" w:color="auto"/>
              <w:right w:val="single" w:sz="4" w:space="0" w:color="auto"/>
            </w:tcBorders>
          </w:tcPr>
          <w:p w:rsidR="00000000" w:rsidRDefault="00000000">
            <w:pPr>
              <w:pStyle w:val="aa"/>
              <w:spacing w:line="336" w:lineRule="auto"/>
              <w:jc w:val="center"/>
              <w:rPr>
                <w:rFonts w:hint="eastAsia"/>
                <w:lang w:val="fr-FR"/>
              </w:rPr>
            </w:pPr>
            <w:r>
              <w:rPr>
                <w:rFonts w:hint="eastAsia"/>
                <w:lang w:val="fr-FR"/>
              </w:rPr>
              <w:t>升</w:t>
            </w:r>
          </w:p>
        </w:tc>
        <w:tc>
          <w:tcPr>
            <w:tcW w:w="1416" w:type="dxa"/>
            <w:tcBorders>
              <w:top w:val="nil"/>
              <w:left w:val="single" w:sz="4" w:space="0" w:color="auto"/>
              <w:bottom w:val="single" w:sz="4" w:space="0" w:color="auto"/>
              <w:right w:val="single" w:sz="4" w:space="0" w:color="auto"/>
            </w:tcBorders>
          </w:tcPr>
          <w:p w:rsidR="00000000" w:rsidRDefault="00000000">
            <w:pPr>
              <w:pStyle w:val="aa"/>
              <w:spacing w:line="336" w:lineRule="auto"/>
              <w:ind w:right="284"/>
              <w:jc w:val="right"/>
            </w:pPr>
            <w:r>
              <w:t>11.3</w:t>
            </w:r>
          </w:p>
        </w:tc>
        <w:tc>
          <w:tcPr>
            <w:tcW w:w="1320" w:type="dxa"/>
            <w:tcBorders>
              <w:top w:val="nil"/>
              <w:left w:val="single" w:sz="4" w:space="0" w:color="auto"/>
              <w:bottom w:val="single" w:sz="4" w:space="0" w:color="auto"/>
              <w:right w:val="single" w:sz="4" w:space="0" w:color="auto"/>
            </w:tcBorders>
          </w:tcPr>
          <w:p w:rsidR="00000000" w:rsidRDefault="00000000">
            <w:pPr>
              <w:pStyle w:val="aa"/>
              <w:spacing w:line="336" w:lineRule="auto"/>
              <w:ind w:right="284"/>
              <w:jc w:val="right"/>
            </w:pPr>
            <w:r>
              <w:t>147.0</w:t>
            </w:r>
          </w:p>
        </w:tc>
        <w:tc>
          <w:tcPr>
            <w:tcW w:w="1320" w:type="dxa"/>
            <w:tcBorders>
              <w:top w:val="nil"/>
              <w:left w:val="single" w:sz="4" w:space="0" w:color="auto"/>
              <w:bottom w:val="single" w:sz="4" w:space="0" w:color="auto"/>
              <w:right w:val="single" w:sz="4" w:space="0" w:color="auto"/>
            </w:tcBorders>
          </w:tcPr>
          <w:p w:rsidR="00000000" w:rsidRDefault="00000000">
            <w:pPr>
              <w:pStyle w:val="aa"/>
              <w:spacing w:line="336" w:lineRule="auto"/>
              <w:ind w:right="284"/>
              <w:jc w:val="right"/>
            </w:pPr>
            <w:r>
              <w:t>132.1</w:t>
            </w:r>
          </w:p>
        </w:tc>
      </w:tr>
    </w:tbl>
    <w:p w:rsidR="00000000" w:rsidRDefault="00000000">
      <w:pPr>
        <w:pStyle w:val="aa"/>
        <w:spacing w:before="240" w:after="240" w:line="336" w:lineRule="auto"/>
        <w:rPr>
          <w:rFonts w:eastAsia="KaiTi_GB2312" w:hint="eastAsia"/>
          <w:snapToGrid/>
          <w:sz w:val="24"/>
        </w:rPr>
      </w:pPr>
      <w:r>
        <w:rPr>
          <w:rFonts w:eastAsia="KaiTi_GB2312" w:hint="eastAsia"/>
          <w:snapToGrid/>
          <w:sz w:val="24"/>
          <w:u w:val="single"/>
        </w:rPr>
        <w:t>资料来源</w:t>
      </w:r>
      <w:r>
        <w:rPr>
          <w:rFonts w:eastAsia="KaiTi_GB2312" w:hint="eastAsia"/>
          <w:snapToGrid/>
          <w:sz w:val="24"/>
        </w:rPr>
        <w:t>：捷克统计署，</w:t>
      </w:r>
      <w:r>
        <w:rPr>
          <w:rFonts w:eastAsia="KaiTi_GB2312" w:hint="eastAsia"/>
          <w:snapToGrid/>
          <w:sz w:val="24"/>
        </w:rPr>
        <w:t>1999</w:t>
      </w:r>
      <w:r>
        <w:rPr>
          <w:rFonts w:eastAsia="KaiTi_GB2312" w:hint="eastAsia"/>
          <w:snapToGrid/>
          <w:sz w:val="24"/>
        </w:rPr>
        <w:t>年。</w:t>
      </w:r>
    </w:p>
    <w:p w:rsidR="00000000" w:rsidRDefault="00000000">
      <w:pPr>
        <w:pStyle w:val="aa"/>
        <w:spacing w:line="336" w:lineRule="auto"/>
        <w:rPr>
          <w:rFonts w:hint="eastAsia"/>
          <w:snapToGrid/>
          <w:spacing w:val="10"/>
          <w:sz w:val="24"/>
        </w:rPr>
      </w:pPr>
      <w:r>
        <w:rPr>
          <w:rFonts w:hint="eastAsia"/>
          <w:snapToGrid/>
          <w:spacing w:val="10"/>
          <w:sz w:val="24"/>
        </w:rPr>
        <w:tab/>
        <w:t xml:space="preserve">413.  </w:t>
      </w:r>
      <w:r>
        <w:rPr>
          <w:rFonts w:hint="eastAsia"/>
          <w:snapToGrid/>
          <w:spacing w:val="10"/>
          <w:sz w:val="24"/>
        </w:rPr>
        <w:t>下文是将</w:t>
      </w:r>
      <w:r>
        <w:rPr>
          <w:rFonts w:hint="eastAsia"/>
          <w:snapToGrid/>
          <w:spacing w:val="10"/>
          <w:sz w:val="24"/>
        </w:rPr>
        <w:t>1989</w:t>
      </w:r>
      <w:r>
        <w:rPr>
          <w:rFonts w:hint="eastAsia"/>
          <w:snapToGrid/>
          <w:spacing w:val="10"/>
          <w:sz w:val="24"/>
        </w:rPr>
        <w:t>年与</w:t>
      </w:r>
      <w:r>
        <w:rPr>
          <w:rFonts w:hint="eastAsia"/>
          <w:snapToGrid/>
          <w:spacing w:val="10"/>
          <w:sz w:val="24"/>
        </w:rPr>
        <w:t>1997</w:t>
      </w:r>
      <w:r>
        <w:rPr>
          <w:rFonts w:hint="eastAsia"/>
          <w:snapToGrid/>
          <w:spacing w:val="10"/>
          <w:sz w:val="24"/>
        </w:rPr>
        <w:t>年相比，对食品消费量与质的最重要变化的扼要评估结果，这些变化对所消费的食品的营养水平有重大影响：</w:t>
      </w:r>
    </w:p>
    <w:p w:rsidR="00000000" w:rsidRDefault="00000000">
      <w:pPr>
        <w:pStyle w:val="aa"/>
        <w:numPr>
          <w:ilvl w:val="0"/>
          <w:numId w:val="888"/>
        </w:numPr>
        <w:spacing w:line="336" w:lineRule="auto"/>
        <w:rPr>
          <w:rFonts w:hint="eastAsia"/>
          <w:snapToGrid/>
          <w:spacing w:val="10"/>
          <w:sz w:val="24"/>
        </w:rPr>
      </w:pPr>
      <w:r>
        <w:rPr>
          <w:rFonts w:hint="eastAsia"/>
          <w:snapToGrid/>
          <w:spacing w:val="10"/>
          <w:sz w:val="24"/>
        </w:rPr>
        <w:t>南方食品消费增加</w:t>
      </w:r>
      <w:r>
        <w:rPr>
          <w:rFonts w:hint="eastAsia"/>
          <w:snapToGrid/>
          <w:spacing w:val="10"/>
          <w:sz w:val="24"/>
        </w:rPr>
        <w:t>80%</w:t>
      </w:r>
      <w:r>
        <w:rPr>
          <w:rFonts w:hint="eastAsia"/>
          <w:snapToGrid/>
          <w:spacing w:val="10"/>
          <w:sz w:val="24"/>
        </w:rPr>
        <w:t>，但对来自温带的食品消费减少；家禽消费增加</w:t>
      </w:r>
      <w:r>
        <w:rPr>
          <w:rFonts w:hint="eastAsia"/>
          <w:snapToGrid/>
          <w:spacing w:val="10"/>
          <w:sz w:val="24"/>
        </w:rPr>
        <w:t>12%</w:t>
      </w:r>
      <w:r>
        <w:rPr>
          <w:rFonts w:hint="eastAsia"/>
          <w:snapToGrid/>
          <w:spacing w:val="10"/>
          <w:sz w:val="24"/>
        </w:rPr>
        <w:t>、食用脂肪和油</w:t>
      </w:r>
      <w:r>
        <w:rPr>
          <w:rFonts w:hint="eastAsia"/>
          <w:snapToGrid/>
          <w:spacing w:val="10"/>
          <w:sz w:val="24"/>
        </w:rPr>
        <w:t>30%</w:t>
      </w:r>
      <w:r>
        <w:rPr>
          <w:rFonts w:hint="eastAsia"/>
          <w:snapToGrid/>
          <w:spacing w:val="10"/>
          <w:sz w:val="24"/>
        </w:rPr>
        <w:t>、蔬菜</w:t>
      </w:r>
      <w:r>
        <w:rPr>
          <w:rFonts w:hint="eastAsia"/>
          <w:snapToGrid/>
          <w:spacing w:val="10"/>
          <w:sz w:val="24"/>
        </w:rPr>
        <w:t>17%</w:t>
      </w:r>
      <w:r>
        <w:rPr>
          <w:rFonts w:hint="eastAsia"/>
          <w:snapToGrid/>
          <w:spacing w:val="10"/>
          <w:sz w:val="24"/>
        </w:rPr>
        <w:t>、豆类</w:t>
      </w:r>
      <w:r>
        <w:rPr>
          <w:rFonts w:hint="eastAsia"/>
          <w:snapToGrid/>
          <w:spacing w:val="10"/>
          <w:sz w:val="24"/>
        </w:rPr>
        <w:t>50%</w:t>
      </w:r>
      <w:r>
        <w:rPr>
          <w:rFonts w:hint="eastAsia"/>
          <w:snapToGrid/>
          <w:spacing w:val="10"/>
          <w:sz w:val="24"/>
        </w:rPr>
        <w:t>；</w:t>
      </w:r>
    </w:p>
    <w:p w:rsidR="00000000" w:rsidRDefault="00000000">
      <w:pPr>
        <w:pStyle w:val="aa"/>
        <w:numPr>
          <w:ilvl w:val="0"/>
          <w:numId w:val="888"/>
        </w:numPr>
        <w:spacing w:line="336" w:lineRule="auto"/>
        <w:rPr>
          <w:rFonts w:hint="eastAsia"/>
          <w:snapToGrid/>
          <w:spacing w:val="10"/>
          <w:sz w:val="24"/>
        </w:rPr>
      </w:pPr>
      <w:r>
        <w:rPr>
          <w:rFonts w:hint="eastAsia"/>
          <w:snapToGrid/>
          <w:spacing w:val="10"/>
          <w:sz w:val="24"/>
        </w:rPr>
        <w:t>黄油消费下降</w:t>
      </w:r>
      <w:r>
        <w:rPr>
          <w:rFonts w:hint="eastAsia"/>
          <w:snapToGrid/>
          <w:spacing w:val="10"/>
          <w:sz w:val="24"/>
        </w:rPr>
        <w:t>55%</w:t>
      </w:r>
      <w:r>
        <w:rPr>
          <w:rFonts w:hint="eastAsia"/>
          <w:snapToGrid/>
          <w:spacing w:val="10"/>
          <w:sz w:val="24"/>
        </w:rPr>
        <w:t>、奶制品</w:t>
      </w:r>
      <w:r>
        <w:rPr>
          <w:rFonts w:hint="eastAsia"/>
          <w:snapToGrid/>
          <w:spacing w:val="10"/>
          <w:sz w:val="24"/>
        </w:rPr>
        <w:t>25%</w:t>
      </w:r>
      <w:r>
        <w:rPr>
          <w:rFonts w:hint="eastAsia"/>
          <w:snapToGrid/>
          <w:spacing w:val="10"/>
          <w:sz w:val="24"/>
        </w:rPr>
        <w:t>、牛肉</w:t>
      </w:r>
      <w:r>
        <w:rPr>
          <w:rFonts w:hint="eastAsia"/>
          <w:snapToGrid/>
          <w:spacing w:val="10"/>
          <w:sz w:val="24"/>
        </w:rPr>
        <w:t>45%</w:t>
      </w:r>
      <w:r>
        <w:rPr>
          <w:rFonts w:hint="eastAsia"/>
          <w:snapToGrid/>
          <w:spacing w:val="10"/>
          <w:sz w:val="24"/>
        </w:rPr>
        <w:t>；糖、谷物、土豆、鱼、蛋和猪肉消费下降幅度不大。</w:t>
      </w:r>
    </w:p>
    <w:p w:rsidR="00000000" w:rsidRDefault="00000000">
      <w:pPr>
        <w:pStyle w:val="aa"/>
        <w:spacing w:line="336" w:lineRule="auto"/>
        <w:rPr>
          <w:rFonts w:hint="eastAsia"/>
          <w:snapToGrid/>
          <w:spacing w:val="10"/>
          <w:sz w:val="24"/>
        </w:rPr>
      </w:pPr>
      <w:r>
        <w:rPr>
          <w:rFonts w:hint="eastAsia"/>
          <w:snapToGrid/>
          <w:spacing w:val="10"/>
          <w:sz w:val="24"/>
        </w:rPr>
        <w:tab/>
        <w:t xml:space="preserve">414.  </w:t>
      </w:r>
      <w:r>
        <w:rPr>
          <w:rFonts w:hint="eastAsia"/>
          <w:snapToGrid/>
          <w:spacing w:val="10"/>
          <w:sz w:val="24"/>
        </w:rPr>
        <w:t>农业部通过各研究所进行框架评估，确定达到建议的营养额度。结果证实食品消费发生积极变化和捷克居民食品消费营养水平发生变化。与</w:t>
      </w:r>
      <w:r>
        <w:rPr>
          <w:rFonts w:hint="eastAsia"/>
          <w:snapToGrid/>
          <w:spacing w:val="10"/>
          <w:sz w:val="24"/>
        </w:rPr>
        <w:t>1989</w:t>
      </w:r>
      <w:r>
        <w:rPr>
          <w:rFonts w:hint="eastAsia"/>
          <w:snapToGrid/>
          <w:spacing w:val="10"/>
          <w:sz w:val="24"/>
        </w:rPr>
        <w:t>年相比，食品产生总卡洛里值下降，动物脂肪和蛋白摄取量也下降；植物脂肪、蛋白和维他命</w:t>
      </w:r>
      <w:r>
        <w:rPr>
          <w:rFonts w:hint="eastAsia"/>
          <w:snapToGrid/>
          <w:spacing w:val="10"/>
          <w:sz w:val="24"/>
        </w:rPr>
        <w:t>C</w:t>
      </w:r>
      <w:r>
        <w:rPr>
          <w:rFonts w:hint="eastAsia"/>
          <w:snapToGrid/>
          <w:spacing w:val="10"/>
          <w:sz w:val="24"/>
        </w:rPr>
        <w:t>的摄取量增加，尽管尚未达到建议的水平。缺陷继续存在，如某些</w:t>
      </w:r>
      <w:r>
        <w:rPr>
          <w:rFonts w:hint="eastAsia"/>
          <w:snapToGrid/>
          <w:spacing w:val="10"/>
          <w:sz w:val="24"/>
        </w:rPr>
        <w:t>B</w:t>
      </w:r>
      <w:r>
        <w:rPr>
          <w:rFonts w:hint="eastAsia"/>
          <w:snapToGrid/>
          <w:spacing w:val="10"/>
          <w:sz w:val="24"/>
        </w:rPr>
        <w:t>类维他命和钙的摄取量不太高</w:t>
      </w:r>
      <w:r>
        <w:rPr>
          <w:rFonts w:hint="eastAsia"/>
          <w:snapToGrid/>
          <w:spacing w:val="10"/>
          <w:sz w:val="24"/>
        </w:rPr>
        <w:t>(</w:t>
      </w:r>
      <w:r>
        <w:rPr>
          <w:rFonts w:hint="eastAsia"/>
          <w:snapToGrid/>
          <w:spacing w:val="10"/>
          <w:sz w:val="24"/>
        </w:rPr>
        <w:t>奶和奶制品消费减少</w:t>
      </w:r>
      <w:r>
        <w:rPr>
          <w:rFonts w:hint="eastAsia"/>
          <w:snapToGrid/>
          <w:spacing w:val="10"/>
          <w:sz w:val="24"/>
        </w:rPr>
        <w:t>)</w:t>
      </w:r>
      <w:r>
        <w:rPr>
          <w:rFonts w:hint="eastAsia"/>
          <w:snapToGrid/>
          <w:spacing w:val="10"/>
          <w:sz w:val="24"/>
        </w:rPr>
        <w:t>。尽管出现了积极变化，卡洛里、脂肪和动物产品的摄取量超过建议指标。</w:t>
      </w:r>
    </w:p>
    <w:p w:rsidR="00000000" w:rsidRDefault="00000000">
      <w:pPr>
        <w:pStyle w:val="aa"/>
        <w:spacing w:line="336" w:lineRule="auto"/>
        <w:rPr>
          <w:rFonts w:hint="eastAsia"/>
          <w:snapToGrid/>
          <w:spacing w:val="10"/>
          <w:sz w:val="24"/>
        </w:rPr>
      </w:pPr>
      <w:r>
        <w:rPr>
          <w:rFonts w:hint="eastAsia"/>
          <w:snapToGrid/>
          <w:spacing w:val="10"/>
          <w:sz w:val="24"/>
        </w:rPr>
        <w:tab/>
        <w:t xml:space="preserve">415.  </w:t>
      </w:r>
      <w:r>
        <w:rPr>
          <w:rFonts w:hint="eastAsia"/>
          <w:snapToGrid/>
          <w:spacing w:val="10"/>
          <w:sz w:val="24"/>
        </w:rPr>
        <w:t>针对食品消费数量变化评估营养的质量变化是卫生部的职责，包括进行教育和为遵守健康营养趋势提出建议和为解决缺陷采取措施提出提案。卫生部为这方面的评估确定了每年建议的人均营养额。卫生部认为，食品消费方面出现的变化是积极的，因为它们符合其建议</w:t>
      </w:r>
      <w:r>
        <w:rPr>
          <w:rFonts w:hint="eastAsia"/>
          <w:snapToGrid/>
          <w:spacing w:val="10"/>
          <w:sz w:val="24"/>
        </w:rPr>
        <w:t>(</w:t>
      </w:r>
      <w:r>
        <w:rPr>
          <w:rFonts w:hint="eastAsia"/>
          <w:snapToGrid/>
          <w:spacing w:val="10"/>
          <w:sz w:val="24"/>
        </w:rPr>
        <w:t>尤其是动物脂肪消费减少、水果、蔬菜等消费增加</w:t>
      </w:r>
      <w:r>
        <w:rPr>
          <w:rFonts w:hint="eastAsia"/>
          <w:snapToGrid/>
          <w:spacing w:val="10"/>
          <w:sz w:val="24"/>
        </w:rPr>
        <w:t>)</w:t>
      </w:r>
      <w:r>
        <w:rPr>
          <w:rFonts w:hint="eastAsia"/>
          <w:snapToGrid/>
          <w:spacing w:val="10"/>
          <w:sz w:val="24"/>
        </w:rPr>
        <w:t>。</w:t>
      </w:r>
    </w:p>
    <w:p w:rsidR="00000000" w:rsidRDefault="00000000">
      <w:pPr>
        <w:pStyle w:val="aa"/>
        <w:spacing w:line="336" w:lineRule="auto"/>
        <w:rPr>
          <w:rFonts w:hint="eastAsia"/>
          <w:snapToGrid/>
          <w:spacing w:val="10"/>
          <w:sz w:val="24"/>
        </w:rPr>
      </w:pPr>
      <w:r>
        <w:rPr>
          <w:rFonts w:hint="eastAsia"/>
          <w:snapToGrid/>
          <w:spacing w:val="10"/>
          <w:sz w:val="24"/>
        </w:rPr>
        <w:tab/>
        <w:t xml:space="preserve">416.  </w:t>
      </w:r>
      <w:r>
        <w:rPr>
          <w:rFonts w:hint="eastAsia"/>
          <w:snapToGrid/>
          <w:spacing w:val="10"/>
          <w:sz w:val="24"/>
        </w:rPr>
        <w:t>依据政府制定的全国保健方案，</w:t>
      </w:r>
      <w:r>
        <w:rPr>
          <w:rStyle w:val="EndnoteReference"/>
          <w:snapToGrid/>
          <w:spacing w:val="10"/>
        </w:rPr>
        <w:endnoteReference w:id="244"/>
      </w:r>
      <w:r>
        <w:rPr>
          <w:rFonts w:hint="eastAsia"/>
          <w:snapToGrid/>
          <w:spacing w:val="10"/>
          <w:sz w:val="24"/>
        </w:rPr>
        <w:t xml:space="preserve"> </w:t>
      </w:r>
      <w:r>
        <w:rPr>
          <w:rFonts w:hint="eastAsia"/>
          <w:snapToGrid/>
          <w:spacing w:val="10"/>
          <w:sz w:val="24"/>
        </w:rPr>
        <w:t>自</w:t>
      </w:r>
      <w:r>
        <w:rPr>
          <w:rFonts w:hint="eastAsia"/>
          <w:snapToGrid/>
          <w:spacing w:val="10"/>
          <w:sz w:val="24"/>
        </w:rPr>
        <w:t>1993</w:t>
      </w:r>
      <w:r>
        <w:rPr>
          <w:rFonts w:hint="eastAsia"/>
          <w:snapToGrid/>
          <w:spacing w:val="10"/>
          <w:sz w:val="24"/>
        </w:rPr>
        <w:t>年以来卫生部每年宣布支持保健投标项目。政府为执行选定的项目提供财务捐助。专题重点产生于《公约》规定的优先事项，包含</w:t>
      </w:r>
      <w:r>
        <w:rPr>
          <w:rFonts w:hint="eastAsia"/>
          <w:snapToGrid/>
          <w:spacing w:val="10"/>
          <w:sz w:val="24"/>
        </w:rPr>
        <w:t>13</w:t>
      </w:r>
      <w:r>
        <w:rPr>
          <w:rFonts w:hint="eastAsia"/>
          <w:snapToGrid/>
          <w:spacing w:val="10"/>
          <w:sz w:val="24"/>
        </w:rPr>
        <w:t>个专题领域。</w:t>
      </w:r>
    </w:p>
    <w:p w:rsidR="00000000" w:rsidRDefault="00000000">
      <w:pPr>
        <w:pStyle w:val="aa"/>
        <w:spacing w:after="320" w:line="336" w:lineRule="auto"/>
        <w:rPr>
          <w:rFonts w:hint="eastAsia"/>
          <w:snapToGrid/>
          <w:spacing w:val="10"/>
          <w:sz w:val="24"/>
        </w:rPr>
      </w:pPr>
      <w:r>
        <w:rPr>
          <w:rFonts w:hint="eastAsia"/>
          <w:snapToGrid/>
          <w:spacing w:val="10"/>
          <w:sz w:val="24"/>
        </w:rPr>
        <w:tab/>
        <w:t xml:space="preserve">417.  </w:t>
      </w:r>
      <w:r>
        <w:rPr>
          <w:rFonts w:hint="eastAsia"/>
          <w:snapToGrid/>
          <w:spacing w:val="10"/>
          <w:sz w:val="24"/>
        </w:rPr>
        <w:t>饮食更健康是专题领域之一。卫生部支持旨在促进健康饮食主要原则、多样和均衡饮食和改变饮食习惯的项目。预防和介入也包括更深入的营养教育，不仅针对一般公众，而且尤其要针对高风险群体</w:t>
      </w:r>
      <w:r>
        <w:rPr>
          <w:rFonts w:hint="eastAsia"/>
          <w:snapToGrid/>
          <w:spacing w:val="10"/>
          <w:sz w:val="24"/>
        </w:rPr>
        <w:t>(</w:t>
      </w:r>
      <w:r>
        <w:rPr>
          <w:rFonts w:hint="eastAsia"/>
          <w:snapToGrid/>
          <w:spacing w:val="10"/>
          <w:sz w:val="24"/>
        </w:rPr>
        <w:t>学前和学龄儿童、青少年、孕妇和哺乳母亲等</w:t>
      </w:r>
      <w:r>
        <w:rPr>
          <w:rFonts w:hint="eastAsia"/>
          <w:snapToGrid/>
          <w:spacing w:val="10"/>
          <w:sz w:val="24"/>
        </w:rPr>
        <w:t>)</w:t>
      </w:r>
      <w:r>
        <w:rPr>
          <w:rFonts w:hint="eastAsia"/>
          <w:snapToGrid/>
          <w:spacing w:val="10"/>
          <w:sz w:val="24"/>
        </w:rPr>
        <w:t>。从</w:t>
      </w:r>
      <w:r>
        <w:rPr>
          <w:rFonts w:hint="eastAsia"/>
          <w:snapToGrid/>
          <w:spacing w:val="10"/>
          <w:sz w:val="24"/>
        </w:rPr>
        <w:t>1993</w:t>
      </w:r>
      <w:r>
        <w:rPr>
          <w:rFonts w:hint="eastAsia"/>
          <w:snapToGrid/>
          <w:spacing w:val="10"/>
          <w:sz w:val="24"/>
        </w:rPr>
        <w:t>年至</w:t>
      </w:r>
      <w:r>
        <w:rPr>
          <w:rFonts w:hint="eastAsia"/>
          <w:snapToGrid/>
          <w:spacing w:val="10"/>
          <w:sz w:val="24"/>
        </w:rPr>
        <w:t>1996</w:t>
      </w:r>
      <w:r>
        <w:rPr>
          <w:rFonts w:hint="eastAsia"/>
          <w:snapToGrid/>
          <w:spacing w:val="10"/>
          <w:sz w:val="24"/>
        </w:rPr>
        <w:t>年，</w:t>
      </w:r>
      <w:r>
        <w:rPr>
          <w:rFonts w:hint="eastAsia"/>
          <w:snapToGrid/>
          <w:spacing w:val="10"/>
          <w:sz w:val="24"/>
        </w:rPr>
        <w:t>43</w:t>
      </w:r>
      <w:r>
        <w:rPr>
          <w:rFonts w:hint="eastAsia"/>
          <w:snapToGrid/>
          <w:spacing w:val="10"/>
          <w:sz w:val="24"/>
        </w:rPr>
        <w:t>个项目研究该专题；卫生部为这些项目动用了其</w:t>
      </w:r>
      <w:r>
        <w:rPr>
          <w:rFonts w:hint="eastAsia"/>
          <w:snapToGrid/>
          <w:spacing w:val="10"/>
          <w:sz w:val="24"/>
        </w:rPr>
        <w:t>9</w:t>
      </w:r>
      <w:r>
        <w:rPr>
          <w:rFonts w:hint="eastAsia"/>
          <w:snapToGrid/>
          <w:spacing w:val="10"/>
          <w:sz w:val="24"/>
        </w:rPr>
        <w:t>百万克朗资金。在</w:t>
      </w:r>
      <w:r>
        <w:rPr>
          <w:rFonts w:hint="eastAsia"/>
          <w:snapToGrid/>
          <w:spacing w:val="10"/>
          <w:sz w:val="24"/>
        </w:rPr>
        <w:t>1997</w:t>
      </w:r>
      <w:r>
        <w:rPr>
          <w:rFonts w:hint="eastAsia"/>
          <w:snapToGrid/>
          <w:spacing w:val="10"/>
          <w:sz w:val="24"/>
        </w:rPr>
        <w:t>年，</w:t>
      </w:r>
      <w:r>
        <w:rPr>
          <w:rFonts w:hint="eastAsia"/>
          <w:snapToGrid/>
          <w:spacing w:val="10"/>
          <w:sz w:val="24"/>
        </w:rPr>
        <w:t>16</w:t>
      </w:r>
      <w:r>
        <w:rPr>
          <w:rFonts w:hint="eastAsia"/>
          <w:snapToGrid/>
          <w:spacing w:val="10"/>
          <w:sz w:val="24"/>
        </w:rPr>
        <w:t>个项目共得到</w:t>
      </w:r>
      <w:r>
        <w:rPr>
          <w:rFonts w:hint="eastAsia"/>
          <w:snapToGrid/>
          <w:spacing w:val="10"/>
          <w:sz w:val="24"/>
        </w:rPr>
        <w:t>1,798,000</w:t>
      </w:r>
      <w:r>
        <w:rPr>
          <w:rFonts w:hint="eastAsia"/>
          <w:snapToGrid/>
          <w:spacing w:val="10"/>
          <w:sz w:val="24"/>
        </w:rPr>
        <w:t>克朗。在</w:t>
      </w:r>
      <w:r>
        <w:rPr>
          <w:rFonts w:hint="eastAsia"/>
          <w:snapToGrid/>
          <w:spacing w:val="10"/>
          <w:sz w:val="24"/>
        </w:rPr>
        <w:t>1998</w:t>
      </w:r>
      <w:r>
        <w:rPr>
          <w:rFonts w:hint="eastAsia"/>
          <w:snapToGrid/>
          <w:spacing w:val="10"/>
          <w:sz w:val="24"/>
        </w:rPr>
        <w:t>年，卫生部接受了饮食更健康的</w:t>
      </w:r>
      <w:r>
        <w:rPr>
          <w:rFonts w:hint="eastAsia"/>
          <w:snapToGrid/>
          <w:spacing w:val="10"/>
          <w:sz w:val="24"/>
        </w:rPr>
        <w:t>16</w:t>
      </w:r>
      <w:r>
        <w:rPr>
          <w:rFonts w:hint="eastAsia"/>
          <w:snapToGrid/>
          <w:spacing w:val="10"/>
          <w:sz w:val="24"/>
        </w:rPr>
        <w:t>个项目、改善生育健康的</w:t>
      </w:r>
      <w:r>
        <w:rPr>
          <w:rFonts w:hint="eastAsia"/>
          <w:snapToGrid/>
          <w:spacing w:val="10"/>
          <w:sz w:val="24"/>
        </w:rPr>
        <w:t>5</w:t>
      </w:r>
      <w:r>
        <w:rPr>
          <w:rFonts w:hint="eastAsia"/>
          <w:snapToGrid/>
          <w:spacing w:val="10"/>
          <w:sz w:val="24"/>
        </w:rPr>
        <w:t>个项目和支持学校保健的</w:t>
      </w:r>
      <w:r>
        <w:rPr>
          <w:rFonts w:hint="eastAsia"/>
          <w:snapToGrid/>
          <w:spacing w:val="10"/>
          <w:sz w:val="24"/>
        </w:rPr>
        <w:t>10</w:t>
      </w:r>
      <w:r>
        <w:rPr>
          <w:rFonts w:hint="eastAsia"/>
          <w:snapToGrid/>
          <w:spacing w:val="10"/>
          <w:sz w:val="24"/>
        </w:rPr>
        <w:t>个项目。在</w:t>
      </w:r>
      <w:r>
        <w:rPr>
          <w:rFonts w:hint="eastAsia"/>
          <w:snapToGrid/>
          <w:spacing w:val="10"/>
          <w:sz w:val="24"/>
        </w:rPr>
        <w:t>1999</w:t>
      </w:r>
      <w:r>
        <w:rPr>
          <w:rFonts w:hint="eastAsia"/>
          <w:snapToGrid/>
          <w:spacing w:val="10"/>
          <w:sz w:val="24"/>
        </w:rPr>
        <w:t>年，卫生部在接受的</w:t>
      </w:r>
      <w:r>
        <w:rPr>
          <w:rFonts w:hint="eastAsia"/>
          <w:snapToGrid/>
          <w:spacing w:val="10"/>
          <w:sz w:val="24"/>
        </w:rPr>
        <w:t>15</w:t>
      </w:r>
      <w:r>
        <w:rPr>
          <w:rFonts w:hint="eastAsia"/>
          <w:snapToGrid/>
          <w:spacing w:val="10"/>
          <w:sz w:val="24"/>
        </w:rPr>
        <w:t>个项目中分配了</w:t>
      </w:r>
      <w:r>
        <w:rPr>
          <w:rFonts w:hint="eastAsia"/>
          <w:snapToGrid/>
          <w:spacing w:val="10"/>
          <w:sz w:val="24"/>
        </w:rPr>
        <w:t>2,511,000</w:t>
      </w:r>
      <w:r>
        <w:rPr>
          <w:rFonts w:hint="eastAsia"/>
          <w:snapToGrid/>
          <w:spacing w:val="10"/>
          <w:sz w:val="24"/>
        </w:rPr>
        <w:t>克郎资金。</w:t>
      </w:r>
    </w:p>
    <w:p w:rsidR="00000000" w:rsidRDefault="00000000">
      <w:pPr>
        <w:pStyle w:val="Heading4"/>
        <w:ind w:left="500"/>
        <w:rPr>
          <w:rFonts w:hint="eastAsia"/>
        </w:rPr>
      </w:pPr>
      <w:r>
        <w:rPr>
          <w:rFonts w:hint="eastAsia"/>
        </w:rPr>
        <w:t>适当住房权</w:t>
      </w:r>
    </w:p>
    <w:p w:rsidR="00000000" w:rsidRDefault="00000000">
      <w:pPr>
        <w:rPr>
          <w:rFonts w:hint="eastAsia"/>
        </w:rPr>
      </w:pPr>
      <w:r>
        <w:rPr>
          <w:rFonts w:hint="eastAsia"/>
        </w:rPr>
        <w:tab/>
        <w:t xml:space="preserve">418.  </w:t>
      </w:r>
      <w:r>
        <w:rPr>
          <w:rFonts w:hint="eastAsia"/>
        </w:rPr>
        <w:t>根据</w:t>
      </w:r>
      <w:r>
        <w:rPr>
          <w:rFonts w:hint="eastAsia"/>
        </w:rPr>
        <w:t>1991</w:t>
      </w:r>
      <w:r>
        <w:rPr>
          <w:rFonts w:hint="eastAsia"/>
        </w:rPr>
        <w:t>年的人口普查，捷克共和国有</w:t>
      </w:r>
      <w:r>
        <w:rPr>
          <w:rFonts w:hint="eastAsia"/>
        </w:rPr>
        <w:t>3,705,681</w:t>
      </w:r>
      <w:r>
        <w:rPr>
          <w:rFonts w:hint="eastAsia"/>
        </w:rPr>
        <w:t>所永久居住住房和</w:t>
      </w:r>
      <w:r>
        <w:rPr>
          <w:rFonts w:hint="eastAsia"/>
        </w:rPr>
        <w:t>4,041,583</w:t>
      </w:r>
      <w:r>
        <w:rPr>
          <w:rFonts w:hint="eastAsia"/>
        </w:rPr>
        <w:t>个统计家庭。这说明在</w:t>
      </w:r>
      <w:r>
        <w:rPr>
          <w:rFonts w:hint="eastAsia"/>
        </w:rPr>
        <w:t>1991</w:t>
      </w:r>
      <w:r>
        <w:rPr>
          <w:rFonts w:hint="eastAsia"/>
        </w:rPr>
        <w:t>年约</w:t>
      </w:r>
      <w:r>
        <w:rPr>
          <w:rFonts w:hint="eastAsia"/>
        </w:rPr>
        <w:t>343,000</w:t>
      </w:r>
      <w:r>
        <w:rPr>
          <w:rFonts w:hint="eastAsia"/>
        </w:rPr>
        <w:t>个家庭与另一家庭</w:t>
      </w:r>
      <w:r>
        <w:rPr>
          <w:rFonts w:hint="eastAsia"/>
        </w:rPr>
        <w:t>(</w:t>
      </w:r>
      <w:r>
        <w:rPr>
          <w:rFonts w:hint="eastAsia"/>
        </w:rPr>
        <w:t>常常是父母的家庭</w:t>
      </w:r>
      <w:r>
        <w:rPr>
          <w:rFonts w:hint="eastAsia"/>
        </w:rPr>
        <w:t>)</w:t>
      </w:r>
      <w:r>
        <w:rPr>
          <w:rFonts w:hint="eastAsia"/>
        </w:rPr>
        <w:t>合住一个公寓；其中所谓“希望的同居”占约三分之一。地方发展部估计在这些家庭中，约</w:t>
      </w:r>
      <w:r>
        <w:rPr>
          <w:rFonts w:hint="eastAsia"/>
        </w:rPr>
        <w:t>30</w:t>
      </w:r>
      <w:r>
        <w:rPr>
          <w:rFonts w:hint="eastAsia"/>
        </w:rPr>
        <w:t>万更愿意独立居住。</w:t>
      </w:r>
    </w:p>
    <w:p w:rsidR="00000000" w:rsidRDefault="00000000">
      <w:pPr>
        <w:spacing w:after="320"/>
        <w:rPr>
          <w:rFonts w:hint="eastAsia"/>
        </w:rPr>
      </w:pPr>
      <w:r>
        <w:rPr>
          <w:rFonts w:hint="eastAsia"/>
        </w:rPr>
        <w:tab/>
        <w:t xml:space="preserve">419.  </w:t>
      </w:r>
      <w:r>
        <w:rPr>
          <w:rFonts w:hint="eastAsia"/>
        </w:rPr>
        <w:t>捷克法律制度没有确切界定适足和适当住房概念；然而，我们可以说不符合目前文化和社会要求的不适当住房是指在没有基本设施</w:t>
      </w:r>
      <w:r>
        <w:rPr>
          <w:rFonts w:hint="eastAsia"/>
        </w:rPr>
        <w:t>(</w:t>
      </w:r>
      <w:r>
        <w:rPr>
          <w:rFonts w:hint="eastAsia"/>
        </w:rPr>
        <w:t>厕所、浴室</w:t>
      </w:r>
      <w:r>
        <w:rPr>
          <w:rFonts w:hint="eastAsia"/>
        </w:rPr>
        <w:t>)</w:t>
      </w:r>
      <w:r>
        <w:rPr>
          <w:rFonts w:hint="eastAsia"/>
        </w:rPr>
        <w:t>和取暖设备不适当的公寓里的住房。这包括财政部有关房租和住房服务费法令</w:t>
      </w:r>
      <w:r>
        <w:rPr>
          <w:rFonts w:hint="eastAsia"/>
        </w:rPr>
        <w:t xml:space="preserve"> </w:t>
      </w:r>
      <w:r>
        <w:rPr>
          <w:rStyle w:val="EndnoteReference"/>
        </w:rPr>
        <w:endnoteReference w:id="245"/>
      </w:r>
      <w:r>
        <w:rPr>
          <w:rFonts w:hint="eastAsia"/>
        </w:rPr>
        <w:t xml:space="preserve"> </w:t>
      </w:r>
      <w:r>
        <w:rPr>
          <w:rFonts w:hint="eastAsia"/>
        </w:rPr>
        <w:t>规定的第三和第四类公寓。从这一角度而言，捷克共和国住房基金的条件是好的</w:t>
      </w:r>
      <w:r>
        <w:rPr>
          <w:rFonts w:hint="eastAsia"/>
          <w:spacing w:val="-50"/>
        </w:rPr>
        <w:t>―</w:t>
      </w:r>
      <w:r>
        <w:rPr>
          <w:rFonts w:hint="eastAsia"/>
        </w:rPr>
        <w:t>―一种类似于发达的欧洲国家的水平的情况。人口普查数据显示，在</w:t>
      </w:r>
      <w:r>
        <w:rPr>
          <w:rFonts w:hint="eastAsia"/>
        </w:rPr>
        <w:t>1991</w:t>
      </w:r>
      <w:r>
        <w:rPr>
          <w:rFonts w:hint="eastAsia"/>
        </w:rPr>
        <w:t>年捷克共和国仅</w:t>
      </w:r>
      <w:r>
        <w:rPr>
          <w:rFonts w:hint="eastAsia"/>
        </w:rPr>
        <w:t>6%</w:t>
      </w:r>
      <w:r>
        <w:rPr>
          <w:rFonts w:hint="eastAsia"/>
        </w:rPr>
        <w:t>的居民住在第三和第四类公寓，即缺乏适当取暖或基本设施的公寓。</w:t>
      </w:r>
    </w:p>
    <w:p w:rsidR="00000000" w:rsidRDefault="00000000">
      <w:pPr>
        <w:pStyle w:val="Heading3"/>
        <w:spacing w:after="160"/>
        <w:rPr>
          <w:rFonts w:hint="eastAsia"/>
        </w:rPr>
      </w:pPr>
      <w:r>
        <w:rPr>
          <w:rFonts w:hint="eastAsia"/>
        </w:rPr>
        <w:t>公寓设施概述</w:t>
      </w: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520"/>
        <w:gridCol w:w="3045"/>
        <w:gridCol w:w="3398"/>
      </w:tblGrid>
      <w:tr w:rsidR="00000000">
        <w:tblPrEx>
          <w:tblCellMar>
            <w:top w:w="0" w:type="dxa"/>
            <w:bottom w:w="0" w:type="dxa"/>
          </w:tblCellMar>
        </w:tblPrEx>
        <w:tc>
          <w:tcPr>
            <w:tcW w:w="2520" w:type="dxa"/>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jc w:val="center"/>
              <w:rPr>
                <w:rFonts w:hint="eastAsia"/>
              </w:rPr>
            </w:pPr>
            <w:r>
              <w:rPr>
                <w:rFonts w:hint="eastAsia"/>
              </w:rPr>
              <w:t>公寓设施</w:t>
            </w:r>
          </w:p>
        </w:tc>
        <w:tc>
          <w:tcPr>
            <w:tcW w:w="3045" w:type="dxa"/>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jc w:val="center"/>
              <w:rPr>
                <w:rFonts w:hint="eastAsia"/>
              </w:rPr>
            </w:pPr>
            <w:r>
              <w:rPr>
                <w:rFonts w:hint="eastAsia"/>
              </w:rPr>
              <w:t>配备设施的公寓比例</w:t>
            </w:r>
            <w:r>
              <w:rPr>
                <w:rFonts w:hint="eastAsia"/>
              </w:rPr>
              <w:t>(%)</w:t>
            </w:r>
          </w:p>
        </w:tc>
        <w:tc>
          <w:tcPr>
            <w:tcW w:w="3398" w:type="dxa"/>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jc w:val="center"/>
              <w:rPr>
                <w:rFonts w:hint="eastAsia"/>
              </w:rPr>
            </w:pPr>
            <w:r>
              <w:rPr>
                <w:rFonts w:hint="eastAsia"/>
              </w:rPr>
              <w:t>在</w:t>
            </w:r>
            <w:r>
              <w:rPr>
                <w:rFonts w:hint="eastAsia"/>
              </w:rPr>
              <w:t>10</w:t>
            </w:r>
            <w:r>
              <w:rPr>
                <w:rFonts w:hint="eastAsia"/>
              </w:rPr>
              <w:t>万以上居民城市的比例</w:t>
            </w:r>
            <w:r>
              <w:rPr>
                <w:rFonts w:hint="eastAsia"/>
              </w:rPr>
              <w:t>(%)</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aa"/>
              <w:spacing w:before="60" w:line="336" w:lineRule="auto"/>
              <w:rPr>
                <w:rFonts w:hint="eastAsia"/>
              </w:rPr>
            </w:pPr>
            <w:r>
              <w:rPr>
                <w:rFonts w:hint="eastAsia"/>
              </w:rPr>
              <w:t>煤气管道</w:t>
            </w:r>
          </w:p>
        </w:tc>
        <w:tc>
          <w:tcPr>
            <w:tcW w:w="3045" w:type="dxa"/>
            <w:tcBorders>
              <w:top w:val="nil"/>
              <w:left w:val="single" w:sz="4" w:space="0" w:color="auto"/>
              <w:bottom w:val="nil"/>
              <w:right w:val="single" w:sz="4" w:space="0" w:color="auto"/>
            </w:tcBorders>
          </w:tcPr>
          <w:p w:rsidR="00000000" w:rsidRDefault="00000000">
            <w:pPr>
              <w:pStyle w:val="aa"/>
              <w:spacing w:before="60" w:line="336" w:lineRule="auto"/>
              <w:jc w:val="center"/>
            </w:pPr>
            <w:r>
              <w:t>50.0</w:t>
            </w:r>
          </w:p>
        </w:tc>
        <w:tc>
          <w:tcPr>
            <w:tcW w:w="3398" w:type="dxa"/>
            <w:tcBorders>
              <w:top w:val="nil"/>
              <w:left w:val="single" w:sz="4" w:space="0" w:color="auto"/>
              <w:bottom w:val="nil"/>
              <w:right w:val="single" w:sz="4" w:space="0" w:color="auto"/>
            </w:tcBorders>
          </w:tcPr>
          <w:p w:rsidR="00000000" w:rsidRDefault="00000000">
            <w:pPr>
              <w:pStyle w:val="aa"/>
              <w:spacing w:before="60" w:line="336" w:lineRule="auto"/>
              <w:jc w:val="center"/>
            </w:pPr>
            <w:r>
              <w:t>80.3</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有卫生设备的公寓</w:t>
            </w:r>
          </w:p>
        </w:tc>
        <w:tc>
          <w:tcPr>
            <w:tcW w:w="3045" w:type="dxa"/>
            <w:tcBorders>
              <w:top w:val="nil"/>
              <w:left w:val="single" w:sz="4" w:space="0" w:color="auto"/>
              <w:bottom w:val="nil"/>
              <w:right w:val="single" w:sz="4" w:space="0" w:color="auto"/>
            </w:tcBorders>
          </w:tcPr>
          <w:p w:rsidR="00000000" w:rsidRDefault="00000000">
            <w:pPr>
              <w:pStyle w:val="aa"/>
              <w:spacing w:line="336" w:lineRule="auto"/>
              <w:jc w:val="center"/>
            </w:pPr>
            <w:r>
              <w:t>96.9</w:t>
            </w:r>
          </w:p>
        </w:tc>
        <w:tc>
          <w:tcPr>
            <w:tcW w:w="3398" w:type="dxa"/>
            <w:tcBorders>
              <w:top w:val="nil"/>
              <w:left w:val="single" w:sz="4" w:space="0" w:color="auto"/>
              <w:bottom w:val="nil"/>
              <w:right w:val="single" w:sz="4" w:space="0" w:color="auto"/>
            </w:tcBorders>
          </w:tcPr>
          <w:p w:rsidR="00000000" w:rsidRDefault="00000000">
            <w:pPr>
              <w:pStyle w:val="aa"/>
              <w:spacing w:line="336" w:lineRule="auto"/>
              <w:jc w:val="center"/>
            </w:pPr>
            <w:r>
              <w:t>99.2</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有抽水马桶的公寓</w:t>
            </w:r>
          </w:p>
        </w:tc>
        <w:tc>
          <w:tcPr>
            <w:tcW w:w="3045" w:type="dxa"/>
            <w:tcBorders>
              <w:top w:val="nil"/>
              <w:left w:val="single" w:sz="4" w:space="0" w:color="auto"/>
              <w:bottom w:val="nil"/>
              <w:right w:val="single" w:sz="4" w:space="0" w:color="auto"/>
            </w:tcBorders>
          </w:tcPr>
          <w:p w:rsidR="00000000" w:rsidRDefault="00000000">
            <w:pPr>
              <w:pStyle w:val="aa"/>
              <w:spacing w:line="336" w:lineRule="auto"/>
              <w:jc w:val="center"/>
            </w:pPr>
            <w:r>
              <w:t>91.5</w:t>
            </w:r>
          </w:p>
        </w:tc>
        <w:tc>
          <w:tcPr>
            <w:tcW w:w="3398" w:type="dxa"/>
            <w:tcBorders>
              <w:top w:val="nil"/>
              <w:left w:val="single" w:sz="4" w:space="0" w:color="auto"/>
              <w:bottom w:val="nil"/>
              <w:right w:val="single" w:sz="4" w:space="0" w:color="auto"/>
            </w:tcBorders>
          </w:tcPr>
          <w:p w:rsidR="00000000" w:rsidRDefault="00000000">
            <w:pPr>
              <w:pStyle w:val="aa"/>
              <w:spacing w:line="336" w:lineRule="auto"/>
              <w:jc w:val="center"/>
            </w:pPr>
            <w:r>
              <w:t>96.0</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浴室或淋浴</w:t>
            </w:r>
          </w:p>
        </w:tc>
        <w:tc>
          <w:tcPr>
            <w:tcW w:w="3045" w:type="dxa"/>
            <w:tcBorders>
              <w:top w:val="nil"/>
              <w:left w:val="single" w:sz="4" w:space="0" w:color="auto"/>
              <w:bottom w:val="nil"/>
              <w:right w:val="single" w:sz="4" w:space="0" w:color="auto"/>
            </w:tcBorders>
          </w:tcPr>
          <w:p w:rsidR="00000000" w:rsidRDefault="00000000">
            <w:pPr>
              <w:pStyle w:val="aa"/>
              <w:spacing w:line="336" w:lineRule="auto"/>
              <w:jc w:val="center"/>
            </w:pPr>
            <w:r>
              <w:t>93.2</w:t>
            </w:r>
          </w:p>
        </w:tc>
        <w:tc>
          <w:tcPr>
            <w:tcW w:w="3398" w:type="dxa"/>
            <w:tcBorders>
              <w:top w:val="nil"/>
              <w:left w:val="single" w:sz="4" w:space="0" w:color="auto"/>
              <w:bottom w:val="nil"/>
              <w:right w:val="single" w:sz="4" w:space="0" w:color="auto"/>
            </w:tcBorders>
          </w:tcPr>
          <w:p w:rsidR="00000000" w:rsidRDefault="00000000">
            <w:pPr>
              <w:pStyle w:val="aa"/>
              <w:spacing w:line="336" w:lineRule="auto"/>
              <w:jc w:val="center"/>
            </w:pPr>
            <w:r>
              <w:t>95.1</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中央取暖</w:t>
            </w:r>
          </w:p>
        </w:tc>
        <w:tc>
          <w:tcPr>
            <w:tcW w:w="3045" w:type="dxa"/>
            <w:tcBorders>
              <w:top w:val="nil"/>
              <w:left w:val="single" w:sz="4" w:space="0" w:color="auto"/>
              <w:bottom w:val="nil"/>
              <w:right w:val="single" w:sz="4" w:space="0" w:color="auto"/>
            </w:tcBorders>
          </w:tcPr>
          <w:p w:rsidR="00000000" w:rsidRDefault="00000000">
            <w:pPr>
              <w:pStyle w:val="aa"/>
              <w:spacing w:line="336" w:lineRule="auto"/>
              <w:jc w:val="center"/>
            </w:pPr>
            <w:r>
              <w:t>59.0</w:t>
            </w:r>
          </w:p>
        </w:tc>
        <w:tc>
          <w:tcPr>
            <w:tcW w:w="3398" w:type="dxa"/>
            <w:tcBorders>
              <w:top w:val="nil"/>
              <w:left w:val="single" w:sz="4" w:space="0" w:color="auto"/>
              <w:bottom w:val="nil"/>
              <w:right w:val="single" w:sz="4" w:space="0" w:color="auto"/>
            </w:tcBorders>
          </w:tcPr>
          <w:p w:rsidR="00000000" w:rsidRDefault="00000000">
            <w:pPr>
              <w:pStyle w:val="aa"/>
              <w:spacing w:line="336" w:lineRule="auto"/>
              <w:jc w:val="center"/>
            </w:pPr>
            <w:r>
              <w:t>65.1</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中央取暖的单一公寓</w:t>
            </w:r>
          </w:p>
        </w:tc>
        <w:tc>
          <w:tcPr>
            <w:tcW w:w="3045" w:type="dxa"/>
            <w:tcBorders>
              <w:top w:val="nil"/>
              <w:left w:val="single" w:sz="4" w:space="0" w:color="auto"/>
              <w:bottom w:val="nil"/>
              <w:right w:val="single" w:sz="4" w:space="0" w:color="auto"/>
            </w:tcBorders>
          </w:tcPr>
          <w:p w:rsidR="00000000" w:rsidRDefault="00000000">
            <w:pPr>
              <w:pStyle w:val="aa"/>
              <w:spacing w:line="336" w:lineRule="auto"/>
              <w:jc w:val="center"/>
            </w:pPr>
            <w:r>
              <w:t>18.6</w:t>
            </w:r>
          </w:p>
        </w:tc>
        <w:tc>
          <w:tcPr>
            <w:tcW w:w="3398" w:type="dxa"/>
            <w:tcBorders>
              <w:top w:val="nil"/>
              <w:left w:val="single" w:sz="4" w:space="0" w:color="auto"/>
              <w:bottom w:val="nil"/>
              <w:right w:val="single" w:sz="4" w:space="0" w:color="auto"/>
            </w:tcBorders>
          </w:tcPr>
          <w:p w:rsidR="00000000" w:rsidRDefault="00000000">
            <w:pPr>
              <w:pStyle w:val="aa"/>
              <w:spacing w:line="336" w:lineRule="auto"/>
              <w:jc w:val="center"/>
            </w:pPr>
            <w:r>
              <w:t>11.2</w:t>
            </w:r>
          </w:p>
        </w:tc>
      </w:tr>
      <w:tr w:rsidR="00000000">
        <w:tblPrEx>
          <w:tblCellMar>
            <w:top w:w="0" w:type="dxa"/>
            <w:bottom w:w="0" w:type="dxa"/>
          </w:tblCellMar>
        </w:tblPrEx>
        <w:tc>
          <w:tcPr>
            <w:tcW w:w="2520" w:type="dxa"/>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燃矿物燃料的炉子</w:t>
            </w:r>
          </w:p>
        </w:tc>
        <w:tc>
          <w:tcPr>
            <w:tcW w:w="3045" w:type="dxa"/>
            <w:tcBorders>
              <w:top w:val="nil"/>
              <w:left w:val="single" w:sz="4" w:space="0" w:color="auto"/>
              <w:bottom w:val="nil"/>
              <w:right w:val="single" w:sz="4" w:space="0" w:color="auto"/>
            </w:tcBorders>
          </w:tcPr>
          <w:p w:rsidR="00000000" w:rsidRDefault="00000000">
            <w:pPr>
              <w:pStyle w:val="aa"/>
              <w:spacing w:line="336" w:lineRule="auto"/>
              <w:jc w:val="center"/>
            </w:pPr>
            <w:r>
              <w:t>12.9</w:t>
            </w:r>
          </w:p>
        </w:tc>
        <w:tc>
          <w:tcPr>
            <w:tcW w:w="3398" w:type="dxa"/>
            <w:tcBorders>
              <w:top w:val="nil"/>
              <w:left w:val="single" w:sz="4" w:space="0" w:color="auto"/>
              <w:bottom w:val="nil"/>
              <w:right w:val="single" w:sz="4" w:space="0" w:color="auto"/>
            </w:tcBorders>
          </w:tcPr>
          <w:p w:rsidR="00000000" w:rsidRDefault="00000000">
            <w:pPr>
              <w:pStyle w:val="aa"/>
              <w:spacing w:line="336" w:lineRule="auto"/>
              <w:jc w:val="center"/>
            </w:pPr>
            <w:r>
              <w:t>5.5</w:t>
            </w:r>
          </w:p>
        </w:tc>
      </w:tr>
      <w:tr w:rsidR="00000000">
        <w:tblPrEx>
          <w:tblCellMar>
            <w:top w:w="0" w:type="dxa"/>
            <w:bottom w:w="0" w:type="dxa"/>
          </w:tblCellMar>
        </w:tblPrEx>
        <w:tc>
          <w:tcPr>
            <w:tcW w:w="2520" w:type="dxa"/>
            <w:tcBorders>
              <w:top w:val="nil"/>
              <w:left w:val="single" w:sz="4" w:space="0" w:color="auto"/>
              <w:bottom w:val="single" w:sz="4" w:space="0" w:color="auto"/>
              <w:right w:val="single" w:sz="4" w:space="0" w:color="auto"/>
            </w:tcBorders>
          </w:tcPr>
          <w:p w:rsidR="00000000" w:rsidRDefault="00000000">
            <w:pPr>
              <w:pStyle w:val="aa"/>
              <w:spacing w:line="336" w:lineRule="auto"/>
            </w:pPr>
            <w:r>
              <w:rPr>
                <w:rFonts w:hint="eastAsia"/>
              </w:rPr>
              <w:t>与公共排污系统相连</w:t>
            </w:r>
          </w:p>
        </w:tc>
        <w:tc>
          <w:tcPr>
            <w:tcW w:w="3045" w:type="dxa"/>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r>
              <w:t>68.1</w:t>
            </w:r>
          </w:p>
        </w:tc>
        <w:tc>
          <w:tcPr>
            <w:tcW w:w="3398" w:type="dxa"/>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r>
              <w:t>92.4</w:t>
            </w:r>
          </w:p>
        </w:tc>
      </w:tr>
    </w:tbl>
    <w:p w:rsidR="00000000" w:rsidRDefault="00000000">
      <w:pPr>
        <w:spacing w:before="240" w:after="24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w:t>
      </w:r>
      <w:r>
        <w:rPr>
          <w:rFonts w:eastAsia="KaiTi_GB2312" w:hint="eastAsia"/>
          <w:snapToGrid/>
          <w:spacing w:val="0"/>
        </w:rPr>
        <w:t>1991</w:t>
      </w:r>
      <w:r>
        <w:rPr>
          <w:rFonts w:eastAsia="KaiTi_GB2312" w:hint="eastAsia"/>
          <w:snapToGrid/>
          <w:spacing w:val="0"/>
        </w:rPr>
        <w:t>年人口、住房和公寓普查。</w:t>
      </w:r>
    </w:p>
    <w:p w:rsidR="00000000" w:rsidRDefault="00000000">
      <w:pPr>
        <w:rPr>
          <w:rFonts w:hint="eastAsia"/>
        </w:rPr>
      </w:pPr>
      <w:r>
        <w:rPr>
          <w:rFonts w:hint="eastAsia"/>
        </w:rPr>
        <w:tab/>
        <w:t xml:space="preserve">420.  </w:t>
      </w:r>
      <w:r>
        <w:rPr>
          <w:rFonts w:hint="eastAsia"/>
        </w:rPr>
        <w:t>被聚居在一起的占居者非法用作住房的建筑在捷克似乎十分罕见，其数目不详。与非法占居某些居民或非居民建筑、被长期遗弃的建筑、或无适当使用协议的公寓的人的争端作为该建筑或公寓所有人与非法使用者之间的民法关系问题解决。</w:t>
      </w:r>
    </w:p>
    <w:p w:rsidR="00000000" w:rsidRDefault="00000000">
      <w:pPr>
        <w:rPr>
          <w:rFonts w:hint="eastAsia"/>
        </w:rPr>
      </w:pPr>
      <w:r>
        <w:rPr>
          <w:rFonts w:hint="eastAsia"/>
        </w:rPr>
        <w:tab/>
        <w:t xml:space="preserve">421.  </w:t>
      </w:r>
      <w:r>
        <w:rPr>
          <w:rFonts w:hint="eastAsia"/>
        </w:rPr>
        <w:t>根据非政府组织的估计，捷克共和国约有</w:t>
      </w:r>
      <w:r>
        <w:rPr>
          <w:rFonts w:hint="eastAsia"/>
        </w:rPr>
        <w:t>100,000</w:t>
      </w:r>
      <w:r>
        <w:rPr>
          <w:rFonts w:hint="eastAsia"/>
        </w:rPr>
        <w:t>无家可归者。他们不仅包括离开社会看护机构和被其家庭逐出的人，还包括自己决定放弃其住所的人。大量无家可归者依靠慈善组织的援助，后者帮助他们盖建住所。从长远角度而言，这种解决办法是不恰当的，但迄今为止国家政府一级有可能帮助这些居民群体的措施不多。</w:t>
      </w:r>
    </w:p>
    <w:p w:rsidR="00000000" w:rsidRDefault="00000000">
      <w:pPr>
        <w:rPr>
          <w:rFonts w:hint="eastAsia"/>
        </w:rPr>
      </w:pPr>
      <w:r>
        <w:rPr>
          <w:rFonts w:hint="eastAsia"/>
        </w:rPr>
        <w:tab/>
        <w:t xml:space="preserve">422.  </w:t>
      </w:r>
      <w:r>
        <w:rPr>
          <w:rFonts w:hint="eastAsia"/>
        </w:rPr>
        <w:t>在捷克共和国所谓福利住房机构不受法律管制。市政府按照他们对其自己的机构行使管辖权时通过的规章向社会脆弱公民提供住房。市政府接受等待公寓的公民的申请，即申请签署租赁主要为福利原因</w:t>
      </w:r>
      <w:r>
        <w:rPr>
          <w:rFonts w:hint="eastAsia"/>
        </w:rPr>
        <w:t>(</w:t>
      </w:r>
      <w:r>
        <w:rPr>
          <w:rFonts w:hint="eastAsia"/>
        </w:rPr>
        <w:t>房租受到管制</w:t>
      </w:r>
      <w:r>
        <w:rPr>
          <w:rFonts w:hint="eastAsia"/>
        </w:rPr>
        <w:t>)</w:t>
      </w:r>
      <w:r>
        <w:rPr>
          <w:rFonts w:hint="eastAsia"/>
        </w:rPr>
        <w:t>提供的公寓的协议。申请通常由市政当局为此目的成立的特别“住房”委员会评估。等待期限因地而异，取决于申请人所申请的公寓和个人情况的迫切性。对房租低和受控制的公寓的申请数始终超过市政府满足它们的能力。在紧急情况中，市政府也破例根据</w:t>
      </w:r>
      <w:r>
        <w:rPr>
          <w:rFonts w:hint="eastAsia"/>
        </w:rPr>
        <w:t>1992</w:t>
      </w:r>
      <w:r>
        <w:rPr>
          <w:rFonts w:hint="eastAsia"/>
        </w:rPr>
        <w:t>年对民法的修正案</w:t>
      </w:r>
      <w:r>
        <w:rPr>
          <w:rFonts w:hint="eastAsia"/>
        </w:rPr>
        <w:t xml:space="preserve"> </w:t>
      </w:r>
      <w:r>
        <w:rPr>
          <w:rStyle w:val="EndnoteReference"/>
        </w:rPr>
        <w:endnoteReference w:id="246"/>
      </w:r>
      <w:r>
        <w:rPr>
          <w:rFonts w:hint="eastAsia"/>
        </w:rPr>
        <w:t xml:space="preserve"> </w:t>
      </w:r>
      <w:r>
        <w:rPr>
          <w:rFonts w:hint="eastAsia"/>
        </w:rPr>
        <w:t>帮助安排替代公寓。此种情况的条件是房东经法院同意终止公寓租契并由法院决定租户有权得到替代公寓或住房。</w:t>
      </w:r>
    </w:p>
    <w:p w:rsidR="00000000" w:rsidRDefault="00000000">
      <w:pPr>
        <w:rPr>
          <w:rFonts w:hint="eastAsia"/>
        </w:rPr>
      </w:pPr>
      <w:r>
        <w:rPr>
          <w:rFonts w:hint="eastAsia"/>
        </w:rPr>
        <w:tab/>
        <w:t xml:space="preserve">423.  </w:t>
      </w:r>
      <w:r>
        <w:rPr>
          <w:rFonts w:hint="eastAsia"/>
        </w:rPr>
        <w:t>与住房有关的问题包括“过渡住房”数量少和收容所用于社会照顾的设施不充分。收容所的客户主要是没有充分财务储备或能力自己克服生活变化带来的严重困难的人</w:t>
      </w:r>
      <w:r>
        <w:rPr>
          <w:rFonts w:hint="eastAsia"/>
          <w:spacing w:val="-50"/>
        </w:rPr>
        <w:t>―</w:t>
      </w:r>
      <w:r>
        <w:rPr>
          <w:rFonts w:hint="eastAsia"/>
        </w:rPr>
        <w:t>―失业、家庭关系紧张，例如离婚期间或之后等</w:t>
      </w:r>
      <w:r>
        <w:rPr>
          <w:rFonts w:hint="eastAsia"/>
          <w:spacing w:val="-50"/>
        </w:rPr>
        <w:t>―</w:t>
      </w:r>
      <w:r>
        <w:rPr>
          <w:rFonts w:hint="eastAsia"/>
        </w:rPr>
        <w:t>―和没有机会用改变其住房来应付这些情况的人。收容所不仅仅充当临时替代住房，而且也提供综合社会服务、法律咨询并帮助处理棘手和复杂的个人情况。然而，将一客户安置在收容所常常仅推迟其问题的解决，因为安置在收容所后找到较长久性质住房属罕见情况。</w:t>
      </w:r>
    </w:p>
    <w:p w:rsidR="00000000" w:rsidRDefault="00000000">
      <w:pPr>
        <w:rPr>
          <w:rFonts w:hint="eastAsia"/>
        </w:rPr>
      </w:pPr>
      <w:r>
        <w:rPr>
          <w:rFonts w:hint="eastAsia"/>
        </w:rPr>
        <w:tab/>
        <w:t xml:space="preserve">424.  </w:t>
      </w:r>
      <w:r>
        <w:rPr>
          <w:rFonts w:hint="eastAsia"/>
        </w:rPr>
        <w:t>收容所由非政府、非盈利性组织、教会和市政府设立。管理收容所的资金通常来自若干渠道</w:t>
      </w:r>
      <w:r>
        <w:rPr>
          <w:rFonts w:hint="eastAsia"/>
        </w:rPr>
        <w:t>(</w:t>
      </w:r>
      <w:r>
        <w:rPr>
          <w:rFonts w:hint="eastAsia"/>
        </w:rPr>
        <w:t>国内和国外</w:t>
      </w:r>
      <w:r>
        <w:rPr>
          <w:rFonts w:hint="eastAsia"/>
        </w:rPr>
        <w:t>)</w:t>
      </w:r>
      <w:r>
        <w:rPr>
          <w:rFonts w:hint="eastAsia"/>
        </w:rPr>
        <w:t>：劳工和社会事务部、区办事处和市政府的预算，各基金和人民自己的资金</w:t>
      </w:r>
      <w:r>
        <w:rPr>
          <w:rFonts w:hint="eastAsia"/>
        </w:rPr>
        <w:t>(</w:t>
      </w:r>
      <w:r>
        <w:rPr>
          <w:rFonts w:hint="eastAsia"/>
        </w:rPr>
        <w:t>例如客户缴的税</w:t>
      </w:r>
      <w:r>
        <w:rPr>
          <w:rFonts w:hint="eastAsia"/>
        </w:rPr>
        <w:t>)</w:t>
      </w:r>
      <w:r>
        <w:rPr>
          <w:rFonts w:hint="eastAsia"/>
        </w:rPr>
        <w:t>。收容所经营者代表协会于</w:t>
      </w:r>
      <w:r>
        <w:rPr>
          <w:rFonts w:hint="eastAsia"/>
        </w:rPr>
        <w:t>1992</w:t>
      </w:r>
      <w:r>
        <w:rPr>
          <w:rFonts w:hint="eastAsia"/>
        </w:rPr>
        <w:t>年成立。这一民事协会将各种收容所联成网络、交流资料和经验和为与中央和地方一级的国家和立法机构与其他机构的协调和合作创造必要条件。因而它建成信息网络，不仅不断监测单个设施的床位能力及其使用率，而且还监测客户更替情况。在</w:t>
      </w:r>
      <w:r>
        <w:rPr>
          <w:rFonts w:hint="eastAsia"/>
        </w:rPr>
        <w:t>1999</w:t>
      </w:r>
      <w:r>
        <w:rPr>
          <w:rFonts w:hint="eastAsia"/>
        </w:rPr>
        <w:t>年中，</w:t>
      </w:r>
      <w:r>
        <w:rPr>
          <w:rFonts w:hint="eastAsia"/>
        </w:rPr>
        <w:t>59</w:t>
      </w:r>
      <w:r>
        <w:rPr>
          <w:rFonts w:hint="eastAsia"/>
        </w:rPr>
        <w:t>个收容所为协会成员。收容所多数</w:t>
      </w:r>
      <w:r>
        <w:rPr>
          <w:rFonts w:hint="eastAsia"/>
        </w:rPr>
        <w:t>(</w:t>
      </w:r>
      <w:r>
        <w:rPr>
          <w:rFonts w:hint="eastAsia"/>
        </w:rPr>
        <w:t>其中的</w:t>
      </w:r>
      <w:r>
        <w:rPr>
          <w:rFonts w:hint="eastAsia"/>
        </w:rPr>
        <w:t>39</w:t>
      </w:r>
      <w:r>
        <w:rPr>
          <w:rFonts w:hint="eastAsia"/>
        </w:rPr>
        <w:t>个</w:t>
      </w:r>
      <w:r>
        <w:rPr>
          <w:rFonts w:hint="eastAsia"/>
        </w:rPr>
        <w:t>)</w:t>
      </w:r>
      <w:r>
        <w:rPr>
          <w:rFonts w:hint="eastAsia"/>
        </w:rPr>
        <w:t>安置男子、</w:t>
      </w:r>
      <w:r>
        <w:rPr>
          <w:rFonts w:hint="eastAsia"/>
        </w:rPr>
        <w:t>14</w:t>
      </w:r>
      <w:r>
        <w:rPr>
          <w:rFonts w:hint="eastAsia"/>
        </w:rPr>
        <w:t>个收留妇女、</w:t>
      </w:r>
      <w:r>
        <w:rPr>
          <w:rFonts w:hint="eastAsia"/>
        </w:rPr>
        <w:t>23</w:t>
      </w:r>
      <w:r>
        <w:rPr>
          <w:rFonts w:hint="eastAsia"/>
        </w:rPr>
        <w:t>个为有孩子的母亲提供住处，一个也能安置整个家庭</w:t>
      </w:r>
      <w:r>
        <w:rPr>
          <w:rFonts w:hint="eastAsia"/>
        </w:rPr>
        <w:t>(</w:t>
      </w:r>
      <w:r>
        <w:rPr>
          <w:rFonts w:hint="eastAsia"/>
        </w:rPr>
        <w:t>按救济对象结构而分，收容所的数目大于</w:t>
      </w:r>
      <w:r>
        <w:rPr>
          <w:rFonts w:hint="eastAsia"/>
        </w:rPr>
        <w:t>59</w:t>
      </w:r>
      <w:r>
        <w:rPr>
          <w:rFonts w:hint="eastAsia"/>
        </w:rPr>
        <w:t>个，因为有一些男女均收留，有一些收留妇女和有孩子的母亲</w:t>
      </w:r>
      <w:r>
        <w:rPr>
          <w:rFonts w:hint="eastAsia"/>
        </w:rPr>
        <w:t>)</w:t>
      </w:r>
      <w:r>
        <w:rPr>
          <w:rFonts w:hint="eastAsia"/>
        </w:rPr>
        <w:t>。</w:t>
      </w:r>
    </w:p>
    <w:p w:rsidR="00000000" w:rsidRDefault="00000000">
      <w:pPr>
        <w:rPr>
          <w:rFonts w:hint="eastAsia"/>
        </w:rPr>
      </w:pPr>
      <w:r>
        <w:rPr>
          <w:rFonts w:hint="eastAsia"/>
        </w:rPr>
        <w:tab/>
        <w:t xml:space="preserve">425.  </w:t>
      </w:r>
      <w:r>
        <w:rPr>
          <w:rFonts w:hint="eastAsia"/>
        </w:rPr>
        <w:t>“过渡住房”是一种特别类型的社会服务</w:t>
      </w:r>
      <w:r>
        <w:rPr>
          <w:rFonts w:hint="eastAsia"/>
        </w:rPr>
        <w:t>(</w:t>
      </w:r>
      <w:r>
        <w:rPr>
          <w:rFonts w:hint="eastAsia"/>
        </w:rPr>
        <w:t>给脆弱群体的所谓居住类型服务</w:t>
      </w:r>
      <w:r>
        <w:rPr>
          <w:rFonts w:hint="eastAsia"/>
        </w:rPr>
        <w:t>)</w:t>
      </w:r>
      <w:r>
        <w:rPr>
          <w:rFonts w:hint="eastAsia"/>
        </w:rPr>
        <w:t>。他们服务的救济对象是因各种原因（不仅仅是不能找到承受得起的住房）需要在受保护条件下居住一定时间的人，因此这种过渡住房也提供比收容所所能提供更长期的住房援助。“过渡住房”的对象例如是达到成人年龄</w:t>
      </w:r>
      <w:r>
        <w:rPr>
          <w:rFonts w:hint="eastAsia"/>
        </w:rPr>
        <w:t>(18</w:t>
      </w:r>
      <w:r>
        <w:rPr>
          <w:rFonts w:hint="eastAsia"/>
        </w:rPr>
        <w:t>岁</w:t>
      </w:r>
      <w:r>
        <w:rPr>
          <w:rFonts w:hint="eastAsia"/>
        </w:rPr>
        <w:t>)</w:t>
      </w:r>
      <w:r>
        <w:rPr>
          <w:rFonts w:hint="eastAsia"/>
        </w:rPr>
        <w:t>后从教养机构或监护机构获释的青年成人。到报告期截止时，捷克共和国有</w:t>
      </w:r>
      <w:r>
        <w:rPr>
          <w:rFonts w:hint="eastAsia"/>
        </w:rPr>
        <w:t>13</w:t>
      </w:r>
      <w:r>
        <w:rPr>
          <w:rFonts w:hint="eastAsia"/>
        </w:rPr>
        <w:t>个此类设施，另外有</w:t>
      </w:r>
      <w:r>
        <w:rPr>
          <w:rFonts w:hint="eastAsia"/>
        </w:rPr>
        <w:t>4</w:t>
      </w:r>
      <w:r>
        <w:rPr>
          <w:rFonts w:hint="eastAsia"/>
        </w:rPr>
        <w:t>个开展类似活动的类似性质的设施；若干其他个将在</w:t>
      </w:r>
      <w:r>
        <w:rPr>
          <w:rFonts w:hint="eastAsia"/>
        </w:rPr>
        <w:t>2000</w:t>
      </w:r>
      <w:r>
        <w:rPr>
          <w:rFonts w:hint="eastAsia"/>
        </w:rPr>
        <w:t>年完工和开放。劳工和社会事务部对其建造和运作给予财务支持；社会干预性服务是该部补贴的优先事项。</w:t>
      </w:r>
    </w:p>
    <w:p w:rsidR="00000000" w:rsidRDefault="00000000">
      <w:pPr>
        <w:spacing w:after="320"/>
        <w:rPr>
          <w:rFonts w:hint="eastAsia"/>
        </w:rPr>
      </w:pPr>
      <w:r>
        <w:rPr>
          <w:rFonts w:hint="eastAsia"/>
        </w:rPr>
        <w:tab/>
        <w:t xml:space="preserve">426.  </w:t>
      </w:r>
      <w:r>
        <w:rPr>
          <w:rFonts w:hint="eastAsia"/>
        </w:rPr>
        <w:t>由于捷克共和国没有规定住房开支不应超过家庭收入的比例，因此报告无法提供住房开支相对收入而言超出其支付能力的人数。鉴于仍在进行的改革进程，我们仍然假定如果住房开支超出比例，给收入在维持生计水平</w:t>
      </w:r>
      <w:r>
        <w:rPr>
          <w:rFonts w:hint="eastAsia"/>
        </w:rPr>
        <w:t>1.6</w:t>
      </w:r>
      <w:r>
        <w:rPr>
          <w:rFonts w:hint="eastAsia"/>
        </w:rPr>
        <w:t>倍的家庭造成负担，这些家庭根据法律</w:t>
      </w:r>
      <w:r>
        <w:t xml:space="preserve"> </w:t>
      </w:r>
      <w:r>
        <w:rPr>
          <w:rStyle w:val="EndnoteReference"/>
        </w:rPr>
        <w:endnoteReference w:id="247"/>
      </w:r>
      <w:r>
        <w:t xml:space="preserve"> </w:t>
      </w:r>
      <w:r>
        <w:rPr>
          <w:rFonts w:hint="eastAsia"/>
        </w:rPr>
        <w:t>得到住房补贴。此外，收入达到维持生计水平</w:t>
      </w:r>
      <w:r>
        <w:rPr>
          <w:rFonts w:hint="eastAsia"/>
        </w:rPr>
        <w:t>1.6</w:t>
      </w:r>
      <w:r>
        <w:rPr>
          <w:rFonts w:hint="eastAsia"/>
        </w:rPr>
        <w:t>倍的家庭有权享受两项其他直接、个人福利津贴：补偿房租</w:t>
      </w:r>
      <w:r>
        <w:t xml:space="preserve"> </w:t>
      </w:r>
      <w:r>
        <w:rPr>
          <w:rStyle w:val="EndnoteReference"/>
        </w:rPr>
        <w:endnoteReference w:id="248"/>
      </w:r>
      <w:r>
        <w:t xml:space="preserve"> </w:t>
      </w:r>
      <w:r>
        <w:rPr>
          <w:rFonts w:hint="eastAsia"/>
        </w:rPr>
        <w:t>增加的捐助，然而这仅提供给住在房租受控制的公寓的人；补偿燃料价格上涨</w:t>
      </w:r>
      <w:r>
        <w:t xml:space="preserve"> </w:t>
      </w:r>
      <w:r>
        <w:rPr>
          <w:rStyle w:val="EndnoteReference"/>
        </w:rPr>
        <w:endnoteReference w:id="249"/>
      </w:r>
      <w:r>
        <w:t xml:space="preserve"> </w:t>
      </w:r>
      <w:r>
        <w:rPr>
          <w:rFonts w:hint="eastAsia"/>
        </w:rPr>
        <w:t>的捐助，这提供给住在远离取暖地区的公寓的家庭。不久为了确定一种新的直接个人福利津贴将规定工资中用于住房开支</w:t>
      </w:r>
      <w:r>
        <w:rPr>
          <w:rFonts w:hint="eastAsia"/>
        </w:rPr>
        <w:t>(</w:t>
      </w:r>
      <w:r>
        <w:rPr>
          <w:rFonts w:hint="eastAsia"/>
        </w:rPr>
        <w:t>或净房租</w:t>
      </w:r>
      <w:r>
        <w:rPr>
          <w:rFonts w:hint="eastAsia"/>
        </w:rPr>
        <w:t>)</w:t>
      </w:r>
      <w:r>
        <w:rPr>
          <w:rFonts w:hint="eastAsia"/>
        </w:rPr>
        <w:t>令人能承受得起的最高比例，这将在向确定和调整房租的新制度过渡的同时推行。</w:t>
      </w:r>
      <w:r>
        <w:rPr>
          <w:rStyle w:val="EndnoteReference"/>
        </w:rPr>
        <w:endnoteReference w:id="250"/>
      </w:r>
    </w:p>
    <w:p w:rsidR="00000000" w:rsidRDefault="00000000">
      <w:pPr>
        <w:pStyle w:val="Heading3"/>
        <w:spacing w:after="160"/>
        <w:rPr>
          <w:rFonts w:hint="eastAsia"/>
        </w:rPr>
      </w:pPr>
      <w:r>
        <w:rPr>
          <w:rFonts w:hint="eastAsia"/>
        </w:rPr>
        <w:t>房源结构</w:t>
      </w:r>
      <w:r>
        <w:rPr>
          <w:rFonts w:hint="eastAsia"/>
          <w:spacing w:val="-50"/>
        </w:rPr>
        <w:t>―</w:t>
      </w:r>
      <w:r>
        <w:rPr>
          <w:rFonts w:hint="eastAsia"/>
        </w:rPr>
        <w:t>―基本部门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pStyle w:val="aa"/>
              <w:spacing w:before="80" w:after="60"/>
              <w:jc w:val="center"/>
              <w:rPr>
                <w:rFonts w:hint="eastAsia"/>
              </w:rPr>
            </w:pPr>
            <w:r>
              <w:rPr>
                <w:rFonts w:hint="eastAsia"/>
              </w:rPr>
              <w:t>住房部门</w:t>
            </w:r>
          </w:p>
        </w:tc>
        <w:tc>
          <w:tcPr>
            <w:tcW w:w="4786" w:type="dxa"/>
          </w:tcPr>
          <w:p w:rsidR="00000000" w:rsidRDefault="00000000">
            <w:pPr>
              <w:pStyle w:val="aa"/>
              <w:spacing w:before="80" w:after="60"/>
              <w:jc w:val="center"/>
              <w:rPr>
                <w:rFonts w:hint="eastAsia"/>
              </w:rPr>
            </w:pPr>
            <w:r>
              <w:rPr>
                <w:rFonts w:hint="eastAsia"/>
              </w:rPr>
              <w:t>在住房市场所占份额</w:t>
            </w:r>
            <w:r>
              <w:rPr>
                <w:rFonts w:hint="eastAsia"/>
              </w:rPr>
              <w:t>(</w:t>
            </w:r>
            <w:r>
              <w:rPr>
                <w:rFonts w:hint="eastAsia"/>
              </w:rPr>
              <w:t>百分比</w:t>
            </w:r>
            <w:r>
              <w:rPr>
                <w:rFonts w:hint="eastAsia"/>
              </w:rPr>
              <w:t>)</w:t>
            </w:r>
          </w:p>
        </w:tc>
      </w:tr>
      <w:tr w:rsidR="00000000">
        <w:tblPrEx>
          <w:tblCellMar>
            <w:top w:w="0" w:type="dxa"/>
            <w:bottom w:w="0" w:type="dxa"/>
          </w:tblCellMar>
        </w:tblPrEx>
        <w:tc>
          <w:tcPr>
            <w:tcW w:w="4785" w:type="dxa"/>
          </w:tcPr>
          <w:p w:rsidR="00000000" w:rsidRDefault="00000000">
            <w:pPr>
              <w:pStyle w:val="aa"/>
              <w:ind w:firstLine="840"/>
              <w:rPr>
                <w:rFonts w:hint="eastAsia"/>
              </w:rPr>
            </w:pPr>
            <w:r>
              <w:rPr>
                <w:rFonts w:hint="eastAsia"/>
              </w:rPr>
              <w:t>私</w:t>
            </w:r>
            <w:r>
              <w:rPr>
                <w:rFonts w:hint="eastAsia"/>
              </w:rPr>
              <w:t xml:space="preserve">  </w:t>
            </w:r>
            <w:r>
              <w:rPr>
                <w:rFonts w:hint="eastAsia"/>
              </w:rPr>
              <w:t>房</w:t>
            </w:r>
          </w:p>
        </w:tc>
        <w:tc>
          <w:tcPr>
            <w:tcW w:w="4786" w:type="dxa"/>
          </w:tcPr>
          <w:p w:rsidR="00000000" w:rsidRDefault="00000000">
            <w:pPr>
              <w:pStyle w:val="aa"/>
              <w:ind w:right="1794"/>
              <w:jc w:val="right"/>
              <w:rPr>
                <w:rFonts w:hint="eastAsia"/>
              </w:rPr>
            </w:pPr>
            <w:r>
              <w:rPr>
                <w:rFonts w:hint="eastAsia"/>
              </w:rPr>
              <w:t>46.2</w:t>
            </w:r>
          </w:p>
        </w:tc>
      </w:tr>
      <w:tr w:rsidR="00000000">
        <w:tblPrEx>
          <w:tblCellMar>
            <w:top w:w="0" w:type="dxa"/>
            <w:bottom w:w="0" w:type="dxa"/>
          </w:tblCellMar>
        </w:tblPrEx>
        <w:tc>
          <w:tcPr>
            <w:tcW w:w="4785" w:type="dxa"/>
          </w:tcPr>
          <w:p w:rsidR="00000000" w:rsidRDefault="00000000">
            <w:pPr>
              <w:pStyle w:val="aa"/>
              <w:ind w:firstLine="840"/>
              <w:rPr>
                <w:rFonts w:hint="eastAsia"/>
              </w:rPr>
            </w:pPr>
            <w:r>
              <w:rPr>
                <w:rFonts w:hint="eastAsia"/>
              </w:rPr>
              <w:t>租</w:t>
            </w:r>
            <w:r>
              <w:rPr>
                <w:rFonts w:hint="eastAsia"/>
              </w:rPr>
              <w:t xml:space="preserve">  </w:t>
            </w:r>
            <w:r>
              <w:rPr>
                <w:rFonts w:hint="eastAsia"/>
              </w:rPr>
              <w:t>房</w:t>
            </w:r>
          </w:p>
        </w:tc>
        <w:tc>
          <w:tcPr>
            <w:tcW w:w="4786" w:type="dxa"/>
          </w:tcPr>
          <w:p w:rsidR="00000000" w:rsidRDefault="00000000">
            <w:pPr>
              <w:pStyle w:val="aa"/>
              <w:ind w:right="1794"/>
              <w:jc w:val="right"/>
              <w:rPr>
                <w:rFonts w:hint="eastAsia"/>
              </w:rPr>
            </w:pPr>
            <w:r>
              <w:rPr>
                <w:rFonts w:hint="eastAsia"/>
              </w:rPr>
              <w:t>30.9</w:t>
            </w:r>
          </w:p>
        </w:tc>
      </w:tr>
      <w:tr w:rsidR="00000000">
        <w:tblPrEx>
          <w:tblCellMar>
            <w:top w:w="0" w:type="dxa"/>
            <w:bottom w:w="0" w:type="dxa"/>
          </w:tblCellMar>
        </w:tblPrEx>
        <w:tc>
          <w:tcPr>
            <w:tcW w:w="4785" w:type="dxa"/>
          </w:tcPr>
          <w:p w:rsidR="00000000" w:rsidRDefault="00000000">
            <w:pPr>
              <w:pStyle w:val="aa"/>
              <w:ind w:firstLine="840"/>
              <w:rPr>
                <w:rFonts w:hint="eastAsia"/>
              </w:rPr>
            </w:pPr>
            <w:r>
              <w:rPr>
                <w:rFonts w:hint="eastAsia"/>
              </w:rPr>
              <w:t>合作公寓</w:t>
            </w:r>
          </w:p>
        </w:tc>
        <w:tc>
          <w:tcPr>
            <w:tcW w:w="4786" w:type="dxa"/>
          </w:tcPr>
          <w:p w:rsidR="00000000" w:rsidRDefault="00000000">
            <w:pPr>
              <w:pStyle w:val="aa"/>
              <w:ind w:right="1794"/>
              <w:jc w:val="right"/>
              <w:rPr>
                <w:rFonts w:hint="eastAsia"/>
              </w:rPr>
            </w:pPr>
            <w:r>
              <w:rPr>
                <w:rFonts w:hint="eastAsia"/>
              </w:rPr>
              <w:t>19.0</w:t>
            </w:r>
          </w:p>
        </w:tc>
      </w:tr>
      <w:tr w:rsidR="00000000">
        <w:tblPrEx>
          <w:tblCellMar>
            <w:top w:w="0" w:type="dxa"/>
            <w:bottom w:w="0" w:type="dxa"/>
          </w:tblCellMar>
        </w:tblPrEx>
        <w:tc>
          <w:tcPr>
            <w:tcW w:w="4785" w:type="dxa"/>
          </w:tcPr>
          <w:p w:rsidR="00000000" w:rsidRDefault="00000000">
            <w:pPr>
              <w:pStyle w:val="aa"/>
              <w:ind w:firstLine="840"/>
              <w:rPr>
                <w:rFonts w:hint="eastAsia"/>
              </w:rPr>
            </w:pPr>
            <w:r>
              <w:rPr>
                <w:rFonts w:hint="eastAsia"/>
              </w:rPr>
              <w:t>其</w:t>
            </w:r>
            <w:r>
              <w:rPr>
                <w:rFonts w:hint="eastAsia"/>
              </w:rPr>
              <w:t xml:space="preserve">  </w:t>
            </w:r>
            <w:r>
              <w:rPr>
                <w:rFonts w:hint="eastAsia"/>
              </w:rPr>
              <w:t>他</w:t>
            </w:r>
          </w:p>
        </w:tc>
        <w:tc>
          <w:tcPr>
            <w:tcW w:w="4786" w:type="dxa"/>
          </w:tcPr>
          <w:p w:rsidR="00000000" w:rsidRDefault="00000000">
            <w:pPr>
              <w:pStyle w:val="aa"/>
              <w:ind w:right="1794"/>
              <w:jc w:val="right"/>
              <w:rPr>
                <w:rFonts w:hint="eastAsia"/>
              </w:rPr>
            </w:pPr>
            <w:r>
              <w:rPr>
                <w:rFonts w:hint="eastAsia"/>
              </w:rPr>
              <w:t>3.9</w:t>
            </w:r>
          </w:p>
        </w:tc>
      </w:tr>
      <w:tr w:rsidR="00000000">
        <w:tblPrEx>
          <w:tblCellMar>
            <w:top w:w="0" w:type="dxa"/>
            <w:bottom w:w="0" w:type="dxa"/>
          </w:tblCellMar>
        </w:tblPrEx>
        <w:tc>
          <w:tcPr>
            <w:tcW w:w="4785" w:type="dxa"/>
          </w:tcPr>
          <w:p w:rsidR="00000000" w:rsidRDefault="00000000">
            <w:pPr>
              <w:pStyle w:val="aa"/>
              <w:ind w:firstLine="840"/>
              <w:rPr>
                <w:rFonts w:hint="eastAsia"/>
              </w:rPr>
            </w:pPr>
            <w:r>
              <w:tab/>
            </w:r>
            <w:r>
              <w:rPr>
                <w:rFonts w:hint="eastAsia"/>
              </w:rPr>
              <w:tab/>
            </w:r>
            <w:r>
              <w:rPr>
                <w:rFonts w:hint="eastAsia"/>
              </w:rPr>
              <w:t>总</w:t>
            </w:r>
            <w:r>
              <w:rPr>
                <w:rFonts w:hint="eastAsia"/>
              </w:rPr>
              <w:t xml:space="preserve">  </w:t>
            </w:r>
            <w:r>
              <w:rPr>
                <w:rFonts w:hint="eastAsia"/>
              </w:rPr>
              <w:t>计</w:t>
            </w:r>
          </w:p>
        </w:tc>
        <w:tc>
          <w:tcPr>
            <w:tcW w:w="4786" w:type="dxa"/>
          </w:tcPr>
          <w:p w:rsidR="00000000" w:rsidRDefault="00000000">
            <w:pPr>
              <w:pStyle w:val="aa"/>
              <w:ind w:right="1794"/>
              <w:jc w:val="right"/>
              <w:rPr>
                <w:rFonts w:hint="eastAsia"/>
              </w:rPr>
            </w:pPr>
            <w:r>
              <w:rPr>
                <w:rFonts w:hint="eastAsia"/>
              </w:rPr>
              <w:t>100.0</w:t>
            </w:r>
          </w:p>
        </w:tc>
      </w:tr>
    </w:tbl>
    <w:p w:rsidR="00000000" w:rsidRDefault="00000000">
      <w:pPr>
        <w:pStyle w:val="EndnoteText"/>
        <w:spacing w:before="240" w:after="240" w:line="336" w:lineRule="auto"/>
        <w:rPr>
          <w:rFonts w:hint="eastAsia"/>
        </w:rPr>
      </w:pPr>
      <w:r>
        <w:rPr>
          <w:rFonts w:hint="eastAsia"/>
          <w:u w:val="single"/>
        </w:rPr>
        <w:t>资料来源</w:t>
      </w:r>
      <w:r>
        <w:rPr>
          <w:rFonts w:hint="eastAsia"/>
        </w:rPr>
        <w:t>：</w:t>
      </w:r>
      <w:r>
        <w:rPr>
          <w:rFonts w:hint="eastAsia"/>
        </w:rPr>
        <w:t>1999</w:t>
      </w:r>
      <w:r>
        <w:rPr>
          <w:rFonts w:hint="eastAsia"/>
        </w:rPr>
        <w:t>年捷克共和国地方发展部的估计。</w:t>
      </w:r>
    </w:p>
    <w:p w:rsidR="00000000" w:rsidRDefault="00000000">
      <w:pPr>
        <w:rPr>
          <w:rFonts w:hint="eastAsia"/>
        </w:rPr>
      </w:pPr>
      <w:r>
        <w:rPr>
          <w:rFonts w:hint="eastAsia"/>
        </w:rPr>
        <w:tab/>
        <w:t xml:space="preserve">427.  </w:t>
      </w:r>
      <w:r>
        <w:rPr>
          <w:rFonts w:hint="eastAsia"/>
        </w:rPr>
        <w:t>根据地方发展部的估计，按住房类型分的家庭分布情况与个人住房类型在住房市场所占比例几乎一样，即表中所示房源结构：</w:t>
      </w:r>
    </w:p>
    <w:p w:rsidR="00000000" w:rsidRDefault="00000000">
      <w:pPr>
        <w:numPr>
          <w:ilvl w:val="0"/>
          <w:numId w:val="889"/>
        </w:numPr>
        <w:rPr>
          <w:rFonts w:hint="eastAsia"/>
        </w:rPr>
      </w:pPr>
      <w:r>
        <w:rPr>
          <w:rFonts w:hint="eastAsia"/>
        </w:rPr>
        <w:t>私房部门主要包括房主居住的家庭房屋；私房部门仅一小部分</w:t>
      </w:r>
      <w:r>
        <w:rPr>
          <w:rFonts w:hint="eastAsia"/>
        </w:rPr>
        <w:t>(</w:t>
      </w:r>
      <w:r>
        <w:rPr>
          <w:rFonts w:hint="eastAsia"/>
        </w:rPr>
        <w:t>约</w:t>
      </w:r>
      <w:r>
        <w:rPr>
          <w:rFonts w:hint="eastAsia"/>
        </w:rPr>
        <w:t>5%)</w:t>
      </w:r>
      <w:r>
        <w:rPr>
          <w:rFonts w:hint="eastAsia"/>
        </w:rPr>
        <w:t>包含居民拥有的个别公寓，这一小部分在房源私有化进程中正不断扩大；</w:t>
      </w:r>
    </w:p>
    <w:p w:rsidR="00000000" w:rsidRDefault="00000000">
      <w:pPr>
        <w:numPr>
          <w:ilvl w:val="0"/>
          <w:numId w:val="889"/>
        </w:numPr>
        <w:rPr>
          <w:rFonts w:hint="eastAsia"/>
        </w:rPr>
      </w:pPr>
      <w:r>
        <w:rPr>
          <w:rFonts w:hint="eastAsia"/>
        </w:rPr>
        <w:t>租房部门的四分之三来源于市政府的住房，即原国家住房。四分之一是自然人</w:t>
      </w:r>
      <w:r>
        <w:rPr>
          <w:rFonts w:hint="eastAsia"/>
        </w:rPr>
        <w:t>(</w:t>
      </w:r>
      <w:r>
        <w:rPr>
          <w:rFonts w:hint="eastAsia"/>
        </w:rPr>
        <w:t>主要是因物归原主而得到房屋的人</w:t>
      </w:r>
      <w:r>
        <w:rPr>
          <w:rFonts w:hint="eastAsia"/>
        </w:rPr>
        <w:t>)</w:t>
      </w:r>
      <w:r>
        <w:rPr>
          <w:rFonts w:hint="eastAsia"/>
        </w:rPr>
        <w:t>和法律实体拥有的出租公寓楼。然而，由于对房租的管制没有完全放开和权利与义务之间的关系不规范，有损房屋和公寓所有人的利益，房屋出租部门的个人经营仍被扭曲并不符合作为私营和公营租房部门的标准经营；</w:t>
      </w:r>
    </w:p>
    <w:p w:rsidR="00000000" w:rsidRDefault="00000000">
      <w:pPr>
        <w:numPr>
          <w:ilvl w:val="0"/>
          <w:numId w:val="889"/>
        </w:numPr>
        <w:spacing w:after="320"/>
        <w:rPr>
          <w:rFonts w:hint="eastAsia"/>
        </w:rPr>
      </w:pPr>
      <w:r>
        <w:rPr>
          <w:rFonts w:hint="eastAsia"/>
        </w:rPr>
        <w:t>合作公寓部门主要是</w:t>
      </w:r>
      <w:r>
        <w:rPr>
          <w:rFonts w:hint="eastAsia"/>
        </w:rPr>
        <w:t>1960</w:t>
      </w:r>
      <w:r>
        <w:rPr>
          <w:rFonts w:hint="eastAsia"/>
        </w:rPr>
        <w:t>年至</w:t>
      </w:r>
      <w:r>
        <w:rPr>
          <w:rFonts w:hint="eastAsia"/>
        </w:rPr>
        <w:t>1990</w:t>
      </w:r>
      <w:r>
        <w:rPr>
          <w:rFonts w:hint="eastAsia"/>
        </w:rPr>
        <w:t>年期间建造的合作公寓；该部门随着租户合作社的成立而扩大，这种合作社是为从市政府购买楼房的目的而新建立的。</w:t>
      </w:r>
    </w:p>
    <w:p w:rsidR="00000000" w:rsidRDefault="00000000">
      <w:pPr>
        <w:pStyle w:val="Heading4"/>
        <w:ind w:left="500"/>
        <w:rPr>
          <w:rFonts w:hint="eastAsia"/>
        </w:rPr>
      </w:pPr>
      <w:r>
        <w:rPr>
          <w:rFonts w:hint="eastAsia"/>
        </w:rPr>
        <w:t>住房权的法律规章</w:t>
      </w:r>
    </w:p>
    <w:p w:rsidR="00000000" w:rsidRDefault="00000000">
      <w:pPr>
        <w:rPr>
          <w:rFonts w:hint="eastAsia"/>
        </w:rPr>
      </w:pPr>
      <w:r>
        <w:rPr>
          <w:rFonts w:hint="eastAsia"/>
        </w:rPr>
        <w:tab/>
        <w:t xml:space="preserve">428.  </w:t>
      </w:r>
      <w:r>
        <w:rPr>
          <w:rFonts w:hint="eastAsia"/>
        </w:rPr>
        <w:t>除《公约》第</w:t>
      </w:r>
      <w:r>
        <w:rPr>
          <w:rFonts w:hint="eastAsia"/>
        </w:rPr>
        <w:t>11</w:t>
      </w:r>
      <w:r>
        <w:rPr>
          <w:rFonts w:hint="eastAsia"/>
        </w:rPr>
        <w:t>条外，住房权在捷克法律制度中，甚至在宪章中均无明确规定。捷克共和国将住房权理解为一项宣言性权利但非应得权利，它表明国家承诺努力确保所有人公平获得安全和有保障的居所</w:t>
      </w:r>
      <w:r>
        <w:rPr>
          <w:rFonts w:hint="eastAsia"/>
          <w:spacing w:val="-50"/>
        </w:rPr>
        <w:t>―</w:t>
      </w:r>
      <w:r>
        <w:rPr>
          <w:rFonts w:hint="eastAsia"/>
        </w:rPr>
        <w:t>―一处安身之地；不是一项每个人要求国家提供住处的权利。捷克共和国政府通过其住房政策努力改善住房市场的情况和力争达到人人能安排适当住房的局面。</w:t>
      </w:r>
    </w:p>
    <w:p w:rsidR="00000000" w:rsidRDefault="00000000">
      <w:pPr>
        <w:rPr>
          <w:rFonts w:hint="eastAsia"/>
        </w:rPr>
      </w:pPr>
      <w:r>
        <w:rPr>
          <w:rFonts w:hint="eastAsia"/>
        </w:rPr>
        <w:tab/>
        <w:t xml:space="preserve">429.  </w:t>
      </w:r>
      <w:r>
        <w:rPr>
          <w:rFonts w:hint="eastAsia"/>
        </w:rPr>
        <w:t>宪章第</w:t>
      </w:r>
      <w:r>
        <w:rPr>
          <w:rFonts w:hint="eastAsia"/>
        </w:rPr>
        <w:t>12</w:t>
      </w:r>
      <w:r>
        <w:rPr>
          <w:rFonts w:hint="eastAsia"/>
        </w:rPr>
        <w:t>条保证保护住宅隐私和不可侵犯：</w:t>
      </w:r>
    </w:p>
    <w:p w:rsidR="00000000" w:rsidRDefault="00000000">
      <w:pPr>
        <w:pStyle w:val="x0"/>
        <w:rPr>
          <w:rFonts w:hint="eastAsia"/>
        </w:rPr>
      </w:pPr>
      <w:r>
        <w:rPr>
          <w:rFonts w:hint="eastAsia"/>
        </w:rPr>
        <w:t>“</w:t>
      </w:r>
      <w:r>
        <w:rPr>
          <w:rFonts w:hint="eastAsia"/>
        </w:rPr>
        <w:t>(1)</w:t>
      </w:r>
      <w:r>
        <w:rPr>
          <w:rFonts w:hint="eastAsia"/>
        </w:rPr>
        <w:tab/>
      </w:r>
      <w:r>
        <w:rPr>
          <w:rFonts w:hint="eastAsia"/>
        </w:rPr>
        <w:t>一个人的住处不容侵犯。未经居住者许可不得入内。</w:t>
      </w:r>
    </w:p>
    <w:p w:rsidR="00000000" w:rsidRDefault="00000000">
      <w:pPr>
        <w:pStyle w:val="x0"/>
        <w:rPr>
          <w:rFonts w:hint="eastAsia"/>
        </w:rPr>
      </w:pPr>
      <w:r>
        <w:rPr>
          <w:rFonts w:hint="eastAsia"/>
        </w:rPr>
        <w:t>“</w:t>
      </w:r>
      <w:r>
        <w:rPr>
          <w:rFonts w:hint="eastAsia"/>
        </w:rPr>
        <w:t>(2)</w:t>
      </w:r>
      <w:r>
        <w:rPr>
          <w:rFonts w:hint="eastAsia"/>
        </w:rPr>
        <w:tab/>
      </w:r>
      <w:r>
        <w:rPr>
          <w:rFonts w:hint="eastAsia"/>
        </w:rPr>
        <w:t>只有依据法官书面签发并阐明理由的搜查证方可为刑事诉讼目的搜查寓所。搜查寓所的方式应由法律规定。</w:t>
      </w:r>
    </w:p>
    <w:p w:rsidR="00000000" w:rsidRDefault="00000000">
      <w:pPr>
        <w:pStyle w:val="x0"/>
        <w:rPr>
          <w:rFonts w:hint="eastAsia"/>
        </w:rPr>
      </w:pPr>
      <w:r>
        <w:rPr>
          <w:rFonts w:hint="eastAsia"/>
        </w:rPr>
        <w:t>“</w:t>
      </w:r>
      <w:r>
        <w:rPr>
          <w:rFonts w:hint="eastAsia"/>
        </w:rPr>
        <w:t>(3)</w:t>
      </w:r>
      <w:r>
        <w:rPr>
          <w:rFonts w:hint="eastAsia"/>
        </w:rPr>
        <w:tab/>
      </w:r>
      <w:r>
        <w:rPr>
          <w:rFonts w:hint="eastAsia"/>
        </w:rPr>
        <w:t>法律可以容许侵犯寓所不容侵犯权的其他行为，条件是这样做在一个民主社会是出于保护个人生命或健康、保护他人权利和自由或为避免对公共治安造成严重危险之所必须。如果寓所也由企业用作从事其他经济活动，法律也可容许这样一种侵犯行为，只要是为了履行公共行政职责所必须。”</w:t>
      </w:r>
    </w:p>
    <w:p w:rsidR="00000000" w:rsidRDefault="00000000">
      <w:pPr>
        <w:rPr>
          <w:rFonts w:hint="eastAsia"/>
        </w:rPr>
      </w:pPr>
      <w:r>
        <w:rPr>
          <w:rFonts w:hint="eastAsia"/>
        </w:rPr>
        <w:tab/>
        <w:t xml:space="preserve">430.  </w:t>
      </w:r>
      <w:r>
        <w:rPr>
          <w:rFonts w:hint="eastAsia"/>
        </w:rPr>
        <w:t>适用于住房的主要法律条例及其规定是：</w:t>
      </w:r>
    </w:p>
    <w:p w:rsidR="00000000" w:rsidRDefault="00000000">
      <w:pPr>
        <w:ind w:left="1040"/>
        <w:rPr>
          <w:rFonts w:hint="eastAsia"/>
        </w:rPr>
      </w:pPr>
      <w:r>
        <w:rPr>
          <w:rFonts w:hint="eastAsia"/>
        </w:rPr>
        <w:tab/>
      </w:r>
      <w:r>
        <w:rPr>
          <w:rFonts w:hint="eastAsia"/>
        </w:rPr>
        <w:t>特别是民法第</w:t>
      </w:r>
      <w:r>
        <w:rPr>
          <w:rFonts w:hint="eastAsia"/>
        </w:rPr>
        <w:t>685</w:t>
      </w:r>
      <w:r>
        <w:rPr>
          <w:rFonts w:hint="eastAsia"/>
        </w:rPr>
        <w:t>至</w:t>
      </w:r>
      <w:r>
        <w:rPr>
          <w:rFonts w:hint="eastAsia"/>
        </w:rPr>
        <w:t>719</w:t>
      </w:r>
      <w:r>
        <w:rPr>
          <w:rFonts w:hint="eastAsia"/>
        </w:rPr>
        <w:t>条，</w:t>
      </w:r>
    </w:p>
    <w:p w:rsidR="00000000" w:rsidRDefault="00000000">
      <w:pPr>
        <w:ind w:left="1040"/>
        <w:rPr>
          <w:rFonts w:hint="eastAsia"/>
        </w:rPr>
      </w:pPr>
      <w:r>
        <w:rPr>
          <w:rFonts w:hint="eastAsia"/>
        </w:rPr>
        <w:tab/>
      </w:r>
      <w:r>
        <w:rPr>
          <w:rFonts w:hint="eastAsia"/>
        </w:rPr>
        <w:t>修正、补充和调整民法</w:t>
      </w:r>
      <w:r>
        <w:t xml:space="preserve"> </w:t>
      </w:r>
      <w:r>
        <w:rPr>
          <w:rStyle w:val="EndnoteReference"/>
        </w:rPr>
        <w:endnoteReference w:id="251"/>
      </w:r>
      <w:r>
        <w:t xml:space="preserve"> </w:t>
      </w:r>
      <w:r>
        <w:rPr>
          <w:rFonts w:hint="eastAsia"/>
        </w:rPr>
        <w:t>的法律，</w:t>
      </w:r>
    </w:p>
    <w:p w:rsidR="00000000" w:rsidRDefault="00000000">
      <w:pPr>
        <w:ind w:left="1040"/>
        <w:rPr>
          <w:rFonts w:hint="eastAsia"/>
        </w:rPr>
      </w:pPr>
      <w:r>
        <w:rPr>
          <w:rFonts w:hint="eastAsia"/>
        </w:rPr>
        <w:tab/>
      </w:r>
      <w:r>
        <w:rPr>
          <w:rFonts w:hint="eastAsia"/>
        </w:rPr>
        <w:t>管制对房屋的某些集体所有权和对寓所的某些所有权和非居民住宅和补充某些方案的法律</w:t>
      </w:r>
      <w:r>
        <w:rPr>
          <w:rFonts w:hint="eastAsia"/>
        </w:rPr>
        <w:t>(</w:t>
      </w:r>
      <w:r>
        <w:rPr>
          <w:rFonts w:hint="eastAsia"/>
        </w:rPr>
        <w:t>寓所所有权法</w:t>
      </w:r>
      <w:r>
        <w:rPr>
          <w:rFonts w:hint="eastAsia"/>
        </w:rPr>
        <w:t>)</w:t>
      </w:r>
      <w:r>
        <w:t xml:space="preserve"> </w:t>
      </w:r>
      <w:r>
        <w:rPr>
          <w:rStyle w:val="EndnoteReference"/>
        </w:rPr>
        <w:endnoteReference w:id="252"/>
      </w:r>
    </w:p>
    <w:p w:rsidR="00000000" w:rsidRDefault="00000000">
      <w:pPr>
        <w:ind w:left="1040"/>
        <w:rPr>
          <w:rFonts w:hint="eastAsia"/>
        </w:rPr>
      </w:pPr>
      <w:r>
        <w:rPr>
          <w:rFonts w:hint="eastAsia"/>
        </w:rPr>
        <w:tab/>
      </w:r>
      <w:r>
        <w:rPr>
          <w:rFonts w:hint="eastAsia"/>
        </w:rPr>
        <w:t>价格法</w:t>
      </w:r>
      <w:r>
        <w:t xml:space="preserve"> </w:t>
      </w:r>
      <w:r>
        <w:rPr>
          <w:rStyle w:val="EndnoteReference"/>
        </w:rPr>
        <w:endnoteReference w:id="253"/>
      </w:r>
      <w:r>
        <w:rPr>
          <w:rFonts w:hint="eastAsia"/>
        </w:rPr>
        <w:t>，特别是第</w:t>
      </w:r>
      <w:r>
        <w:rPr>
          <w:rFonts w:hint="eastAsia"/>
        </w:rPr>
        <w:t>2</w:t>
      </w:r>
      <w:r>
        <w:rPr>
          <w:rFonts w:hint="eastAsia"/>
        </w:rPr>
        <w:t>条；</w:t>
      </w:r>
    </w:p>
    <w:p w:rsidR="00000000" w:rsidRDefault="00000000">
      <w:pPr>
        <w:ind w:left="1040"/>
      </w:pPr>
      <w:r>
        <w:rPr>
          <w:rFonts w:hint="eastAsia"/>
        </w:rPr>
        <w:tab/>
      </w:r>
      <w:r>
        <w:rPr>
          <w:rFonts w:hint="eastAsia"/>
        </w:rPr>
        <w:t>市政当局法</w:t>
      </w:r>
      <w:r>
        <w:t xml:space="preserve"> </w:t>
      </w:r>
      <w:r>
        <w:rPr>
          <w:rStyle w:val="EndnoteReference"/>
        </w:rPr>
        <w:endnoteReference w:id="254"/>
      </w:r>
      <w:r>
        <w:rPr>
          <w:rFonts w:hint="eastAsia"/>
        </w:rPr>
        <w:t>，特别第</w:t>
      </w:r>
      <w:r>
        <w:rPr>
          <w:rFonts w:hint="eastAsia"/>
        </w:rPr>
        <w:t>13</w:t>
      </w:r>
      <w:r>
        <w:rPr>
          <w:rFonts w:hint="eastAsia"/>
        </w:rPr>
        <w:t>至</w:t>
      </w:r>
      <w:r>
        <w:rPr>
          <w:rFonts w:hint="eastAsia"/>
        </w:rPr>
        <w:t>20</w:t>
      </w:r>
      <w:r>
        <w:rPr>
          <w:rFonts w:hint="eastAsia"/>
        </w:rPr>
        <w:t>条；</w:t>
      </w:r>
    </w:p>
    <w:p w:rsidR="00000000" w:rsidRDefault="00000000">
      <w:pPr>
        <w:ind w:left="1040"/>
        <w:rPr>
          <w:rFonts w:hint="eastAsia"/>
        </w:rPr>
      </w:pPr>
      <w:r>
        <w:tab/>
      </w:r>
      <w:r>
        <w:rPr>
          <w:rFonts w:hint="eastAsia"/>
        </w:rPr>
        <w:t>首都布拉格法，</w:t>
      </w:r>
      <w:r>
        <w:rPr>
          <w:rStyle w:val="EndnoteReference"/>
        </w:rPr>
        <w:endnoteReference w:id="255"/>
      </w:r>
      <w:r>
        <w:t xml:space="preserve"> </w:t>
      </w:r>
      <w:r>
        <w:rPr>
          <w:rFonts w:hint="eastAsia"/>
        </w:rPr>
        <w:t>特别是第</w:t>
      </w:r>
      <w:r>
        <w:rPr>
          <w:rFonts w:hint="eastAsia"/>
        </w:rPr>
        <w:t>17-20</w:t>
      </w:r>
      <w:r>
        <w:rPr>
          <w:rFonts w:hint="eastAsia"/>
        </w:rPr>
        <w:t>条；</w:t>
      </w:r>
    </w:p>
    <w:p w:rsidR="00000000" w:rsidRDefault="00000000">
      <w:pPr>
        <w:ind w:left="1040"/>
        <w:rPr>
          <w:rFonts w:hint="eastAsia"/>
        </w:rPr>
      </w:pPr>
      <w:r>
        <w:rPr>
          <w:rFonts w:hint="eastAsia"/>
        </w:rPr>
        <w:tab/>
      </w:r>
      <w:r>
        <w:rPr>
          <w:rFonts w:hint="eastAsia"/>
        </w:rPr>
        <w:t>财政部关于房租和考虑为使用房屋提供服务的命令；</w:t>
      </w:r>
    </w:p>
    <w:p w:rsidR="00000000" w:rsidRDefault="00000000">
      <w:pPr>
        <w:ind w:left="1040"/>
        <w:rPr>
          <w:rFonts w:hint="eastAsia"/>
        </w:rPr>
      </w:pPr>
      <w:r>
        <w:rPr>
          <w:rFonts w:hint="eastAsia"/>
        </w:rPr>
        <w:tab/>
      </w:r>
      <w:r>
        <w:rPr>
          <w:rFonts w:hint="eastAsia"/>
        </w:rPr>
        <w:t>财政部关于合作社房屋供出租的寓所的租金和考虑为使用这些寓提供服务的命令</w:t>
      </w:r>
      <w:r>
        <w:t xml:space="preserve"> </w:t>
      </w:r>
      <w:r>
        <w:rPr>
          <w:rStyle w:val="EndnoteReference"/>
        </w:rPr>
        <w:endnoteReference w:id="256"/>
      </w:r>
      <w:r>
        <w:rPr>
          <w:rFonts w:hint="eastAsia"/>
        </w:rPr>
        <w:t>；</w:t>
      </w:r>
    </w:p>
    <w:p w:rsidR="00000000" w:rsidRDefault="00000000">
      <w:pPr>
        <w:ind w:left="1040"/>
        <w:rPr>
          <w:rFonts w:hint="eastAsia"/>
        </w:rPr>
      </w:pPr>
      <w:r>
        <w:rPr>
          <w:rFonts w:hint="eastAsia"/>
        </w:rPr>
        <w:tab/>
      </w:r>
      <w:r>
        <w:rPr>
          <w:rFonts w:hint="eastAsia"/>
        </w:rPr>
        <w:t>刑法</w:t>
      </w:r>
      <w:r>
        <w:t xml:space="preserve"> </w:t>
      </w:r>
      <w:r>
        <w:rPr>
          <w:rStyle w:val="EndnoteReference"/>
        </w:rPr>
        <w:endnoteReference w:id="257"/>
      </w:r>
      <w:r>
        <w:rPr>
          <w:rFonts w:hint="eastAsia"/>
        </w:rPr>
        <w:t>，特别是第</w:t>
      </w:r>
      <w:r>
        <w:rPr>
          <w:rFonts w:hint="eastAsia"/>
        </w:rPr>
        <w:t>249</w:t>
      </w:r>
      <w:r>
        <w:t>a</w:t>
      </w:r>
      <w:r>
        <w:rPr>
          <w:rFonts w:hint="eastAsia"/>
        </w:rPr>
        <w:t>条</w:t>
      </w:r>
      <w:r>
        <w:rPr>
          <w:rFonts w:hint="eastAsia"/>
        </w:rPr>
        <w:t>(</w:t>
      </w:r>
      <w:r>
        <w:rPr>
          <w:rFonts w:hint="eastAsia"/>
        </w:rPr>
        <w:t>未经授权而侵犯另一人的住房、寓所或非住宅房屋的权利</w:t>
      </w:r>
      <w:r>
        <w:rPr>
          <w:rFonts w:hint="eastAsia"/>
        </w:rPr>
        <w:t>)</w:t>
      </w:r>
      <w:r>
        <w:rPr>
          <w:rFonts w:hint="eastAsia"/>
        </w:rPr>
        <w:t>和第</w:t>
      </w:r>
      <w:r>
        <w:rPr>
          <w:rFonts w:hint="eastAsia"/>
        </w:rPr>
        <w:t>257</w:t>
      </w:r>
      <w:r>
        <w:rPr>
          <w:rFonts w:hint="eastAsia"/>
        </w:rPr>
        <w:t>条</w:t>
      </w:r>
      <w:r>
        <w:rPr>
          <w:rFonts w:hint="eastAsia"/>
        </w:rPr>
        <w:t>(</w:t>
      </w:r>
      <w:r>
        <w:rPr>
          <w:rFonts w:hint="eastAsia"/>
        </w:rPr>
        <w:t>损坏另一人的物品</w:t>
      </w:r>
      <w:r>
        <w:rPr>
          <w:rFonts w:hint="eastAsia"/>
        </w:rPr>
        <w:t>)</w:t>
      </w:r>
      <w:r>
        <w:rPr>
          <w:rFonts w:hint="eastAsia"/>
        </w:rPr>
        <w:t>。</w:t>
      </w:r>
    </w:p>
    <w:p w:rsidR="00000000" w:rsidRDefault="00000000">
      <w:r>
        <w:rPr>
          <w:rFonts w:hint="eastAsia"/>
        </w:rPr>
        <w:tab/>
        <w:t xml:space="preserve">431.  </w:t>
      </w:r>
      <w:r>
        <w:rPr>
          <w:rFonts w:hint="eastAsia"/>
        </w:rPr>
        <w:t>这些条例也确保保护公民不被武力驱逐、在获得住房等方面不受歧视，从而他们也履行住房权属于强制性质的那部分权利。因此捷克共和国履行了属于宣言性质的住房权并认为在该问题上规定权利性质的义务既无必要也不合适，因为这种义务的履行构成问题。</w:t>
      </w:r>
    </w:p>
    <w:p w:rsidR="00000000" w:rsidRDefault="00000000">
      <w:pPr>
        <w:rPr>
          <w:rFonts w:hint="eastAsia"/>
        </w:rPr>
      </w:pPr>
      <w:r>
        <w:rPr>
          <w:rFonts w:hint="eastAsia"/>
        </w:rPr>
        <w:tab/>
        <w:t xml:space="preserve">432.  </w:t>
      </w:r>
      <w:r>
        <w:rPr>
          <w:rFonts w:hint="eastAsia"/>
        </w:rPr>
        <w:t>有关土地使用、分配、安排、分割、最高价格和征用的法规包括赔偿规定和分区法规包括公共参与的程序载于下列法律规章：</w:t>
      </w:r>
    </w:p>
    <w:p w:rsidR="00000000" w:rsidRDefault="00000000">
      <w:pPr>
        <w:ind w:left="1040"/>
        <w:rPr>
          <w:rFonts w:hint="eastAsia"/>
        </w:rPr>
      </w:pPr>
      <w:r>
        <w:rPr>
          <w:rFonts w:hint="eastAsia"/>
        </w:rPr>
        <w:tab/>
      </w:r>
      <w:r>
        <w:rPr>
          <w:rFonts w:hint="eastAsia"/>
        </w:rPr>
        <w:t>分区法第</w:t>
      </w:r>
      <w:r>
        <w:rPr>
          <w:rFonts w:hint="eastAsia"/>
        </w:rPr>
        <w:t>108</w:t>
      </w:r>
      <w:r>
        <w:rPr>
          <w:rFonts w:hint="eastAsia"/>
        </w:rPr>
        <w:t>至</w:t>
      </w:r>
      <w:r>
        <w:rPr>
          <w:rFonts w:hint="eastAsia"/>
        </w:rPr>
        <w:t>116</w:t>
      </w:r>
      <w:r>
        <w:rPr>
          <w:rFonts w:hint="eastAsia"/>
        </w:rPr>
        <w:t>条和建筑法规</w:t>
      </w:r>
      <w:r>
        <w:rPr>
          <w:rFonts w:hint="eastAsia"/>
        </w:rPr>
        <w:t>(</w:t>
      </w:r>
      <w:r>
        <w:rPr>
          <w:rFonts w:hint="eastAsia"/>
        </w:rPr>
        <w:t>建筑法</w:t>
      </w:r>
      <w:r>
        <w:rPr>
          <w:rFonts w:hint="eastAsia"/>
        </w:rPr>
        <w:t>)</w:t>
      </w:r>
      <w:r>
        <w:rPr>
          <w:rFonts w:hint="eastAsia"/>
        </w:rPr>
        <w:t>和有关的执行细则</w:t>
      </w:r>
      <w:r>
        <w:t xml:space="preserve"> </w:t>
      </w:r>
      <w:r>
        <w:rPr>
          <w:rStyle w:val="EndnoteReference"/>
        </w:rPr>
        <w:endnoteReference w:id="258"/>
      </w:r>
      <w:r>
        <w:rPr>
          <w:rFonts w:hint="eastAsia"/>
        </w:rPr>
        <w:t>；</w:t>
      </w:r>
    </w:p>
    <w:p w:rsidR="00000000" w:rsidRDefault="00000000">
      <w:pPr>
        <w:ind w:left="1040"/>
        <w:rPr>
          <w:rFonts w:hint="eastAsia"/>
        </w:rPr>
      </w:pPr>
      <w:r>
        <w:rPr>
          <w:rFonts w:hint="eastAsia"/>
        </w:rPr>
        <w:tab/>
      </w:r>
      <w:r>
        <w:rPr>
          <w:rFonts w:hint="eastAsia"/>
        </w:rPr>
        <w:t>关</w:t>
      </w:r>
      <w:r>
        <w:rPr>
          <w:rFonts w:hint="eastAsia"/>
          <w:spacing w:val="0"/>
        </w:rPr>
        <w:t>于房地产所有权登记和其他实质性权利的法律和执行该法的命令</w:t>
      </w:r>
      <w:r>
        <w:rPr>
          <w:spacing w:val="0"/>
        </w:rPr>
        <w:t xml:space="preserve"> </w:t>
      </w:r>
      <w:r>
        <w:rPr>
          <w:rStyle w:val="EndnoteReference"/>
        </w:rPr>
        <w:endnoteReference w:id="259"/>
      </w:r>
      <w:r>
        <w:rPr>
          <w:rFonts w:hint="eastAsia"/>
        </w:rPr>
        <w:t>；</w:t>
      </w:r>
    </w:p>
    <w:p w:rsidR="00000000" w:rsidRDefault="00000000">
      <w:pPr>
        <w:ind w:left="1040"/>
        <w:rPr>
          <w:rFonts w:hint="eastAsia"/>
        </w:rPr>
      </w:pPr>
      <w:r>
        <w:rPr>
          <w:rFonts w:hint="eastAsia"/>
        </w:rPr>
        <w:tab/>
      </w:r>
      <w:r>
        <w:rPr>
          <w:rFonts w:hint="eastAsia"/>
        </w:rPr>
        <w:t>房地产登记法</w:t>
      </w:r>
      <w:r>
        <w:t xml:space="preserve"> </w:t>
      </w:r>
      <w:r>
        <w:rPr>
          <w:rStyle w:val="EndnoteReference"/>
        </w:rPr>
        <w:endnoteReference w:id="260"/>
      </w:r>
      <w:r>
        <w:rPr>
          <w:rFonts w:hint="eastAsia"/>
        </w:rPr>
        <w:t>；</w:t>
      </w:r>
    </w:p>
    <w:p w:rsidR="00000000" w:rsidRDefault="00000000">
      <w:pPr>
        <w:ind w:left="1040"/>
        <w:rPr>
          <w:rFonts w:hint="eastAsia"/>
        </w:rPr>
      </w:pPr>
      <w:r>
        <w:rPr>
          <w:rFonts w:hint="eastAsia"/>
        </w:rPr>
        <w:tab/>
      </w:r>
      <w:r>
        <w:rPr>
          <w:rFonts w:hint="eastAsia"/>
        </w:rPr>
        <w:t>将国家对某些东西的所有权转让给其他法律实体或自然人的法律</w:t>
      </w:r>
      <w:r>
        <w:rPr>
          <w:rStyle w:val="EndnoteReference"/>
        </w:rPr>
        <w:endnoteReference w:id="261"/>
      </w:r>
      <w:r>
        <w:rPr>
          <w:rFonts w:hint="eastAsia"/>
        </w:rPr>
        <w:t>；</w:t>
      </w:r>
    </w:p>
    <w:p w:rsidR="00000000" w:rsidRDefault="00000000">
      <w:pPr>
        <w:ind w:left="1040"/>
        <w:rPr>
          <w:rFonts w:hint="eastAsia"/>
        </w:rPr>
      </w:pPr>
      <w:r>
        <w:rPr>
          <w:rFonts w:hint="eastAsia"/>
        </w:rPr>
        <w:tab/>
      </w:r>
      <w:r>
        <w:rPr>
          <w:rFonts w:hint="eastAsia"/>
        </w:rPr>
        <w:t>管理土地所有权和其他农业产权的法律</w:t>
      </w:r>
      <w:r>
        <w:t xml:space="preserve"> </w:t>
      </w:r>
      <w:r>
        <w:rPr>
          <w:rStyle w:val="EndnoteReference"/>
        </w:rPr>
        <w:endnoteReference w:id="262"/>
      </w:r>
      <w:r>
        <w:rPr>
          <w:rFonts w:hint="eastAsia"/>
        </w:rPr>
        <w:t>；</w:t>
      </w:r>
    </w:p>
    <w:p w:rsidR="00000000" w:rsidRDefault="00000000">
      <w:pPr>
        <w:ind w:left="1040"/>
        <w:rPr>
          <w:rFonts w:hint="eastAsia"/>
        </w:rPr>
      </w:pPr>
      <w:r>
        <w:rPr>
          <w:rFonts w:hint="eastAsia"/>
        </w:rPr>
        <w:tab/>
      </w:r>
      <w:r>
        <w:rPr>
          <w:rFonts w:hint="eastAsia"/>
        </w:rPr>
        <w:t>关于将国家产权转让给其他人的条件的法律</w:t>
      </w:r>
      <w:r>
        <w:t xml:space="preserve"> </w:t>
      </w:r>
      <w:r>
        <w:rPr>
          <w:rStyle w:val="EndnoteReference"/>
        </w:rPr>
        <w:endnoteReference w:id="263"/>
      </w:r>
      <w:r>
        <w:rPr>
          <w:rFonts w:hint="eastAsia"/>
        </w:rPr>
        <w:t>；</w:t>
      </w:r>
    </w:p>
    <w:p w:rsidR="00000000" w:rsidRDefault="00000000">
      <w:pPr>
        <w:ind w:left="1040"/>
        <w:rPr>
          <w:rFonts w:hint="eastAsia"/>
        </w:rPr>
      </w:pPr>
      <w:r>
        <w:rPr>
          <w:rFonts w:hint="eastAsia"/>
        </w:rPr>
        <w:tab/>
      </w:r>
      <w:r>
        <w:rPr>
          <w:rFonts w:hint="eastAsia"/>
        </w:rPr>
        <w:t>关于将捷克共和国对某些东西的所有权转让给市政府拥有的法律</w:t>
      </w:r>
      <w:r>
        <w:rPr>
          <w:rStyle w:val="EndnoteReference"/>
        </w:rPr>
        <w:endnoteReference w:id="264"/>
      </w:r>
      <w:r>
        <w:rPr>
          <w:rFonts w:hint="eastAsia"/>
        </w:rPr>
        <w:t>；</w:t>
      </w:r>
    </w:p>
    <w:p w:rsidR="00000000" w:rsidRDefault="00000000">
      <w:pPr>
        <w:ind w:left="1040"/>
        <w:rPr>
          <w:rFonts w:hint="eastAsia"/>
        </w:rPr>
      </w:pPr>
      <w:r>
        <w:rPr>
          <w:rFonts w:hint="eastAsia"/>
        </w:rPr>
        <w:tab/>
      </w:r>
      <w:r>
        <w:rPr>
          <w:rFonts w:hint="eastAsia"/>
        </w:rPr>
        <w:t>管理所有权关系和解决合作社内财产权利的法律</w:t>
      </w:r>
      <w:r>
        <w:t xml:space="preserve"> </w:t>
      </w:r>
      <w:r>
        <w:rPr>
          <w:rStyle w:val="EndnoteReference"/>
        </w:rPr>
        <w:endnoteReference w:id="265"/>
      </w:r>
      <w:r>
        <w:rPr>
          <w:rFonts w:hint="eastAsia"/>
        </w:rPr>
        <w:t>；</w:t>
      </w:r>
    </w:p>
    <w:p w:rsidR="00000000" w:rsidRDefault="00000000">
      <w:pPr>
        <w:ind w:left="1040"/>
      </w:pPr>
      <w:r>
        <w:rPr>
          <w:rFonts w:hint="eastAsia"/>
        </w:rPr>
        <w:tab/>
      </w:r>
      <w:r>
        <w:rPr>
          <w:rFonts w:hint="eastAsia"/>
        </w:rPr>
        <w:t>财产评估法</w:t>
      </w:r>
      <w:r>
        <w:t xml:space="preserve"> </w:t>
      </w:r>
      <w:r>
        <w:rPr>
          <w:rStyle w:val="EndnoteReference"/>
        </w:rPr>
        <w:endnoteReference w:id="266"/>
      </w:r>
    </w:p>
    <w:p w:rsidR="00000000" w:rsidRDefault="00000000">
      <w:pPr>
        <w:rPr>
          <w:rFonts w:hint="eastAsia"/>
        </w:rPr>
      </w:pPr>
      <w:r>
        <w:rPr>
          <w:rFonts w:hint="eastAsia"/>
        </w:rPr>
        <w:tab/>
        <w:t xml:space="preserve">433.  </w:t>
      </w:r>
      <w:r>
        <w:rPr>
          <w:rFonts w:hint="eastAsia"/>
        </w:rPr>
        <w:t>按民法管理的房屋或公寓所有人与租户之间的关系为租户制定了保护其基本权利的规定。只有依据具有法律效力的法院决定才能将租户逐出公寓。根据民法第</w:t>
      </w:r>
      <w:r>
        <w:rPr>
          <w:rFonts w:hint="eastAsia"/>
        </w:rPr>
        <w:t>711</w:t>
      </w:r>
      <w:r>
        <w:rPr>
          <w:rFonts w:hint="eastAsia"/>
        </w:rPr>
        <w:t>条第</w:t>
      </w:r>
      <w:r>
        <w:rPr>
          <w:rFonts w:hint="eastAsia"/>
        </w:rPr>
        <w:t>2</w:t>
      </w:r>
      <w:r>
        <w:rPr>
          <w:rFonts w:hint="eastAsia"/>
        </w:rPr>
        <w:t>款，如果法院批准终止公寓租契的通知</w:t>
      </w:r>
      <w:r>
        <w:rPr>
          <w:rFonts w:hint="eastAsia"/>
        </w:rPr>
        <w:t>(</w:t>
      </w:r>
      <w:r>
        <w:rPr>
          <w:rFonts w:hint="eastAsia"/>
        </w:rPr>
        <w:t>出于民法</w:t>
      </w:r>
      <w:r>
        <w:t xml:space="preserve"> </w:t>
      </w:r>
      <w:r>
        <w:rPr>
          <w:rStyle w:val="EndnoteReference"/>
        </w:rPr>
        <w:endnoteReference w:id="267"/>
      </w:r>
      <w:r>
        <w:t xml:space="preserve"> </w:t>
      </w:r>
      <w:r>
        <w:rPr>
          <w:rFonts w:hint="eastAsia"/>
        </w:rPr>
        <w:t>第</w:t>
      </w:r>
      <w:r>
        <w:rPr>
          <w:rFonts w:hint="eastAsia"/>
        </w:rPr>
        <w:t>711</w:t>
      </w:r>
      <w:r>
        <w:rPr>
          <w:rFonts w:hint="eastAsia"/>
        </w:rPr>
        <w:t>条第</w:t>
      </w:r>
      <w:r>
        <w:rPr>
          <w:rFonts w:hint="eastAsia"/>
        </w:rPr>
        <w:t>1</w:t>
      </w:r>
      <w:r>
        <w:rPr>
          <w:rFonts w:hint="eastAsia"/>
        </w:rPr>
        <w:t>款所述理由</w:t>
      </w:r>
      <w:r>
        <w:rPr>
          <w:rFonts w:hint="eastAsia"/>
        </w:rPr>
        <w:t>)</w:t>
      </w:r>
      <w:r>
        <w:rPr>
          <w:rFonts w:hint="eastAsia"/>
        </w:rPr>
        <w:t>，“它应在考虑到通知期限的情况下，确定契约关系终止的日期。同时法院也应决定租户必须在通知到期后最晚不超过</w:t>
      </w:r>
      <w:r>
        <w:rPr>
          <w:rFonts w:hint="eastAsia"/>
        </w:rPr>
        <w:t>15</w:t>
      </w:r>
      <w:r>
        <w:rPr>
          <w:rFonts w:hint="eastAsia"/>
        </w:rPr>
        <w:t>天将其物品撤出公寓。如果租户有权得到替代公寓</w:t>
      </w:r>
      <w:r>
        <w:rPr>
          <w:rFonts w:hint="eastAsia"/>
        </w:rPr>
        <w:t>(</w:t>
      </w:r>
      <w:r>
        <w:rPr>
          <w:rFonts w:hint="eastAsia"/>
        </w:rPr>
        <w:t>或替代住所</w:t>
      </w:r>
      <w:r>
        <w:rPr>
          <w:rFonts w:hint="eastAsia"/>
        </w:rPr>
        <w:t>)</w:t>
      </w:r>
      <w:r>
        <w:rPr>
          <w:rFonts w:hint="eastAsia"/>
        </w:rPr>
        <w:t>，法院应决定租户有义务在提供替代公寓的</w:t>
      </w:r>
      <w:r>
        <w:rPr>
          <w:rFonts w:hint="eastAsia"/>
        </w:rPr>
        <w:t>15</w:t>
      </w:r>
      <w:r>
        <w:rPr>
          <w:rFonts w:hint="eastAsia"/>
        </w:rPr>
        <w:t>天内从其原公寓内撤出其物品，如果提供的替代住所充足，在提供该替代住所的</w:t>
      </w:r>
      <w:r>
        <w:rPr>
          <w:rFonts w:hint="eastAsia"/>
        </w:rPr>
        <w:t>15</w:t>
      </w:r>
      <w:r>
        <w:rPr>
          <w:rFonts w:hint="eastAsia"/>
        </w:rPr>
        <w:t>天内从原住所撤出其物品。”</w:t>
      </w:r>
    </w:p>
    <w:p w:rsidR="00000000" w:rsidRDefault="00000000">
      <w:pPr>
        <w:rPr>
          <w:rFonts w:hint="eastAsia"/>
        </w:rPr>
      </w:pPr>
      <w:r>
        <w:tab/>
        <w:t xml:space="preserve">434.  </w:t>
      </w:r>
      <w:r>
        <w:rPr>
          <w:rFonts w:hint="eastAsia"/>
        </w:rPr>
        <w:t>法院必须不仅对出于民法第</w:t>
      </w:r>
      <w:r>
        <w:rPr>
          <w:rFonts w:hint="eastAsia"/>
        </w:rPr>
        <w:t>711</w:t>
      </w:r>
      <w:r>
        <w:rPr>
          <w:rFonts w:hint="eastAsia"/>
        </w:rPr>
        <w:t>条所述理由的驱逐和适用时，替代住房的提供作出裁决，而且还要对驱逐方式作出裁决</w:t>
      </w:r>
      <w:r>
        <w:rPr>
          <w:rFonts w:hint="eastAsia"/>
          <w:spacing w:val="-50"/>
        </w:rPr>
        <w:t>―</w:t>
      </w:r>
      <w:r>
        <w:rPr>
          <w:rFonts w:hint="eastAsia"/>
        </w:rPr>
        <w:t>―法院必须签发执行命令。民事法院程序法对驱逐方式或赶出公寓的方式作了规定。</w:t>
      </w:r>
    </w:p>
    <w:p w:rsidR="00000000" w:rsidRDefault="00000000">
      <w:pPr>
        <w:rPr>
          <w:rFonts w:hint="eastAsia"/>
        </w:rPr>
      </w:pPr>
      <w:r>
        <w:rPr>
          <w:rFonts w:hint="eastAsia"/>
        </w:rPr>
        <w:tab/>
        <w:t xml:space="preserve">435.  </w:t>
      </w:r>
      <w:r>
        <w:rPr>
          <w:rFonts w:hint="eastAsia"/>
        </w:rPr>
        <w:t>从</w:t>
      </w:r>
      <w:r>
        <w:rPr>
          <w:rFonts w:hint="eastAsia"/>
        </w:rPr>
        <w:t>1993</w:t>
      </w:r>
      <w:r>
        <w:rPr>
          <w:rFonts w:hint="eastAsia"/>
        </w:rPr>
        <w:t>年至</w:t>
      </w:r>
      <w:r>
        <w:rPr>
          <w:rFonts w:hint="eastAsia"/>
        </w:rPr>
        <w:t>1999</w:t>
      </w:r>
      <w:r>
        <w:rPr>
          <w:rFonts w:hint="eastAsia"/>
        </w:rPr>
        <w:t>年被依法逐出的人数不详。考虑到与驱逐或赶出公寓的行为有关的整个过程复杂并考虑到享有权利者、公寓所有人通常必须支付的费用，可以说这一人数很小。在实际中，仅在特殊情况中使用法院驱逐程序。如果某人非法占居某一公寓，不用替代住房就可将他驱逐，因为他不是合法的住户。</w:t>
      </w:r>
    </w:p>
    <w:p w:rsidR="00000000" w:rsidRDefault="00000000">
      <w:r>
        <w:rPr>
          <w:rFonts w:hint="eastAsia"/>
        </w:rPr>
        <w:tab/>
        <w:t xml:space="preserve">436.  </w:t>
      </w:r>
      <w:r>
        <w:rPr>
          <w:rFonts w:hint="eastAsia"/>
        </w:rPr>
        <w:t>有关向供求两方面提供各种资助和津贴的法律规章载有帮助解决住房财务承受能力的某些措施。其中最重要的如下：</w:t>
      </w:r>
    </w:p>
    <w:p w:rsidR="00000000" w:rsidRDefault="00000000">
      <w:pPr>
        <w:ind w:left="1040"/>
        <w:rPr>
          <w:rFonts w:hint="eastAsia"/>
        </w:rPr>
      </w:pPr>
      <w:r>
        <w:rPr>
          <w:rFonts w:hint="eastAsia"/>
        </w:rPr>
        <w:tab/>
      </w:r>
      <w:r>
        <w:rPr>
          <w:rFonts w:hint="eastAsia"/>
        </w:rPr>
        <w:t>国家社会照顾资助法：住房捐助</w:t>
      </w:r>
      <w:r>
        <w:rPr>
          <w:rFonts w:hint="eastAsia"/>
        </w:rPr>
        <w:t>(</w:t>
      </w:r>
      <w:r>
        <w:rPr>
          <w:rFonts w:hint="eastAsia"/>
        </w:rPr>
        <w:t>第</w:t>
      </w:r>
      <w:r>
        <w:rPr>
          <w:rFonts w:hint="eastAsia"/>
        </w:rPr>
        <w:t>24</w:t>
      </w:r>
      <w:r>
        <w:rPr>
          <w:rFonts w:hint="eastAsia"/>
        </w:rPr>
        <w:t>至</w:t>
      </w:r>
      <w:r>
        <w:rPr>
          <w:rFonts w:hint="eastAsia"/>
        </w:rPr>
        <w:t>26</w:t>
      </w:r>
      <w:r>
        <w:rPr>
          <w:rFonts w:hint="eastAsia"/>
        </w:rPr>
        <w:t>条</w:t>
      </w:r>
      <w:r>
        <w:rPr>
          <w:rFonts w:hint="eastAsia"/>
        </w:rPr>
        <w:t>)</w:t>
      </w:r>
      <w:r>
        <w:t xml:space="preserve"> </w:t>
      </w:r>
      <w:r>
        <w:rPr>
          <w:rStyle w:val="EndnoteReference"/>
        </w:rPr>
        <w:endnoteReference w:id="268"/>
      </w:r>
    </w:p>
    <w:p w:rsidR="00000000" w:rsidRDefault="00000000">
      <w:pPr>
        <w:ind w:left="1040"/>
        <w:rPr>
          <w:rFonts w:hint="eastAsia"/>
        </w:rPr>
      </w:pPr>
      <w:r>
        <w:rPr>
          <w:rFonts w:hint="eastAsia"/>
        </w:rPr>
        <w:tab/>
      </w:r>
      <w:r>
        <w:rPr>
          <w:rFonts w:hint="eastAsia"/>
        </w:rPr>
        <w:t>补偿房租增加的福利捐助法和国家社会照顾资助法修正案：补偿房租增加的社会捐助</w:t>
      </w:r>
      <w:r>
        <w:rPr>
          <w:rFonts w:hint="eastAsia"/>
        </w:rPr>
        <w:t>(</w:t>
      </w:r>
      <w:r>
        <w:rPr>
          <w:rFonts w:hint="eastAsia"/>
        </w:rPr>
        <w:t>第</w:t>
      </w:r>
      <w:r>
        <w:rPr>
          <w:rFonts w:hint="eastAsia"/>
        </w:rPr>
        <w:t>1-16</w:t>
      </w:r>
      <w:r>
        <w:rPr>
          <w:rFonts w:hint="eastAsia"/>
        </w:rPr>
        <w:t>条</w:t>
      </w:r>
      <w:r>
        <w:rPr>
          <w:rFonts w:hint="eastAsia"/>
        </w:rPr>
        <w:t>)</w:t>
      </w:r>
      <w:r>
        <w:rPr>
          <w:rFonts w:hint="eastAsia"/>
        </w:rPr>
        <w:t>；</w:t>
      </w:r>
    </w:p>
    <w:p w:rsidR="00000000" w:rsidRDefault="00000000">
      <w:pPr>
        <w:ind w:left="1040"/>
        <w:rPr>
          <w:rFonts w:hint="eastAsia"/>
        </w:rPr>
      </w:pPr>
      <w:r>
        <w:rPr>
          <w:rFonts w:hint="eastAsia"/>
        </w:rPr>
        <w:tab/>
      </w:r>
      <w:r>
        <w:rPr>
          <w:rFonts w:hint="eastAsia"/>
        </w:rPr>
        <w:t>补偿取暖燃料价格上涨的福利捐助法；</w:t>
      </w:r>
    </w:p>
    <w:p w:rsidR="00000000" w:rsidRDefault="00000000">
      <w:pPr>
        <w:ind w:left="1040"/>
        <w:rPr>
          <w:rFonts w:hint="eastAsia"/>
        </w:rPr>
      </w:pPr>
      <w:r>
        <w:rPr>
          <w:rFonts w:hint="eastAsia"/>
        </w:rPr>
        <w:tab/>
      </w:r>
      <w:r>
        <w:rPr>
          <w:rFonts w:hint="eastAsia"/>
        </w:rPr>
        <w:t>所得税法：用税收期间由住房储蓄帐户对为解决住房需要融资的贷款或抵押借款所付利息来缩小税收基数</w:t>
      </w:r>
      <w:r>
        <w:rPr>
          <w:rFonts w:hint="eastAsia"/>
        </w:rPr>
        <w:t>(</w:t>
      </w:r>
      <w:r>
        <w:rPr>
          <w:rFonts w:hint="eastAsia"/>
        </w:rPr>
        <w:t>第</w:t>
      </w:r>
      <w:r>
        <w:rPr>
          <w:rFonts w:hint="eastAsia"/>
        </w:rPr>
        <w:t>15</w:t>
      </w:r>
      <w:r>
        <w:rPr>
          <w:rFonts w:hint="eastAsia"/>
        </w:rPr>
        <w:t>条第</w:t>
      </w:r>
      <w:r>
        <w:rPr>
          <w:rFonts w:hint="eastAsia"/>
        </w:rPr>
        <w:t>10</w:t>
      </w:r>
      <w:r>
        <w:rPr>
          <w:rFonts w:hint="eastAsia"/>
        </w:rPr>
        <w:t>款</w:t>
      </w:r>
      <w:r>
        <w:rPr>
          <w:rFonts w:hint="eastAsia"/>
        </w:rPr>
        <w:t>)</w:t>
      </w:r>
      <w:r>
        <w:t xml:space="preserve"> </w:t>
      </w:r>
      <w:r>
        <w:rPr>
          <w:rStyle w:val="EndnoteReference"/>
        </w:rPr>
        <w:endnoteReference w:id="269"/>
      </w:r>
    </w:p>
    <w:p w:rsidR="00000000" w:rsidRDefault="00000000">
      <w:pPr>
        <w:ind w:left="1040"/>
        <w:rPr>
          <w:rFonts w:hint="eastAsia"/>
        </w:rPr>
      </w:pPr>
      <w:r>
        <w:rPr>
          <w:rFonts w:hint="eastAsia"/>
        </w:rPr>
        <w:tab/>
      </w:r>
      <w:r>
        <w:rPr>
          <w:rFonts w:hint="eastAsia"/>
        </w:rPr>
        <w:t>关于住房储蓄帐户和国家支持住房储蓄帐户的法律</w:t>
      </w:r>
      <w:r>
        <w:t xml:space="preserve"> </w:t>
      </w:r>
      <w:r>
        <w:rPr>
          <w:rStyle w:val="EndnoteReference"/>
        </w:rPr>
        <w:endnoteReference w:id="270"/>
      </w:r>
      <w:r>
        <w:rPr>
          <w:rFonts w:hint="eastAsia"/>
        </w:rPr>
        <w:t>；</w:t>
      </w:r>
    </w:p>
    <w:p w:rsidR="00000000" w:rsidRDefault="00000000">
      <w:pPr>
        <w:ind w:left="1040"/>
        <w:rPr>
          <w:rFonts w:hint="eastAsia"/>
        </w:rPr>
      </w:pPr>
      <w:r>
        <w:rPr>
          <w:rFonts w:hint="eastAsia"/>
        </w:rPr>
        <w:tab/>
      </w:r>
      <w:r>
        <w:rPr>
          <w:rFonts w:hint="eastAsia"/>
        </w:rPr>
        <w:t>确定对盖建住房抵押借款给予国家财务支持的条件的政府令</w:t>
      </w:r>
      <w:r>
        <w:t xml:space="preserve"> </w:t>
      </w:r>
      <w:r>
        <w:rPr>
          <w:rStyle w:val="EndnoteReference"/>
        </w:rPr>
        <w:endnoteReference w:id="271"/>
      </w:r>
      <w:r>
        <w:rPr>
          <w:rFonts w:hint="eastAsia"/>
        </w:rPr>
        <w:t>；</w:t>
      </w:r>
    </w:p>
    <w:p w:rsidR="00000000" w:rsidRDefault="00000000">
      <w:pPr>
        <w:ind w:left="1040"/>
      </w:pPr>
      <w:r>
        <w:rPr>
          <w:rFonts w:hint="eastAsia"/>
        </w:rPr>
        <w:tab/>
      </w:r>
      <w:r>
        <w:rPr>
          <w:rFonts w:hint="eastAsia"/>
        </w:rPr>
        <w:t>为盖建住房提供无息贷款的政府令</w:t>
      </w:r>
      <w:r>
        <w:t xml:space="preserve"> </w:t>
      </w:r>
      <w:r>
        <w:rPr>
          <w:rStyle w:val="EndnoteReference"/>
        </w:rPr>
        <w:endnoteReference w:id="272"/>
      </w:r>
      <w:r>
        <w:rPr>
          <w:rFonts w:hint="eastAsia"/>
        </w:rPr>
        <w:t>。</w:t>
      </w:r>
    </w:p>
    <w:p w:rsidR="00000000" w:rsidRDefault="00000000">
      <w:r>
        <w:rPr>
          <w:rFonts w:hint="eastAsia"/>
        </w:rPr>
        <w:tab/>
        <w:t xml:space="preserve">437.  </w:t>
      </w:r>
      <w:r>
        <w:rPr>
          <w:rFonts w:hint="eastAsia"/>
        </w:rPr>
        <w:t>建筑领域的条例，从土地分区计划和征用到管理建造过程，与欧盟国家规定的条件相吻合。该领域的基本法律规章是分区和建筑法</w:t>
      </w:r>
      <w:r>
        <w:rPr>
          <w:rFonts w:hint="eastAsia"/>
        </w:rPr>
        <w:t>(</w:t>
      </w:r>
      <w:r>
        <w:rPr>
          <w:rFonts w:hint="eastAsia"/>
        </w:rPr>
        <w:t>建筑法</w:t>
      </w:r>
      <w:r>
        <w:t xml:space="preserve"> </w:t>
      </w:r>
      <w:r>
        <w:rPr>
          <w:rFonts w:hint="eastAsia"/>
        </w:rPr>
        <w:t>)</w:t>
      </w:r>
      <w:r>
        <w:rPr>
          <w:rStyle w:val="EndnoteReference"/>
        </w:rPr>
        <w:endnoteReference w:id="273"/>
      </w:r>
      <w:r>
        <w:rPr>
          <w:rFonts w:hint="eastAsia"/>
        </w:rPr>
        <w:t>。</w:t>
      </w:r>
    </w:p>
    <w:p w:rsidR="00000000" w:rsidRDefault="00000000">
      <w:pPr>
        <w:rPr>
          <w:rFonts w:hint="eastAsia"/>
        </w:rPr>
      </w:pPr>
      <w:r>
        <w:tab/>
        <w:t xml:space="preserve">438.  </w:t>
      </w:r>
      <w:r>
        <w:rPr>
          <w:rFonts w:hint="eastAsia"/>
        </w:rPr>
        <w:t>迄今为止，捷克共和国无直接限制从事公寓或房地产投机的法律。在打击投机的斗争中仅能使用现有法律规章提供的手段。迄今所发生的投机与经济转型和住房市场法律规章不适当有关。</w:t>
      </w:r>
    </w:p>
    <w:p w:rsidR="00000000" w:rsidRDefault="00000000">
      <w:pPr>
        <w:rPr>
          <w:rFonts w:hint="eastAsia"/>
        </w:rPr>
      </w:pPr>
      <w:r>
        <w:rPr>
          <w:rFonts w:hint="eastAsia"/>
        </w:rPr>
        <w:tab/>
        <w:t xml:space="preserve">439.  </w:t>
      </w:r>
      <w:r>
        <w:rPr>
          <w:rFonts w:hint="eastAsia"/>
        </w:rPr>
        <w:t>有关盖建住房和盖建房产过程中环境和保健规划的措施主要载于建筑法及其有关的法令</w:t>
      </w:r>
      <w:r>
        <w:rPr>
          <w:rFonts w:hint="eastAsia"/>
        </w:rPr>
        <w:t>(</w:t>
      </w:r>
      <w:r>
        <w:rPr>
          <w:rFonts w:hint="eastAsia"/>
        </w:rPr>
        <w:t>依据分区和分区域文件</w:t>
      </w:r>
      <w:r>
        <w:t xml:space="preserve"> </w:t>
      </w:r>
      <w:r>
        <w:rPr>
          <w:rStyle w:val="EndnoteReference"/>
        </w:rPr>
        <w:endnoteReference w:id="274"/>
      </w:r>
      <w:r>
        <w:rPr>
          <w:rFonts w:hint="eastAsia"/>
        </w:rPr>
        <w:t>、建筑一般技术要求</w:t>
      </w:r>
      <w:r>
        <w:t xml:space="preserve"> </w:t>
      </w:r>
      <w:r>
        <w:rPr>
          <w:rStyle w:val="EndnoteReference"/>
        </w:rPr>
        <w:endnoteReference w:id="275"/>
      </w:r>
      <w:r>
        <w:t>)</w:t>
      </w:r>
      <w:r>
        <w:rPr>
          <w:rFonts w:hint="eastAsia"/>
        </w:rPr>
        <w:t>。在这方面，政府或管辖住房问题的地方发展部正制定方案，其目的是修缮房产方面的预制公寓楼和使大房产人道化。为了开始建造，投资商必须根据评估对环境影响的法律</w:t>
      </w:r>
      <w:r>
        <w:rPr>
          <w:rStyle w:val="EndnoteReference"/>
        </w:rPr>
        <w:endnoteReference w:id="276"/>
      </w:r>
      <w:r>
        <w:t xml:space="preserve"> </w:t>
      </w:r>
      <w:r>
        <w:rPr>
          <w:rFonts w:hint="eastAsia"/>
        </w:rPr>
        <w:t>取得环境保护，减少建筑对环境影响的机构提供的具体肯定证明。</w:t>
      </w:r>
    </w:p>
    <w:p w:rsidR="00000000" w:rsidRDefault="00000000">
      <w:r>
        <w:rPr>
          <w:rFonts w:hint="eastAsia"/>
        </w:rPr>
        <w:tab/>
        <w:t xml:space="preserve">440.  </w:t>
      </w:r>
      <w:r>
        <w:rPr>
          <w:rFonts w:hint="eastAsia"/>
        </w:rPr>
        <w:t>非政府非营利组织也能盖建公寓并提供与住房有关的服务。国家给这些组织的支持不是一项权力；投资和非投资性质的支持性资金以赠款形式提供给若干项目。国家以这种方式对特别是为残疾人和老年人的住房，及与社会服务有关的住房给予支持。此外，国家对建造出租公寓和旨在给自力更生能力下降，特别是老年人的带有辅助生活服务的公寓还提供直接投资补贴；这些补贴提供给市政当局，因为目前的法律制度不允许将这些补贴提供给，例如非国家组织。地方发展部目前正起草住房协会法，它也将允许把这种补贴提供给基于非营利原则的非国家实体。</w:t>
      </w:r>
    </w:p>
    <w:p w:rsidR="00000000" w:rsidRDefault="00000000">
      <w:pPr>
        <w:pStyle w:val="Heading3"/>
        <w:spacing w:after="160"/>
        <w:rPr>
          <w:rFonts w:hint="eastAsia"/>
        </w:rPr>
      </w:pPr>
      <w:r>
        <w:rPr>
          <w:rFonts w:hint="eastAsia"/>
        </w:rPr>
        <w:t>住宅和非住宅建筑中已竣工的住房数目</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13"/>
        <w:gridCol w:w="1514"/>
        <w:gridCol w:w="1514"/>
        <w:gridCol w:w="1514"/>
        <w:gridCol w:w="1516"/>
      </w:tblGrid>
      <w:tr w:rsidR="00000000">
        <w:tblPrEx>
          <w:tblCellMar>
            <w:top w:w="0" w:type="dxa"/>
            <w:bottom w:w="0" w:type="dxa"/>
          </w:tblCellMar>
        </w:tblPrEx>
        <w:trPr>
          <w:cantSplit/>
        </w:trPr>
        <w:tc>
          <w:tcPr>
            <w:tcW w:w="1835" w:type="pct"/>
            <w:tcBorders>
              <w:top w:val="single" w:sz="4" w:space="0" w:color="auto"/>
              <w:bottom w:val="single" w:sz="4" w:space="0" w:color="auto"/>
              <w:right w:val="single" w:sz="4" w:space="0" w:color="auto"/>
            </w:tcBorders>
          </w:tcPr>
          <w:p w:rsidR="00000000" w:rsidRDefault="00000000">
            <w:pPr>
              <w:spacing w:before="60" w:line="240" w:lineRule="auto"/>
              <w:jc w:val="center"/>
              <w:rPr>
                <w:rFonts w:hint="eastAsia"/>
                <w:sz w:val="20"/>
              </w:rPr>
            </w:pPr>
            <w:r>
              <w:rPr>
                <w:rFonts w:hint="eastAsia"/>
                <w:sz w:val="20"/>
              </w:rPr>
              <w:t>指</w:t>
            </w:r>
            <w:r>
              <w:rPr>
                <w:sz w:val="20"/>
              </w:rPr>
              <w:tab/>
            </w:r>
            <w:r>
              <w:rPr>
                <w:rFonts w:hint="eastAsia"/>
                <w:sz w:val="20"/>
              </w:rPr>
              <w:t>数</w:t>
            </w:r>
          </w:p>
        </w:tc>
        <w:tc>
          <w:tcPr>
            <w:tcW w:w="3165" w:type="pct"/>
            <w:gridSpan w:val="4"/>
            <w:tcBorders>
              <w:top w:val="single" w:sz="4" w:space="0" w:color="auto"/>
              <w:left w:val="single" w:sz="4" w:space="0" w:color="auto"/>
              <w:bottom w:val="single" w:sz="4" w:space="0" w:color="auto"/>
            </w:tcBorders>
          </w:tcPr>
          <w:p w:rsidR="00000000" w:rsidRDefault="00000000">
            <w:pPr>
              <w:spacing w:before="60" w:line="240" w:lineRule="auto"/>
              <w:jc w:val="center"/>
              <w:rPr>
                <w:rFonts w:hint="eastAsia"/>
                <w:sz w:val="22"/>
                <w:szCs w:val="22"/>
              </w:rPr>
            </w:pPr>
            <w:r>
              <w:rPr>
                <w:rFonts w:hint="eastAsia"/>
                <w:sz w:val="22"/>
                <w:szCs w:val="22"/>
              </w:rPr>
              <w:t>已竣工的住房</w:t>
            </w:r>
          </w:p>
        </w:tc>
      </w:tr>
      <w:tr w:rsidR="00000000">
        <w:tblPrEx>
          <w:tblCellMar>
            <w:top w:w="0" w:type="dxa"/>
            <w:bottom w:w="0" w:type="dxa"/>
          </w:tblCellMar>
        </w:tblPrEx>
        <w:tc>
          <w:tcPr>
            <w:tcW w:w="1835" w:type="pct"/>
            <w:tcBorders>
              <w:top w:val="single" w:sz="4" w:space="0" w:color="auto"/>
              <w:bottom w:val="single" w:sz="4" w:space="0" w:color="auto"/>
              <w:right w:val="single" w:sz="4" w:space="0" w:color="auto"/>
            </w:tcBorders>
          </w:tcPr>
          <w:p w:rsidR="00000000" w:rsidRDefault="00000000">
            <w:pPr>
              <w:spacing w:before="60" w:line="240" w:lineRule="auto"/>
              <w:rPr>
                <w:rFonts w:hint="eastAsia"/>
                <w:sz w:val="20"/>
              </w:rPr>
            </w:pPr>
          </w:p>
        </w:tc>
        <w:tc>
          <w:tcPr>
            <w:tcW w:w="791" w:type="pct"/>
            <w:tcBorders>
              <w:top w:val="single" w:sz="4" w:space="0" w:color="auto"/>
              <w:left w:val="single" w:sz="4" w:space="0" w:color="auto"/>
              <w:bottom w:val="single" w:sz="4" w:space="0" w:color="auto"/>
              <w:right w:val="single" w:sz="4" w:space="0" w:color="auto"/>
            </w:tcBorders>
          </w:tcPr>
          <w:p w:rsidR="00000000" w:rsidRDefault="00000000">
            <w:pPr>
              <w:spacing w:before="60" w:line="240" w:lineRule="auto"/>
              <w:jc w:val="center"/>
              <w:rPr>
                <w:rFonts w:hint="eastAsia"/>
                <w:sz w:val="22"/>
                <w:szCs w:val="22"/>
              </w:rPr>
            </w:pPr>
            <w:r>
              <w:rPr>
                <w:sz w:val="22"/>
                <w:szCs w:val="22"/>
              </w:rPr>
              <w:t>1995</w:t>
            </w:r>
            <w:r>
              <w:rPr>
                <w:rFonts w:hint="eastAsia"/>
                <w:sz w:val="22"/>
                <w:szCs w:val="22"/>
              </w:rPr>
              <w:t>年</w:t>
            </w:r>
          </w:p>
        </w:tc>
        <w:tc>
          <w:tcPr>
            <w:tcW w:w="791" w:type="pct"/>
            <w:tcBorders>
              <w:top w:val="single" w:sz="4" w:space="0" w:color="auto"/>
              <w:left w:val="single" w:sz="4" w:space="0" w:color="auto"/>
              <w:bottom w:val="single" w:sz="4" w:space="0" w:color="auto"/>
              <w:right w:val="single" w:sz="4" w:space="0" w:color="auto"/>
            </w:tcBorders>
          </w:tcPr>
          <w:p w:rsidR="00000000" w:rsidRDefault="00000000">
            <w:pPr>
              <w:spacing w:before="60" w:line="240" w:lineRule="auto"/>
              <w:jc w:val="center"/>
              <w:rPr>
                <w:rFonts w:hint="eastAsia"/>
                <w:sz w:val="22"/>
                <w:szCs w:val="22"/>
              </w:rPr>
            </w:pPr>
            <w:r>
              <w:rPr>
                <w:sz w:val="22"/>
                <w:szCs w:val="22"/>
              </w:rPr>
              <w:t>1996</w:t>
            </w:r>
            <w:r>
              <w:rPr>
                <w:rFonts w:hint="eastAsia"/>
                <w:sz w:val="22"/>
                <w:szCs w:val="22"/>
              </w:rPr>
              <w:t>年</w:t>
            </w:r>
          </w:p>
        </w:tc>
        <w:tc>
          <w:tcPr>
            <w:tcW w:w="791" w:type="pct"/>
            <w:tcBorders>
              <w:top w:val="single" w:sz="4" w:space="0" w:color="auto"/>
              <w:left w:val="single" w:sz="4" w:space="0" w:color="auto"/>
              <w:bottom w:val="single" w:sz="4" w:space="0" w:color="auto"/>
              <w:right w:val="single" w:sz="4" w:space="0" w:color="auto"/>
            </w:tcBorders>
          </w:tcPr>
          <w:p w:rsidR="00000000" w:rsidRDefault="00000000">
            <w:pPr>
              <w:spacing w:before="60" w:line="240" w:lineRule="auto"/>
              <w:jc w:val="center"/>
              <w:rPr>
                <w:rFonts w:hint="eastAsia"/>
                <w:sz w:val="22"/>
                <w:szCs w:val="22"/>
              </w:rPr>
            </w:pPr>
            <w:r>
              <w:rPr>
                <w:sz w:val="22"/>
                <w:szCs w:val="22"/>
              </w:rPr>
              <w:t>1997</w:t>
            </w:r>
            <w:r>
              <w:rPr>
                <w:rFonts w:hint="eastAsia"/>
                <w:sz w:val="22"/>
                <w:szCs w:val="22"/>
              </w:rPr>
              <w:t>年</w:t>
            </w:r>
          </w:p>
        </w:tc>
        <w:tc>
          <w:tcPr>
            <w:tcW w:w="791" w:type="pct"/>
            <w:tcBorders>
              <w:top w:val="single" w:sz="4" w:space="0" w:color="auto"/>
              <w:left w:val="single" w:sz="4" w:space="0" w:color="auto"/>
              <w:bottom w:val="single" w:sz="4" w:space="0" w:color="auto"/>
            </w:tcBorders>
          </w:tcPr>
          <w:p w:rsidR="00000000" w:rsidRDefault="00000000">
            <w:pPr>
              <w:spacing w:before="60" w:line="240" w:lineRule="auto"/>
              <w:jc w:val="center"/>
              <w:rPr>
                <w:rFonts w:hint="eastAsia"/>
                <w:sz w:val="22"/>
                <w:szCs w:val="22"/>
              </w:rPr>
            </w:pPr>
            <w:r>
              <w:rPr>
                <w:sz w:val="22"/>
                <w:szCs w:val="22"/>
              </w:rPr>
              <w:t>1998</w:t>
            </w:r>
            <w:r>
              <w:rPr>
                <w:rFonts w:hint="eastAsia"/>
                <w:sz w:val="22"/>
                <w:szCs w:val="22"/>
              </w:rPr>
              <w:t>年</w:t>
            </w:r>
          </w:p>
        </w:tc>
      </w:tr>
      <w:tr w:rsidR="00000000">
        <w:tblPrEx>
          <w:tblCellMar>
            <w:top w:w="0" w:type="dxa"/>
            <w:bottom w:w="0" w:type="dxa"/>
          </w:tblCellMar>
        </w:tblPrEx>
        <w:tc>
          <w:tcPr>
            <w:tcW w:w="1835" w:type="pct"/>
            <w:tcBorders>
              <w:top w:val="single" w:sz="4" w:space="0" w:color="auto"/>
              <w:right w:val="single" w:sz="4" w:space="0" w:color="auto"/>
            </w:tcBorders>
          </w:tcPr>
          <w:p w:rsidR="00000000" w:rsidRDefault="00000000">
            <w:pPr>
              <w:spacing w:before="60" w:line="240" w:lineRule="auto"/>
              <w:rPr>
                <w:rFonts w:hint="eastAsia"/>
                <w:sz w:val="20"/>
                <w:lang w:val="fr-CH"/>
              </w:rPr>
            </w:pPr>
            <w:r>
              <w:rPr>
                <w:rFonts w:hint="eastAsia"/>
                <w:sz w:val="20"/>
                <w:lang w:val="fr-CH"/>
              </w:rPr>
              <w:t>总</w:t>
            </w:r>
            <w:r>
              <w:rPr>
                <w:rFonts w:hint="eastAsia"/>
                <w:sz w:val="20"/>
                <w:lang w:val="fr-CH"/>
              </w:rPr>
              <w:t xml:space="preserve">  </w:t>
            </w:r>
            <w:r>
              <w:rPr>
                <w:rFonts w:hint="eastAsia"/>
                <w:sz w:val="20"/>
                <w:lang w:val="fr-CH"/>
              </w:rPr>
              <w:t>计</w:t>
            </w:r>
          </w:p>
        </w:tc>
        <w:tc>
          <w:tcPr>
            <w:tcW w:w="791" w:type="pct"/>
            <w:tcBorders>
              <w:top w:val="single" w:sz="4" w:space="0" w:color="auto"/>
              <w:left w:val="single" w:sz="4" w:space="0" w:color="auto"/>
              <w:right w:val="single" w:sz="4" w:space="0" w:color="auto"/>
            </w:tcBorders>
          </w:tcPr>
          <w:p w:rsidR="00000000" w:rsidRDefault="00000000">
            <w:pPr>
              <w:tabs>
                <w:tab w:val="left" w:pos="709"/>
              </w:tabs>
              <w:spacing w:before="60" w:line="240" w:lineRule="auto"/>
              <w:ind w:right="284"/>
              <w:jc w:val="right"/>
              <w:rPr>
                <w:sz w:val="22"/>
                <w:szCs w:val="22"/>
              </w:rPr>
            </w:pPr>
            <w:r>
              <w:rPr>
                <w:sz w:val="22"/>
                <w:szCs w:val="22"/>
              </w:rPr>
              <w:t>12 662</w:t>
            </w:r>
          </w:p>
        </w:tc>
        <w:tc>
          <w:tcPr>
            <w:tcW w:w="791" w:type="pct"/>
            <w:tcBorders>
              <w:top w:val="single" w:sz="4" w:space="0" w:color="auto"/>
              <w:left w:val="single" w:sz="4" w:space="0" w:color="auto"/>
              <w:right w:val="single" w:sz="4" w:space="0" w:color="auto"/>
            </w:tcBorders>
          </w:tcPr>
          <w:p w:rsidR="00000000" w:rsidRDefault="00000000">
            <w:pPr>
              <w:spacing w:before="60" w:line="240" w:lineRule="auto"/>
              <w:ind w:right="284"/>
              <w:jc w:val="right"/>
              <w:rPr>
                <w:sz w:val="22"/>
                <w:szCs w:val="22"/>
              </w:rPr>
            </w:pPr>
            <w:r>
              <w:rPr>
                <w:sz w:val="22"/>
                <w:szCs w:val="22"/>
              </w:rPr>
              <w:t>14 037</w:t>
            </w:r>
          </w:p>
        </w:tc>
        <w:tc>
          <w:tcPr>
            <w:tcW w:w="791" w:type="pct"/>
            <w:tcBorders>
              <w:top w:val="single" w:sz="4" w:space="0" w:color="auto"/>
              <w:left w:val="single" w:sz="4" w:space="0" w:color="auto"/>
              <w:right w:val="single" w:sz="4" w:space="0" w:color="auto"/>
            </w:tcBorders>
          </w:tcPr>
          <w:p w:rsidR="00000000" w:rsidRDefault="00000000">
            <w:pPr>
              <w:spacing w:before="60" w:line="240" w:lineRule="auto"/>
              <w:ind w:right="284"/>
              <w:jc w:val="right"/>
              <w:rPr>
                <w:sz w:val="22"/>
                <w:szCs w:val="22"/>
              </w:rPr>
            </w:pPr>
            <w:r>
              <w:rPr>
                <w:sz w:val="22"/>
                <w:szCs w:val="22"/>
              </w:rPr>
              <w:t>15 904</w:t>
            </w:r>
          </w:p>
        </w:tc>
        <w:tc>
          <w:tcPr>
            <w:tcW w:w="791" w:type="pct"/>
            <w:tcBorders>
              <w:top w:val="single" w:sz="4" w:space="0" w:color="auto"/>
              <w:left w:val="single" w:sz="4" w:space="0" w:color="auto"/>
            </w:tcBorders>
          </w:tcPr>
          <w:p w:rsidR="00000000" w:rsidRDefault="00000000">
            <w:pPr>
              <w:spacing w:before="60" w:line="240" w:lineRule="auto"/>
              <w:ind w:right="284"/>
              <w:jc w:val="right"/>
              <w:rPr>
                <w:sz w:val="22"/>
                <w:szCs w:val="22"/>
              </w:rPr>
            </w:pPr>
            <w:r>
              <w:rPr>
                <w:sz w:val="22"/>
                <w:szCs w:val="22"/>
              </w:rPr>
              <w:t>21 245</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sz w:val="20"/>
                <w:lang w:val="fr-CH"/>
              </w:rPr>
            </w:pPr>
            <w:r>
              <w:rPr>
                <w:rFonts w:hint="eastAsia"/>
                <w:sz w:val="20"/>
              </w:rPr>
              <w:t xml:space="preserve">  </w:t>
            </w:r>
            <w:r>
              <w:rPr>
                <w:rFonts w:hint="eastAsia"/>
                <w:sz w:val="20"/>
              </w:rPr>
              <w:t>其中包括：</w:t>
            </w:r>
            <w:r>
              <w:rPr>
                <w:sz w:val="20"/>
                <w:lang w:val="fr-CH"/>
              </w:rPr>
              <w:t xml:space="preserve"> </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10 996</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12 593</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15 159</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20 027</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rFonts w:hint="eastAsia"/>
                <w:sz w:val="20"/>
              </w:rPr>
              <w:t xml:space="preserve">  A.</w:t>
            </w:r>
            <w:r>
              <w:rPr>
                <w:sz w:val="20"/>
              </w:rPr>
              <w:t xml:space="preserve"> </w:t>
            </w:r>
            <w:r>
              <w:rPr>
                <w:rFonts w:hint="eastAsia"/>
                <w:sz w:val="20"/>
              </w:rPr>
              <w:t>住房楼，总计</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5 430</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5 730</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6 506</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8 336</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sz w:val="20"/>
              </w:rPr>
              <w:t xml:space="preserve">     </w:t>
            </w:r>
            <w:r>
              <w:rPr>
                <w:rFonts w:hint="eastAsia"/>
                <w:sz w:val="20"/>
              </w:rPr>
              <w:t>包括：住宅楼中的家庭住房</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3 583</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4 080</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4 578</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6 827</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rFonts w:hint="eastAsia"/>
                <w:sz w:val="20"/>
              </w:rPr>
              <w:t xml:space="preserve">  </w:t>
            </w:r>
            <w:r>
              <w:rPr>
                <w:sz w:val="20"/>
              </w:rPr>
              <w:tab/>
            </w:r>
            <w:r>
              <w:rPr>
                <w:sz w:val="20"/>
              </w:rPr>
              <w:tab/>
              <w:t xml:space="preserve">  </w:t>
            </w:r>
            <w:r>
              <w:rPr>
                <w:rFonts w:hint="eastAsia"/>
                <w:sz w:val="20"/>
              </w:rPr>
              <w:t>合作社</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1 176</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352</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131</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138</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rFonts w:hint="eastAsia"/>
                <w:sz w:val="20"/>
              </w:rPr>
              <w:t xml:space="preserve">  </w:t>
            </w:r>
            <w:r>
              <w:rPr>
                <w:sz w:val="20"/>
              </w:rPr>
              <w:tab/>
            </w:r>
            <w:r>
              <w:rPr>
                <w:sz w:val="20"/>
              </w:rPr>
              <w:tab/>
              <w:t xml:space="preserve">  </w:t>
            </w:r>
            <w:r>
              <w:rPr>
                <w:rFonts w:hint="eastAsia"/>
                <w:sz w:val="20"/>
              </w:rPr>
              <w:t>市政当局</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1 689</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2 727</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2 835</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3 216</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rFonts w:hint="eastAsia"/>
                <w:sz w:val="20"/>
              </w:rPr>
              <w:t xml:space="preserve">  </w:t>
            </w:r>
            <w:r>
              <w:rPr>
                <w:sz w:val="20"/>
              </w:rPr>
              <w:tab/>
            </w:r>
            <w:r>
              <w:rPr>
                <w:sz w:val="20"/>
              </w:rPr>
              <w:tab/>
              <w:t xml:space="preserve">  </w:t>
            </w:r>
            <w:r>
              <w:rPr>
                <w:rFonts w:hint="eastAsia"/>
                <w:sz w:val="20"/>
              </w:rPr>
              <w:t>其</w:t>
            </w:r>
            <w:r>
              <w:rPr>
                <w:sz w:val="20"/>
              </w:rPr>
              <w:t xml:space="preserve">  </w:t>
            </w:r>
            <w:r>
              <w:rPr>
                <w:rFonts w:hint="eastAsia"/>
                <w:sz w:val="20"/>
              </w:rPr>
              <w:t>他</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718</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1 001</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1 612</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3 473</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rFonts w:hint="eastAsia"/>
                <w:sz w:val="20"/>
              </w:rPr>
              <w:t xml:space="preserve">  </w:t>
            </w:r>
            <w:r>
              <w:rPr>
                <w:sz w:val="20"/>
              </w:rPr>
              <w:tab/>
            </w:r>
            <w:r>
              <w:rPr>
                <w:sz w:val="20"/>
              </w:rPr>
              <w:tab/>
              <w:t xml:space="preserve">  </w:t>
            </w:r>
            <w:r>
              <w:rPr>
                <w:rFonts w:hint="eastAsia"/>
                <w:sz w:val="20"/>
              </w:rPr>
              <w:t>所有类型的扩建</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1 983</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2 783</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4 075</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4 864</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rFonts w:hint="eastAsia"/>
                <w:sz w:val="20"/>
              </w:rPr>
              <w:t xml:space="preserve">  B. </w:t>
            </w:r>
            <w:r>
              <w:rPr>
                <w:rFonts w:hint="eastAsia"/>
                <w:sz w:val="20"/>
              </w:rPr>
              <w:t>社区照顾服务住宅</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1 609</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1 300</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613</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811</w:t>
            </w:r>
          </w:p>
        </w:tc>
      </w:tr>
      <w:tr w:rsidR="00000000">
        <w:tblPrEx>
          <w:tblCellMar>
            <w:top w:w="0" w:type="dxa"/>
            <w:bottom w:w="0" w:type="dxa"/>
          </w:tblCellMar>
        </w:tblPrEx>
        <w:tc>
          <w:tcPr>
            <w:tcW w:w="1835" w:type="pct"/>
            <w:tcBorders>
              <w:right w:val="single" w:sz="4" w:space="0" w:color="auto"/>
            </w:tcBorders>
          </w:tcPr>
          <w:p w:rsidR="00000000" w:rsidRDefault="00000000">
            <w:pPr>
              <w:spacing w:line="240" w:lineRule="auto"/>
              <w:rPr>
                <w:rFonts w:hint="eastAsia"/>
                <w:sz w:val="20"/>
              </w:rPr>
            </w:pPr>
            <w:r>
              <w:rPr>
                <w:rFonts w:hint="eastAsia"/>
                <w:sz w:val="20"/>
              </w:rPr>
              <w:t xml:space="preserve">  C. </w:t>
            </w:r>
            <w:r>
              <w:rPr>
                <w:rFonts w:hint="eastAsia"/>
                <w:sz w:val="20"/>
              </w:rPr>
              <w:t>非住宅建筑</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57</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144</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132</w:t>
            </w:r>
          </w:p>
        </w:tc>
        <w:tc>
          <w:tcPr>
            <w:tcW w:w="791" w:type="pct"/>
            <w:tcBorders>
              <w:left w:val="single" w:sz="4" w:space="0" w:color="auto"/>
            </w:tcBorders>
          </w:tcPr>
          <w:p w:rsidR="00000000" w:rsidRDefault="00000000">
            <w:pPr>
              <w:spacing w:line="240" w:lineRule="auto"/>
              <w:ind w:right="284"/>
              <w:jc w:val="right"/>
              <w:rPr>
                <w:sz w:val="22"/>
                <w:szCs w:val="22"/>
              </w:rPr>
            </w:pPr>
            <w:r>
              <w:rPr>
                <w:sz w:val="22"/>
                <w:szCs w:val="22"/>
              </w:rPr>
              <w:t>407</w:t>
            </w:r>
          </w:p>
        </w:tc>
      </w:tr>
      <w:tr w:rsidR="00000000">
        <w:tblPrEx>
          <w:tblCellMar>
            <w:top w:w="0" w:type="dxa"/>
            <w:bottom w:w="0" w:type="dxa"/>
          </w:tblCellMar>
        </w:tblPrEx>
        <w:tc>
          <w:tcPr>
            <w:tcW w:w="1835" w:type="pct"/>
            <w:tcBorders>
              <w:bottom w:val="single" w:sz="4" w:space="0" w:color="auto"/>
              <w:right w:val="single" w:sz="4" w:space="0" w:color="auto"/>
            </w:tcBorders>
          </w:tcPr>
          <w:p w:rsidR="00000000" w:rsidRDefault="00000000">
            <w:pPr>
              <w:spacing w:line="240" w:lineRule="auto"/>
              <w:rPr>
                <w:rFonts w:hint="eastAsia"/>
                <w:sz w:val="20"/>
              </w:rPr>
            </w:pPr>
            <w:r>
              <w:rPr>
                <w:rFonts w:hint="eastAsia"/>
                <w:sz w:val="20"/>
              </w:rPr>
              <w:t xml:space="preserve">  </w:t>
            </w:r>
            <w:r>
              <w:rPr>
                <w:sz w:val="20"/>
              </w:rPr>
              <w:tab/>
            </w:r>
            <w:r>
              <w:rPr>
                <w:rFonts w:hint="eastAsia"/>
                <w:sz w:val="20"/>
              </w:rPr>
              <w:t>经改建的非住宅房舍</w:t>
            </w:r>
          </w:p>
        </w:tc>
        <w:tc>
          <w:tcPr>
            <w:tcW w:w="791" w:type="pct"/>
            <w:tcBorders>
              <w:left w:val="single" w:sz="4" w:space="0" w:color="auto"/>
              <w:right w:val="single" w:sz="4" w:space="0" w:color="auto"/>
            </w:tcBorders>
          </w:tcPr>
          <w:p w:rsidR="00000000" w:rsidRDefault="00000000">
            <w:pPr>
              <w:tabs>
                <w:tab w:val="left" w:pos="709"/>
              </w:tabs>
              <w:spacing w:line="240" w:lineRule="auto"/>
              <w:ind w:right="284"/>
              <w:jc w:val="right"/>
              <w:rPr>
                <w:sz w:val="22"/>
                <w:szCs w:val="22"/>
              </w:rPr>
            </w:pPr>
            <w:r>
              <w:rPr>
                <w:sz w:val="22"/>
                <w:szCs w:val="22"/>
              </w:rPr>
              <w:t>336</w:t>
            </w:r>
          </w:p>
        </w:tc>
        <w:tc>
          <w:tcPr>
            <w:tcW w:w="791" w:type="pct"/>
            <w:tcBorders>
              <w:left w:val="single" w:sz="4" w:space="0" w:color="auto"/>
              <w:bottom w:val="single" w:sz="4" w:space="0" w:color="auto"/>
              <w:right w:val="single" w:sz="4" w:space="0" w:color="auto"/>
            </w:tcBorders>
          </w:tcPr>
          <w:p w:rsidR="00000000" w:rsidRDefault="00000000">
            <w:pPr>
              <w:spacing w:line="240" w:lineRule="auto"/>
              <w:ind w:right="284"/>
              <w:jc w:val="right"/>
              <w:rPr>
                <w:sz w:val="22"/>
                <w:szCs w:val="22"/>
              </w:rPr>
            </w:pPr>
            <w:r>
              <w:rPr>
                <w:sz w:val="22"/>
                <w:szCs w:val="22"/>
              </w:rPr>
              <w:t>445</w:t>
            </w:r>
          </w:p>
        </w:tc>
        <w:tc>
          <w:tcPr>
            <w:tcW w:w="791" w:type="pct"/>
            <w:tcBorders>
              <w:left w:val="single" w:sz="4" w:space="0" w:color="auto"/>
              <w:right w:val="single" w:sz="4" w:space="0" w:color="auto"/>
            </w:tcBorders>
          </w:tcPr>
          <w:p w:rsidR="00000000" w:rsidRDefault="00000000">
            <w:pPr>
              <w:spacing w:line="240" w:lineRule="auto"/>
              <w:ind w:right="284"/>
              <w:jc w:val="right"/>
              <w:rPr>
                <w:sz w:val="22"/>
                <w:szCs w:val="22"/>
              </w:rPr>
            </w:pPr>
            <w:r>
              <w:rPr>
                <w:sz w:val="22"/>
                <w:szCs w:val="22"/>
              </w:rPr>
              <w:t>853</w:t>
            </w:r>
          </w:p>
        </w:tc>
        <w:tc>
          <w:tcPr>
            <w:tcW w:w="791" w:type="pct"/>
            <w:tcBorders>
              <w:left w:val="single" w:sz="4" w:space="0" w:color="auto"/>
              <w:bottom w:val="single" w:sz="4" w:space="0" w:color="auto"/>
            </w:tcBorders>
          </w:tcPr>
          <w:p w:rsidR="00000000" w:rsidRDefault="00000000">
            <w:pPr>
              <w:spacing w:line="240" w:lineRule="auto"/>
              <w:ind w:right="284"/>
              <w:jc w:val="right"/>
              <w:rPr>
                <w:sz w:val="22"/>
                <w:szCs w:val="22"/>
              </w:rPr>
            </w:pPr>
            <w:r>
              <w:rPr>
                <w:sz w:val="22"/>
                <w:szCs w:val="22"/>
              </w:rPr>
              <w:t>938</w:t>
            </w:r>
          </w:p>
        </w:tc>
      </w:tr>
    </w:tbl>
    <w:p w:rsidR="00000000" w:rsidRDefault="00000000">
      <w:pPr>
        <w:spacing w:before="240" w:after="24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：捷克共和国统计年鉴，</w:t>
      </w:r>
      <w:r>
        <w:rPr>
          <w:rFonts w:eastAsia="KaiTi_GB2312" w:hint="eastAsia"/>
          <w:snapToGrid/>
          <w:spacing w:val="0"/>
        </w:rPr>
        <w:t>1999</w:t>
      </w:r>
      <w:r>
        <w:rPr>
          <w:rFonts w:eastAsia="KaiTi_GB2312" w:hint="eastAsia"/>
          <w:snapToGrid/>
          <w:spacing w:val="0"/>
        </w:rPr>
        <w:t>年。</w:t>
      </w:r>
    </w:p>
    <w:p w:rsidR="00000000" w:rsidRDefault="00000000">
      <w:pPr>
        <w:rPr>
          <w:rFonts w:hint="eastAsia"/>
        </w:rPr>
      </w:pPr>
      <w:r>
        <w:rPr>
          <w:rFonts w:hint="eastAsia"/>
        </w:rPr>
        <w:tab/>
        <w:t xml:space="preserve">441.  </w:t>
      </w:r>
      <w:r>
        <w:rPr>
          <w:rFonts w:hint="eastAsia"/>
        </w:rPr>
        <w:t>自</w:t>
      </w:r>
      <w:r>
        <w:rPr>
          <w:rFonts w:hint="eastAsia"/>
        </w:rPr>
        <w:t>1995</w:t>
      </w:r>
      <w:r>
        <w:rPr>
          <w:rFonts w:hint="eastAsia"/>
        </w:rPr>
        <w:t>年以来，支持盖建城市</w:t>
      </w:r>
      <w:r>
        <w:rPr>
          <w:rFonts w:hint="eastAsia"/>
        </w:rPr>
        <w:t>(</w:t>
      </w:r>
      <w:r>
        <w:rPr>
          <w:rFonts w:hint="eastAsia"/>
        </w:rPr>
        <w:t>社区</w:t>
      </w:r>
      <w:r>
        <w:rPr>
          <w:rFonts w:hint="eastAsia"/>
        </w:rPr>
        <w:t>)</w:t>
      </w:r>
      <w:r>
        <w:rPr>
          <w:rFonts w:hint="eastAsia"/>
        </w:rPr>
        <w:t>出租住房的方案已付诸实施；该方案提供投资补贴，每个公寓最多为</w:t>
      </w:r>
      <w:r>
        <w:rPr>
          <w:rFonts w:hint="eastAsia"/>
        </w:rPr>
        <w:t>320,000</w:t>
      </w:r>
      <w:r>
        <w:rPr>
          <w:rFonts w:hint="eastAsia"/>
        </w:rPr>
        <w:t>克朗和每个住房</w:t>
      </w:r>
      <w:r>
        <w:rPr>
          <w:rFonts w:hint="eastAsia"/>
        </w:rPr>
        <w:t>50,000</w:t>
      </w:r>
      <w:r>
        <w:rPr>
          <w:rFonts w:hint="eastAsia"/>
        </w:rPr>
        <w:t>克朗用于技术基础设施。补贴提供给市政当局，市政当局可与其他建筑投资商联合。以这种方式建造的公寓按非营利形式经营，即房租受到管制或以开支为基础。自</w:t>
      </w:r>
      <w:r>
        <w:rPr>
          <w:rFonts w:hint="eastAsia"/>
        </w:rPr>
        <w:t>1990</w:t>
      </w:r>
      <w:r>
        <w:rPr>
          <w:rFonts w:hint="eastAsia"/>
        </w:rPr>
        <w:t>年代初以来，对盖建带有辅助生活服务的住房也提供投资补贴</w:t>
      </w:r>
      <w:r>
        <w:rPr>
          <w:rFonts w:hint="eastAsia"/>
        </w:rPr>
        <w:t>(</w:t>
      </w:r>
      <w:r>
        <w:rPr>
          <w:rFonts w:hint="eastAsia"/>
        </w:rPr>
        <w:t>支持盖建带有辅助生活服务的住房的方案</w:t>
      </w:r>
      <w:r>
        <w:rPr>
          <w:rFonts w:hint="eastAsia"/>
          <w:spacing w:val="-50"/>
        </w:rPr>
        <w:t>―</w:t>
      </w:r>
      <w:r>
        <w:rPr>
          <w:rFonts w:hint="eastAsia"/>
        </w:rPr>
        <w:t>―社区照顾服务住房</w:t>
      </w:r>
      <w:r>
        <w:rPr>
          <w:rFonts w:hint="eastAsia"/>
        </w:rPr>
        <w:t>)</w:t>
      </w:r>
      <w:r>
        <w:rPr>
          <w:rFonts w:hint="eastAsia"/>
        </w:rPr>
        <w:t>。向市政当局提供的投资补贴最多为每个公寓单元</w:t>
      </w:r>
      <w:r>
        <w:rPr>
          <w:rFonts w:hint="eastAsia"/>
        </w:rPr>
        <w:t>750,000</w:t>
      </w:r>
      <w:r>
        <w:rPr>
          <w:rFonts w:hint="eastAsia"/>
        </w:rPr>
        <w:t>克朗；市政当局用这些补贴为老年人和自理能力下降的其他人盖建小公寓。这些公寓凭租契使用，房租以开支为基础；生活在这些公寓中可以得到某些社会服务。这些补贴方案将根据政府住房政策大纲加以调整，以便补贴不仅给市政当局，而且也给非政府非营利组织</w:t>
      </w:r>
      <w:r>
        <w:rPr>
          <w:rFonts w:hint="eastAsia"/>
        </w:rPr>
        <w:t>(</w:t>
      </w:r>
      <w:r>
        <w:rPr>
          <w:rFonts w:hint="eastAsia"/>
        </w:rPr>
        <w:t>也见上文</w:t>
      </w:r>
      <w:r>
        <w:rPr>
          <w:rFonts w:hint="eastAsia"/>
          <w:spacing w:val="-50"/>
        </w:rPr>
        <w:t>―</w:t>
      </w:r>
      <w:r>
        <w:rPr>
          <w:rFonts w:hint="eastAsia"/>
        </w:rPr>
        <w:t>―关于住房协会法的起草</w:t>
      </w:r>
      <w:r>
        <w:rPr>
          <w:rFonts w:hint="eastAsia"/>
        </w:rPr>
        <w:t>)</w:t>
      </w:r>
      <w:r>
        <w:rPr>
          <w:rFonts w:hint="eastAsia"/>
        </w:rPr>
        <w:t>；捷克共和国还预计扩大旨在给处于不利地位的群体的补贴住房来源，目的是为盖建保护住房、为因不付房租被驱逐的家庭的替代住房或“过渡住房”</w:t>
      </w:r>
      <w:r>
        <w:t xml:space="preserve"> </w:t>
      </w:r>
      <w:r>
        <w:rPr>
          <w:rStyle w:val="EndnoteReference"/>
        </w:rPr>
        <w:endnoteReference w:id="277"/>
      </w:r>
      <w:r>
        <w:t xml:space="preserve"> </w:t>
      </w:r>
      <w:r>
        <w:rPr>
          <w:rFonts w:hint="eastAsia"/>
        </w:rPr>
        <w:t>(</w:t>
      </w:r>
      <w:r>
        <w:rPr>
          <w:rFonts w:hint="eastAsia"/>
        </w:rPr>
        <w:t>只能在其中居住有限的时间</w:t>
      </w:r>
      <w:r>
        <w:rPr>
          <w:rFonts w:hint="eastAsia"/>
        </w:rPr>
        <w:t>)</w:t>
      </w:r>
      <w:r>
        <w:rPr>
          <w:rFonts w:hint="eastAsia"/>
        </w:rPr>
        <w:t>。</w:t>
      </w:r>
    </w:p>
    <w:p w:rsidR="00000000" w:rsidRDefault="00000000">
      <w:pPr>
        <w:rPr>
          <w:rFonts w:hint="eastAsia"/>
        </w:rPr>
      </w:pPr>
      <w:r>
        <w:rPr>
          <w:rFonts w:hint="eastAsia"/>
        </w:rPr>
        <w:tab/>
        <w:t xml:space="preserve">442.  </w:t>
      </w:r>
      <w:r>
        <w:rPr>
          <w:rFonts w:hint="eastAsia"/>
        </w:rPr>
        <w:t>捷克共和国有一类有具体用途的住房，它们主要是供行动不方便者使用的无障碍公寓。这些公寓的法律规章载于有关法律第</w:t>
      </w:r>
      <w:r>
        <w:rPr>
          <w:rFonts w:hint="eastAsia"/>
        </w:rPr>
        <w:t>9</w:t>
      </w:r>
      <w:r>
        <w:rPr>
          <w:rFonts w:hint="eastAsia"/>
        </w:rPr>
        <w:t>条，该法于</w:t>
      </w:r>
      <w:r>
        <w:rPr>
          <w:rFonts w:hint="eastAsia"/>
        </w:rPr>
        <w:t>1992</w:t>
      </w:r>
      <w:r>
        <w:rPr>
          <w:rFonts w:hint="eastAsia"/>
        </w:rPr>
        <w:t>年充实和调整和民法</w:t>
      </w:r>
      <w:r>
        <w:t xml:space="preserve"> </w:t>
      </w:r>
      <w:r>
        <w:rPr>
          <w:rStyle w:val="EndnoteReference"/>
        </w:rPr>
        <w:endnoteReference w:id="278"/>
      </w:r>
      <w:r>
        <w:t xml:space="preserve"> </w:t>
      </w:r>
      <w:r>
        <w:rPr>
          <w:rFonts w:hint="eastAsia"/>
        </w:rPr>
        <w:t>：“……对住房进行专门改建，让残疾人居住。如果由国家资金盖建的具有特别指定用途的住房或国家为其盖建提供了捐助，只能经区办事处建议方可签署租赁合同，该办事处在提出建议前将要求政府残疾人委员会提供证明。”</w:t>
      </w:r>
    </w:p>
    <w:p w:rsidR="00000000" w:rsidRDefault="00000000">
      <w:pPr>
        <w:spacing w:after="320"/>
      </w:pPr>
      <w:r>
        <w:rPr>
          <w:rFonts w:hint="eastAsia"/>
        </w:rPr>
        <w:tab/>
        <w:t xml:space="preserve">443.  </w:t>
      </w:r>
      <w:r>
        <w:rPr>
          <w:rFonts w:hint="eastAsia"/>
        </w:rPr>
        <w:t>在有特殊用途的建筑中的住房根据同一法律第</w:t>
      </w:r>
      <w:r>
        <w:rPr>
          <w:rFonts w:hint="eastAsia"/>
        </w:rPr>
        <w:t>10</w:t>
      </w:r>
      <w:r>
        <w:rPr>
          <w:rFonts w:hint="eastAsia"/>
        </w:rPr>
        <w:t>条是具备辅助生活服务的建筑中的公寓和具备用于残疾人的综合设施的建筑中的公寓。如果国家为这些公寓的建造提供了捐款，其租赁合同的签署以区办事处的建议为条件。</w:t>
      </w:r>
    </w:p>
    <w:p w:rsidR="00000000" w:rsidRDefault="00000000">
      <w:pPr>
        <w:pStyle w:val="Heading3"/>
        <w:spacing w:after="160"/>
        <w:rPr>
          <w:rFonts w:hint="eastAsia"/>
          <w:u w:val="none"/>
        </w:rPr>
      </w:pPr>
      <w:r>
        <w:rPr>
          <w:rFonts w:hint="eastAsia"/>
        </w:rPr>
        <w:t>国家预算中对住房的援助（百万克朗</w:t>
      </w:r>
      <w:r>
        <w:rPr>
          <w:rFonts w:hint="eastAsia"/>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9"/>
        <w:gridCol w:w="991"/>
        <w:gridCol w:w="991"/>
        <w:gridCol w:w="992"/>
        <w:gridCol w:w="992"/>
        <w:gridCol w:w="992"/>
        <w:gridCol w:w="992"/>
        <w:gridCol w:w="992"/>
      </w:tblGrid>
      <w:tr w:rsidR="00000000">
        <w:tblPrEx>
          <w:tblCellMar>
            <w:top w:w="0" w:type="dxa"/>
            <w:bottom w:w="0" w:type="dxa"/>
          </w:tblCellMar>
        </w:tblPrEx>
        <w:trPr>
          <w:tblHeader/>
        </w:trPr>
        <w:tc>
          <w:tcPr>
            <w:tcW w:w="1374" w:type="pct"/>
          </w:tcPr>
          <w:p w:rsidR="00000000" w:rsidRDefault="00000000">
            <w:pPr>
              <w:spacing w:before="60" w:line="240" w:lineRule="auto"/>
              <w:ind w:left="-57" w:right="-57"/>
              <w:jc w:val="center"/>
              <w:rPr>
                <w:rFonts w:hint="eastAsia"/>
                <w:sz w:val="20"/>
              </w:rPr>
            </w:pPr>
          </w:p>
        </w:tc>
        <w:tc>
          <w:tcPr>
            <w:tcW w:w="518" w:type="pct"/>
          </w:tcPr>
          <w:p w:rsidR="00000000" w:rsidRDefault="00000000">
            <w:pPr>
              <w:spacing w:before="60" w:line="240" w:lineRule="auto"/>
              <w:jc w:val="center"/>
              <w:rPr>
                <w:rFonts w:hint="eastAsia"/>
                <w:sz w:val="20"/>
              </w:rPr>
            </w:pPr>
            <w:r>
              <w:rPr>
                <w:sz w:val="20"/>
              </w:rPr>
              <w:t>1993</w:t>
            </w:r>
            <w:r>
              <w:rPr>
                <w:rFonts w:hint="eastAsia"/>
                <w:sz w:val="20"/>
              </w:rPr>
              <w:t>年</w:t>
            </w:r>
          </w:p>
        </w:tc>
        <w:tc>
          <w:tcPr>
            <w:tcW w:w="518" w:type="pct"/>
          </w:tcPr>
          <w:p w:rsidR="00000000" w:rsidRDefault="00000000">
            <w:pPr>
              <w:spacing w:before="60" w:line="240" w:lineRule="auto"/>
              <w:jc w:val="center"/>
              <w:rPr>
                <w:rFonts w:hint="eastAsia"/>
                <w:sz w:val="20"/>
              </w:rPr>
            </w:pPr>
            <w:r>
              <w:rPr>
                <w:rFonts w:hint="eastAsia"/>
                <w:sz w:val="20"/>
              </w:rPr>
              <w:t>1994</w:t>
            </w:r>
            <w:r>
              <w:rPr>
                <w:rFonts w:hint="eastAsia"/>
                <w:sz w:val="20"/>
              </w:rPr>
              <w:t>年</w:t>
            </w:r>
          </w:p>
        </w:tc>
        <w:tc>
          <w:tcPr>
            <w:tcW w:w="518" w:type="pct"/>
          </w:tcPr>
          <w:p w:rsidR="00000000" w:rsidRDefault="00000000">
            <w:pPr>
              <w:spacing w:before="60" w:line="240" w:lineRule="auto"/>
              <w:jc w:val="center"/>
              <w:rPr>
                <w:rFonts w:hint="eastAsia"/>
                <w:sz w:val="20"/>
              </w:rPr>
            </w:pPr>
            <w:r>
              <w:rPr>
                <w:rFonts w:hint="eastAsia"/>
                <w:sz w:val="20"/>
              </w:rPr>
              <w:t>1995</w:t>
            </w:r>
            <w:r>
              <w:rPr>
                <w:rFonts w:hint="eastAsia"/>
                <w:sz w:val="20"/>
              </w:rPr>
              <w:t>年</w:t>
            </w:r>
          </w:p>
        </w:tc>
        <w:tc>
          <w:tcPr>
            <w:tcW w:w="518" w:type="pct"/>
          </w:tcPr>
          <w:p w:rsidR="00000000" w:rsidRDefault="00000000">
            <w:pPr>
              <w:spacing w:before="60" w:line="240" w:lineRule="auto"/>
              <w:jc w:val="center"/>
              <w:rPr>
                <w:rFonts w:hint="eastAsia"/>
                <w:sz w:val="20"/>
              </w:rPr>
            </w:pPr>
            <w:r>
              <w:rPr>
                <w:rFonts w:hint="eastAsia"/>
                <w:sz w:val="20"/>
              </w:rPr>
              <w:t>1996</w:t>
            </w:r>
            <w:r>
              <w:rPr>
                <w:rFonts w:hint="eastAsia"/>
                <w:sz w:val="20"/>
              </w:rPr>
              <w:t>年</w:t>
            </w:r>
          </w:p>
        </w:tc>
        <w:tc>
          <w:tcPr>
            <w:tcW w:w="518" w:type="pct"/>
          </w:tcPr>
          <w:p w:rsidR="00000000" w:rsidRDefault="00000000">
            <w:pPr>
              <w:spacing w:before="60" w:line="240" w:lineRule="auto"/>
              <w:jc w:val="center"/>
              <w:rPr>
                <w:rFonts w:hint="eastAsia"/>
                <w:sz w:val="20"/>
              </w:rPr>
            </w:pPr>
            <w:r>
              <w:rPr>
                <w:rFonts w:hint="eastAsia"/>
                <w:sz w:val="20"/>
              </w:rPr>
              <w:t>1997</w:t>
            </w:r>
            <w:r>
              <w:rPr>
                <w:rFonts w:hint="eastAsia"/>
                <w:sz w:val="20"/>
              </w:rPr>
              <w:t>年</w:t>
            </w:r>
          </w:p>
        </w:tc>
        <w:tc>
          <w:tcPr>
            <w:tcW w:w="518" w:type="pct"/>
          </w:tcPr>
          <w:p w:rsidR="00000000" w:rsidRDefault="00000000">
            <w:pPr>
              <w:spacing w:before="60" w:line="240" w:lineRule="auto"/>
              <w:jc w:val="center"/>
              <w:rPr>
                <w:rFonts w:hint="eastAsia"/>
                <w:sz w:val="20"/>
              </w:rPr>
            </w:pPr>
            <w:r>
              <w:rPr>
                <w:rFonts w:hint="eastAsia"/>
                <w:sz w:val="20"/>
              </w:rPr>
              <w:t>1998</w:t>
            </w:r>
            <w:r>
              <w:rPr>
                <w:rFonts w:hint="eastAsia"/>
                <w:sz w:val="20"/>
              </w:rPr>
              <w:t>年</w:t>
            </w:r>
          </w:p>
        </w:tc>
        <w:tc>
          <w:tcPr>
            <w:tcW w:w="518" w:type="pct"/>
          </w:tcPr>
          <w:p w:rsidR="00000000" w:rsidRDefault="00000000">
            <w:pPr>
              <w:spacing w:before="60" w:line="240" w:lineRule="auto"/>
              <w:jc w:val="center"/>
              <w:rPr>
                <w:rFonts w:hint="eastAsia"/>
                <w:sz w:val="20"/>
              </w:rPr>
            </w:pPr>
            <w:r>
              <w:rPr>
                <w:rFonts w:hint="eastAsia"/>
                <w:sz w:val="20"/>
              </w:rPr>
              <w:t>1999</w:t>
            </w:r>
            <w:r>
              <w:rPr>
                <w:rFonts w:hint="eastAsia"/>
                <w:sz w:val="20"/>
              </w:rPr>
              <w:t>年</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lang w:val="fr-CH"/>
              </w:rPr>
            </w:pPr>
            <w:r>
              <w:rPr>
                <w:rFonts w:hint="eastAsia"/>
                <w:sz w:val="20"/>
                <w:lang w:val="fr-CH"/>
              </w:rPr>
              <w:t>住房修缮</w:t>
            </w:r>
          </w:p>
        </w:tc>
        <w:tc>
          <w:tcPr>
            <w:tcW w:w="518" w:type="pct"/>
          </w:tcPr>
          <w:p w:rsidR="00000000" w:rsidRDefault="00000000">
            <w:pPr>
              <w:spacing w:before="40" w:line="240" w:lineRule="auto"/>
              <w:jc w:val="right"/>
              <w:rPr>
                <w:sz w:val="20"/>
                <w:szCs w:val="22"/>
              </w:rPr>
            </w:pPr>
            <w:r>
              <w:rPr>
                <w:sz w:val="20"/>
                <w:szCs w:val="22"/>
              </w:rPr>
              <w:t>408</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123</w:t>
            </w:r>
          </w:p>
        </w:tc>
        <w:tc>
          <w:tcPr>
            <w:tcW w:w="518" w:type="pct"/>
          </w:tcPr>
          <w:p w:rsidR="00000000" w:rsidRDefault="00000000">
            <w:pPr>
              <w:spacing w:before="40" w:line="240" w:lineRule="auto"/>
              <w:jc w:val="right"/>
              <w:rPr>
                <w:sz w:val="20"/>
                <w:szCs w:val="22"/>
              </w:rPr>
            </w:pPr>
            <w:r>
              <w:rPr>
                <w:sz w:val="20"/>
                <w:szCs w:val="22"/>
              </w:rPr>
              <w:t>240</w:t>
            </w:r>
          </w:p>
        </w:tc>
        <w:tc>
          <w:tcPr>
            <w:tcW w:w="518" w:type="pct"/>
          </w:tcPr>
          <w:p w:rsidR="00000000" w:rsidRDefault="00000000">
            <w:pPr>
              <w:spacing w:before="40" w:line="240" w:lineRule="auto"/>
              <w:jc w:val="right"/>
              <w:rPr>
                <w:sz w:val="20"/>
                <w:szCs w:val="22"/>
              </w:rPr>
            </w:pPr>
            <w:r>
              <w:rPr>
                <w:sz w:val="20"/>
                <w:szCs w:val="22"/>
              </w:rPr>
              <w:t>240</w:t>
            </w:r>
          </w:p>
        </w:tc>
        <w:tc>
          <w:tcPr>
            <w:tcW w:w="518" w:type="pct"/>
          </w:tcPr>
          <w:p w:rsidR="00000000" w:rsidRDefault="00000000">
            <w:pPr>
              <w:spacing w:before="40" w:line="240" w:lineRule="auto"/>
              <w:jc w:val="right"/>
              <w:rPr>
                <w:sz w:val="20"/>
                <w:szCs w:val="22"/>
              </w:rPr>
            </w:pPr>
            <w:r>
              <w:rPr>
                <w:sz w:val="20"/>
                <w:szCs w:val="22"/>
              </w:rPr>
              <w:t>420</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建造出租住所和技术基础设施</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1 400</w:t>
            </w:r>
          </w:p>
        </w:tc>
        <w:tc>
          <w:tcPr>
            <w:tcW w:w="518" w:type="pct"/>
          </w:tcPr>
          <w:p w:rsidR="00000000" w:rsidRDefault="00000000">
            <w:pPr>
              <w:spacing w:before="40" w:line="240" w:lineRule="auto"/>
              <w:jc w:val="right"/>
              <w:rPr>
                <w:sz w:val="20"/>
                <w:szCs w:val="22"/>
              </w:rPr>
            </w:pPr>
            <w:r>
              <w:rPr>
                <w:sz w:val="20"/>
                <w:szCs w:val="22"/>
              </w:rPr>
              <w:t>2 180</w:t>
            </w:r>
          </w:p>
        </w:tc>
        <w:tc>
          <w:tcPr>
            <w:tcW w:w="518" w:type="pct"/>
          </w:tcPr>
          <w:p w:rsidR="00000000" w:rsidRDefault="00000000">
            <w:pPr>
              <w:spacing w:before="40" w:line="240" w:lineRule="auto"/>
              <w:jc w:val="right"/>
              <w:rPr>
                <w:sz w:val="20"/>
                <w:szCs w:val="22"/>
              </w:rPr>
            </w:pPr>
            <w:r>
              <w:rPr>
                <w:sz w:val="20"/>
                <w:szCs w:val="22"/>
              </w:rPr>
              <w:t>2 698</w:t>
            </w:r>
          </w:p>
        </w:tc>
        <w:tc>
          <w:tcPr>
            <w:tcW w:w="518" w:type="pct"/>
          </w:tcPr>
          <w:p w:rsidR="00000000" w:rsidRDefault="00000000">
            <w:pPr>
              <w:spacing w:before="40" w:line="240" w:lineRule="auto"/>
              <w:jc w:val="right"/>
              <w:rPr>
                <w:sz w:val="20"/>
                <w:szCs w:val="22"/>
              </w:rPr>
            </w:pPr>
            <w:r>
              <w:rPr>
                <w:sz w:val="20"/>
                <w:szCs w:val="22"/>
              </w:rPr>
              <w:t>2 891</w:t>
            </w:r>
          </w:p>
        </w:tc>
        <w:tc>
          <w:tcPr>
            <w:tcW w:w="518" w:type="pct"/>
          </w:tcPr>
          <w:p w:rsidR="00000000" w:rsidRDefault="00000000">
            <w:pPr>
              <w:spacing w:before="40" w:line="240" w:lineRule="auto"/>
              <w:jc w:val="right"/>
              <w:rPr>
                <w:sz w:val="20"/>
                <w:szCs w:val="22"/>
              </w:rPr>
            </w:pPr>
            <w:r>
              <w:rPr>
                <w:sz w:val="20"/>
                <w:szCs w:val="22"/>
              </w:rPr>
              <w:t>3 480</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给市政当局用于住房修缮和现代化的贷款</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500</w:t>
            </w:r>
          </w:p>
        </w:tc>
        <w:tc>
          <w:tcPr>
            <w:tcW w:w="518" w:type="pct"/>
          </w:tcPr>
          <w:p w:rsidR="00000000" w:rsidRDefault="00000000">
            <w:pPr>
              <w:spacing w:before="40" w:line="240" w:lineRule="auto"/>
              <w:jc w:val="right"/>
              <w:rPr>
                <w:sz w:val="20"/>
                <w:szCs w:val="22"/>
              </w:rPr>
            </w:pPr>
            <w:r>
              <w:rPr>
                <w:sz w:val="20"/>
                <w:szCs w:val="22"/>
              </w:rPr>
              <w:t>300</w:t>
            </w:r>
          </w:p>
        </w:tc>
        <w:tc>
          <w:tcPr>
            <w:tcW w:w="518" w:type="pct"/>
          </w:tcPr>
          <w:p w:rsidR="00000000" w:rsidRDefault="00000000">
            <w:pPr>
              <w:spacing w:before="40" w:line="240" w:lineRule="auto"/>
              <w:jc w:val="right"/>
              <w:rPr>
                <w:sz w:val="20"/>
                <w:szCs w:val="22"/>
              </w:rPr>
            </w:pPr>
            <w:r>
              <w:rPr>
                <w:sz w:val="20"/>
                <w:szCs w:val="22"/>
              </w:rPr>
              <w:t>275</w:t>
            </w:r>
          </w:p>
        </w:tc>
        <w:tc>
          <w:tcPr>
            <w:tcW w:w="518" w:type="pct"/>
          </w:tcPr>
          <w:p w:rsidR="00000000" w:rsidRDefault="00000000">
            <w:pPr>
              <w:spacing w:before="40" w:line="240" w:lineRule="auto"/>
              <w:jc w:val="right"/>
              <w:rPr>
                <w:sz w:val="20"/>
                <w:szCs w:val="22"/>
              </w:rPr>
            </w:pPr>
            <w:r>
              <w:rPr>
                <w:sz w:val="20"/>
                <w:szCs w:val="22"/>
              </w:rPr>
              <w:t>240</w:t>
            </w:r>
          </w:p>
        </w:tc>
        <w:tc>
          <w:tcPr>
            <w:tcW w:w="518" w:type="pct"/>
          </w:tcPr>
          <w:p w:rsidR="00000000" w:rsidRDefault="00000000">
            <w:pPr>
              <w:spacing w:before="40" w:line="240" w:lineRule="auto"/>
              <w:jc w:val="right"/>
              <w:rPr>
                <w:sz w:val="20"/>
                <w:szCs w:val="22"/>
              </w:rPr>
            </w:pPr>
            <w:r>
              <w:rPr>
                <w:sz w:val="20"/>
                <w:szCs w:val="22"/>
              </w:rPr>
              <w:t>415</w:t>
            </w:r>
          </w:p>
        </w:tc>
        <w:tc>
          <w:tcPr>
            <w:tcW w:w="518" w:type="pct"/>
          </w:tcPr>
          <w:p w:rsidR="00000000" w:rsidRDefault="00000000">
            <w:pPr>
              <w:spacing w:before="40" w:line="240" w:lineRule="auto"/>
              <w:jc w:val="right"/>
              <w:rPr>
                <w:sz w:val="20"/>
                <w:szCs w:val="22"/>
              </w:rPr>
            </w:pPr>
            <w:r>
              <w:rPr>
                <w:sz w:val="20"/>
                <w:szCs w:val="22"/>
              </w:rPr>
              <w:t>300</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建造提供社区照顾服务的住宅</w:t>
            </w:r>
          </w:p>
        </w:tc>
        <w:tc>
          <w:tcPr>
            <w:tcW w:w="518" w:type="pct"/>
          </w:tcPr>
          <w:p w:rsidR="00000000" w:rsidRDefault="00000000">
            <w:pPr>
              <w:spacing w:before="40" w:line="240" w:lineRule="auto"/>
              <w:jc w:val="right"/>
              <w:rPr>
                <w:sz w:val="20"/>
                <w:szCs w:val="22"/>
              </w:rPr>
            </w:pPr>
            <w:r>
              <w:rPr>
                <w:sz w:val="20"/>
                <w:szCs w:val="22"/>
              </w:rPr>
              <w:t>986</w:t>
            </w:r>
          </w:p>
        </w:tc>
        <w:tc>
          <w:tcPr>
            <w:tcW w:w="518" w:type="pct"/>
          </w:tcPr>
          <w:p w:rsidR="00000000" w:rsidRDefault="00000000">
            <w:pPr>
              <w:spacing w:before="40" w:line="240" w:lineRule="auto"/>
              <w:jc w:val="right"/>
              <w:rPr>
                <w:sz w:val="20"/>
                <w:szCs w:val="22"/>
              </w:rPr>
            </w:pPr>
            <w:r>
              <w:rPr>
                <w:sz w:val="20"/>
                <w:szCs w:val="22"/>
              </w:rPr>
              <w:t>1 500</w:t>
            </w:r>
          </w:p>
        </w:tc>
        <w:tc>
          <w:tcPr>
            <w:tcW w:w="518" w:type="pct"/>
          </w:tcPr>
          <w:p w:rsidR="00000000" w:rsidRDefault="00000000">
            <w:pPr>
              <w:spacing w:before="40" w:line="240" w:lineRule="auto"/>
              <w:jc w:val="right"/>
              <w:rPr>
                <w:sz w:val="20"/>
                <w:szCs w:val="22"/>
              </w:rPr>
            </w:pPr>
            <w:r>
              <w:rPr>
                <w:sz w:val="20"/>
                <w:szCs w:val="22"/>
              </w:rPr>
              <w:t>1 688</w:t>
            </w:r>
          </w:p>
        </w:tc>
        <w:tc>
          <w:tcPr>
            <w:tcW w:w="518" w:type="pct"/>
          </w:tcPr>
          <w:p w:rsidR="00000000" w:rsidRDefault="00000000">
            <w:pPr>
              <w:spacing w:before="40" w:line="240" w:lineRule="auto"/>
              <w:jc w:val="right"/>
              <w:rPr>
                <w:sz w:val="20"/>
                <w:szCs w:val="22"/>
              </w:rPr>
            </w:pPr>
            <w:r>
              <w:rPr>
                <w:sz w:val="20"/>
                <w:szCs w:val="22"/>
              </w:rPr>
              <w:t>700</w:t>
            </w:r>
          </w:p>
        </w:tc>
        <w:tc>
          <w:tcPr>
            <w:tcW w:w="518" w:type="pct"/>
          </w:tcPr>
          <w:p w:rsidR="00000000" w:rsidRDefault="00000000">
            <w:pPr>
              <w:spacing w:before="40" w:line="240" w:lineRule="auto"/>
              <w:jc w:val="right"/>
              <w:rPr>
                <w:sz w:val="20"/>
                <w:szCs w:val="22"/>
              </w:rPr>
            </w:pPr>
            <w:r>
              <w:rPr>
                <w:sz w:val="20"/>
                <w:szCs w:val="22"/>
              </w:rPr>
              <w:t>600</w:t>
            </w:r>
          </w:p>
        </w:tc>
        <w:tc>
          <w:tcPr>
            <w:tcW w:w="518" w:type="pct"/>
          </w:tcPr>
          <w:p w:rsidR="00000000" w:rsidRDefault="00000000">
            <w:pPr>
              <w:spacing w:before="40" w:line="240" w:lineRule="auto"/>
              <w:jc w:val="right"/>
              <w:rPr>
                <w:sz w:val="20"/>
                <w:szCs w:val="22"/>
              </w:rPr>
            </w:pPr>
            <w:r>
              <w:rPr>
                <w:sz w:val="20"/>
                <w:szCs w:val="22"/>
              </w:rPr>
              <w:t>670</w:t>
            </w:r>
          </w:p>
        </w:tc>
        <w:tc>
          <w:tcPr>
            <w:tcW w:w="518" w:type="pct"/>
          </w:tcPr>
          <w:p w:rsidR="00000000" w:rsidRDefault="00000000">
            <w:pPr>
              <w:spacing w:before="40" w:line="240" w:lineRule="auto"/>
              <w:jc w:val="right"/>
              <w:rPr>
                <w:sz w:val="20"/>
                <w:szCs w:val="22"/>
              </w:rPr>
            </w:pPr>
            <w:r>
              <w:rPr>
                <w:sz w:val="20"/>
                <w:szCs w:val="22"/>
              </w:rPr>
              <w:t>471</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国家无息贷款</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270</w:t>
            </w:r>
          </w:p>
        </w:tc>
        <w:tc>
          <w:tcPr>
            <w:tcW w:w="518" w:type="pct"/>
          </w:tcPr>
          <w:p w:rsidR="00000000" w:rsidRDefault="00000000">
            <w:pPr>
              <w:spacing w:before="40" w:line="240" w:lineRule="auto"/>
              <w:jc w:val="right"/>
              <w:rPr>
                <w:sz w:val="20"/>
                <w:szCs w:val="22"/>
              </w:rPr>
            </w:pPr>
            <w:r>
              <w:rPr>
                <w:sz w:val="20"/>
                <w:szCs w:val="22"/>
              </w:rPr>
              <w:t>796</w:t>
            </w:r>
          </w:p>
        </w:tc>
        <w:tc>
          <w:tcPr>
            <w:tcW w:w="518" w:type="pct"/>
          </w:tcPr>
          <w:p w:rsidR="00000000" w:rsidRDefault="00000000">
            <w:pPr>
              <w:spacing w:before="40" w:line="240" w:lineRule="auto"/>
              <w:jc w:val="right"/>
              <w:rPr>
                <w:sz w:val="20"/>
                <w:szCs w:val="22"/>
              </w:rPr>
            </w:pPr>
            <w:r>
              <w:rPr>
                <w:sz w:val="20"/>
                <w:szCs w:val="22"/>
              </w:rPr>
              <w:t>1 450</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对抵押贷款的援助</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1</w:t>
            </w:r>
          </w:p>
        </w:tc>
        <w:tc>
          <w:tcPr>
            <w:tcW w:w="518" w:type="pct"/>
          </w:tcPr>
          <w:p w:rsidR="00000000" w:rsidRDefault="00000000">
            <w:pPr>
              <w:spacing w:before="40" w:line="240" w:lineRule="auto"/>
              <w:jc w:val="right"/>
              <w:rPr>
                <w:sz w:val="20"/>
                <w:szCs w:val="22"/>
              </w:rPr>
            </w:pPr>
            <w:r>
              <w:rPr>
                <w:sz w:val="20"/>
                <w:szCs w:val="22"/>
              </w:rPr>
              <w:t>34</w:t>
            </w:r>
          </w:p>
        </w:tc>
        <w:tc>
          <w:tcPr>
            <w:tcW w:w="518" w:type="pct"/>
          </w:tcPr>
          <w:p w:rsidR="00000000" w:rsidRDefault="00000000">
            <w:pPr>
              <w:spacing w:before="40" w:line="240" w:lineRule="auto"/>
              <w:jc w:val="right"/>
              <w:rPr>
                <w:sz w:val="20"/>
                <w:szCs w:val="22"/>
              </w:rPr>
            </w:pPr>
            <w:r>
              <w:rPr>
                <w:sz w:val="20"/>
                <w:szCs w:val="22"/>
              </w:rPr>
              <w:t>132</w:t>
            </w:r>
          </w:p>
        </w:tc>
        <w:tc>
          <w:tcPr>
            <w:tcW w:w="518" w:type="pct"/>
          </w:tcPr>
          <w:p w:rsidR="00000000" w:rsidRDefault="00000000">
            <w:pPr>
              <w:spacing w:before="40" w:line="240" w:lineRule="auto"/>
              <w:jc w:val="right"/>
              <w:rPr>
                <w:sz w:val="20"/>
                <w:szCs w:val="22"/>
              </w:rPr>
            </w:pPr>
            <w:r>
              <w:rPr>
                <w:sz w:val="20"/>
                <w:szCs w:val="22"/>
              </w:rPr>
              <w:t>250</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对住房储蓄帐户的援助</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284</w:t>
            </w:r>
          </w:p>
        </w:tc>
        <w:tc>
          <w:tcPr>
            <w:tcW w:w="518" w:type="pct"/>
          </w:tcPr>
          <w:p w:rsidR="00000000" w:rsidRDefault="00000000">
            <w:pPr>
              <w:spacing w:before="40" w:line="240" w:lineRule="auto"/>
              <w:jc w:val="right"/>
              <w:rPr>
                <w:sz w:val="20"/>
                <w:szCs w:val="22"/>
              </w:rPr>
            </w:pPr>
            <w:r>
              <w:rPr>
                <w:sz w:val="20"/>
                <w:szCs w:val="22"/>
              </w:rPr>
              <w:t>1 112</w:t>
            </w:r>
          </w:p>
        </w:tc>
        <w:tc>
          <w:tcPr>
            <w:tcW w:w="518" w:type="pct"/>
          </w:tcPr>
          <w:p w:rsidR="00000000" w:rsidRDefault="00000000">
            <w:pPr>
              <w:spacing w:before="40" w:line="240" w:lineRule="auto"/>
              <w:jc w:val="right"/>
              <w:rPr>
                <w:sz w:val="20"/>
                <w:szCs w:val="22"/>
              </w:rPr>
            </w:pPr>
            <w:r>
              <w:rPr>
                <w:sz w:val="20"/>
                <w:szCs w:val="22"/>
              </w:rPr>
              <w:t>2 311</w:t>
            </w:r>
          </w:p>
        </w:tc>
        <w:tc>
          <w:tcPr>
            <w:tcW w:w="518" w:type="pct"/>
          </w:tcPr>
          <w:p w:rsidR="00000000" w:rsidRDefault="00000000">
            <w:pPr>
              <w:spacing w:before="40" w:line="240" w:lineRule="auto"/>
              <w:jc w:val="right"/>
              <w:rPr>
                <w:sz w:val="20"/>
                <w:szCs w:val="22"/>
              </w:rPr>
            </w:pPr>
            <w:r>
              <w:rPr>
                <w:sz w:val="20"/>
                <w:szCs w:val="22"/>
              </w:rPr>
              <w:t>3 826</w:t>
            </w:r>
          </w:p>
        </w:tc>
        <w:tc>
          <w:tcPr>
            <w:tcW w:w="518" w:type="pct"/>
          </w:tcPr>
          <w:p w:rsidR="00000000" w:rsidRDefault="00000000">
            <w:pPr>
              <w:spacing w:before="40" w:line="240" w:lineRule="auto"/>
              <w:jc w:val="right"/>
              <w:rPr>
                <w:sz w:val="20"/>
                <w:szCs w:val="22"/>
              </w:rPr>
            </w:pPr>
            <w:r>
              <w:rPr>
                <w:sz w:val="20"/>
                <w:szCs w:val="22"/>
              </w:rPr>
              <w:t>5 068</w:t>
            </w:r>
          </w:p>
        </w:tc>
        <w:tc>
          <w:tcPr>
            <w:tcW w:w="518" w:type="pct"/>
          </w:tcPr>
          <w:p w:rsidR="00000000" w:rsidRDefault="00000000">
            <w:pPr>
              <w:spacing w:before="40" w:line="240" w:lineRule="auto"/>
              <w:jc w:val="right"/>
              <w:rPr>
                <w:sz w:val="20"/>
                <w:szCs w:val="22"/>
              </w:rPr>
            </w:pPr>
            <w:r>
              <w:rPr>
                <w:sz w:val="20"/>
                <w:szCs w:val="22"/>
              </w:rPr>
              <w:t>6 250</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与住房相连的福利津贴</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200</w:t>
            </w:r>
          </w:p>
        </w:tc>
        <w:tc>
          <w:tcPr>
            <w:tcW w:w="518" w:type="pct"/>
          </w:tcPr>
          <w:p w:rsidR="00000000" w:rsidRDefault="00000000">
            <w:pPr>
              <w:spacing w:before="40" w:line="240" w:lineRule="auto"/>
              <w:jc w:val="right"/>
              <w:rPr>
                <w:sz w:val="20"/>
                <w:szCs w:val="22"/>
              </w:rPr>
            </w:pPr>
            <w:r>
              <w:rPr>
                <w:sz w:val="20"/>
                <w:szCs w:val="22"/>
              </w:rPr>
              <w:t>200</w:t>
            </w:r>
          </w:p>
        </w:tc>
        <w:tc>
          <w:tcPr>
            <w:tcW w:w="518" w:type="pct"/>
          </w:tcPr>
          <w:p w:rsidR="00000000" w:rsidRDefault="00000000">
            <w:pPr>
              <w:spacing w:before="40" w:line="240" w:lineRule="auto"/>
              <w:jc w:val="right"/>
              <w:rPr>
                <w:sz w:val="20"/>
                <w:szCs w:val="22"/>
              </w:rPr>
            </w:pPr>
            <w:r>
              <w:rPr>
                <w:sz w:val="20"/>
                <w:szCs w:val="22"/>
              </w:rPr>
              <w:t>677</w:t>
            </w:r>
          </w:p>
        </w:tc>
        <w:tc>
          <w:tcPr>
            <w:tcW w:w="518" w:type="pct"/>
          </w:tcPr>
          <w:p w:rsidR="00000000" w:rsidRDefault="00000000">
            <w:pPr>
              <w:spacing w:before="40" w:line="240" w:lineRule="auto"/>
              <w:jc w:val="right"/>
              <w:rPr>
                <w:sz w:val="20"/>
                <w:szCs w:val="22"/>
              </w:rPr>
            </w:pPr>
            <w:r>
              <w:rPr>
                <w:sz w:val="20"/>
                <w:szCs w:val="22"/>
              </w:rPr>
              <w:t>929</w:t>
            </w:r>
          </w:p>
        </w:tc>
        <w:tc>
          <w:tcPr>
            <w:tcW w:w="518" w:type="pct"/>
          </w:tcPr>
          <w:p w:rsidR="00000000" w:rsidRDefault="00000000">
            <w:pPr>
              <w:spacing w:before="40" w:line="240" w:lineRule="auto"/>
              <w:jc w:val="right"/>
              <w:rPr>
                <w:sz w:val="20"/>
                <w:szCs w:val="22"/>
              </w:rPr>
            </w:pPr>
            <w:r>
              <w:rPr>
                <w:sz w:val="20"/>
                <w:szCs w:val="22"/>
              </w:rPr>
              <w:t>1 367</w:t>
            </w:r>
          </w:p>
        </w:tc>
        <w:tc>
          <w:tcPr>
            <w:tcW w:w="518" w:type="pct"/>
          </w:tcPr>
          <w:p w:rsidR="00000000" w:rsidRDefault="00000000">
            <w:pPr>
              <w:spacing w:before="40" w:line="240" w:lineRule="auto"/>
              <w:jc w:val="right"/>
              <w:rPr>
                <w:sz w:val="20"/>
                <w:szCs w:val="22"/>
              </w:rPr>
            </w:pPr>
            <w:r>
              <w:rPr>
                <w:sz w:val="20"/>
                <w:szCs w:val="22"/>
              </w:rPr>
              <w:t>2 067</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综合住房融资</w:t>
            </w:r>
          </w:p>
        </w:tc>
        <w:tc>
          <w:tcPr>
            <w:tcW w:w="518" w:type="pct"/>
          </w:tcPr>
          <w:p w:rsidR="00000000" w:rsidRDefault="00000000">
            <w:pPr>
              <w:spacing w:before="40" w:line="240" w:lineRule="auto"/>
              <w:jc w:val="right"/>
              <w:rPr>
                <w:sz w:val="20"/>
                <w:szCs w:val="22"/>
              </w:rPr>
            </w:pPr>
            <w:r>
              <w:rPr>
                <w:sz w:val="20"/>
                <w:szCs w:val="22"/>
              </w:rPr>
              <w:t>1 541</w:t>
            </w:r>
          </w:p>
        </w:tc>
        <w:tc>
          <w:tcPr>
            <w:tcW w:w="518" w:type="pct"/>
          </w:tcPr>
          <w:p w:rsidR="00000000" w:rsidRDefault="00000000">
            <w:pPr>
              <w:spacing w:before="40" w:line="240" w:lineRule="auto"/>
              <w:jc w:val="right"/>
              <w:rPr>
                <w:sz w:val="20"/>
                <w:szCs w:val="22"/>
              </w:rPr>
            </w:pPr>
            <w:r>
              <w:rPr>
                <w:sz w:val="20"/>
                <w:szCs w:val="22"/>
              </w:rPr>
              <w:t>1 300</w:t>
            </w:r>
          </w:p>
        </w:tc>
        <w:tc>
          <w:tcPr>
            <w:tcW w:w="518" w:type="pct"/>
          </w:tcPr>
          <w:p w:rsidR="00000000" w:rsidRDefault="00000000">
            <w:pPr>
              <w:spacing w:before="40" w:line="240" w:lineRule="auto"/>
              <w:jc w:val="right"/>
              <w:rPr>
                <w:sz w:val="20"/>
                <w:szCs w:val="22"/>
              </w:rPr>
            </w:pPr>
            <w:r>
              <w:rPr>
                <w:sz w:val="20"/>
                <w:szCs w:val="22"/>
              </w:rPr>
              <w:t>520</w:t>
            </w:r>
          </w:p>
        </w:tc>
        <w:tc>
          <w:tcPr>
            <w:tcW w:w="518" w:type="pct"/>
          </w:tcPr>
          <w:p w:rsidR="00000000" w:rsidRDefault="00000000">
            <w:pPr>
              <w:spacing w:before="40" w:line="240" w:lineRule="auto"/>
              <w:jc w:val="right"/>
              <w:rPr>
                <w:sz w:val="20"/>
                <w:szCs w:val="22"/>
              </w:rPr>
            </w:pPr>
            <w:r>
              <w:rPr>
                <w:sz w:val="20"/>
                <w:szCs w:val="22"/>
              </w:rPr>
              <w:t>50</w:t>
            </w:r>
          </w:p>
        </w:tc>
        <w:tc>
          <w:tcPr>
            <w:tcW w:w="518" w:type="pct"/>
          </w:tcPr>
          <w:p w:rsidR="00000000" w:rsidRDefault="00000000">
            <w:pPr>
              <w:spacing w:before="40" w:line="240" w:lineRule="auto"/>
              <w:jc w:val="right"/>
              <w:rPr>
                <w:sz w:val="20"/>
                <w:szCs w:val="22"/>
              </w:rPr>
            </w:pPr>
            <w:r>
              <w:rPr>
                <w:sz w:val="20"/>
                <w:szCs w:val="22"/>
              </w:rPr>
              <w:t>35</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对个人和集体住房的补贴</w:t>
            </w:r>
          </w:p>
        </w:tc>
        <w:tc>
          <w:tcPr>
            <w:tcW w:w="518" w:type="pct"/>
          </w:tcPr>
          <w:p w:rsidR="00000000" w:rsidRDefault="00000000">
            <w:pPr>
              <w:spacing w:before="40" w:line="240" w:lineRule="auto"/>
              <w:jc w:val="right"/>
              <w:rPr>
                <w:sz w:val="20"/>
                <w:szCs w:val="22"/>
              </w:rPr>
            </w:pPr>
            <w:r>
              <w:rPr>
                <w:sz w:val="20"/>
                <w:szCs w:val="22"/>
              </w:rPr>
              <w:t>80</w:t>
            </w:r>
          </w:p>
        </w:tc>
        <w:tc>
          <w:tcPr>
            <w:tcW w:w="518" w:type="pct"/>
          </w:tcPr>
          <w:p w:rsidR="00000000" w:rsidRDefault="00000000">
            <w:pPr>
              <w:spacing w:before="40" w:line="240" w:lineRule="auto"/>
              <w:jc w:val="right"/>
              <w:rPr>
                <w:sz w:val="20"/>
                <w:szCs w:val="22"/>
              </w:rPr>
            </w:pPr>
            <w:r>
              <w:rPr>
                <w:sz w:val="20"/>
                <w:szCs w:val="22"/>
              </w:rPr>
              <w:t>1 000</w:t>
            </w:r>
          </w:p>
        </w:tc>
        <w:tc>
          <w:tcPr>
            <w:tcW w:w="518" w:type="pct"/>
          </w:tcPr>
          <w:p w:rsidR="00000000" w:rsidRDefault="00000000">
            <w:pPr>
              <w:spacing w:before="40" w:line="240" w:lineRule="auto"/>
              <w:jc w:val="right"/>
              <w:rPr>
                <w:sz w:val="20"/>
                <w:szCs w:val="22"/>
              </w:rPr>
            </w:pPr>
            <w:r>
              <w:rPr>
                <w:sz w:val="20"/>
                <w:szCs w:val="22"/>
              </w:rPr>
              <w:t>300</w:t>
            </w:r>
          </w:p>
        </w:tc>
        <w:tc>
          <w:tcPr>
            <w:tcW w:w="518" w:type="pct"/>
          </w:tcPr>
          <w:p w:rsidR="00000000" w:rsidRDefault="00000000">
            <w:pPr>
              <w:spacing w:before="40" w:line="240" w:lineRule="auto"/>
              <w:jc w:val="right"/>
              <w:rPr>
                <w:sz w:val="20"/>
                <w:szCs w:val="22"/>
              </w:rPr>
            </w:pPr>
            <w:r>
              <w:rPr>
                <w:sz w:val="20"/>
                <w:szCs w:val="22"/>
              </w:rPr>
              <w:t>50</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市政当局住所的竣工</w:t>
            </w:r>
          </w:p>
        </w:tc>
        <w:tc>
          <w:tcPr>
            <w:tcW w:w="518" w:type="pct"/>
          </w:tcPr>
          <w:p w:rsidR="00000000" w:rsidRDefault="00000000">
            <w:pPr>
              <w:spacing w:before="40" w:line="240" w:lineRule="auto"/>
              <w:jc w:val="right"/>
              <w:rPr>
                <w:sz w:val="20"/>
                <w:szCs w:val="22"/>
              </w:rPr>
            </w:pPr>
            <w:r>
              <w:rPr>
                <w:sz w:val="20"/>
                <w:szCs w:val="22"/>
              </w:rPr>
              <w:t>42</w:t>
            </w:r>
          </w:p>
        </w:tc>
        <w:tc>
          <w:tcPr>
            <w:tcW w:w="518" w:type="pct"/>
          </w:tcPr>
          <w:p w:rsidR="00000000" w:rsidRDefault="00000000">
            <w:pPr>
              <w:spacing w:before="40" w:line="240" w:lineRule="auto"/>
              <w:jc w:val="right"/>
              <w:rPr>
                <w:sz w:val="20"/>
                <w:szCs w:val="22"/>
              </w:rPr>
            </w:pPr>
            <w:r>
              <w:rPr>
                <w:sz w:val="20"/>
                <w:szCs w:val="22"/>
              </w:rPr>
              <w:t>400</w:t>
            </w:r>
          </w:p>
        </w:tc>
        <w:tc>
          <w:tcPr>
            <w:tcW w:w="518" w:type="pct"/>
          </w:tcPr>
          <w:p w:rsidR="00000000" w:rsidRDefault="00000000">
            <w:pPr>
              <w:spacing w:before="40" w:line="240" w:lineRule="auto"/>
              <w:jc w:val="right"/>
              <w:rPr>
                <w:sz w:val="20"/>
                <w:szCs w:val="22"/>
              </w:rPr>
            </w:pPr>
            <w:r>
              <w:rPr>
                <w:sz w:val="20"/>
                <w:szCs w:val="22"/>
              </w:rPr>
              <w:t>350</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c>
          <w:tcPr>
            <w:tcW w:w="518" w:type="pct"/>
          </w:tcPr>
          <w:p w:rsidR="00000000" w:rsidRDefault="00000000">
            <w:pPr>
              <w:spacing w:before="40" w:line="240" w:lineRule="auto"/>
              <w:jc w:val="right"/>
              <w:rPr>
                <w:sz w:val="20"/>
                <w:szCs w:val="22"/>
              </w:rPr>
            </w:pPr>
            <w:r>
              <w:rPr>
                <w:sz w:val="20"/>
                <w:szCs w:val="22"/>
              </w:rPr>
              <w:t>-</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总</w:t>
            </w:r>
            <w:r>
              <w:rPr>
                <w:rFonts w:hint="eastAsia"/>
                <w:sz w:val="20"/>
              </w:rPr>
              <w:t xml:space="preserve">  </w:t>
            </w:r>
            <w:r>
              <w:rPr>
                <w:rFonts w:hint="eastAsia"/>
                <w:sz w:val="20"/>
              </w:rPr>
              <w:t>计</w:t>
            </w:r>
          </w:p>
        </w:tc>
        <w:tc>
          <w:tcPr>
            <w:tcW w:w="518" w:type="pct"/>
          </w:tcPr>
          <w:p w:rsidR="00000000" w:rsidRDefault="00000000">
            <w:pPr>
              <w:spacing w:before="40" w:line="240" w:lineRule="auto"/>
              <w:jc w:val="right"/>
              <w:rPr>
                <w:sz w:val="20"/>
                <w:szCs w:val="22"/>
              </w:rPr>
            </w:pPr>
            <w:r>
              <w:rPr>
                <w:sz w:val="20"/>
                <w:szCs w:val="22"/>
              </w:rPr>
              <w:t>3 057</w:t>
            </w:r>
          </w:p>
        </w:tc>
        <w:tc>
          <w:tcPr>
            <w:tcW w:w="518" w:type="pct"/>
          </w:tcPr>
          <w:p w:rsidR="00000000" w:rsidRDefault="00000000">
            <w:pPr>
              <w:spacing w:before="40" w:line="240" w:lineRule="auto"/>
              <w:jc w:val="right"/>
              <w:rPr>
                <w:sz w:val="20"/>
                <w:szCs w:val="22"/>
              </w:rPr>
            </w:pPr>
            <w:r>
              <w:rPr>
                <w:sz w:val="20"/>
                <w:szCs w:val="22"/>
              </w:rPr>
              <w:t>5 184</w:t>
            </w:r>
          </w:p>
        </w:tc>
        <w:tc>
          <w:tcPr>
            <w:tcW w:w="518" w:type="pct"/>
          </w:tcPr>
          <w:p w:rsidR="00000000" w:rsidRDefault="00000000">
            <w:pPr>
              <w:spacing w:before="40" w:line="240" w:lineRule="auto"/>
              <w:jc w:val="right"/>
              <w:rPr>
                <w:sz w:val="20"/>
                <w:szCs w:val="22"/>
              </w:rPr>
            </w:pPr>
            <w:r>
              <w:rPr>
                <w:sz w:val="20"/>
                <w:szCs w:val="22"/>
              </w:rPr>
              <w:t>5 870</w:t>
            </w:r>
          </w:p>
        </w:tc>
        <w:tc>
          <w:tcPr>
            <w:tcW w:w="518" w:type="pct"/>
          </w:tcPr>
          <w:p w:rsidR="00000000" w:rsidRDefault="00000000">
            <w:pPr>
              <w:spacing w:before="40" w:line="240" w:lineRule="auto"/>
              <w:jc w:val="right"/>
              <w:rPr>
                <w:sz w:val="20"/>
                <w:szCs w:val="22"/>
              </w:rPr>
            </w:pPr>
            <w:r>
              <w:rPr>
                <w:sz w:val="20"/>
                <w:szCs w:val="22"/>
              </w:rPr>
              <w:t>6 367</w:t>
            </w:r>
          </w:p>
        </w:tc>
        <w:tc>
          <w:tcPr>
            <w:tcW w:w="518" w:type="pct"/>
          </w:tcPr>
          <w:p w:rsidR="00000000" w:rsidRDefault="00000000">
            <w:pPr>
              <w:spacing w:before="40" w:line="240" w:lineRule="auto"/>
              <w:jc w:val="right"/>
              <w:rPr>
                <w:sz w:val="20"/>
                <w:szCs w:val="22"/>
              </w:rPr>
            </w:pPr>
            <w:r>
              <w:rPr>
                <w:sz w:val="20"/>
                <w:szCs w:val="22"/>
              </w:rPr>
              <w:t>8 872</w:t>
            </w:r>
          </w:p>
        </w:tc>
        <w:tc>
          <w:tcPr>
            <w:tcW w:w="518" w:type="pct"/>
          </w:tcPr>
          <w:p w:rsidR="00000000" w:rsidRDefault="00000000">
            <w:pPr>
              <w:spacing w:before="40" w:line="240" w:lineRule="auto"/>
              <w:jc w:val="right"/>
              <w:rPr>
                <w:sz w:val="20"/>
                <w:szCs w:val="22"/>
              </w:rPr>
            </w:pPr>
            <w:r>
              <w:rPr>
                <w:sz w:val="20"/>
                <w:szCs w:val="22"/>
              </w:rPr>
              <w:t>11 579</w:t>
            </w:r>
          </w:p>
        </w:tc>
        <w:tc>
          <w:tcPr>
            <w:tcW w:w="518" w:type="pct"/>
          </w:tcPr>
          <w:p w:rsidR="00000000" w:rsidRDefault="00000000">
            <w:pPr>
              <w:spacing w:before="40" w:line="240" w:lineRule="auto"/>
              <w:jc w:val="right"/>
              <w:rPr>
                <w:sz w:val="20"/>
                <w:szCs w:val="22"/>
              </w:rPr>
            </w:pPr>
            <w:r>
              <w:rPr>
                <w:sz w:val="20"/>
                <w:szCs w:val="22"/>
              </w:rPr>
              <w:t>14 688</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国内生产总值</w:t>
            </w:r>
            <w:r>
              <w:rPr>
                <w:rFonts w:hint="eastAsia"/>
                <w:sz w:val="20"/>
              </w:rPr>
              <w:t>(10</w:t>
            </w:r>
            <w:r>
              <w:rPr>
                <w:rFonts w:hint="eastAsia"/>
                <w:sz w:val="20"/>
              </w:rPr>
              <w:t>亿克朗</w:t>
            </w:r>
            <w:r>
              <w:rPr>
                <w:rFonts w:hint="eastAsia"/>
                <w:sz w:val="20"/>
              </w:rPr>
              <w:t>)</w:t>
            </w:r>
          </w:p>
        </w:tc>
        <w:tc>
          <w:tcPr>
            <w:tcW w:w="518" w:type="pct"/>
          </w:tcPr>
          <w:p w:rsidR="00000000" w:rsidRDefault="00000000">
            <w:pPr>
              <w:spacing w:before="40" w:line="240" w:lineRule="auto"/>
              <w:jc w:val="right"/>
              <w:rPr>
                <w:sz w:val="20"/>
                <w:szCs w:val="22"/>
              </w:rPr>
            </w:pPr>
            <w:r>
              <w:rPr>
                <w:sz w:val="20"/>
                <w:szCs w:val="22"/>
              </w:rPr>
              <w:t>1 002</w:t>
            </w:r>
          </w:p>
        </w:tc>
        <w:tc>
          <w:tcPr>
            <w:tcW w:w="518" w:type="pct"/>
          </w:tcPr>
          <w:p w:rsidR="00000000" w:rsidRDefault="00000000">
            <w:pPr>
              <w:spacing w:before="40" w:line="240" w:lineRule="auto"/>
              <w:jc w:val="right"/>
              <w:rPr>
                <w:sz w:val="20"/>
                <w:szCs w:val="22"/>
              </w:rPr>
            </w:pPr>
            <w:r>
              <w:rPr>
                <w:sz w:val="20"/>
                <w:szCs w:val="22"/>
              </w:rPr>
              <w:t>1 143</w:t>
            </w:r>
          </w:p>
        </w:tc>
        <w:tc>
          <w:tcPr>
            <w:tcW w:w="518" w:type="pct"/>
          </w:tcPr>
          <w:p w:rsidR="00000000" w:rsidRDefault="00000000">
            <w:pPr>
              <w:spacing w:before="40" w:line="240" w:lineRule="auto"/>
              <w:jc w:val="right"/>
              <w:rPr>
                <w:sz w:val="20"/>
                <w:szCs w:val="22"/>
              </w:rPr>
            </w:pPr>
            <w:r>
              <w:rPr>
                <w:sz w:val="20"/>
                <w:szCs w:val="22"/>
              </w:rPr>
              <w:t>1 339</w:t>
            </w:r>
          </w:p>
        </w:tc>
        <w:tc>
          <w:tcPr>
            <w:tcW w:w="518" w:type="pct"/>
          </w:tcPr>
          <w:p w:rsidR="00000000" w:rsidRDefault="00000000">
            <w:pPr>
              <w:spacing w:before="40" w:line="240" w:lineRule="auto"/>
              <w:jc w:val="right"/>
              <w:rPr>
                <w:sz w:val="20"/>
                <w:szCs w:val="22"/>
              </w:rPr>
            </w:pPr>
            <w:r>
              <w:rPr>
                <w:sz w:val="20"/>
                <w:szCs w:val="22"/>
              </w:rPr>
              <w:t>1 525</w:t>
            </w:r>
          </w:p>
        </w:tc>
        <w:tc>
          <w:tcPr>
            <w:tcW w:w="518" w:type="pct"/>
          </w:tcPr>
          <w:p w:rsidR="00000000" w:rsidRDefault="00000000">
            <w:pPr>
              <w:spacing w:before="40" w:line="240" w:lineRule="auto"/>
              <w:jc w:val="right"/>
              <w:rPr>
                <w:sz w:val="20"/>
                <w:szCs w:val="22"/>
              </w:rPr>
            </w:pPr>
            <w:r>
              <w:rPr>
                <w:sz w:val="20"/>
                <w:szCs w:val="22"/>
              </w:rPr>
              <w:t>1 680</w:t>
            </w:r>
          </w:p>
        </w:tc>
        <w:tc>
          <w:tcPr>
            <w:tcW w:w="518" w:type="pct"/>
          </w:tcPr>
          <w:p w:rsidR="00000000" w:rsidRDefault="00000000">
            <w:pPr>
              <w:spacing w:before="40" w:line="240" w:lineRule="auto"/>
              <w:jc w:val="right"/>
              <w:rPr>
                <w:sz w:val="20"/>
                <w:szCs w:val="22"/>
              </w:rPr>
            </w:pPr>
            <w:r>
              <w:rPr>
                <w:sz w:val="20"/>
                <w:szCs w:val="22"/>
              </w:rPr>
              <w:t>1 821</w:t>
            </w:r>
          </w:p>
        </w:tc>
        <w:tc>
          <w:tcPr>
            <w:tcW w:w="518" w:type="pct"/>
          </w:tcPr>
          <w:p w:rsidR="00000000" w:rsidRDefault="00000000">
            <w:pPr>
              <w:spacing w:before="40" w:line="240" w:lineRule="auto"/>
              <w:jc w:val="right"/>
              <w:rPr>
                <w:sz w:val="20"/>
                <w:szCs w:val="22"/>
              </w:rPr>
            </w:pPr>
            <w:r>
              <w:rPr>
                <w:sz w:val="20"/>
                <w:szCs w:val="22"/>
              </w:rPr>
              <w:t>1 868</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占国内生产总值</w:t>
            </w:r>
            <w:r>
              <w:rPr>
                <w:rFonts w:hint="eastAsia"/>
                <w:sz w:val="20"/>
              </w:rPr>
              <w:t>%</w:t>
            </w:r>
          </w:p>
        </w:tc>
        <w:tc>
          <w:tcPr>
            <w:tcW w:w="518" w:type="pct"/>
          </w:tcPr>
          <w:p w:rsidR="00000000" w:rsidRDefault="00000000">
            <w:pPr>
              <w:spacing w:before="40" w:line="240" w:lineRule="auto"/>
              <w:jc w:val="right"/>
              <w:rPr>
                <w:sz w:val="20"/>
                <w:szCs w:val="22"/>
              </w:rPr>
            </w:pPr>
            <w:r>
              <w:rPr>
                <w:sz w:val="20"/>
                <w:szCs w:val="22"/>
              </w:rPr>
              <w:t>0.30</w:t>
            </w:r>
          </w:p>
        </w:tc>
        <w:tc>
          <w:tcPr>
            <w:tcW w:w="518" w:type="pct"/>
          </w:tcPr>
          <w:p w:rsidR="00000000" w:rsidRDefault="00000000">
            <w:pPr>
              <w:spacing w:before="40" w:line="240" w:lineRule="auto"/>
              <w:jc w:val="right"/>
              <w:rPr>
                <w:sz w:val="20"/>
                <w:szCs w:val="22"/>
              </w:rPr>
            </w:pPr>
            <w:r>
              <w:rPr>
                <w:sz w:val="20"/>
                <w:szCs w:val="22"/>
              </w:rPr>
              <w:t>0.45</w:t>
            </w:r>
          </w:p>
        </w:tc>
        <w:tc>
          <w:tcPr>
            <w:tcW w:w="518" w:type="pct"/>
          </w:tcPr>
          <w:p w:rsidR="00000000" w:rsidRDefault="00000000">
            <w:pPr>
              <w:spacing w:before="40" w:line="240" w:lineRule="auto"/>
              <w:jc w:val="right"/>
              <w:rPr>
                <w:sz w:val="20"/>
                <w:szCs w:val="22"/>
              </w:rPr>
            </w:pPr>
            <w:r>
              <w:rPr>
                <w:sz w:val="20"/>
                <w:szCs w:val="22"/>
              </w:rPr>
              <w:t>0.44</w:t>
            </w:r>
          </w:p>
        </w:tc>
        <w:tc>
          <w:tcPr>
            <w:tcW w:w="518" w:type="pct"/>
          </w:tcPr>
          <w:p w:rsidR="00000000" w:rsidRDefault="00000000">
            <w:pPr>
              <w:spacing w:before="40" w:line="240" w:lineRule="auto"/>
              <w:jc w:val="right"/>
              <w:rPr>
                <w:sz w:val="20"/>
                <w:szCs w:val="22"/>
              </w:rPr>
            </w:pPr>
            <w:r>
              <w:rPr>
                <w:sz w:val="20"/>
                <w:szCs w:val="22"/>
              </w:rPr>
              <w:t>0.42</w:t>
            </w:r>
          </w:p>
        </w:tc>
        <w:tc>
          <w:tcPr>
            <w:tcW w:w="518" w:type="pct"/>
          </w:tcPr>
          <w:p w:rsidR="00000000" w:rsidRDefault="00000000">
            <w:pPr>
              <w:spacing w:before="40" w:line="240" w:lineRule="auto"/>
              <w:jc w:val="right"/>
              <w:rPr>
                <w:sz w:val="20"/>
                <w:szCs w:val="22"/>
              </w:rPr>
            </w:pPr>
            <w:r>
              <w:rPr>
                <w:sz w:val="20"/>
                <w:szCs w:val="22"/>
              </w:rPr>
              <w:t>0.53</w:t>
            </w:r>
          </w:p>
        </w:tc>
        <w:tc>
          <w:tcPr>
            <w:tcW w:w="518" w:type="pct"/>
          </w:tcPr>
          <w:p w:rsidR="00000000" w:rsidRDefault="00000000">
            <w:pPr>
              <w:spacing w:before="40" w:line="240" w:lineRule="auto"/>
              <w:jc w:val="right"/>
              <w:rPr>
                <w:sz w:val="20"/>
                <w:szCs w:val="22"/>
              </w:rPr>
            </w:pPr>
            <w:r>
              <w:rPr>
                <w:sz w:val="20"/>
                <w:szCs w:val="22"/>
              </w:rPr>
              <w:t>0.64</w:t>
            </w:r>
          </w:p>
        </w:tc>
        <w:tc>
          <w:tcPr>
            <w:tcW w:w="518" w:type="pct"/>
          </w:tcPr>
          <w:p w:rsidR="00000000" w:rsidRDefault="00000000">
            <w:pPr>
              <w:spacing w:before="40" w:line="240" w:lineRule="auto"/>
              <w:jc w:val="right"/>
              <w:rPr>
                <w:sz w:val="20"/>
                <w:szCs w:val="22"/>
              </w:rPr>
            </w:pPr>
            <w:r>
              <w:rPr>
                <w:sz w:val="20"/>
                <w:szCs w:val="22"/>
              </w:rPr>
              <w:t>0.79</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国家预算支出</w:t>
            </w:r>
            <w:r>
              <w:rPr>
                <w:rFonts w:hint="eastAsia"/>
                <w:sz w:val="20"/>
              </w:rPr>
              <w:t>(</w:t>
            </w:r>
            <w:r>
              <w:rPr>
                <w:rFonts w:hint="eastAsia"/>
                <w:sz w:val="20"/>
              </w:rPr>
              <w:t>百万克朗</w:t>
            </w:r>
            <w:r>
              <w:rPr>
                <w:rFonts w:hint="eastAsia"/>
                <w:sz w:val="20"/>
              </w:rPr>
              <w:t>)</w:t>
            </w:r>
          </w:p>
        </w:tc>
        <w:tc>
          <w:tcPr>
            <w:tcW w:w="518" w:type="pct"/>
          </w:tcPr>
          <w:p w:rsidR="00000000" w:rsidRDefault="00000000">
            <w:pPr>
              <w:spacing w:before="40" w:line="240" w:lineRule="auto"/>
              <w:jc w:val="right"/>
              <w:rPr>
                <w:sz w:val="20"/>
                <w:szCs w:val="22"/>
              </w:rPr>
            </w:pPr>
            <w:r>
              <w:rPr>
                <w:sz w:val="20"/>
                <w:szCs w:val="22"/>
              </w:rPr>
              <w:t>356 919</w:t>
            </w:r>
          </w:p>
        </w:tc>
        <w:tc>
          <w:tcPr>
            <w:tcW w:w="518" w:type="pct"/>
          </w:tcPr>
          <w:p w:rsidR="00000000" w:rsidRDefault="00000000">
            <w:pPr>
              <w:spacing w:before="40" w:line="240" w:lineRule="auto"/>
              <w:jc w:val="right"/>
              <w:rPr>
                <w:sz w:val="20"/>
                <w:szCs w:val="22"/>
              </w:rPr>
            </w:pPr>
            <w:r>
              <w:rPr>
                <w:sz w:val="20"/>
                <w:szCs w:val="22"/>
              </w:rPr>
              <w:t>380 059</w:t>
            </w:r>
          </w:p>
        </w:tc>
        <w:tc>
          <w:tcPr>
            <w:tcW w:w="518" w:type="pct"/>
          </w:tcPr>
          <w:p w:rsidR="00000000" w:rsidRDefault="00000000">
            <w:pPr>
              <w:spacing w:before="40" w:line="240" w:lineRule="auto"/>
              <w:jc w:val="right"/>
              <w:rPr>
                <w:sz w:val="20"/>
                <w:szCs w:val="22"/>
              </w:rPr>
            </w:pPr>
            <w:r>
              <w:rPr>
                <w:sz w:val="20"/>
                <w:szCs w:val="22"/>
              </w:rPr>
              <w:t>432 738</w:t>
            </w:r>
          </w:p>
        </w:tc>
        <w:tc>
          <w:tcPr>
            <w:tcW w:w="518" w:type="pct"/>
          </w:tcPr>
          <w:p w:rsidR="00000000" w:rsidRDefault="00000000">
            <w:pPr>
              <w:spacing w:before="40" w:line="240" w:lineRule="auto"/>
              <w:jc w:val="right"/>
              <w:rPr>
                <w:sz w:val="20"/>
                <w:szCs w:val="22"/>
              </w:rPr>
            </w:pPr>
            <w:r>
              <w:rPr>
                <w:sz w:val="20"/>
                <w:szCs w:val="22"/>
              </w:rPr>
              <w:t>484 379</w:t>
            </w:r>
          </w:p>
        </w:tc>
        <w:tc>
          <w:tcPr>
            <w:tcW w:w="518" w:type="pct"/>
          </w:tcPr>
          <w:p w:rsidR="00000000" w:rsidRDefault="00000000">
            <w:pPr>
              <w:spacing w:before="40" w:line="240" w:lineRule="auto"/>
              <w:jc w:val="right"/>
              <w:rPr>
                <w:sz w:val="20"/>
                <w:szCs w:val="22"/>
              </w:rPr>
            </w:pPr>
            <w:r>
              <w:rPr>
                <w:sz w:val="20"/>
                <w:szCs w:val="22"/>
              </w:rPr>
              <w:t>524 668</w:t>
            </w:r>
          </w:p>
        </w:tc>
        <w:tc>
          <w:tcPr>
            <w:tcW w:w="518" w:type="pct"/>
          </w:tcPr>
          <w:p w:rsidR="00000000" w:rsidRDefault="00000000">
            <w:pPr>
              <w:spacing w:before="40" w:line="240" w:lineRule="auto"/>
              <w:jc w:val="right"/>
              <w:rPr>
                <w:sz w:val="20"/>
                <w:szCs w:val="22"/>
              </w:rPr>
            </w:pPr>
            <w:r>
              <w:rPr>
                <w:sz w:val="20"/>
                <w:szCs w:val="22"/>
              </w:rPr>
              <w:t>566 740</w:t>
            </w:r>
          </w:p>
        </w:tc>
        <w:tc>
          <w:tcPr>
            <w:tcW w:w="518" w:type="pct"/>
          </w:tcPr>
          <w:p w:rsidR="00000000" w:rsidRDefault="00000000">
            <w:pPr>
              <w:spacing w:before="40" w:line="240" w:lineRule="auto"/>
              <w:jc w:val="right"/>
              <w:rPr>
                <w:sz w:val="20"/>
                <w:szCs w:val="22"/>
              </w:rPr>
            </w:pPr>
            <w:r>
              <w:rPr>
                <w:sz w:val="20"/>
                <w:szCs w:val="22"/>
              </w:rPr>
              <w:t>605 127</w:t>
            </w:r>
          </w:p>
        </w:tc>
      </w:tr>
      <w:tr w:rsidR="00000000">
        <w:tblPrEx>
          <w:tblCellMar>
            <w:top w:w="0" w:type="dxa"/>
            <w:bottom w:w="0" w:type="dxa"/>
          </w:tblCellMar>
        </w:tblPrEx>
        <w:tc>
          <w:tcPr>
            <w:tcW w:w="1374" w:type="pct"/>
          </w:tcPr>
          <w:p w:rsidR="00000000" w:rsidRDefault="00000000">
            <w:pPr>
              <w:spacing w:before="40" w:line="240" w:lineRule="auto"/>
              <w:ind w:left="-57" w:right="-57"/>
              <w:rPr>
                <w:rFonts w:hint="eastAsia"/>
                <w:sz w:val="20"/>
              </w:rPr>
            </w:pPr>
            <w:r>
              <w:rPr>
                <w:rFonts w:hint="eastAsia"/>
                <w:sz w:val="20"/>
              </w:rPr>
              <w:t>占国家预算支出的</w:t>
            </w:r>
            <w:r>
              <w:rPr>
                <w:rFonts w:hint="eastAsia"/>
                <w:sz w:val="20"/>
              </w:rPr>
              <w:t>%</w:t>
            </w:r>
          </w:p>
        </w:tc>
        <w:tc>
          <w:tcPr>
            <w:tcW w:w="518" w:type="pct"/>
          </w:tcPr>
          <w:p w:rsidR="00000000" w:rsidRDefault="00000000">
            <w:pPr>
              <w:spacing w:before="40" w:line="240" w:lineRule="auto"/>
              <w:jc w:val="right"/>
              <w:rPr>
                <w:sz w:val="20"/>
                <w:szCs w:val="22"/>
              </w:rPr>
            </w:pPr>
            <w:r>
              <w:rPr>
                <w:sz w:val="20"/>
                <w:szCs w:val="22"/>
              </w:rPr>
              <w:t>0.86</w:t>
            </w:r>
          </w:p>
        </w:tc>
        <w:tc>
          <w:tcPr>
            <w:tcW w:w="518" w:type="pct"/>
          </w:tcPr>
          <w:p w:rsidR="00000000" w:rsidRDefault="00000000">
            <w:pPr>
              <w:spacing w:before="40" w:line="240" w:lineRule="auto"/>
              <w:jc w:val="right"/>
              <w:rPr>
                <w:sz w:val="20"/>
                <w:szCs w:val="22"/>
              </w:rPr>
            </w:pPr>
            <w:r>
              <w:rPr>
                <w:sz w:val="20"/>
                <w:szCs w:val="22"/>
              </w:rPr>
              <w:t>1.36</w:t>
            </w:r>
          </w:p>
        </w:tc>
        <w:tc>
          <w:tcPr>
            <w:tcW w:w="518" w:type="pct"/>
          </w:tcPr>
          <w:p w:rsidR="00000000" w:rsidRDefault="00000000">
            <w:pPr>
              <w:spacing w:before="40" w:line="240" w:lineRule="auto"/>
              <w:jc w:val="right"/>
              <w:rPr>
                <w:sz w:val="20"/>
                <w:szCs w:val="22"/>
              </w:rPr>
            </w:pPr>
            <w:r>
              <w:rPr>
                <w:sz w:val="20"/>
                <w:szCs w:val="22"/>
              </w:rPr>
              <w:t>1.36</w:t>
            </w:r>
          </w:p>
        </w:tc>
        <w:tc>
          <w:tcPr>
            <w:tcW w:w="518" w:type="pct"/>
          </w:tcPr>
          <w:p w:rsidR="00000000" w:rsidRDefault="00000000">
            <w:pPr>
              <w:spacing w:before="40" w:line="240" w:lineRule="auto"/>
              <w:jc w:val="right"/>
              <w:rPr>
                <w:sz w:val="20"/>
                <w:szCs w:val="22"/>
              </w:rPr>
            </w:pPr>
            <w:r>
              <w:rPr>
                <w:sz w:val="20"/>
                <w:szCs w:val="22"/>
              </w:rPr>
              <w:t>1.31</w:t>
            </w:r>
          </w:p>
        </w:tc>
        <w:tc>
          <w:tcPr>
            <w:tcW w:w="518" w:type="pct"/>
          </w:tcPr>
          <w:p w:rsidR="00000000" w:rsidRDefault="00000000">
            <w:pPr>
              <w:spacing w:before="40" w:line="240" w:lineRule="auto"/>
              <w:jc w:val="right"/>
              <w:rPr>
                <w:sz w:val="20"/>
                <w:szCs w:val="22"/>
              </w:rPr>
            </w:pPr>
            <w:r>
              <w:rPr>
                <w:sz w:val="20"/>
                <w:szCs w:val="22"/>
              </w:rPr>
              <w:t>1.69</w:t>
            </w:r>
          </w:p>
        </w:tc>
        <w:tc>
          <w:tcPr>
            <w:tcW w:w="518" w:type="pct"/>
          </w:tcPr>
          <w:p w:rsidR="00000000" w:rsidRDefault="00000000">
            <w:pPr>
              <w:spacing w:before="40" w:line="240" w:lineRule="auto"/>
              <w:jc w:val="right"/>
              <w:rPr>
                <w:sz w:val="20"/>
                <w:szCs w:val="22"/>
              </w:rPr>
            </w:pPr>
            <w:r>
              <w:rPr>
                <w:sz w:val="20"/>
                <w:szCs w:val="22"/>
              </w:rPr>
              <w:t>2.04</w:t>
            </w:r>
          </w:p>
        </w:tc>
        <w:tc>
          <w:tcPr>
            <w:tcW w:w="518" w:type="pct"/>
          </w:tcPr>
          <w:p w:rsidR="00000000" w:rsidRDefault="00000000">
            <w:pPr>
              <w:spacing w:before="40" w:line="240" w:lineRule="auto"/>
              <w:jc w:val="right"/>
              <w:rPr>
                <w:sz w:val="20"/>
                <w:szCs w:val="22"/>
              </w:rPr>
            </w:pPr>
            <w:r>
              <w:rPr>
                <w:sz w:val="20"/>
                <w:szCs w:val="22"/>
              </w:rPr>
              <w:t>2.43</w:t>
            </w:r>
          </w:p>
        </w:tc>
      </w:tr>
    </w:tbl>
    <w:p w:rsidR="00000000" w:rsidRDefault="00000000">
      <w:pPr>
        <w:pStyle w:val="EndnoteText"/>
        <w:spacing w:before="240" w:after="240" w:line="336" w:lineRule="auto"/>
        <w:rPr>
          <w:rFonts w:hint="eastAsia"/>
        </w:rPr>
      </w:pPr>
      <w:r>
        <w:rPr>
          <w:rFonts w:hint="eastAsia"/>
          <w:u w:val="single"/>
        </w:rPr>
        <w:t>资料来源</w:t>
      </w:r>
      <w:r>
        <w:rPr>
          <w:rFonts w:hint="eastAsia"/>
        </w:rPr>
        <w:t>：地方发展部，</w:t>
      </w:r>
      <w:r>
        <w:rPr>
          <w:rFonts w:hint="eastAsia"/>
        </w:rPr>
        <w:t>1999</w:t>
      </w:r>
      <w:r>
        <w:rPr>
          <w:rFonts w:hint="eastAsia"/>
        </w:rPr>
        <w:t>年。</w:t>
      </w:r>
    </w:p>
    <w:p w:rsidR="00000000" w:rsidRDefault="00000000">
      <w:pPr>
        <w:rPr>
          <w:rFonts w:hint="eastAsia"/>
        </w:rPr>
      </w:pPr>
      <w:r>
        <w:rPr>
          <w:rFonts w:hint="eastAsia"/>
        </w:rPr>
        <w:tab/>
        <w:t xml:space="preserve">444.  </w:t>
      </w:r>
      <w:r>
        <w:rPr>
          <w:rFonts w:hint="eastAsia"/>
        </w:rPr>
        <w:t>在捷克共和国提供未使用、不怎么使用和使用不当的土地的措施是将农业和林业土地从国家手中转让给其他人的条件法律</w:t>
      </w:r>
      <w:r>
        <w:t xml:space="preserve"> </w:t>
      </w:r>
      <w:r>
        <w:rPr>
          <w:rStyle w:val="EndnoteReference"/>
        </w:rPr>
        <w:endnoteReference w:id="279"/>
      </w:r>
      <w:r>
        <w:t xml:space="preserve"> </w:t>
      </w:r>
      <w:r>
        <w:rPr>
          <w:rFonts w:hint="eastAsia"/>
        </w:rPr>
        <w:t>和关于遗产、礼品和房产转让税的法律</w:t>
      </w:r>
      <w:r>
        <w:t xml:space="preserve"> </w:t>
      </w:r>
      <w:r>
        <w:rPr>
          <w:rStyle w:val="EndnoteReference"/>
        </w:rPr>
        <w:endnoteReference w:id="280"/>
      </w:r>
      <w:r>
        <w:t xml:space="preserve"> </w:t>
      </w:r>
      <w:r>
        <w:rPr>
          <w:rFonts w:hint="eastAsia"/>
        </w:rPr>
        <w:t>的组成部分。</w:t>
      </w:r>
    </w:p>
    <w:p w:rsidR="00000000" w:rsidRDefault="00000000">
      <w:pPr>
        <w:rPr>
          <w:rFonts w:hint="eastAsia"/>
        </w:rPr>
      </w:pPr>
      <w:r>
        <w:rPr>
          <w:rFonts w:hint="eastAsia"/>
        </w:rPr>
        <w:tab/>
        <w:t xml:space="preserve">445.  </w:t>
      </w:r>
      <w:r>
        <w:rPr>
          <w:rFonts w:hint="eastAsia"/>
        </w:rPr>
        <w:t>在捷克共和国，住房是得到国际援助资金的领域之一。利用国际支持的目的主要是按当地条件发展城区和住房以及在住房方面对脆弱群体给予支持。旨在发展住房或恢复城市的外国援助由各个市政当局根据其情况和需要使用。如果援助的对象是处于不利地位群体，则主要用于盖建给精神残疾者和复合残疾者的保护住房、给年长者和自治能力下降的其他人的住房、为罗姆人盖建住房、盖建棚屋和“过渡住房”。</w:t>
      </w:r>
    </w:p>
    <w:p w:rsidR="00000000" w:rsidRDefault="00000000">
      <w:pPr>
        <w:rPr>
          <w:rFonts w:hint="eastAsia"/>
        </w:rPr>
      </w:pPr>
      <w:r>
        <w:rPr>
          <w:rFonts w:hint="eastAsia"/>
        </w:rPr>
        <w:tab/>
        <w:t xml:space="preserve">446.  </w:t>
      </w:r>
      <w:r>
        <w:rPr>
          <w:rFonts w:hint="eastAsia"/>
        </w:rPr>
        <w:t>现行社会和经济转变也影响到住房和住房市场的发展。在实际中没有人能找到既符合其能力又与其在劳工和住房市场所付出努力相称的住处，主要原因在于法律、经济和心理等多方面。</w:t>
      </w:r>
    </w:p>
    <w:p w:rsidR="00000000" w:rsidRDefault="00000000">
      <w:pPr>
        <w:rPr>
          <w:rFonts w:hint="eastAsia"/>
        </w:rPr>
      </w:pPr>
      <w:r>
        <w:rPr>
          <w:rFonts w:hint="eastAsia"/>
        </w:rPr>
        <w:tab/>
        <w:t xml:space="preserve">447.  </w:t>
      </w:r>
      <w:r>
        <w:rPr>
          <w:rFonts w:hint="eastAsia"/>
        </w:rPr>
        <w:t>捷克共和国尚不具备允许住房市场有效运作的完整法律框架。公寓租户仍比房东有相对优势；权利可强制执行和法院工作缓慢是问题所在。从经济角度而言，问题尤其存在于大多数出租公寓</w:t>
      </w:r>
      <w:r>
        <w:rPr>
          <w:rFonts w:hint="eastAsia"/>
        </w:rPr>
        <w:t>(</w:t>
      </w:r>
      <w:r>
        <w:rPr>
          <w:rFonts w:hint="eastAsia"/>
        </w:rPr>
        <w:t>即市政当局、国家和私人拥有者拥有的公寓</w:t>
      </w:r>
      <w:r>
        <w:rPr>
          <w:rFonts w:hint="eastAsia"/>
        </w:rPr>
        <w:t>)</w:t>
      </w:r>
      <w:r>
        <w:rPr>
          <w:rFonts w:hint="eastAsia"/>
        </w:rPr>
        <w:t>的房租</w:t>
      </w:r>
      <w:r>
        <w:t xml:space="preserve"> </w:t>
      </w:r>
      <w:r>
        <w:rPr>
          <w:rStyle w:val="EndnoteReference"/>
        </w:rPr>
        <w:endnoteReference w:id="281"/>
      </w:r>
      <w:r>
        <w:t xml:space="preserve"> </w:t>
      </w:r>
      <w:r>
        <w:rPr>
          <w:rFonts w:hint="eastAsia"/>
        </w:rPr>
        <w:t>完全无系统和许多情形中不公正，加剧了住房部门某些不可取的不公正现象</w:t>
      </w:r>
      <w:r>
        <w:rPr>
          <w:rFonts w:hint="eastAsia"/>
        </w:rPr>
        <w:t>(</w:t>
      </w:r>
      <w:r>
        <w:rPr>
          <w:rFonts w:hint="eastAsia"/>
        </w:rPr>
        <w:t>无论从管理还是从使用权和住房开支的角度而言均如此</w:t>
      </w:r>
      <w:r>
        <w:rPr>
          <w:rFonts w:hint="eastAsia"/>
        </w:rPr>
        <w:t>)</w:t>
      </w:r>
      <w:r>
        <w:rPr>
          <w:rFonts w:hint="eastAsia"/>
        </w:rPr>
        <w:t>。过去形成的心理也妨碍以可取方式经营住房市场，这表现在许多个人和家庭试图更多地依赖国家而不是自己的力量来安排住房和不愿改变家庭开支结构，用放弃其他需要来满足住房需要。这包括必须有意识地将住房开支</w:t>
      </w:r>
      <w:r>
        <w:rPr>
          <w:rFonts w:hint="eastAsia"/>
        </w:rPr>
        <w:t>(</w:t>
      </w:r>
      <w:r>
        <w:rPr>
          <w:rFonts w:hint="eastAsia"/>
        </w:rPr>
        <w:t>住房的获得和维修、房租</w:t>
      </w:r>
      <w:r>
        <w:rPr>
          <w:rFonts w:hint="eastAsia"/>
        </w:rPr>
        <w:t>)</w:t>
      </w:r>
      <w:r>
        <w:rPr>
          <w:rFonts w:hint="eastAsia"/>
        </w:rPr>
        <w:t>、住房服务和其他物品特别是能源等开支相分开。因而，房产</w:t>
      </w:r>
      <w:r>
        <w:rPr>
          <w:rFonts w:hint="eastAsia"/>
          <w:spacing w:val="-50"/>
        </w:rPr>
        <w:t>―</w:t>
      </w:r>
      <w:r>
        <w:rPr>
          <w:rFonts w:hint="eastAsia"/>
        </w:rPr>
        <w:t>―带有房租受控制公寓的居民住宅</w:t>
      </w:r>
      <w:r>
        <w:rPr>
          <w:rFonts w:hint="eastAsia"/>
          <w:spacing w:val="-50"/>
        </w:rPr>
        <w:t>―</w:t>
      </w:r>
      <w:r>
        <w:rPr>
          <w:rFonts w:hint="eastAsia"/>
        </w:rPr>
        <w:t>―的拥有者尤其根据宪章第</w:t>
      </w:r>
      <w:r>
        <w:rPr>
          <w:rFonts w:hint="eastAsia"/>
        </w:rPr>
        <w:t>11</w:t>
      </w:r>
      <w:r>
        <w:rPr>
          <w:rFonts w:hint="eastAsia"/>
        </w:rPr>
        <w:t>条第</w:t>
      </w:r>
      <w:r>
        <w:rPr>
          <w:rFonts w:hint="eastAsia"/>
        </w:rPr>
        <w:t>4</w:t>
      </w:r>
      <w:r>
        <w:rPr>
          <w:rFonts w:hint="eastAsia"/>
        </w:rPr>
        <w:t>款</w:t>
      </w:r>
      <w:r>
        <w:t xml:space="preserve"> </w:t>
      </w:r>
      <w:r>
        <w:rPr>
          <w:rStyle w:val="EndnoteReference"/>
        </w:rPr>
        <w:endnoteReference w:id="282"/>
      </w:r>
      <w:r>
        <w:t xml:space="preserve"> </w:t>
      </w:r>
      <w:r>
        <w:rPr>
          <w:rFonts w:hint="eastAsia"/>
        </w:rPr>
        <w:t>和民法，抱怨说从长远角度而言，他们的所有权，尤其是使用、享受产品和利润和处置其财产的所有权利</w:t>
      </w:r>
      <w:r>
        <w:rPr>
          <w:rFonts w:hint="eastAsia"/>
        </w:rPr>
        <w:t>(</w:t>
      </w:r>
      <w:r>
        <w:rPr>
          <w:rFonts w:hint="eastAsia"/>
        </w:rPr>
        <w:t>民法第</w:t>
      </w:r>
      <w:r>
        <w:rPr>
          <w:rFonts w:hint="eastAsia"/>
        </w:rPr>
        <w:t>123</w:t>
      </w:r>
      <w:r>
        <w:rPr>
          <w:rFonts w:hint="eastAsia"/>
        </w:rPr>
        <w:t>条</w:t>
      </w:r>
      <w:r>
        <w:rPr>
          <w:rFonts w:hint="eastAsia"/>
        </w:rPr>
        <w:t>)</w:t>
      </w:r>
      <w:r>
        <w:rPr>
          <w:rFonts w:hint="eastAsia"/>
        </w:rPr>
        <w:t>遭到侵犯。</w:t>
      </w:r>
    </w:p>
    <w:p w:rsidR="00000000" w:rsidRDefault="00000000">
      <w:pPr>
        <w:rPr>
          <w:rFonts w:hint="eastAsia"/>
        </w:rPr>
      </w:pPr>
      <w:r>
        <w:rPr>
          <w:rFonts w:hint="eastAsia"/>
        </w:rPr>
        <w:t xml:space="preserve">  </w:t>
      </w:r>
      <w:r>
        <w:rPr>
          <w:rFonts w:hint="eastAsia"/>
        </w:rPr>
        <w:tab/>
        <w:t>448.  1999</w:t>
      </w:r>
      <w:r>
        <w:rPr>
          <w:rFonts w:hint="eastAsia"/>
        </w:rPr>
        <w:t>年</w:t>
      </w:r>
      <w:r>
        <w:rPr>
          <w:rFonts w:hint="eastAsia"/>
        </w:rPr>
        <w:t>10</w:t>
      </w:r>
      <w:r>
        <w:rPr>
          <w:rFonts w:hint="eastAsia"/>
        </w:rPr>
        <w:t>月政府通过了住房政策新纲要</w:t>
      </w:r>
      <w:r>
        <w:rPr>
          <w:rFonts w:hint="eastAsia"/>
        </w:rPr>
        <w:t xml:space="preserve"> </w:t>
      </w:r>
      <w:r>
        <w:rPr>
          <w:rStyle w:val="EndnoteReference"/>
        </w:rPr>
        <w:endnoteReference w:id="283"/>
      </w:r>
      <w:r>
        <w:rPr>
          <w:rFonts w:hint="eastAsia"/>
        </w:rPr>
        <w:t xml:space="preserve"> </w:t>
      </w:r>
      <w:r>
        <w:rPr>
          <w:rFonts w:hint="eastAsia"/>
        </w:rPr>
        <w:t>并送交捷克议会众议院讨论。前几年为纠正住房部门的法律、经济和社会扭曲现象而采取的措施之间联系不够充分，辅助制度没有发挥有效作用。这项新政策就是主要针对这一情况制定的。与以往干预不同的是该政策纲要还以下列事实为基础：住房政策社会方面有必要加强；住房市场需要理解为一种具有结构和空间差异的市场，面面具到措施达不到预期结果。</w:t>
      </w:r>
    </w:p>
    <w:p w:rsidR="00000000" w:rsidRDefault="00000000">
      <w:pPr>
        <w:spacing w:after="320"/>
        <w:rPr>
          <w:rFonts w:hint="eastAsia"/>
        </w:rPr>
      </w:pPr>
      <w:r>
        <w:rPr>
          <w:rFonts w:hint="eastAsia"/>
        </w:rPr>
        <w:tab/>
        <w:t xml:space="preserve">449.  </w:t>
      </w:r>
      <w:r>
        <w:rPr>
          <w:rFonts w:hint="eastAsia"/>
        </w:rPr>
        <w:t>纲要拟定了住房政策的基本目标，即从下列两方面提高住房的整个可获得性，主要是获得住房的承受力：加强国家当局</w:t>
      </w:r>
      <w:r>
        <w:rPr>
          <w:rFonts w:hint="eastAsia"/>
        </w:rPr>
        <w:t>(</w:t>
      </w:r>
      <w:r>
        <w:rPr>
          <w:rFonts w:hint="eastAsia"/>
        </w:rPr>
        <w:t>包括改善法律、经济和其他手段</w:t>
      </w:r>
      <w:r>
        <w:rPr>
          <w:rFonts w:hint="eastAsia"/>
        </w:rPr>
        <w:t>)</w:t>
      </w:r>
      <w:r>
        <w:rPr>
          <w:rFonts w:hint="eastAsia"/>
        </w:rPr>
        <w:t>，同时制定市场原则；通过有目的地削弱根深蒂固的家长作风强调人民对自己的住房负有个人责任。新拟定的住房政策目标是：对现有房源的照顾给予更强有力的支持和支持在获得住房方面处于不利地位的若干人口群体。这些目的还包括下放住房政策和采取区域办法处理具体问题。政府意图采取措施，加强发展出租住房和基于非盈利原则的住房，政府的这一声明意义重大。</w:t>
      </w:r>
    </w:p>
    <w:p w:rsidR="00000000" w:rsidRDefault="00000000">
      <w:pPr>
        <w:pStyle w:val="Heading3"/>
        <w:spacing w:after="160"/>
        <w:rPr>
          <w:rFonts w:hint="eastAsia"/>
        </w:rPr>
      </w:pPr>
      <w:r>
        <w:rPr>
          <w:rFonts w:hint="eastAsia"/>
        </w:rPr>
        <w:t>1998</w:t>
      </w:r>
      <w:r>
        <w:rPr>
          <w:rFonts w:hint="eastAsia"/>
        </w:rPr>
        <w:t>年第</w:t>
      </w:r>
      <w:r>
        <w:rPr>
          <w:rFonts w:hint="eastAsia"/>
        </w:rPr>
        <w:t>4</w:t>
      </w:r>
      <w:r>
        <w:rPr>
          <w:rFonts w:hint="eastAsia"/>
        </w:rPr>
        <w:t>季度家庭财务支出在净财务收入中的</w:t>
      </w:r>
      <w:r>
        <w:br/>
      </w:r>
      <w:r>
        <w:rPr>
          <w:rFonts w:hint="eastAsia"/>
        </w:rPr>
        <w:t>比例，百分比</w:t>
      </w:r>
      <w:r>
        <w:rPr>
          <w:rFonts w:hint="eastAsia"/>
        </w:rPr>
        <w:t>(</w:t>
      </w:r>
      <w:r>
        <w:rPr>
          <w:rFonts w:hint="eastAsia"/>
        </w:rPr>
        <w:t>家庭预算统计答复抽样</w:t>
      </w:r>
      <w:r>
        <w:rPr>
          <w:rFonts w:hint="eastAsia"/>
        </w:rPr>
        <w:t>)</w:t>
      </w:r>
    </w:p>
    <w:tbl>
      <w:tblPr>
        <w:tblW w:w="5000" w:type="pct"/>
        <w:tblBorders>
          <w:top w:val="single" w:sz="12" w:space="0" w:color="008000"/>
          <w:bottom w:val="single" w:sz="12" w:space="0" w:color="008000"/>
        </w:tblBorders>
        <w:tblCellMar>
          <w:left w:w="70" w:type="dxa"/>
          <w:right w:w="70" w:type="dxa"/>
        </w:tblCellMar>
        <w:tblLook w:val="0000" w:firstRow="0" w:lastRow="0" w:firstColumn="0" w:lastColumn="0" w:noHBand="0" w:noVBand="0"/>
      </w:tblPr>
      <w:tblGrid>
        <w:gridCol w:w="3026"/>
        <w:gridCol w:w="997"/>
        <w:gridCol w:w="798"/>
        <w:gridCol w:w="1018"/>
        <w:gridCol w:w="1318"/>
        <w:gridCol w:w="2338"/>
      </w:tblGrid>
      <w:tr w:rsidR="00000000">
        <w:tblPrEx>
          <w:tblCellMar>
            <w:top w:w="0" w:type="dxa"/>
            <w:bottom w:w="0" w:type="dxa"/>
          </w:tblCellMar>
        </w:tblPrEx>
        <w:trPr>
          <w:cantSplit/>
          <w:trHeight w:val="150"/>
          <w:tblHeader/>
        </w:trPr>
        <w:tc>
          <w:tcPr>
            <w:tcW w:w="1594" w:type="pct"/>
            <w:vMerge w:val="restart"/>
            <w:tcBorders>
              <w:top w:val="single" w:sz="4" w:space="0" w:color="auto"/>
              <w:left w:val="single" w:sz="4" w:space="0" w:color="auto"/>
              <w:bottom w:val="nil"/>
              <w:right w:val="single" w:sz="4" w:space="0" w:color="auto"/>
            </w:tcBorders>
          </w:tcPr>
          <w:p w:rsidR="00000000" w:rsidRDefault="00000000">
            <w:pPr>
              <w:pStyle w:val="aa"/>
              <w:spacing w:line="336" w:lineRule="auto"/>
              <w:jc w:val="center"/>
            </w:pPr>
          </w:p>
        </w:tc>
        <w:tc>
          <w:tcPr>
            <w:tcW w:w="1481" w:type="pct"/>
            <w:gridSpan w:val="3"/>
            <w:tcBorders>
              <w:top w:val="single" w:sz="4" w:space="0" w:color="auto"/>
              <w:left w:val="single" w:sz="4" w:space="0" w:color="auto"/>
              <w:bottom w:val="single" w:sz="4" w:space="0" w:color="auto"/>
              <w:right w:val="single" w:sz="4" w:space="0" w:color="auto"/>
            </w:tcBorders>
          </w:tcPr>
          <w:p w:rsidR="00000000" w:rsidRDefault="00000000">
            <w:pPr>
              <w:pStyle w:val="aa"/>
              <w:spacing w:before="40" w:line="288" w:lineRule="auto"/>
              <w:jc w:val="center"/>
            </w:pPr>
            <w:r>
              <w:rPr>
                <w:rFonts w:hint="eastAsia"/>
              </w:rPr>
              <w:t>一般家庭估计</w:t>
            </w:r>
          </w:p>
        </w:tc>
        <w:tc>
          <w:tcPr>
            <w:tcW w:w="694" w:type="pct"/>
            <w:vMerge w:val="restart"/>
            <w:tcBorders>
              <w:top w:val="single" w:sz="4" w:space="0" w:color="auto"/>
              <w:left w:val="single" w:sz="4" w:space="0" w:color="auto"/>
              <w:right w:val="single" w:sz="4" w:space="0" w:color="auto"/>
            </w:tcBorders>
          </w:tcPr>
          <w:p w:rsidR="00000000" w:rsidRDefault="00000000">
            <w:pPr>
              <w:pStyle w:val="aa"/>
              <w:spacing w:before="240" w:line="336" w:lineRule="auto"/>
              <w:jc w:val="center"/>
            </w:pPr>
            <w:r>
              <w:rPr>
                <w:rFonts w:hint="eastAsia"/>
              </w:rPr>
              <w:t>有子女家庭</w:t>
            </w:r>
          </w:p>
        </w:tc>
        <w:tc>
          <w:tcPr>
            <w:tcW w:w="1231" w:type="pct"/>
            <w:vMerge w:val="restart"/>
            <w:tcBorders>
              <w:top w:val="single" w:sz="4" w:space="0" w:color="auto"/>
              <w:left w:val="single" w:sz="4" w:space="0" w:color="auto"/>
              <w:right w:val="single" w:sz="4" w:space="0" w:color="auto"/>
            </w:tcBorders>
          </w:tcPr>
          <w:p w:rsidR="00000000" w:rsidRDefault="00000000">
            <w:pPr>
              <w:pStyle w:val="aa"/>
              <w:spacing w:before="240" w:line="336" w:lineRule="auto"/>
              <w:jc w:val="center"/>
            </w:pPr>
            <w:r>
              <w:rPr>
                <w:rFonts w:hint="eastAsia"/>
              </w:rPr>
              <w:t>领取养恤金者家庭</w:t>
            </w:r>
          </w:p>
        </w:tc>
      </w:tr>
      <w:tr w:rsidR="00000000">
        <w:tblPrEx>
          <w:tblCellMar>
            <w:top w:w="0" w:type="dxa"/>
            <w:bottom w:w="0" w:type="dxa"/>
          </w:tblCellMar>
        </w:tblPrEx>
        <w:trPr>
          <w:cantSplit/>
          <w:trHeight w:val="270"/>
          <w:tblHeader/>
        </w:trPr>
        <w:tc>
          <w:tcPr>
            <w:tcW w:w="1594" w:type="pct"/>
            <w:vMerge/>
            <w:tcBorders>
              <w:top w:val="nil"/>
              <w:left w:val="single" w:sz="4" w:space="0" w:color="auto"/>
              <w:bottom w:val="single" w:sz="6" w:space="0" w:color="008000"/>
              <w:right w:val="single" w:sz="4" w:space="0" w:color="auto"/>
            </w:tcBorders>
          </w:tcPr>
          <w:p w:rsidR="00000000" w:rsidRDefault="00000000">
            <w:pPr>
              <w:pStyle w:val="aa"/>
              <w:spacing w:line="336" w:lineRule="auto"/>
              <w:jc w:val="center"/>
            </w:pPr>
          </w:p>
        </w:tc>
        <w:tc>
          <w:tcPr>
            <w:tcW w:w="525" w:type="pct"/>
            <w:tcBorders>
              <w:top w:val="nil"/>
              <w:left w:val="single" w:sz="4" w:space="0" w:color="auto"/>
              <w:bottom w:val="single" w:sz="6" w:space="0" w:color="008000"/>
              <w:right w:val="single" w:sz="4" w:space="0" w:color="auto"/>
            </w:tcBorders>
          </w:tcPr>
          <w:p w:rsidR="00000000" w:rsidRDefault="00000000">
            <w:pPr>
              <w:pStyle w:val="aa"/>
              <w:spacing w:before="40" w:line="288" w:lineRule="auto"/>
              <w:jc w:val="center"/>
              <w:rPr>
                <w:rFonts w:hint="eastAsia"/>
              </w:rPr>
            </w:pPr>
            <w:r>
              <w:rPr>
                <w:rFonts w:hint="eastAsia"/>
              </w:rPr>
              <w:t>总计</w:t>
            </w:r>
          </w:p>
        </w:tc>
        <w:tc>
          <w:tcPr>
            <w:tcW w:w="420" w:type="pct"/>
            <w:tcBorders>
              <w:top w:val="nil"/>
              <w:left w:val="single" w:sz="4" w:space="0" w:color="auto"/>
              <w:bottom w:val="single" w:sz="6" w:space="0" w:color="008000"/>
              <w:right w:val="single" w:sz="4" w:space="0" w:color="auto"/>
            </w:tcBorders>
          </w:tcPr>
          <w:p w:rsidR="00000000" w:rsidRDefault="00000000">
            <w:pPr>
              <w:pStyle w:val="aa"/>
              <w:spacing w:before="40" w:line="288" w:lineRule="auto"/>
              <w:jc w:val="center"/>
            </w:pPr>
            <w:r>
              <w:rPr>
                <w:rFonts w:hint="eastAsia"/>
              </w:rPr>
              <w:t>工人</w:t>
            </w:r>
          </w:p>
        </w:tc>
        <w:tc>
          <w:tcPr>
            <w:tcW w:w="536" w:type="pct"/>
            <w:tcBorders>
              <w:top w:val="nil"/>
              <w:left w:val="single" w:sz="4" w:space="0" w:color="auto"/>
              <w:bottom w:val="single" w:sz="6" w:space="0" w:color="008000"/>
              <w:right w:val="single" w:sz="4" w:space="0" w:color="auto"/>
            </w:tcBorders>
          </w:tcPr>
          <w:p w:rsidR="00000000" w:rsidRDefault="00000000">
            <w:pPr>
              <w:pStyle w:val="aa"/>
              <w:spacing w:before="40" w:line="288" w:lineRule="auto"/>
              <w:jc w:val="center"/>
            </w:pPr>
            <w:r>
              <w:rPr>
                <w:rFonts w:hint="eastAsia"/>
              </w:rPr>
              <w:t>农民</w:t>
            </w:r>
          </w:p>
        </w:tc>
        <w:tc>
          <w:tcPr>
            <w:tcW w:w="694" w:type="pct"/>
            <w:vMerge/>
            <w:tcBorders>
              <w:left w:val="single" w:sz="4" w:space="0" w:color="auto"/>
              <w:bottom w:val="single" w:sz="6" w:space="0" w:color="008000"/>
              <w:right w:val="single" w:sz="4" w:space="0" w:color="auto"/>
            </w:tcBorders>
          </w:tcPr>
          <w:p w:rsidR="00000000" w:rsidRDefault="00000000">
            <w:pPr>
              <w:pStyle w:val="aa"/>
              <w:spacing w:line="336" w:lineRule="auto"/>
              <w:jc w:val="center"/>
              <w:rPr>
                <w:rFonts w:hint="eastAsia"/>
              </w:rPr>
            </w:pPr>
          </w:p>
        </w:tc>
        <w:tc>
          <w:tcPr>
            <w:tcW w:w="1231" w:type="pct"/>
            <w:vMerge/>
            <w:tcBorders>
              <w:left w:val="single" w:sz="4" w:space="0" w:color="auto"/>
              <w:bottom w:val="single" w:sz="4" w:space="0" w:color="auto"/>
              <w:right w:val="single" w:sz="4" w:space="0" w:color="auto"/>
            </w:tcBorders>
          </w:tcPr>
          <w:p w:rsidR="00000000" w:rsidRDefault="00000000">
            <w:pPr>
              <w:pStyle w:val="aa"/>
              <w:spacing w:line="336" w:lineRule="auto"/>
              <w:jc w:val="center"/>
            </w:pP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食</w:t>
            </w:r>
            <w:r>
              <w:t xml:space="preserve">  </w:t>
            </w:r>
            <w:r>
              <w:rPr>
                <w:rFonts w:hint="eastAsia"/>
              </w:rPr>
              <w:t>物</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25.3</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23.6</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25.0</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34.8</w:t>
            </w:r>
          </w:p>
        </w:tc>
        <w:tc>
          <w:tcPr>
            <w:tcW w:w="1231" w:type="pct"/>
            <w:tcBorders>
              <w:top w:val="single" w:sz="4" w:space="0" w:color="auto"/>
              <w:left w:val="single" w:sz="4" w:space="0" w:color="auto"/>
              <w:bottom w:val="nil"/>
              <w:right w:val="single" w:sz="4" w:space="0" w:color="auto"/>
            </w:tcBorders>
          </w:tcPr>
          <w:p w:rsidR="00000000" w:rsidRDefault="00000000">
            <w:pPr>
              <w:pStyle w:val="aa"/>
              <w:spacing w:line="336" w:lineRule="auto"/>
              <w:jc w:val="center"/>
            </w:pPr>
            <w:r>
              <w:t>40.7</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pPr>
            <w:r>
              <w:rPr>
                <w:rFonts w:hint="eastAsia"/>
              </w:rPr>
              <w:t>含酒精饮料和烟</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3.4</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3.3</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3.5</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3.2</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pPr>
            <w:r>
              <w:t>2.3</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衣服和鞋类</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8.9</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9.2</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9.8</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8.9</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pPr>
            <w:r>
              <w:t>4.6</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住房总开支</w:t>
            </w:r>
          </w:p>
          <w:p w:rsidR="00000000" w:rsidRDefault="00000000">
            <w:pPr>
              <w:pStyle w:val="aa"/>
              <w:spacing w:line="336" w:lineRule="auto"/>
              <w:rPr>
                <w:rFonts w:hint="eastAsia"/>
              </w:rPr>
            </w:pPr>
            <w:r>
              <w:rPr>
                <w:rFonts w:hint="eastAsia"/>
              </w:rPr>
              <w:t>其中：房租</w:t>
            </w:r>
          </w:p>
          <w:p w:rsidR="00000000" w:rsidRDefault="00000000">
            <w:pPr>
              <w:pStyle w:val="aa"/>
              <w:spacing w:line="336" w:lineRule="auto"/>
            </w:pPr>
            <w:r>
              <w:rPr>
                <w:rFonts w:hint="eastAsia"/>
              </w:rPr>
              <w:t xml:space="preserve">  </w:t>
            </w:r>
            <w:r>
              <w:rPr>
                <w:rFonts w:hint="eastAsia"/>
              </w:rPr>
              <w:t>水和排污</w:t>
            </w:r>
          </w:p>
          <w:p w:rsidR="00000000" w:rsidRDefault="00000000">
            <w:pPr>
              <w:pStyle w:val="aa"/>
              <w:spacing w:line="336" w:lineRule="auto"/>
            </w:pPr>
            <w:r>
              <w:rPr>
                <w:rFonts w:hint="eastAsia"/>
              </w:rPr>
              <w:t xml:space="preserve">  </w:t>
            </w:r>
            <w:r>
              <w:rPr>
                <w:rFonts w:hint="eastAsia"/>
              </w:rPr>
              <w:t>其他开支、市服务费</w:t>
            </w:r>
          </w:p>
          <w:p w:rsidR="00000000" w:rsidRDefault="00000000">
            <w:pPr>
              <w:pStyle w:val="aa"/>
              <w:spacing w:line="336" w:lineRule="auto"/>
              <w:rPr>
                <w:rFonts w:hint="eastAsia"/>
              </w:rPr>
            </w:pPr>
            <w:r>
              <w:rPr>
                <w:rFonts w:hint="eastAsia"/>
              </w:rPr>
              <w:t xml:space="preserve">  </w:t>
            </w:r>
            <w:r>
              <w:rPr>
                <w:rFonts w:hint="eastAsia"/>
              </w:rPr>
              <w:t>电</w:t>
            </w:r>
          </w:p>
          <w:p w:rsidR="00000000" w:rsidRDefault="00000000">
            <w:pPr>
              <w:pStyle w:val="aa"/>
              <w:spacing w:line="336" w:lineRule="auto"/>
            </w:pPr>
            <w:r>
              <w:rPr>
                <w:rFonts w:hint="eastAsia"/>
              </w:rPr>
              <w:t xml:space="preserve">  </w:t>
            </w:r>
            <w:r>
              <w:rPr>
                <w:rFonts w:hint="eastAsia"/>
              </w:rPr>
              <w:t>煤</w:t>
            </w:r>
            <w:r>
              <w:rPr>
                <w:rFonts w:hint="eastAsia"/>
              </w:rPr>
              <w:t xml:space="preserve">  </w:t>
            </w:r>
            <w:r>
              <w:rPr>
                <w:rFonts w:hint="eastAsia"/>
              </w:rPr>
              <w:t>气</w:t>
            </w:r>
          </w:p>
          <w:p w:rsidR="00000000" w:rsidRDefault="00000000">
            <w:pPr>
              <w:pStyle w:val="aa"/>
              <w:spacing w:line="336" w:lineRule="auto"/>
            </w:pPr>
            <w:r>
              <w:rPr>
                <w:rFonts w:hint="eastAsia"/>
              </w:rPr>
              <w:t xml:space="preserve">  </w:t>
            </w:r>
            <w:r>
              <w:rPr>
                <w:rFonts w:hint="eastAsia"/>
              </w:rPr>
              <w:t>中央取暖、热水</w:t>
            </w:r>
          </w:p>
          <w:p w:rsidR="00000000" w:rsidRDefault="00000000">
            <w:pPr>
              <w:pStyle w:val="aa"/>
              <w:spacing w:line="336" w:lineRule="auto"/>
              <w:rPr>
                <w:rFonts w:hint="eastAsia"/>
              </w:rPr>
            </w:pPr>
            <w:r>
              <w:rPr>
                <w:rFonts w:hint="eastAsia"/>
              </w:rPr>
              <w:t xml:space="preserve">  </w:t>
            </w:r>
            <w:r>
              <w:rPr>
                <w:rFonts w:hint="eastAsia"/>
              </w:rPr>
              <w:t>燃料</w:t>
            </w:r>
          </w:p>
          <w:p w:rsidR="00000000" w:rsidRDefault="00000000">
            <w:pPr>
              <w:pStyle w:val="aa"/>
              <w:spacing w:line="336" w:lineRule="auto"/>
              <w:rPr>
                <w:rFonts w:hint="eastAsia"/>
              </w:rPr>
            </w:pPr>
            <w:r>
              <w:rPr>
                <w:rFonts w:hint="eastAsia"/>
              </w:rPr>
              <w:t xml:space="preserve">  </w:t>
            </w:r>
            <w:r>
              <w:rPr>
                <w:rFonts w:hint="eastAsia"/>
              </w:rPr>
              <w:t>维持、修建、采购</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rPr>
                <w:rFonts w:ascii="Time New Roman" w:eastAsia="SimHei" w:hAnsi="Time New Roman"/>
              </w:rPr>
            </w:pPr>
            <w:r>
              <w:rPr>
                <w:rFonts w:ascii="Time New Roman" w:eastAsia="SimHei" w:hAnsi="Time New Roman"/>
                <w:b/>
              </w:rPr>
              <w:t>17.3</w:t>
            </w:r>
          </w:p>
          <w:p w:rsidR="00000000" w:rsidRDefault="00000000">
            <w:pPr>
              <w:pStyle w:val="aa"/>
              <w:spacing w:line="336" w:lineRule="auto"/>
              <w:jc w:val="center"/>
            </w:pPr>
            <w:r>
              <w:t>3.2</w:t>
            </w:r>
          </w:p>
          <w:p w:rsidR="00000000" w:rsidRDefault="00000000">
            <w:pPr>
              <w:pStyle w:val="aa"/>
              <w:spacing w:line="336" w:lineRule="auto"/>
              <w:jc w:val="center"/>
            </w:pPr>
            <w:r>
              <w:t>1.0</w:t>
            </w:r>
          </w:p>
          <w:p w:rsidR="00000000" w:rsidRDefault="00000000">
            <w:pPr>
              <w:pStyle w:val="aa"/>
              <w:spacing w:line="336" w:lineRule="auto"/>
              <w:jc w:val="center"/>
            </w:pPr>
            <w:r>
              <w:t>0.6</w:t>
            </w:r>
          </w:p>
          <w:p w:rsidR="00000000" w:rsidRDefault="00000000">
            <w:pPr>
              <w:pStyle w:val="aa"/>
              <w:spacing w:line="336" w:lineRule="auto"/>
              <w:jc w:val="center"/>
            </w:pPr>
            <w:r>
              <w:t>3.2</w:t>
            </w:r>
          </w:p>
          <w:p w:rsidR="00000000" w:rsidRDefault="00000000">
            <w:pPr>
              <w:pStyle w:val="aa"/>
              <w:spacing w:line="336" w:lineRule="auto"/>
              <w:jc w:val="center"/>
            </w:pPr>
            <w:r>
              <w:t>1.7</w:t>
            </w:r>
          </w:p>
          <w:p w:rsidR="00000000" w:rsidRDefault="00000000">
            <w:pPr>
              <w:pStyle w:val="aa"/>
              <w:spacing w:line="336" w:lineRule="auto"/>
              <w:jc w:val="center"/>
            </w:pPr>
            <w:r>
              <w:t>3.3</w:t>
            </w:r>
          </w:p>
          <w:p w:rsidR="00000000" w:rsidRDefault="00000000">
            <w:pPr>
              <w:pStyle w:val="aa"/>
              <w:spacing w:line="336" w:lineRule="auto"/>
              <w:jc w:val="center"/>
            </w:pPr>
            <w:r>
              <w:t>0.3</w:t>
            </w:r>
          </w:p>
          <w:p w:rsidR="00000000" w:rsidRDefault="00000000">
            <w:pPr>
              <w:pStyle w:val="aa"/>
              <w:spacing w:line="336" w:lineRule="auto"/>
              <w:jc w:val="center"/>
              <w:rPr>
                <w:rFonts w:hint="eastAsia"/>
              </w:rPr>
            </w:pPr>
            <w:r>
              <w:t>4.0</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rPr>
                <w:rFonts w:ascii="Time New Roman" w:eastAsia="SimHei" w:hAnsi="Time New Roman"/>
              </w:rPr>
            </w:pPr>
            <w:r>
              <w:rPr>
                <w:rFonts w:ascii="Time New Roman" w:eastAsia="SimHei" w:hAnsi="Time New Roman"/>
                <w:b/>
              </w:rPr>
              <w:t>15.9</w:t>
            </w:r>
          </w:p>
          <w:p w:rsidR="00000000" w:rsidRDefault="00000000">
            <w:pPr>
              <w:pStyle w:val="aa"/>
              <w:spacing w:line="336" w:lineRule="auto"/>
              <w:jc w:val="center"/>
            </w:pPr>
            <w:r>
              <w:t>3.0</w:t>
            </w:r>
          </w:p>
          <w:p w:rsidR="00000000" w:rsidRDefault="00000000">
            <w:pPr>
              <w:pStyle w:val="aa"/>
              <w:spacing w:line="336" w:lineRule="auto"/>
              <w:jc w:val="center"/>
            </w:pPr>
            <w:r>
              <w:t>0.9</w:t>
            </w:r>
          </w:p>
          <w:p w:rsidR="00000000" w:rsidRDefault="00000000">
            <w:pPr>
              <w:pStyle w:val="aa"/>
              <w:spacing w:line="336" w:lineRule="auto"/>
              <w:jc w:val="center"/>
            </w:pPr>
            <w:r>
              <w:t>0.6</w:t>
            </w:r>
          </w:p>
          <w:p w:rsidR="00000000" w:rsidRDefault="00000000">
            <w:pPr>
              <w:pStyle w:val="aa"/>
              <w:spacing w:line="336" w:lineRule="auto"/>
              <w:jc w:val="center"/>
            </w:pPr>
            <w:r>
              <w:t>2.7</w:t>
            </w:r>
          </w:p>
          <w:p w:rsidR="00000000" w:rsidRDefault="00000000">
            <w:pPr>
              <w:pStyle w:val="aa"/>
              <w:spacing w:line="336" w:lineRule="auto"/>
              <w:jc w:val="center"/>
            </w:pPr>
            <w:r>
              <w:t>1.5</w:t>
            </w:r>
          </w:p>
          <w:p w:rsidR="00000000" w:rsidRDefault="00000000">
            <w:pPr>
              <w:pStyle w:val="aa"/>
              <w:spacing w:line="336" w:lineRule="auto"/>
              <w:jc w:val="center"/>
            </w:pPr>
            <w:r>
              <w:t>3.2</w:t>
            </w:r>
          </w:p>
          <w:p w:rsidR="00000000" w:rsidRDefault="00000000">
            <w:pPr>
              <w:pStyle w:val="aa"/>
              <w:spacing w:line="336" w:lineRule="auto"/>
              <w:jc w:val="center"/>
            </w:pPr>
            <w:r>
              <w:t>0.2</w:t>
            </w:r>
          </w:p>
          <w:p w:rsidR="00000000" w:rsidRDefault="00000000">
            <w:pPr>
              <w:pStyle w:val="aa"/>
              <w:spacing w:line="336" w:lineRule="auto"/>
              <w:jc w:val="center"/>
            </w:pPr>
            <w:r>
              <w:t>3.8</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rPr>
                <w:rFonts w:ascii="Time New Roman" w:eastAsia="SimHei" w:hAnsi="Time New Roman"/>
              </w:rPr>
            </w:pPr>
            <w:r>
              <w:rPr>
                <w:rFonts w:ascii="Time New Roman" w:eastAsia="SimHei" w:hAnsi="Time New Roman"/>
                <w:b/>
              </w:rPr>
              <w:t>15.2</w:t>
            </w:r>
          </w:p>
          <w:p w:rsidR="00000000" w:rsidRDefault="00000000">
            <w:pPr>
              <w:pStyle w:val="aa"/>
              <w:spacing w:line="336" w:lineRule="auto"/>
              <w:jc w:val="center"/>
            </w:pPr>
            <w:r>
              <w:t>1.2</w:t>
            </w:r>
          </w:p>
          <w:p w:rsidR="00000000" w:rsidRDefault="00000000">
            <w:pPr>
              <w:pStyle w:val="aa"/>
              <w:spacing w:line="336" w:lineRule="auto"/>
              <w:jc w:val="center"/>
            </w:pPr>
            <w:r>
              <w:t>0.6</w:t>
            </w:r>
          </w:p>
          <w:p w:rsidR="00000000" w:rsidRDefault="00000000">
            <w:pPr>
              <w:pStyle w:val="aa"/>
              <w:spacing w:line="336" w:lineRule="auto"/>
              <w:jc w:val="center"/>
            </w:pPr>
            <w:r>
              <w:t>0.2</w:t>
            </w:r>
          </w:p>
          <w:p w:rsidR="00000000" w:rsidRDefault="00000000">
            <w:pPr>
              <w:pStyle w:val="aa"/>
              <w:spacing w:line="336" w:lineRule="auto"/>
              <w:jc w:val="center"/>
            </w:pPr>
            <w:r>
              <w:t>4.3</w:t>
            </w:r>
          </w:p>
          <w:p w:rsidR="00000000" w:rsidRDefault="00000000">
            <w:pPr>
              <w:pStyle w:val="aa"/>
              <w:spacing w:line="336" w:lineRule="auto"/>
              <w:jc w:val="center"/>
            </w:pPr>
            <w:r>
              <w:t>1.7</w:t>
            </w:r>
          </w:p>
          <w:p w:rsidR="00000000" w:rsidRDefault="00000000">
            <w:pPr>
              <w:pStyle w:val="aa"/>
              <w:spacing w:line="336" w:lineRule="auto"/>
              <w:jc w:val="center"/>
            </w:pPr>
            <w:r>
              <w:t>0.6</w:t>
            </w:r>
          </w:p>
          <w:p w:rsidR="00000000" w:rsidRDefault="00000000">
            <w:pPr>
              <w:pStyle w:val="aa"/>
              <w:spacing w:line="336" w:lineRule="auto"/>
              <w:jc w:val="center"/>
            </w:pPr>
            <w:r>
              <w:t>1.1</w:t>
            </w:r>
          </w:p>
          <w:p w:rsidR="00000000" w:rsidRDefault="00000000">
            <w:pPr>
              <w:pStyle w:val="aa"/>
              <w:spacing w:line="336" w:lineRule="auto"/>
              <w:jc w:val="center"/>
            </w:pPr>
            <w:r>
              <w:t>5.5</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rPr>
                <w:rFonts w:ascii="Time New Roman" w:eastAsia="SimHei" w:hAnsi="Time New Roman"/>
              </w:rPr>
            </w:pPr>
            <w:r>
              <w:rPr>
                <w:rFonts w:ascii="Time New Roman" w:eastAsia="SimHei" w:hAnsi="Time New Roman"/>
                <w:b/>
              </w:rPr>
              <w:t>21.4</w:t>
            </w:r>
          </w:p>
          <w:p w:rsidR="00000000" w:rsidRDefault="00000000">
            <w:pPr>
              <w:pStyle w:val="aa"/>
              <w:spacing w:line="336" w:lineRule="auto"/>
              <w:jc w:val="center"/>
            </w:pPr>
            <w:r>
              <w:t>4.6</w:t>
            </w:r>
          </w:p>
          <w:p w:rsidR="00000000" w:rsidRDefault="00000000">
            <w:pPr>
              <w:pStyle w:val="aa"/>
              <w:spacing w:line="336" w:lineRule="auto"/>
              <w:jc w:val="center"/>
            </w:pPr>
            <w:r>
              <w:t>1.9</w:t>
            </w:r>
          </w:p>
          <w:p w:rsidR="00000000" w:rsidRDefault="00000000">
            <w:pPr>
              <w:pStyle w:val="aa"/>
              <w:spacing w:line="336" w:lineRule="auto"/>
              <w:jc w:val="center"/>
            </w:pPr>
            <w:r>
              <w:t>0.9</w:t>
            </w:r>
          </w:p>
          <w:p w:rsidR="00000000" w:rsidRDefault="00000000">
            <w:pPr>
              <w:pStyle w:val="aa"/>
              <w:spacing w:line="336" w:lineRule="auto"/>
              <w:jc w:val="center"/>
            </w:pPr>
            <w:r>
              <w:t>5.4</w:t>
            </w:r>
          </w:p>
          <w:p w:rsidR="00000000" w:rsidRDefault="00000000">
            <w:pPr>
              <w:pStyle w:val="aa"/>
              <w:spacing w:line="336" w:lineRule="auto"/>
              <w:jc w:val="center"/>
            </w:pPr>
            <w:r>
              <w:t>2.3</w:t>
            </w:r>
          </w:p>
          <w:p w:rsidR="00000000" w:rsidRDefault="00000000">
            <w:pPr>
              <w:pStyle w:val="aa"/>
              <w:spacing w:line="336" w:lineRule="auto"/>
              <w:jc w:val="center"/>
            </w:pPr>
            <w:r>
              <w:t>4.7</w:t>
            </w:r>
          </w:p>
          <w:p w:rsidR="00000000" w:rsidRDefault="00000000">
            <w:pPr>
              <w:pStyle w:val="aa"/>
              <w:spacing w:line="336" w:lineRule="auto"/>
              <w:jc w:val="center"/>
            </w:pPr>
            <w:r>
              <w:t>0.6</w:t>
            </w:r>
          </w:p>
          <w:p w:rsidR="00000000" w:rsidRDefault="00000000">
            <w:pPr>
              <w:pStyle w:val="aa"/>
              <w:spacing w:line="336" w:lineRule="auto"/>
              <w:jc w:val="center"/>
            </w:pPr>
            <w:r>
              <w:t>1.0</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rPr>
                <w:rFonts w:ascii="Time New Roman" w:eastAsia="SimHei" w:hAnsi="Time New Roman"/>
              </w:rPr>
            </w:pPr>
            <w:r>
              <w:rPr>
                <w:rFonts w:ascii="Time New Roman" w:eastAsia="SimHei" w:hAnsi="Time New Roman"/>
                <w:b/>
              </w:rPr>
              <w:t>30.4</w:t>
            </w:r>
          </w:p>
          <w:p w:rsidR="00000000" w:rsidRDefault="00000000">
            <w:pPr>
              <w:pStyle w:val="aa"/>
              <w:spacing w:line="336" w:lineRule="auto"/>
              <w:jc w:val="center"/>
            </w:pPr>
            <w:r>
              <w:t>6.2</w:t>
            </w:r>
          </w:p>
          <w:p w:rsidR="00000000" w:rsidRDefault="00000000">
            <w:pPr>
              <w:pStyle w:val="aa"/>
              <w:spacing w:line="336" w:lineRule="auto"/>
              <w:jc w:val="center"/>
            </w:pPr>
            <w:r>
              <w:t>1.7</w:t>
            </w:r>
          </w:p>
          <w:p w:rsidR="00000000" w:rsidRDefault="00000000">
            <w:pPr>
              <w:pStyle w:val="aa"/>
              <w:spacing w:line="336" w:lineRule="auto"/>
              <w:jc w:val="center"/>
            </w:pPr>
            <w:r>
              <w:t>1.3</w:t>
            </w:r>
          </w:p>
          <w:p w:rsidR="00000000" w:rsidRDefault="00000000">
            <w:pPr>
              <w:pStyle w:val="aa"/>
              <w:spacing w:line="336" w:lineRule="auto"/>
              <w:jc w:val="center"/>
            </w:pPr>
            <w:r>
              <w:t>5.8</w:t>
            </w:r>
          </w:p>
          <w:p w:rsidR="00000000" w:rsidRDefault="00000000">
            <w:pPr>
              <w:pStyle w:val="aa"/>
              <w:spacing w:line="336" w:lineRule="auto"/>
              <w:jc w:val="center"/>
            </w:pPr>
            <w:r>
              <w:t>3.3</w:t>
            </w:r>
          </w:p>
          <w:p w:rsidR="00000000" w:rsidRDefault="00000000">
            <w:pPr>
              <w:pStyle w:val="aa"/>
              <w:spacing w:line="336" w:lineRule="auto"/>
              <w:jc w:val="center"/>
            </w:pPr>
            <w:r>
              <w:t>6.6</w:t>
            </w:r>
          </w:p>
          <w:p w:rsidR="00000000" w:rsidRDefault="00000000">
            <w:pPr>
              <w:pStyle w:val="aa"/>
              <w:spacing w:line="336" w:lineRule="auto"/>
              <w:jc w:val="center"/>
            </w:pPr>
            <w:r>
              <w:t>1.4</w:t>
            </w:r>
          </w:p>
          <w:p w:rsidR="00000000" w:rsidRDefault="00000000">
            <w:pPr>
              <w:pStyle w:val="aa"/>
              <w:spacing w:line="336" w:lineRule="auto"/>
              <w:jc w:val="center"/>
            </w:pPr>
            <w:r>
              <w:t>4.2</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家庭设备和运转</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9.4</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9.3</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11.8</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7.6</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pPr>
            <w:r>
              <w:t>6.2</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个人保健和医疗</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5.5</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5.5</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5.0</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6.1</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pPr>
            <w:r>
              <w:t>5.0</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交通和通讯</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9.8</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10.2</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13.7</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8.1</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pPr>
            <w:r>
              <w:t>3.8</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文化、教育、体育、娱乐</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9.8</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10.1</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9.0</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9.2</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pPr>
            <w:r>
              <w:t>5.1</w:t>
            </w:r>
          </w:p>
        </w:tc>
      </w:tr>
      <w:tr w:rsidR="00000000">
        <w:tblPrEx>
          <w:tblCellMar>
            <w:top w:w="0" w:type="dxa"/>
            <w:bottom w:w="0" w:type="dxa"/>
          </w:tblCellMar>
        </w:tblPrEx>
        <w:tc>
          <w:tcPr>
            <w:tcW w:w="1594" w:type="pct"/>
            <w:tcBorders>
              <w:top w:val="nil"/>
              <w:left w:val="single" w:sz="4" w:space="0" w:color="auto"/>
              <w:bottom w:val="nil"/>
              <w:right w:val="single" w:sz="4" w:space="0" w:color="auto"/>
            </w:tcBorders>
          </w:tcPr>
          <w:p w:rsidR="00000000" w:rsidRDefault="00000000">
            <w:pPr>
              <w:pStyle w:val="aa"/>
              <w:spacing w:line="336" w:lineRule="auto"/>
              <w:rPr>
                <w:rFonts w:hint="eastAsia"/>
              </w:rPr>
            </w:pPr>
            <w:r>
              <w:rPr>
                <w:rFonts w:hint="eastAsia"/>
              </w:rPr>
              <w:t>贷款偿还和其他付款</w:t>
            </w:r>
          </w:p>
        </w:tc>
        <w:tc>
          <w:tcPr>
            <w:tcW w:w="525" w:type="pct"/>
            <w:tcBorders>
              <w:top w:val="nil"/>
              <w:left w:val="single" w:sz="4" w:space="0" w:color="auto"/>
              <w:bottom w:val="nil"/>
              <w:right w:val="single" w:sz="4" w:space="0" w:color="auto"/>
            </w:tcBorders>
          </w:tcPr>
          <w:p w:rsidR="00000000" w:rsidRDefault="00000000">
            <w:pPr>
              <w:pStyle w:val="aa"/>
              <w:spacing w:line="336" w:lineRule="auto"/>
              <w:jc w:val="center"/>
            </w:pPr>
            <w:r>
              <w:t>8.9</w:t>
            </w:r>
          </w:p>
        </w:tc>
        <w:tc>
          <w:tcPr>
            <w:tcW w:w="420" w:type="pct"/>
            <w:tcBorders>
              <w:top w:val="nil"/>
              <w:left w:val="single" w:sz="4" w:space="0" w:color="auto"/>
              <w:bottom w:val="nil"/>
              <w:right w:val="single" w:sz="4" w:space="0" w:color="auto"/>
            </w:tcBorders>
          </w:tcPr>
          <w:p w:rsidR="00000000" w:rsidRDefault="00000000">
            <w:pPr>
              <w:pStyle w:val="aa"/>
              <w:spacing w:line="336" w:lineRule="auto"/>
              <w:jc w:val="center"/>
            </w:pPr>
            <w:r>
              <w:t>8.4</w:t>
            </w:r>
          </w:p>
        </w:tc>
        <w:tc>
          <w:tcPr>
            <w:tcW w:w="536" w:type="pct"/>
            <w:tcBorders>
              <w:top w:val="nil"/>
              <w:left w:val="single" w:sz="4" w:space="0" w:color="auto"/>
              <w:bottom w:val="nil"/>
              <w:right w:val="single" w:sz="4" w:space="0" w:color="auto"/>
            </w:tcBorders>
          </w:tcPr>
          <w:p w:rsidR="00000000" w:rsidRDefault="00000000">
            <w:pPr>
              <w:pStyle w:val="aa"/>
              <w:spacing w:line="336" w:lineRule="auto"/>
              <w:jc w:val="center"/>
            </w:pPr>
            <w:r>
              <w:t>9.8</w:t>
            </w:r>
          </w:p>
        </w:tc>
        <w:tc>
          <w:tcPr>
            <w:tcW w:w="694" w:type="pct"/>
            <w:tcBorders>
              <w:top w:val="nil"/>
              <w:left w:val="single" w:sz="4" w:space="0" w:color="auto"/>
              <w:bottom w:val="nil"/>
              <w:right w:val="single" w:sz="4" w:space="0" w:color="auto"/>
            </w:tcBorders>
          </w:tcPr>
          <w:p w:rsidR="00000000" w:rsidRDefault="00000000">
            <w:pPr>
              <w:pStyle w:val="aa"/>
              <w:spacing w:line="336" w:lineRule="auto"/>
              <w:jc w:val="center"/>
            </w:pPr>
            <w:r>
              <w:t>7.2</w:t>
            </w:r>
          </w:p>
        </w:tc>
        <w:tc>
          <w:tcPr>
            <w:tcW w:w="1231" w:type="pct"/>
            <w:tcBorders>
              <w:top w:val="nil"/>
              <w:left w:val="single" w:sz="4" w:space="0" w:color="auto"/>
              <w:bottom w:val="nil"/>
              <w:right w:val="single" w:sz="4" w:space="0" w:color="auto"/>
            </w:tcBorders>
          </w:tcPr>
          <w:p w:rsidR="00000000" w:rsidRDefault="00000000">
            <w:pPr>
              <w:pStyle w:val="aa"/>
              <w:spacing w:line="336" w:lineRule="auto"/>
              <w:jc w:val="center"/>
            </w:pPr>
            <w:r>
              <w:t>9.3</w:t>
            </w:r>
          </w:p>
        </w:tc>
      </w:tr>
      <w:tr w:rsidR="00000000">
        <w:tblPrEx>
          <w:tblCellMar>
            <w:top w:w="0" w:type="dxa"/>
            <w:bottom w:w="0" w:type="dxa"/>
          </w:tblCellMar>
        </w:tblPrEx>
        <w:tc>
          <w:tcPr>
            <w:tcW w:w="1594" w:type="pct"/>
            <w:tcBorders>
              <w:top w:val="nil"/>
              <w:left w:val="single" w:sz="4" w:space="0" w:color="auto"/>
              <w:bottom w:val="single" w:sz="4" w:space="0" w:color="auto"/>
              <w:right w:val="single" w:sz="4" w:space="0" w:color="auto"/>
            </w:tcBorders>
          </w:tcPr>
          <w:p w:rsidR="00000000" w:rsidRDefault="00000000">
            <w:pPr>
              <w:pStyle w:val="aa"/>
              <w:spacing w:line="336" w:lineRule="auto"/>
            </w:pPr>
            <w:r>
              <w:rPr>
                <w:rFonts w:hint="eastAsia"/>
              </w:rPr>
              <w:t>总</w:t>
            </w:r>
            <w:r>
              <w:rPr>
                <w:rFonts w:hint="eastAsia"/>
              </w:rPr>
              <w:t xml:space="preserve">  </w:t>
            </w:r>
            <w:r>
              <w:rPr>
                <w:rFonts w:hint="eastAsia"/>
              </w:rPr>
              <w:t>计，</w:t>
            </w:r>
            <w:r>
              <w:t>%</w:t>
            </w:r>
          </w:p>
        </w:tc>
        <w:tc>
          <w:tcPr>
            <w:tcW w:w="525" w:type="pct"/>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r>
              <w:t>98.4</w:t>
            </w:r>
          </w:p>
        </w:tc>
        <w:tc>
          <w:tcPr>
            <w:tcW w:w="420" w:type="pct"/>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r>
              <w:t>95.5</w:t>
            </w:r>
          </w:p>
        </w:tc>
        <w:tc>
          <w:tcPr>
            <w:tcW w:w="536" w:type="pct"/>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r>
              <w:t>102.8</w:t>
            </w:r>
          </w:p>
        </w:tc>
        <w:tc>
          <w:tcPr>
            <w:tcW w:w="694" w:type="pct"/>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r>
              <w:t>106.5</w:t>
            </w:r>
          </w:p>
        </w:tc>
        <w:tc>
          <w:tcPr>
            <w:tcW w:w="1231" w:type="pct"/>
            <w:tcBorders>
              <w:top w:val="nil"/>
              <w:left w:val="single" w:sz="4" w:space="0" w:color="auto"/>
              <w:bottom w:val="single" w:sz="4" w:space="0" w:color="auto"/>
              <w:right w:val="single" w:sz="4" w:space="0" w:color="auto"/>
            </w:tcBorders>
          </w:tcPr>
          <w:p w:rsidR="00000000" w:rsidRDefault="00000000">
            <w:pPr>
              <w:pStyle w:val="aa"/>
              <w:spacing w:line="336" w:lineRule="auto"/>
              <w:jc w:val="center"/>
            </w:pPr>
            <w:r>
              <w:t>107.3</w:t>
            </w:r>
          </w:p>
        </w:tc>
      </w:tr>
    </w:tbl>
    <w:p w:rsidR="00000000" w:rsidRDefault="00000000">
      <w:pPr>
        <w:pStyle w:val="FootnoteText"/>
        <w:spacing w:before="240" w:line="264" w:lineRule="auto"/>
        <w:ind w:left="1530" w:hanging="1020"/>
        <w:rPr>
          <w:rFonts w:hint="eastAsia"/>
          <w:sz w:val="21"/>
        </w:rPr>
      </w:pPr>
      <w:r>
        <w:rPr>
          <w:rFonts w:hint="eastAsia"/>
          <w:sz w:val="21"/>
          <w:u w:val="single"/>
        </w:rPr>
        <w:t>说明</w:t>
      </w:r>
      <w:r>
        <w:rPr>
          <w:rFonts w:hint="eastAsia"/>
          <w:sz w:val="21"/>
        </w:rPr>
        <w:t>：</w:t>
      </w:r>
      <w:r>
        <w:rPr>
          <w:sz w:val="21"/>
        </w:rPr>
        <w:tab/>
      </w:r>
      <w:r>
        <w:rPr>
          <w:rFonts w:hint="eastAsia"/>
          <w:sz w:val="21"/>
        </w:rPr>
        <w:t>一般家庭支出占平均净收入的</w:t>
      </w:r>
      <w:r>
        <w:rPr>
          <w:rFonts w:hint="eastAsia"/>
          <w:sz w:val="21"/>
        </w:rPr>
        <w:t>98.4%</w:t>
      </w:r>
      <w:r>
        <w:rPr>
          <w:rFonts w:hint="eastAsia"/>
          <w:sz w:val="21"/>
        </w:rPr>
        <w:t>。超过或低于</w:t>
      </w:r>
      <w:r>
        <w:rPr>
          <w:rFonts w:hint="eastAsia"/>
          <w:sz w:val="21"/>
        </w:rPr>
        <w:t>100%</w:t>
      </w:r>
      <w:r>
        <w:rPr>
          <w:rFonts w:hint="eastAsia"/>
          <w:sz w:val="21"/>
        </w:rPr>
        <w:t>的数据表示该阶段之初和结束之间现金之差、储蓄存取之差和实物收入和支出之差。</w:t>
      </w:r>
    </w:p>
    <w:p w:rsidR="00000000" w:rsidRDefault="00000000">
      <w:pPr>
        <w:pStyle w:val="FootnoteText"/>
        <w:spacing w:after="160" w:line="264" w:lineRule="auto"/>
        <w:rPr>
          <w:rFonts w:hint="eastAsia"/>
          <w:sz w:val="21"/>
        </w:rPr>
      </w:pPr>
      <w:r>
        <w:rPr>
          <w:rFonts w:hint="eastAsia"/>
          <w:sz w:val="21"/>
          <w:u w:val="single"/>
        </w:rPr>
        <w:t>资料来源</w:t>
      </w:r>
      <w:r>
        <w:rPr>
          <w:sz w:val="21"/>
        </w:rPr>
        <w:t>：</w:t>
      </w:r>
      <w:r>
        <w:rPr>
          <w:rFonts w:hint="eastAsia"/>
          <w:sz w:val="21"/>
        </w:rPr>
        <w:t>捷克统计署，</w:t>
      </w:r>
      <w:r>
        <w:rPr>
          <w:rFonts w:hint="eastAsia"/>
          <w:sz w:val="21"/>
        </w:rPr>
        <w:t>1999</w:t>
      </w:r>
      <w:r>
        <w:rPr>
          <w:rFonts w:hint="eastAsia"/>
          <w:sz w:val="21"/>
        </w:rPr>
        <w:t>年。</w:t>
      </w:r>
    </w:p>
    <w:p w:rsidR="00000000" w:rsidRDefault="00000000">
      <w:pPr>
        <w:rPr>
          <w:rFonts w:hint="eastAsia"/>
        </w:rPr>
      </w:pPr>
      <w:r>
        <w:rPr>
          <w:rFonts w:hint="eastAsia"/>
        </w:rPr>
        <w:tab/>
        <w:t xml:space="preserve">450.  </w:t>
      </w:r>
      <w:r>
        <w:rPr>
          <w:rFonts w:hint="eastAsia"/>
        </w:rPr>
        <w:t>发展住房的可能性，特别是人们获得住房的承受力受到目前能源价格取消管制的限制，能源是家庭预算的重大负担。在捷克共和国，就能源生产能力和供应网络而言，能源的获得不是问题，但价格方面的情况则大不相同。取消管制和在家庭与能源工业公司之间平衡价格正逐步进行，考虑到家庭的社会情况。</w:t>
      </w:r>
    </w:p>
    <w:p w:rsidR="00000000" w:rsidRDefault="00000000">
      <w:pPr>
        <w:rPr>
          <w:rFonts w:hint="eastAsia"/>
        </w:rPr>
      </w:pPr>
      <w:r>
        <w:rPr>
          <w:rFonts w:hint="eastAsia"/>
        </w:rPr>
        <w:tab/>
        <w:t>451.  1997</w:t>
      </w:r>
      <w:r>
        <w:rPr>
          <w:rFonts w:hint="eastAsia"/>
        </w:rPr>
        <w:t>年捷克共和国共有</w:t>
      </w:r>
      <w:r>
        <w:rPr>
          <w:rFonts w:hint="eastAsia"/>
        </w:rPr>
        <w:t>353,870</w:t>
      </w:r>
      <w:r>
        <w:rPr>
          <w:rFonts w:hint="eastAsia"/>
        </w:rPr>
        <w:t>个全部电力化居民用户，其消费占供电网络所有消费的</w:t>
      </w:r>
      <w:r>
        <w:rPr>
          <w:rFonts w:hint="eastAsia"/>
        </w:rPr>
        <w:t>24.4%</w:t>
      </w:r>
      <w:r>
        <w:rPr>
          <w:rFonts w:hint="eastAsia"/>
        </w:rPr>
        <w:t>。</w:t>
      </w:r>
    </w:p>
    <w:p w:rsidR="00000000" w:rsidRDefault="00000000">
      <w:pPr>
        <w:rPr>
          <w:rFonts w:hint="eastAsia"/>
        </w:rPr>
      </w:pPr>
      <w:r>
        <w:rPr>
          <w:rFonts w:hint="eastAsia"/>
        </w:rPr>
        <w:tab/>
        <w:t xml:space="preserve">452.  </w:t>
      </w:r>
      <w:r>
        <w:rPr>
          <w:rFonts w:hint="eastAsia"/>
        </w:rPr>
        <w:t>捷克共和国天然气资源微不足道</w:t>
      </w:r>
      <w:r>
        <w:rPr>
          <w:rFonts w:hint="eastAsia"/>
        </w:rPr>
        <w:t>(</w:t>
      </w:r>
      <w:r>
        <w:rPr>
          <w:rFonts w:hint="eastAsia"/>
        </w:rPr>
        <w:t>约为年消费的</w:t>
      </w:r>
      <w:r>
        <w:rPr>
          <w:rFonts w:hint="eastAsia"/>
        </w:rPr>
        <w:t>1%)</w:t>
      </w:r>
      <w:r>
        <w:rPr>
          <w:rFonts w:hint="eastAsia"/>
        </w:rPr>
        <w:t>，被迫从国外购买。对用户家庭的价格也仍然实行管制而且这种价格与获得、运输、储存和供应煤气的开支不相符。纠正这些扭曲的价格是能源政策的组成部分。</w:t>
      </w:r>
    </w:p>
    <w:p w:rsidR="00000000" w:rsidRDefault="00000000">
      <w:pPr>
        <w:spacing w:after="320"/>
        <w:rPr>
          <w:rFonts w:hint="eastAsia"/>
        </w:rPr>
      </w:pPr>
      <w:r>
        <w:rPr>
          <w:rFonts w:hint="eastAsia"/>
        </w:rPr>
        <w:tab/>
        <w:t>453.  1999</w:t>
      </w:r>
      <w:r>
        <w:rPr>
          <w:rFonts w:hint="eastAsia"/>
        </w:rPr>
        <w:t>年工业和贸易部起草了能源法</w:t>
      </w:r>
      <w:r>
        <w:rPr>
          <w:rFonts w:hint="eastAsia"/>
        </w:rPr>
        <w:t xml:space="preserve"> </w:t>
      </w:r>
      <w:r>
        <w:rPr>
          <w:rStyle w:val="EndnoteReference"/>
        </w:rPr>
        <w:endnoteReference w:id="284"/>
      </w:r>
      <w:r>
        <w:rPr>
          <w:rFonts w:hint="eastAsia"/>
        </w:rPr>
        <w:t xml:space="preserve"> </w:t>
      </w:r>
      <w:r>
        <w:rPr>
          <w:rFonts w:hint="eastAsia"/>
        </w:rPr>
        <w:t>修正案，供政府讨论。修正案将根据欧盟指示对电能和煤气行业实行新的管理；该部也正在完成分销公司和褐煤采掘公司私有化的大纲。两者竞争，结果应导致价格下降，从而确保能源价格长期稳定。</w:t>
      </w:r>
    </w:p>
    <w:p w:rsidR="00000000" w:rsidRDefault="00000000">
      <w:pPr>
        <w:pStyle w:val="Heading4"/>
        <w:rPr>
          <w:rFonts w:hint="eastAsia"/>
        </w:rPr>
      </w:pPr>
      <w:r>
        <w:rPr>
          <w:rFonts w:hint="eastAsia"/>
        </w:rPr>
        <w:t>第</w:t>
      </w:r>
      <w:r>
        <w:rPr>
          <w:rFonts w:hint="eastAsia"/>
        </w:rPr>
        <w:t>2</w:t>
      </w:r>
      <w:r>
        <w:rPr>
          <w:rFonts w:hint="eastAsia"/>
        </w:rPr>
        <w:t>款</w:t>
      </w:r>
      <w:r>
        <w:rPr>
          <w:rFonts w:hint="eastAsia"/>
        </w:rPr>
        <w:t>(</w:t>
      </w:r>
      <w:r>
        <w:t>a</w:t>
      </w:r>
      <w:r>
        <w:rPr>
          <w:rFonts w:hint="eastAsia"/>
        </w:rPr>
        <w:t>)</w:t>
      </w:r>
      <w:r>
        <w:rPr>
          <w:rFonts w:hint="eastAsia"/>
        </w:rPr>
        <w:t>项</w:t>
      </w:r>
    </w:p>
    <w:p w:rsidR="00000000" w:rsidRDefault="00000000">
      <w:pPr>
        <w:rPr>
          <w:rFonts w:hint="eastAsia"/>
        </w:rPr>
      </w:pPr>
      <w:r>
        <w:rPr>
          <w:rFonts w:hint="eastAsia"/>
        </w:rPr>
        <w:tab/>
        <w:t xml:space="preserve">454.  </w:t>
      </w:r>
      <w:r>
        <w:rPr>
          <w:rFonts w:hint="eastAsia"/>
        </w:rPr>
        <w:t>农业部根据其职权范围在农业政策纲要</w:t>
      </w:r>
      <w:r>
        <w:rPr>
          <w:rFonts w:hint="eastAsia"/>
        </w:rPr>
        <w:t xml:space="preserve"> </w:t>
      </w:r>
      <w:r>
        <w:rPr>
          <w:rStyle w:val="EndnoteReference"/>
        </w:rPr>
        <w:endnoteReference w:id="285"/>
      </w:r>
      <w:r>
        <w:rPr>
          <w:rFonts w:hint="eastAsia"/>
        </w:rPr>
        <w:t xml:space="preserve"> </w:t>
      </w:r>
      <w:r>
        <w:rPr>
          <w:rFonts w:hint="eastAsia"/>
        </w:rPr>
        <w:t>中确定了农业生产基本规模，目的是确保农业原料生产和食品生产范围尽量自给自足和确保必要的质量。</w:t>
      </w:r>
    </w:p>
    <w:p w:rsidR="00000000" w:rsidRDefault="00000000">
      <w:pPr>
        <w:spacing w:after="320"/>
        <w:rPr>
          <w:rFonts w:hint="eastAsia"/>
        </w:rPr>
      </w:pPr>
      <w:r>
        <w:rPr>
          <w:rFonts w:hint="eastAsia"/>
        </w:rPr>
        <w:tab/>
        <w:t xml:space="preserve">455.  </w:t>
      </w:r>
      <w:r>
        <w:rPr>
          <w:rFonts w:hint="eastAsia"/>
        </w:rPr>
        <w:t>农业部自</w:t>
      </w:r>
      <w:r>
        <w:rPr>
          <w:rFonts w:hint="eastAsia"/>
        </w:rPr>
        <w:t>1995</w:t>
      </w:r>
      <w:r>
        <w:rPr>
          <w:rFonts w:hint="eastAsia"/>
        </w:rPr>
        <w:t>年以来每年为政府和公众编写一份捷克农业状况报告</w:t>
      </w:r>
      <w:r>
        <w:rPr>
          <w:rFonts w:hint="eastAsia"/>
        </w:rPr>
        <w:t>(</w:t>
      </w:r>
      <w:r>
        <w:rPr>
          <w:rFonts w:hint="eastAsia"/>
        </w:rPr>
        <w:t>所谓的绿色报告</w:t>
      </w:r>
      <w:r>
        <w:rPr>
          <w:rFonts w:hint="eastAsia"/>
        </w:rPr>
        <w:t>)</w:t>
      </w:r>
      <w:r>
        <w:rPr>
          <w:rFonts w:hint="eastAsia"/>
        </w:rPr>
        <w:t>，其中农业部发表其对食品消费方式分析结果、评估影响消费的情况、对食品消费形式进行预测，从而也预测全社会在农产品和加工工业方面的需求。</w:t>
      </w:r>
    </w:p>
    <w:p w:rsidR="00000000" w:rsidRDefault="00000000">
      <w:pPr>
        <w:pStyle w:val="Heading4"/>
        <w:ind w:left="500"/>
        <w:rPr>
          <w:rFonts w:hint="eastAsia"/>
        </w:rPr>
      </w:pPr>
      <w:r>
        <w:rPr>
          <w:rFonts w:hint="eastAsia"/>
        </w:rPr>
        <w:t>捷克共和国生态农业状况</w:t>
      </w:r>
    </w:p>
    <w:p w:rsidR="00000000" w:rsidRDefault="00000000">
      <w:pPr>
        <w:rPr>
          <w:rFonts w:hint="eastAsia"/>
        </w:rPr>
      </w:pPr>
      <w:r>
        <w:rPr>
          <w:rFonts w:hint="eastAsia"/>
        </w:rPr>
        <w:tab/>
        <w:t xml:space="preserve">456.  </w:t>
      </w:r>
      <w:r>
        <w:rPr>
          <w:rFonts w:hint="eastAsia"/>
        </w:rPr>
        <w:t>提高食品质量是人民饮食更健康的基础。发展遵守自然过程和限制食品中有害物质含量</w:t>
      </w:r>
      <w:r>
        <w:rPr>
          <w:rFonts w:hint="eastAsia"/>
        </w:rPr>
        <w:t>(</w:t>
      </w:r>
      <w:r>
        <w:rPr>
          <w:rFonts w:hint="eastAsia"/>
        </w:rPr>
        <w:t>化肥、基因改变、农畜饲料等</w:t>
      </w:r>
      <w:r>
        <w:rPr>
          <w:rFonts w:hint="eastAsia"/>
        </w:rPr>
        <w:t>)</w:t>
      </w:r>
      <w:r>
        <w:rPr>
          <w:rFonts w:hint="eastAsia"/>
        </w:rPr>
        <w:t>的农业生产也有助于饮食更健康。在捷克共和国，生态农业始于</w:t>
      </w:r>
      <w:r>
        <w:rPr>
          <w:rFonts w:hint="eastAsia"/>
        </w:rPr>
        <w:t>1990</w:t>
      </w:r>
      <w:r>
        <w:rPr>
          <w:rFonts w:hint="eastAsia"/>
        </w:rPr>
        <w:t>年，当时在农业部与非营利非政府协会，</w:t>
      </w:r>
      <w:r>
        <w:rPr>
          <w:rFonts w:hint="eastAsia"/>
        </w:rPr>
        <w:t>L</w:t>
      </w:r>
      <w:r>
        <w:t xml:space="preserve">ibera </w:t>
      </w:r>
      <w:r>
        <w:rPr>
          <w:rFonts w:hint="eastAsia"/>
        </w:rPr>
        <w:t>和</w:t>
      </w:r>
      <w:r>
        <w:t>the Pro-Bio</w:t>
      </w:r>
      <w:r>
        <w:rPr>
          <w:rFonts w:hint="eastAsia"/>
        </w:rPr>
        <w:t>协会</w:t>
      </w:r>
      <w:r>
        <w:rPr>
          <w:rFonts w:hint="eastAsia"/>
        </w:rPr>
        <w:t>(</w:t>
      </w:r>
      <w:r>
        <w:rPr>
          <w:rFonts w:hint="eastAsia"/>
        </w:rPr>
        <w:t>将生态农民汇集在一起</w:t>
      </w:r>
      <w:r>
        <w:rPr>
          <w:rFonts w:hint="eastAsia"/>
        </w:rPr>
        <w:t>)</w:t>
      </w:r>
      <w:r>
        <w:rPr>
          <w:rFonts w:hint="eastAsia"/>
        </w:rPr>
        <w:t>合作下为整个生态农业系统奠定了基础。</w:t>
      </w:r>
    </w:p>
    <w:p w:rsidR="00000000" w:rsidRDefault="00000000">
      <w:pPr>
        <w:pStyle w:val="Heading3"/>
        <w:rPr>
          <w:rFonts w:hint="eastAsia"/>
        </w:rPr>
      </w:pPr>
      <w:r>
        <w:rPr>
          <w:rFonts w:hint="eastAsia"/>
        </w:rPr>
        <w:t>生态农业</w:t>
      </w:r>
    </w:p>
    <w:tbl>
      <w:tblPr>
        <w:tblW w:w="5000" w:type="pct"/>
        <w:tblBorders>
          <w:top w:val="single" w:sz="12" w:space="0" w:color="008000"/>
          <w:bottom w:val="single" w:sz="12" w:space="0" w:color="008000"/>
        </w:tblBorders>
        <w:tblLook w:val="0000" w:firstRow="0" w:lastRow="0" w:firstColumn="0" w:lastColumn="0" w:noHBand="0" w:noVBand="0"/>
      </w:tblPr>
      <w:tblGrid>
        <w:gridCol w:w="1065"/>
        <w:gridCol w:w="2404"/>
        <w:gridCol w:w="2400"/>
        <w:gridCol w:w="3702"/>
      </w:tblGrid>
      <w:tr w:rsidR="00000000">
        <w:tblPrEx>
          <w:tblCellMar>
            <w:top w:w="0" w:type="dxa"/>
            <w:bottom w:w="0" w:type="dxa"/>
          </w:tblCellMar>
        </w:tblPrEx>
        <w:tc>
          <w:tcPr>
            <w:tcW w:w="556" w:type="pct"/>
            <w:tcBorders>
              <w:top w:val="single" w:sz="4" w:space="0" w:color="auto"/>
              <w:left w:val="single" w:sz="4" w:space="0" w:color="auto"/>
              <w:bottom w:val="single" w:sz="6" w:space="0" w:color="008000"/>
              <w:right w:val="single" w:sz="4" w:space="0" w:color="auto"/>
            </w:tcBorders>
          </w:tcPr>
          <w:p w:rsidR="00000000" w:rsidRDefault="00000000">
            <w:pPr>
              <w:spacing w:line="264" w:lineRule="auto"/>
              <w:rPr>
                <w:rFonts w:hint="eastAsia"/>
                <w:szCs w:val="22"/>
              </w:rPr>
            </w:pPr>
            <w:r>
              <w:rPr>
                <w:rFonts w:hint="eastAsia"/>
                <w:szCs w:val="22"/>
              </w:rPr>
              <w:t>年份</w:t>
            </w:r>
          </w:p>
        </w:tc>
        <w:tc>
          <w:tcPr>
            <w:tcW w:w="1256" w:type="pct"/>
            <w:tcBorders>
              <w:top w:val="single" w:sz="4" w:space="0" w:color="auto"/>
              <w:left w:val="single" w:sz="4" w:space="0" w:color="auto"/>
              <w:bottom w:val="single" w:sz="6" w:space="0" w:color="008000"/>
              <w:right w:val="single" w:sz="4" w:space="0" w:color="auto"/>
            </w:tcBorders>
          </w:tcPr>
          <w:p w:rsidR="00000000" w:rsidRDefault="00000000">
            <w:pPr>
              <w:spacing w:line="264" w:lineRule="auto"/>
              <w:jc w:val="center"/>
              <w:rPr>
                <w:rFonts w:hint="eastAsia"/>
                <w:szCs w:val="22"/>
              </w:rPr>
            </w:pPr>
            <w:r>
              <w:rPr>
                <w:rFonts w:hint="eastAsia"/>
                <w:szCs w:val="22"/>
              </w:rPr>
              <w:t>生态农民人数</w:t>
            </w:r>
          </w:p>
        </w:tc>
        <w:tc>
          <w:tcPr>
            <w:tcW w:w="1254" w:type="pct"/>
            <w:tcBorders>
              <w:top w:val="single" w:sz="4" w:space="0" w:color="auto"/>
              <w:left w:val="single" w:sz="4" w:space="0" w:color="auto"/>
              <w:bottom w:val="single" w:sz="6" w:space="0" w:color="008000"/>
              <w:right w:val="single" w:sz="4" w:space="0" w:color="auto"/>
            </w:tcBorders>
          </w:tcPr>
          <w:p w:rsidR="00000000" w:rsidRDefault="00000000">
            <w:pPr>
              <w:spacing w:line="264" w:lineRule="auto"/>
              <w:jc w:val="center"/>
              <w:rPr>
                <w:rFonts w:hint="eastAsia"/>
                <w:szCs w:val="22"/>
              </w:rPr>
            </w:pPr>
            <w:r>
              <w:rPr>
                <w:rFonts w:hint="eastAsia"/>
                <w:szCs w:val="22"/>
              </w:rPr>
              <w:t>生态农场</w:t>
            </w:r>
            <w:r>
              <w:rPr>
                <w:rFonts w:hint="eastAsia"/>
                <w:szCs w:val="22"/>
              </w:rPr>
              <w:t>(</w:t>
            </w:r>
            <w:r>
              <w:rPr>
                <w:rFonts w:hint="eastAsia"/>
                <w:szCs w:val="22"/>
              </w:rPr>
              <w:t>公顷</w:t>
            </w:r>
            <w:r>
              <w:rPr>
                <w:rFonts w:hint="eastAsia"/>
                <w:szCs w:val="22"/>
              </w:rPr>
              <w:t>)</w:t>
            </w:r>
          </w:p>
        </w:tc>
        <w:tc>
          <w:tcPr>
            <w:tcW w:w="1934" w:type="pct"/>
            <w:tcBorders>
              <w:top w:val="single" w:sz="4" w:space="0" w:color="auto"/>
              <w:left w:val="single" w:sz="4" w:space="0" w:color="auto"/>
              <w:bottom w:val="single" w:sz="6" w:space="0" w:color="008000"/>
              <w:right w:val="single" w:sz="4" w:space="0" w:color="auto"/>
            </w:tcBorders>
          </w:tcPr>
          <w:p w:rsidR="00000000" w:rsidRDefault="00000000">
            <w:pPr>
              <w:spacing w:line="264" w:lineRule="auto"/>
              <w:jc w:val="center"/>
              <w:rPr>
                <w:rFonts w:hint="eastAsia"/>
                <w:spacing w:val="0"/>
                <w:szCs w:val="22"/>
              </w:rPr>
            </w:pPr>
            <w:r>
              <w:rPr>
                <w:rFonts w:hint="eastAsia"/>
                <w:spacing w:val="0"/>
                <w:szCs w:val="22"/>
              </w:rPr>
              <w:t>生态农场占农地总面积的百分比</w:t>
            </w:r>
          </w:p>
        </w:tc>
      </w:tr>
      <w:tr w:rsidR="00000000">
        <w:tblPrEx>
          <w:tblCellMar>
            <w:top w:w="0" w:type="dxa"/>
            <w:bottom w:w="0" w:type="dxa"/>
          </w:tblCellMar>
        </w:tblPrEx>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1990</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 xml:space="preserve">   3</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 xml:space="preserve">    480</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w:t>
            </w:r>
          </w:p>
        </w:tc>
      </w:tr>
      <w:tr w:rsidR="00000000">
        <w:tblPrEx>
          <w:tblCellMar>
            <w:top w:w="0" w:type="dxa"/>
            <w:bottom w:w="0" w:type="dxa"/>
          </w:tblCellMar>
        </w:tblPrEx>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1991</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132</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17 507</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0.41</w:t>
            </w:r>
          </w:p>
        </w:tc>
      </w:tr>
      <w:tr w:rsidR="00000000">
        <w:tblPrEx>
          <w:tblCellMar>
            <w:top w:w="0" w:type="dxa"/>
            <w:bottom w:w="0" w:type="dxa"/>
          </w:tblCellMar>
        </w:tblPrEx>
        <w:trPr>
          <w:trHeight w:val="280"/>
        </w:trPr>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1992</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135</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15 371</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0.36</w:t>
            </w:r>
          </w:p>
        </w:tc>
      </w:tr>
      <w:tr w:rsidR="00000000">
        <w:tblPrEx>
          <w:tblCellMar>
            <w:top w:w="0" w:type="dxa"/>
            <w:bottom w:w="0" w:type="dxa"/>
          </w:tblCellMar>
        </w:tblPrEx>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1993</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141</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15 667</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0.37</w:t>
            </w:r>
          </w:p>
        </w:tc>
      </w:tr>
      <w:tr w:rsidR="00000000">
        <w:tblPrEx>
          <w:tblCellMar>
            <w:top w:w="0" w:type="dxa"/>
            <w:bottom w:w="0" w:type="dxa"/>
          </w:tblCellMar>
        </w:tblPrEx>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1994</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187</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15 818</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0.37</w:t>
            </w:r>
          </w:p>
        </w:tc>
      </w:tr>
      <w:tr w:rsidR="00000000">
        <w:tblPrEx>
          <w:tblCellMar>
            <w:top w:w="0" w:type="dxa"/>
            <w:bottom w:w="0" w:type="dxa"/>
          </w:tblCellMar>
        </w:tblPrEx>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1995</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181</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14 982</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0.35</w:t>
            </w:r>
          </w:p>
        </w:tc>
      </w:tr>
      <w:tr w:rsidR="00000000">
        <w:tblPrEx>
          <w:tblCellMar>
            <w:top w:w="0" w:type="dxa"/>
            <w:bottom w:w="0" w:type="dxa"/>
          </w:tblCellMar>
        </w:tblPrEx>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1996</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182</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17 022</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0.40</w:t>
            </w:r>
          </w:p>
        </w:tc>
      </w:tr>
      <w:tr w:rsidR="00000000">
        <w:tblPrEx>
          <w:tblCellMar>
            <w:top w:w="0" w:type="dxa"/>
            <w:bottom w:w="0" w:type="dxa"/>
          </w:tblCellMar>
        </w:tblPrEx>
        <w:tc>
          <w:tcPr>
            <w:tcW w:w="556" w:type="pct"/>
            <w:tcBorders>
              <w:top w:val="nil"/>
              <w:left w:val="single" w:sz="4" w:space="0" w:color="auto"/>
              <w:bottom w:val="nil"/>
              <w:right w:val="single" w:sz="4" w:space="0" w:color="auto"/>
            </w:tcBorders>
          </w:tcPr>
          <w:p w:rsidR="00000000" w:rsidRDefault="00000000">
            <w:pPr>
              <w:spacing w:line="264" w:lineRule="auto"/>
              <w:rPr>
                <w:szCs w:val="22"/>
              </w:rPr>
            </w:pPr>
            <w:r>
              <w:rPr>
                <w:szCs w:val="22"/>
              </w:rPr>
              <w:t>1997</w:t>
            </w:r>
          </w:p>
        </w:tc>
        <w:tc>
          <w:tcPr>
            <w:tcW w:w="1256" w:type="pct"/>
            <w:tcBorders>
              <w:top w:val="nil"/>
              <w:left w:val="single" w:sz="4" w:space="0" w:color="auto"/>
              <w:bottom w:val="nil"/>
              <w:right w:val="single" w:sz="4" w:space="0" w:color="auto"/>
            </w:tcBorders>
          </w:tcPr>
          <w:p w:rsidR="00000000" w:rsidRDefault="00000000">
            <w:pPr>
              <w:spacing w:line="264" w:lineRule="auto"/>
              <w:ind w:right="1026"/>
              <w:jc w:val="right"/>
              <w:rPr>
                <w:szCs w:val="22"/>
              </w:rPr>
            </w:pPr>
            <w:r>
              <w:rPr>
                <w:szCs w:val="22"/>
              </w:rPr>
              <w:t>211</w:t>
            </w:r>
          </w:p>
        </w:tc>
        <w:tc>
          <w:tcPr>
            <w:tcW w:w="1254" w:type="pct"/>
            <w:tcBorders>
              <w:top w:val="nil"/>
              <w:left w:val="single" w:sz="4" w:space="0" w:color="auto"/>
              <w:bottom w:val="nil"/>
              <w:right w:val="single" w:sz="4" w:space="0" w:color="auto"/>
            </w:tcBorders>
          </w:tcPr>
          <w:p w:rsidR="00000000" w:rsidRDefault="00000000">
            <w:pPr>
              <w:spacing w:line="264" w:lineRule="auto"/>
              <w:ind w:right="742"/>
              <w:jc w:val="right"/>
              <w:rPr>
                <w:szCs w:val="22"/>
              </w:rPr>
            </w:pPr>
            <w:r>
              <w:rPr>
                <w:szCs w:val="22"/>
              </w:rPr>
              <w:t>20 238</w:t>
            </w:r>
          </w:p>
        </w:tc>
        <w:tc>
          <w:tcPr>
            <w:tcW w:w="1934" w:type="pct"/>
            <w:tcBorders>
              <w:top w:val="nil"/>
              <w:left w:val="single" w:sz="4" w:space="0" w:color="auto"/>
              <w:bottom w:val="nil"/>
              <w:right w:val="single" w:sz="4" w:space="0" w:color="auto"/>
            </w:tcBorders>
          </w:tcPr>
          <w:p w:rsidR="00000000" w:rsidRDefault="00000000">
            <w:pPr>
              <w:spacing w:line="264" w:lineRule="auto"/>
              <w:ind w:right="1309"/>
              <w:jc w:val="right"/>
              <w:rPr>
                <w:szCs w:val="22"/>
              </w:rPr>
            </w:pPr>
            <w:r>
              <w:rPr>
                <w:szCs w:val="22"/>
              </w:rPr>
              <w:t>0.47</w:t>
            </w:r>
          </w:p>
        </w:tc>
      </w:tr>
      <w:tr w:rsidR="00000000">
        <w:tblPrEx>
          <w:tblCellMar>
            <w:top w:w="0" w:type="dxa"/>
            <w:bottom w:w="0" w:type="dxa"/>
          </w:tblCellMar>
        </w:tblPrEx>
        <w:tc>
          <w:tcPr>
            <w:tcW w:w="556" w:type="pct"/>
            <w:tcBorders>
              <w:top w:val="nil"/>
              <w:left w:val="single" w:sz="4" w:space="0" w:color="auto"/>
              <w:bottom w:val="single" w:sz="4" w:space="0" w:color="auto"/>
              <w:right w:val="single" w:sz="4" w:space="0" w:color="auto"/>
            </w:tcBorders>
          </w:tcPr>
          <w:p w:rsidR="00000000" w:rsidRDefault="00000000">
            <w:pPr>
              <w:spacing w:line="264" w:lineRule="auto"/>
              <w:rPr>
                <w:szCs w:val="22"/>
              </w:rPr>
            </w:pPr>
            <w:r>
              <w:rPr>
                <w:szCs w:val="22"/>
              </w:rPr>
              <w:t>1998</w:t>
            </w:r>
          </w:p>
        </w:tc>
        <w:tc>
          <w:tcPr>
            <w:tcW w:w="1256" w:type="pct"/>
            <w:tcBorders>
              <w:top w:val="nil"/>
              <w:left w:val="single" w:sz="4" w:space="0" w:color="auto"/>
              <w:bottom w:val="single" w:sz="4" w:space="0" w:color="auto"/>
              <w:right w:val="single" w:sz="4" w:space="0" w:color="auto"/>
            </w:tcBorders>
          </w:tcPr>
          <w:p w:rsidR="00000000" w:rsidRDefault="00000000">
            <w:pPr>
              <w:spacing w:line="264" w:lineRule="auto"/>
              <w:ind w:right="1026"/>
              <w:jc w:val="right"/>
              <w:rPr>
                <w:szCs w:val="22"/>
              </w:rPr>
            </w:pPr>
            <w:r>
              <w:rPr>
                <w:szCs w:val="22"/>
              </w:rPr>
              <w:t>340</w:t>
            </w:r>
          </w:p>
        </w:tc>
        <w:tc>
          <w:tcPr>
            <w:tcW w:w="1254" w:type="pct"/>
            <w:tcBorders>
              <w:top w:val="nil"/>
              <w:left w:val="single" w:sz="4" w:space="0" w:color="auto"/>
              <w:bottom w:val="single" w:sz="4" w:space="0" w:color="auto"/>
              <w:right w:val="single" w:sz="4" w:space="0" w:color="auto"/>
            </w:tcBorders>
          </w:tcPr>
          <w:p w:rsidR="00000000" w:rsidRDefault="00000000">
            <w:pPr>
              <w:spacing w:line="264" w:lineRule="auto"/>
              <w:ind w:right="742"/>
              <w:jc w:val="right"/>
              <w:rPr>
                <w:szCs w:val="22"/>
              </w:rPr>
            </w:pPr>
            <w:r>
              <w:rPr>
                <w:szCs w:val="22"/>
              </w:rPr>
              <w:t>71 620</w:t>
            </w:r>
          </w:p>
        </w:tc>
        <w:tc>
          <w:tcPr>
            <w:tcW w:w="1934" w:type="pct"/>
            <w:tcBorders>
              <w:top w:val="nil"/>
              <w:left w:val="single" w:sz="4" w:space="0" w:color="auto"/>
              <w:bottom w:val="single" w:sz="4" w:space="0" w:color="auto"/>
              <w:right w:val="single" w:sz="4" w:space="0" w:color="auto"/>
            </w:tcBorders>
          </w:tcPr>
          <w:p w:rsidR="00000000" w:rsidRDefault="00000000">
            <w:pPr>
              <w:spacing w:line="264" w:lineRule="auto"/>
              <w:ind w:right="1309"/>
              <w:jc w:val="right"/>
              <w:rPr>
                <w:szCs w:val="22"/>
              </w:rPr>
            </w:pPr>
            <w:r>
              <w:rPr>
                <w:szCs w:val="22"/>
              </w:rPr>
              <w:t>1.67</w:t>
            </w:r>
          </w:p>
        </w:tc>
      </w:tr>
    </w:tbl>
    <w:p w:rsidR="00000000" w:rsidRDefault="00000000">
      <w:pPr>
        <w:pStyle w:val="FootnoteText"/>
        <w:spacing w:before="240" w:after="240" w:line="336" w:lineRule="auto"/>
        <w:ind w:left="480" w:firstLine="0"/>
        <w:rPr>
          <w:rFonts w:hint="eastAsia"/>
        </w:rPr>
      </w:pPr>
      <w:r>
        <w:rPr>
          <w:rFonts w:hint="eastAsia"/>
          <w:u w:val="single"/>
        </w:rPr>
        <w:t>资料来源</w:t>
      </w:r>
      <w:r>
        <w:rPr>
          <w:rFonts w:hint="eastAsia"/>
        </w:rPr>
        <w:t>：捷克农业部。</w:t>
      </w:r>
    </w:p>
    <w:p w:rsidR="00000000" w:rsidRDefault="00000000">
      <w:pPr>
        <w:rPr>
          <w:rFonts w:hint="eastAsia"/>
        </w:rPr>
      </w:pPr>
      <w:r>
        <w:rPr>
          <w:rFonts w:hint="eastAsia"/>
        </w:rPr>
        <w:tab/>
        <w:t>457.  1998</w:t>
      </w:r>
      <w:r>
        <w:rPr>
          <w:rFonts w:hint="eastAsia"/>
        </w:rPr>
        <w:t>年生态耕地结构如下：可耕地</w:t>
      </w:r>
      <w:r>
        <w:rPr>
          <w:rFonts w:hint="eastAsia"/>
        </w:rPr>
        <w:t>100,473</w:t>
      </w:r>
      <w:r>
        <w:rPr>
          <w:rFonts w:hint="eastAsia"/>
        </w:rPr>
        <w:t>公顷、永久性牧场</w:t>
      </w:r>
      <w:r>
        <w:rPr>
          <w:rFonts w:hint="eastAsia"/>
        </w:rPr>
        <w:t>60,924</w:t>
      </w:r>
      <w:r>
        <w:rPr>
          <w:rFonts w:hint="eastAsia"/>
        </w:rPr>
        <w:t>公顷、果园</w:t>
      </w:r>
      <w:r>
        <w:rPr>
          <w:rFonts w:hint="eastAsia"/>
        </w:rPr>
        <w:t>356</w:t>
      </w:r>
      <w:r>
        <w:rPr>
          <w:rFonts w:hint="eastAsia"/>
        </w:rPr>
        <w:t>公顷、葡萄园</w:t>
      </w:r>
      <w:r>
        <w:rPr>
          <w:rFonts w:hint="eastAsia"/>
        </w:rPr>
        <w:t>25</w:t>
      </w:r>
      <w:r>
        <w:rPr>
          <w:rFonts w:hint="eastAsia"/>
        </w:rPr>
        <w:t>公顷、鱼塘</w:t>
      </w:r>
      <w:r>
        <w:rPr>
          <w:rFonts w:hint="eastAsia"/>
        </w:rPr>
        <w:t>24</w:t>
      </w:r>
      <w:r>
        <w:rPr>
          <w:rFonts w:hint="eastAsia"/>
        </w:rPr>
        <w:t>公顷及其他</w:t>
      </w:r>
      <w:r>
        <w:rPr>
          <w:rFonts w:hint="eastAsia"/>
        </w:rPr>
        <w:t>245</w:t>
      </w:r>
      <w:r>
        <w:rPr>
          <w:rFonts w:hint="eastAsia"/>
        </w:rPr>
        <w:t>公顷。同年受监测的</w:t>
      </w:r>
      <w:r>
        <w:rPr>
          <w:rFonts w:hint="eastAsia"/>
        </w:rPr>
        <w:t>326</w:t>
      </w:r>
      <w:r>
        <w:rPr>
          <w:rFonts w:hint="eastAsia"/>
        </w:rPr>
        <w:t>个实体在捷克共和国进行生态耕种，其中</w:t>
      </w:r>
      <w:r>
        <w:rPr>
          <w:rFonts w:hint="eastAsia"/>
        </w:rPr>
        <w:t>239</w:t>
      </w:r>
      <w:r>
        <w:rPr>
          <w:rFonts w:hint="eastAsia"/>
        </w:rPr>
        <w:t>个为私人农民、</w:t>
      </w:r>
      <w:r>
        <w:rPr>
          <w:rFonts w:hint="eastAsia"/>
        </w:rPr>
        <w:t>20</w:t>
      </w:r>
      <w:r>
        <w:rPr>
          <w:rFonts w:hint="eastAsia"/>
        </w:rPr>
        <w:t>个农业合作社、</w:t>
      </w:r>
      <w:r>
        <w:rPr>
          <w:rFonts w:hint="eastAsia"/>
        </w:rPr>
        <w:t>4</w:t>
      </w:r>
      <w:r>
        <w:rPr>
          <w:rFonts w:hint="eastAsia"/>
        </w:rPr>
        <w:t>个学校实体和</w:t>
      </w:r>
      <w:r>
        <w:rPr>
          <w:rFonts w:hint="eastAsia"/>
        </w:rPr>
        <w:t>59</w:t>
      </w:r>
      <w:r>
        <w:rPr>
          <w:rFonts w:hint="eastAsia"/>
        </w:rPr>
        <w:t>个其他公司</w:t>
      </w:r>
      <w:r>
        <w:rPr>
          <w:rFonts w:hint="eastAsia"/>
        </w:rPr>
        <w:t>(</w:t>
      </w:r>
      <w:r>
        <w:rPr>
          <w:rFonts w:hint="eastAsia"/>
        </w:rPr>
        <w:t>公司、有限责任公司或一般伙伴</w:t>
      </w:r>
      <w:r>
        <w:rPr>
          <w:rFonts w:hint="eastAsia"/>
        </w:rPr>
        <w:t>)</w:t>
      </w:r>
      <w:r>
        <w:rPr>
          <w:rFonts w:hint="eastAsia"/>
        </w:rPr>
        <w:t>。与这种生产相联的有</w:t>
      </w:r>
      <w:r>
        <w:rPr>
          <w:rFonts w:hint="eastAsia"/>
        </w:rPr>
        <w:t>12</w:t>
      </w:r>
      <w:r>
        <w:rPr>
          <w:rFonts w:hint="eastAsia"/>
        </w:rPr>
        <w:t>个加工公司、两个贸易实体和两个辅助材料制造商。</w:t>
      </w:r>
    </w:p>
    <w:p w:rsidR="00000000" w:rsidRDefault="00000000">
      <w:pPr>
        <w:rPr>
          <w:rFonts w:hint="eastAsia"/>
        </w:rPr>
      </w:pPr>
      <w:r>
        <w:rPr>
          <w:rFonts w:hint="eastAsia"/>
        </w:rPr>
        <w:tab/>
        <w:t xml:space="preserve">458.  </w:t>
      </w:r>
      <w:r>
        <w:t>The Pro-Bio</w:t>
      </w:r>
      <w:r>
        <w:rPr>
          <w:rFonts w:hint="eastAsia"/>
        </w:rPr>
        <w:t>协会联盟在</w:t>
      </w:r>
      <w:r>
        <w:rPr>
          <w:rFonts w:hint="eastAsia"/>
        </w:rPr>
        <w:t>1998</w:t>
      </w:r>
      <w:r>
        <w:rPr>
          <w:rFonts w:hint="eastAsia"/>
        </w:rPr>
        <w:t>年汇集了</w:t>
      </w:r>
      <w:r>
        <w:rPr>
          <w:rFonts w:hint="eastAsia"/>
        </w:rPr>
        <w:t>360</w:t>
      </w:r>
      <w:r>
        <w:rPr>
          <w:rFonts w:hint="eastAsia"/>
        </w:rPr>
        <w:t>个成员，包括有</w:t>
      </w:r>
      <w:r>
        <w:rPr>
          <w:rFonts w:hint="eastAsia"/>
        </w:rPr>
        <w:t>52,505</w:t>
      </w:r>
      <w:r>
        <w:rPr>
          <w:rFonts w:hint="eastAsia"/>
        </w:rPr>
        <w:t>公顷认证面积的</w:t>
      </w:r>
      <w:r>
        <w:rPr>
          <w:rFonts w:hint="eastAsia"/>
        </w:rPr>
        <w:t>270</w:t>
      </w:r>
      <w:r>
        <w:rPr>
          <w:rFonts w:hint="eastAsia"/>
        </w:rPr>
        <w:t>个生产者。</w:t>
      </w:r>
      <w:r>
        <w:t>The Libera</w:t>
      </w:r>
      <w:r>
        <w:rPr>
          <w:rFonts w:hint="eastAsia"/>
        </w:rPr>
        <w:t>协会有</w:t>
      </w:r>
      <w:r>
        <w:rPr>
          <w:rFonts w:hint="eastAsia"/>
        </w:rPr>
        <w:t>38</w:t>
      </w:r>
      <w:r>
        <w:rPr>
          <w:rFonts w:hint="eastAsia"/>
        </w:rPr>
        <w:t>个实体，认证面积为</w:t>
      </w:r>
      <w:r>
        <w:rPr>
          <w:rFonts w:hint="eastAsia"/>
        </w:rPr>
        <w:t>19,000</w:t>
      </w:r>
      <w:r>
        <w:rPr>
          <w:rFonts w:hint="eastAsia"/>
        </w:rPr>
        <w:t>公顷。这些协会向生态农民提供教育和咨询意见帮助他们开始其活动、安排分销和销售生态产品，并在与国家组织交往中促进生态农民的利益。</w:t>
      </w:r>
    </w:p>
    <w:p w:rsidR="00000000" w:rsidRDefault="00000000">
      <w:pPr>
        <w:rPr>
          <w:rFonts w:hint="eastAsia"/>
          <w:spacing w:val="8"/>
        </w:rPr>
      </w:pPr>
      <w:r>
        <w:rPr>
          <w:rFonts w:hint="eastAsia"/>
        </w:rPr>
        <w:tab/>
        <w:t xml:space="preserve">459. </w:t>
      </w:r>
      <w:r>
        <w:rPr>
          <w:rFonts w:hint="eastAsia"/>
          <w:spacing w:val="8"/>
        </w:rPr>
        <w:t xml:space="preserve"> </w:t>
      </w:r>
      <w:r>
        <w:rPr>
          <w:rFonts w:hint="eastAsia"/>
          <w:spacing w:val="8"/>
        </w:rPr>
        <w:t>国家通过农业部方案支持生态农业。在</w:t>
      </w:r>
      <w:r>
        <w:rPr>
          <w:rFonts w:hint="eastAsia"/>
          <w:spacing w:val="8"/>
        </w:rPr>
        <w:t>1998</w:t>
      </w:r>
      <w:r>
        <w:rPr>
          <w:rFonts w:hint="eastAsia"/>
          <w:spacing w:val="8"/>
        </w:rPr>
        <w:t>和</w:t>
      </w:r>
      <w:r>
        <w:rPr>
          <w:rFonts w:hint="eastAsia"/>
          <w:spacing w:val="8"/>
        </w:rPr>
        <w:t>1999</w:t>
      </w:r>
      <w:r>
        <w:rPr>
          <w:rFonts w:hint="eastAsia"/>
          <w:spacing w:val="8"/>
        </w:rPr>
        <w:t>年，根据政府法令，非生产性农业职能的方案</w:t>
      </w:r>
      <w:r>
        <w:rPr>
          <w:rFonts w:hint="eastAsia"/>
          <w:spacing w:val="8"/>
        </w:rPr>
        <w:t xml:space="preserve"> </w:t>
      </w:r>
      <w:r>
        <w:rPr>
          <w:rStyle w:val="EndnoteReference"/>
          <w:spacing w:val="8"/>
        </w:rPr>
        <w:endnoteReference w:id="286"/>
      </w:r>
      <w:r>
        <w:rPr>
          <w:rFonts w:hint="eastAsia"/>
          <w:spacing w:val="8"/>
        </w:rPr>
        <w:t xml:space="preserve"> </w:t>
      </w:r>
      <w:r>
        <w:rPr>
          <w:rFonts w:hint="eastAsia"/>
          <w:spacing w:val="8"/>
        </w:rPr>
        <w:t>除其他外开始支持生态农业，用财务捐助形式，补偿因采用生态方式耕种造成的损失。这些法令规定支持生态农场，它们在平均土地价格为每平方米</w:t>
      </w:r>
      <w:r>
        <w:rPr>
          <w:rFonts w:hint="eastAsia"/>
          <w:spacing w:val="8"/>
        </w:rPr>
        <w:t>4.01</w:t>
      </w:r>
      <w:r>
        <w:rPr>
          <w:rFonts w:hint="eastAsia"/>
          <w:spacing w:val="8"/>
        </w:rPr>
        <w:t>克朗和更高的地区和在不利于从事农业的地区耕种。</w:t>
      </w:r>
    </w:p>
    <w:p w:rsidR="00000000" w:rsidRDefault="00000000">
      <w:pPr>
        <w:rPr>
          <w:rFonts w:hint="eastAsia"/>
          <w:spacing w:val="6"/>
        </w:rPr>
      </w:pPr>
      <w:r>
        <w:rPr>
          <w:rFonts w:hint="eastAsia"/>
        </w:rPr>
        <w:tab/>
        <w:t xml:space="preserve">460.  </w:t>
      </w:r>
      <w:r>
        <w:rPr>
          <w:rFonts w:hint="eastAsia"/>
          <w:spacing w:val="6"/>
        </w:rPr>
        <w:t>基于这些支助方案，国家在财务上支持自然人和管理</w:t>
      </w:r>
      <w:r>
        <w:rPr>
          <w:rFonts w:hint="eastAsia"/>
          <w:spacing w:val="6"/>
        </w:rPr>
        <w:t>(</w:t>
      </w:r>
      <w:r>
        <w:rPr>
          <w:rFonts w:hint="eastAsia"/>
          <w:spacing w:val="6"/>
        </w:rPr>
        <w:t>农场的</w:t>
      </w:r>
      <w:r>
        <w:rPr>
          <w:rFonts w:hint="eastAsia"/>
          <w:spacing w:val="6"/>
        </w:rPr>
        <w:t>)</w:t>
      </w:r>
      <w:r>
        <w:rPr>
          <w:rFonts w:hint="eastAsia"/>
          <w:spacing w:val="6"/>
        </w:rPr>
        <w:t>法律实体：</w:t>
      </w:r>
    </w:p>
    <w:p w:rsidR="00000000" w:rsidRDefault="00000000">
      <w:pPr>
        <w:numPr>
          <w:ilvl w:val="0"/>
          <w:numId w:val="891"/>
        </w:numPr>
        <w:rPr>
          <w:rFonts w:hint="eastAsia"/>
        </w:rPr>
      </w:pPr>
      <w:r>
        <w:rPr>
          <w:rFonts w:hint="eastAsia"/>
        </w:rPr>
        <w:t>最小面积为</w:t>
      </w:r>
      <w:r>
        <w:rPr>
          <w:rFonts w:hint="eastAsia"/>
        </w:rPr>
        <w:t>5</w:t>
      </w:r>
      <w:r>
        <w:rPr>
          <w:rFonts w:hint="eastAsia"/>
        </w:rPr>
        <w:t>公顷的农田；</w:t>
      </w:r>
    </w:p>
    <w:p w:rsidR="00000000" w:rsidRDefault="00000000">
      <w:pPr>
        <w:numPr>
          <w:ilvl w:val="0"/>
          <w:numId w:val="891"/>
        </w:numPr>
        <w:rPr>
          <w:rFonts w:hint="eastAsia"/>
        </w:rPr>
      </w:pPr>
      <w:r>
        <w:rPr>
          <w:rFonts w:hint="eastAsia"/>
        </w:rPr>
        <w:t>最小面积为</w:t>
      </w:r>
      <w:r>
        <w:rPr>
          <w:rFonts w:hint="eastAsia"/>
        </w:rPr>
        <w:t>2</w:t>
      </w:r>
      <w:r>
        <w:rPr>
          <w:rFonts w:hint="eastAsia"/>
        </w:rPr>
        <w:t>公顷的特别保护区；</w:t>
      </w:r>
    </w:p>
    <w:p w:rsidR="00000000" w:rsidRDefault="00000000">
      <w:pPr>
        <w:numPr>
          <w:ilvl w:val="0"/>
          <w:numId w:val="891"/>
        </w:numPr>
        <w:rPr>
          <w:rFonts w:hint="eastAsia"/>
        </w:rPr>
      </w:pPr>
      <w:r>
        <w:rPr>
          <w:rFonts w:hint="eastAsia"/>
        </w:rPr>
        <w:t>在可耕地上，面积至少为</w:t>
      </w:r>
      <w:r>
        <w:rPr>
          <w:rFonts w:hint="eastAsia"/>
        </w:rPr>
        <w:t>1</w:t>
      </w:r>
      <w:r>
        <w:rPr>
          <w:rFonts w:hint="eastAsia"/>
        </w:rPr>
        <w:t>公顷，符合生态的忽布农场、葡萄园、植物园和果园。</w:t>
      </w:r>
    </w:p>
    <w:p w:rsidR="00000000" w:rsidRDefault="00000000">
      <w:pPr>
        <w:rPr>
          <w:rFonts w:hint="eastAsia"/>
        </w:rPr>
      </w:pPr>
      <w:r>
        <w:rPr>
          <w:rFonts w:hint="eastAsia"/>
        </w:rPr>
        <w:tab/>
        <w:t xml:space="preserve">461.  </w:t>
      </w:r>
      <w:r>
        <w:rPr>
          <w:rFonts w:hint="eastAsia"/>
        </w:rPr>
        <w:t>向在平均价格为每平米</w:t>
      </w:r>
      <w:r>
        <w:rPr>
          <w:rFonts w:hint="eastAsia"/>
        </w:rPr>
        <w:t>4.01</w:t>
      </w:r>
      <w:r>
        <w:rPr>
          <w:rFonts w:hint="eastAsia"/>
        </w:rPr>
        <w:t>克朗或更高的可耕地上和在不利于农业的地区从事生态农业的申请人提供支持的标准是所有方案的一般要求加上下列具体要求：</w:t>
      </w:r>
    </w:p>
    <w:p w:rsidR="00000000" w:rsidRDefault="00000000">
      <w:pPr>
        <w:pStyle w:val="a3"/>
        <w:numPr>
          <w:ilvl w:val="0"/>
          <w:numId w:val="89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申请人根据特别法律规章使整个农田达到适当条件；</w:t>
      </w:r>
    </w:p>
    <w:p w:rsidR="00000000" w:rsidRDefault="00000000">
      <w:pPr>
        <w:pStyle w:val="a3"/>
        <w:numPr>
          <w:ilvl w:val="0"/>
          <w:numId w:val="89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申请人没有被列入主管区办事处所列未履行环境领域义务人员名单；</w:t>
      </w:r>
    </w:p>
    <w:p w:rsidR="00000000" w:rsidRDefault="00000000">
      <w:pPr>
        <w:numPr>
          <w:ilvl w:val="0"/>
          <w:numId w:val="892"/>
        </w:numPr>
        <w:rPr>
          <w:rFonts w:hint="eastAsia"/>
        </w:rPr>
      </w:pPr>
      <w:r>
        <w:rPr>
          <w:rFonts w:hint="eastAsia"/>
        </w:rPr>
        <w:t>申请人没有在同年为同样目的和同一土地申请其他支持。</w:t>
      </w:r>
    </w:p>
    <w:p w:rsidR="00000000" w:rsidRDefault="00000000">
      <w:pPr>
        <w:rPr>
          <w:rFonts w:hint="eastAsia"/>
        </w:rPr>
      </w:pPr>
      <w:r>
        <w:rPr>
          <w:rFonts w:hint="eastAsia"/>
        </w:rPr>
        <w:t>此外，生态农民须达到下列要求：</w:t>
      </w:r>
    </w:p>
    <w:p w:rsidR="00000000" w:rsidRDefault="00000000">
      <w:pPr>
        <w:pStyle w:val="a3"/>
        <w:numPr>
          <w:ilvl w:val="0"/>
          <w:numId w:val="892"/>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申请人被列入以特别保护方式耕种和保护环境所有因素的农民名单。</w:t>
      </w:r>
    </w:p>
    <w:p w:rsidR="00000000" w:rsidRDefault="00000000">
      <w:pPr>
        <w:rPr>
          <w:rFonts w:hint="eastAsia"/>
        </w:rPr>
      </w:pPr>
      <w:r>
        <w:rPr>
          <w:rFonts w:hint="eastAsia"/>
        </w:rPr>
        <w:tab/>
        <w:t xml:space="preserve">462.  </w:t>
      </w:r>
      <w:r>
        <w:rPr>
          <w:rFonts w:hint="eastAsia"/>
        </w:rPr>
        <w:t>向在平均价格为每平方米</w:t>
      </w:r>
      <w:r>
        <w:rPr>
          <w:rFonts w:hint="eastAsia"/>
        </w:rPr>
        <w:t>4.01</w:t>
      </w:r>
      <w:r>
        <w:rPr>
          <w:rFonts w:hint="eastAsia"/>
        </w:rPr>
        <w:t>克朗或更高的可耕土地上和在不利于农业的永久性草原从事生态农业的申请人提供支持的标准是：</w:t>
      </w:r>
    </w:p>
    <w:p w:rsidR="00000000" w:rsidRDefault="00000000">
      <w:pPr>
        <w:numPr>
          <w:ilvl w:val="0"/>
          <w:numId w:val="895"/>
        </w:numPr>
        <w:rPr>
          <w:rFonts w:hint="eastAsia"/>
        </w:rPr>
      </w:pPr>
      <w:r>
        <w:rPr>
          <w:rFonts w:hint="eastAsia"/>
        </w:rPr>
        <w:t>以相当于至少为</w:t>
      </w:r>
      <w:r>
        <w:rPr>
          <w:rFonts w:hint="eastAsia"/>
        </w:rPr>
        <w:t>0.1</w:t>
      </w:r>
      <w:r>
        <w:rPr>
          <w:rFonts w:hint="eastAsia"/>
        </w:rPr>
        <w:t>个大动物单位</w:t>
      </w:r>
      <w:r>
        <w:rPr>
          <w:rFonts w:hint="eastAsia"/>
        </w:rPr>
        <w:t>(</w:t>
      </w:r>
      <w:r>
        <w:rPr>
          <w:rFonts w:hint="eastAsia"/>
        </w:rPr>
        <w:t>例如牧群</w:t>
      </w:r>
      <w:r>
        <w:rPr>
          <w:rFonts w:hint="eastAsia"/>
        </w:rPr>
        <w:t>)</w:t>
      </w:r>
      <w:r>
        <w:rPr>
          <w:rFonts w:hint="eastAsia"/>
        </w:rPr>
        <w:t>的平均速度进行农畜生态繁殖；</w:t>
      </w:r>
    </w:p>
    <w:p w:rsidR="00000000" w:rsidRDefault="00000000">
      <w:pPr>
        <w:numPr>
          <w:ilvl w:val="0"/>
          <w:numId w:val="895"/>
        </w:numPr>
        <w:rPr>
          <w:rFonts w:hint="eastAsia"/>
          <w:spacing w:val="2"/>
        </w:rPr>
      </w:pPr>
      <w:r>
        <w:rPr>
          <w:rFonts w:hint="eastAsia"/>
          <w:spacing w:val="2"/>
        </w:rPr>
        <w:t>申请人必须被列入以特别保护方式耕种和保护环境所有要素的农民名单。</w:t>
      </w:r>
    </w:p>
    <w:p w:rsidR="00000000" w:rsidRDefault="00000000">
      <w:pPr>
        <w:rPr>
          <w:rFonts w:hint="eastAsia"/>
          <w:spacing w:val="8"/>
        </w:rPr>
      </w:pPr>
      <w:r>
        <w:rPr>
          <w:rFonts w:hint="eastAsia"/>
        </w:rPr>
        <w:tab/>
        <w:t xml:space="preserve">463.  </w:t>
      </w:r>
      <w:r>
        <w:rPr>
          <w:rFonts w:hint="eastAsia"/>
          <w:spacing w:val="8"/>
        </w:rPr>
        <w:t>生态农民目前在耕种时遵守生态农业方法指示，即农业部的内部条例，所载原则。该方法指示体现了欧共体理事会关于生态农业和确认农产品和食品的相应方法的第</w:t>
      </w:r>
      <w:r>
        <w:rPr>
          <w:rFonts w:hint="eastAsia"/>
          <w:spacing w:val="8"/>
        </w:rPr>
        <w:t>2092/91</w:t>
      </w:r>
      <w:r>
        <w:rPr>
          <w:rFonts w:hint="eastAsia"/>
          <w:spacing w:val="8"/>
        </w:rPr>
        <w:t>号指示所载主要原则。它自</w:t>
      </w:r>
      <w:r>
        <w:rPr>
          <w:rFonts w:hint="eastAsia"/>
          <w:spacing w:val="8"/>
        </w:rPr>
        <w:t>1991</w:t>
      </w:r>
      <w:r>
        <w:rPr>
          <w:rFonts w:hint="eastAsia"/>
          <w:spacing w:val="8"/>
        </w:rPr>
        <w:t>年以来对欧共体国家生效并被视为生态农业的框架法律，也符合有机农联</w:t>
      </w:r>
      <w:r>
        <w:rPr>
          <w:rFonts w:hint="eastAsia"/>
          <w:spacing w:val="8"/>
        </w:rPr>
        <w:t>(</w:t>
      </w:r>
      <w:r>
        <w:rPr>
          <w:rFonts w:hint="eastAsia"/>
          <w:spacing w:val="8"/>
        </w:rPr>
        <w:t>国际有机农业运动联合会</w:t>
      </w:r>
      <w:r>
        <w:rPr>
          <w:rFonts w:hint="eastAsia"/>
          <w:spacing w:val="8"/>
        </w:rPr>
        <w:t>)</w:t>
      </w:r>
      <w:r>
        <w:rPr>
          <w:rFonts w:hint="eastAsia"/>
          <w:spacing w:val="8"/>
        </w:rPr>
        <w:t>的原则。</w:t>
      </w:r>
    </w:p>
    <w:p w:rsidR="00000000" w:rsidRDefault="00000000">
      <w:pPr>
        <w:rPr>
          <w:rFonts w:hint="eastAsia"/>
        </w:rPr>
      </w:pPr>
      <w:r>
        <w:rPr>
          <w:rFonts w:hint="eastAsia"/>
        </w:rPr>
        <w:tab/>
        <w:t xml:space="preserve">464.  </w:t>
      </w:r>
      <w:r>
        <w:rPr>
          <w:rFonts w:hint="eastAsia"/>
        </w:rPr>
        <w:t>农业部目前正起草于</w:t>
      </w:r>
      <w:r>
        <w:rPr>
          <w:rFonts w:hint="eastAsia"/>
        </w:rPr>
        <w:t>2001</w:t>
      </w:r>
      <w:r>
        <w:rPr>
          <w:rFonts w:hint="eastAsia"/>
        </w:rPr>
        <w:t>年生效的生态农业法。该法将为生态农业规定全面条件。</w:t>
      </w:r>
    </w:p>
    <w:p w:rsidR="00000000" w:rsidRDefault="00000000">
      <w:pPr>
        <w:spacing w:after="320"/>
        <w:rPr>
          <w:rFonts w:hint="eastAsia"/>
        </w:rPr>
      </w:pPr>
      <w:r>
        <w:rPr>
          <w:rFonts w:hint="eastAsia"/>
        </w:rPr>
        <w:tab/>
        <w:t xml:space="preserve">465.  </w:t>
      </w:r>
      <w:r>
        <w:rPr>
          <w:rFonts w:hint="eastAsia"/>
        </w:rPr>
        <w:t>经授权的检查组织</w:t>
      </w:r>
      <w:r>
        <w:rPr>
          <w:rFonts w:hint="eastAsia"/>
        </w:rPr>
        <w:t>(</w:t>
      </w:r>
      <w:r>
        <w:rPr>
          <w:rFonts w:hint="eastAsia"/>
        </w:rPr>
        <w:t>由农业部授权</w:t>
      </w:r>
      <w:r>
        <w:rPr>
          <w:rFonts w:hint="eastAsia"/>
        </w:rPr>
        <w:t>)</w:t>
      </w:r>
      <w:r>
        <w:rPr>
          <w:rFonts w:hint="eastAsia"/>
        </w:rPr>
        <w:t>检查在生态系统注册的农民，以确保他遵循生态农业原则并在检查结果为肯定时发给他证书。在捷克共和国所有此类经认证的农民每年被列入自然产品生产者、加工者和贸易者名单。该名单对于申请生态农业财务资助和公共宣传至关重要。</w:t>
      </w:r>
    </w:p>
    <w:p w:rsidR="00000000" w:rsidRDefault="00000000">
      <w:pPr>
        <w:pStyle w:val="Heading4"/>
        <w:rPr>
          <w:rFonts w:hint="eastAsia"/>
        </w:rPr>
      </w:pPr>
      <w:r>
        <w:rPr>
          <w:rFonts w:hint="eastAsia"/>
        </w:rPr>
        <w:t>第</w:t>
      </w:r>
      <w:r>
        <w:rPr>
          <w:rFonts w:hint="eastAsia"/>
        </w:rPr>
        <w:t>2</w:t>
      </w:r>
      <w:r>
        <w:rPr>
          <w:rFonts w:hint="eastAsia"/>
        </w:rPr>
        <w:t>款</w:t>
      </w:r>
      <w:r>
        <w:rPr>
          <w:rFonts w:hint="eastAsia"/>
        </w:rPr>
        <w:t>(</w:t>
      </w:r>
      <w:r>
        <w:t>b</w:t>
      </w:r>
      <w:r>
        <w:rPr>
          <w:rFonts w:hint="eastAsia"/>
        </w:rPr>
        <w:t>)</w:t>
      </w:r>
      <w:r>
        <w:rPr>
          <w:rFonts w:hint="eastAsia"/>
        </w:rPr>
        <w:t>项</w:t>
      </w:r>
    </w:p>
    <w:p w:rsidR="00000000" w:rsidRDefault="00000000">
      <w:pPr>
        <w:rPr>
          <w:rFonts w:hint="eastAsia"/>
        </w:rPr>
      </w:pPr>
      <w:r>
        <w:rPr>
          <w:rFonts w:hint="eastAsia"/>
        </w:rPr>
        <w:tab/>
        <w:t xml:space="preserve">466.  </w:t>
      </w:r>
      <w:r>
        <w:rPr>
          <w:rFonts w:hint="eastAsia"/>
        </w:rPr>
        <w:t>捷克共和国是一粮食进口国。在世界贸易组织</w:t>
      </w:r>
      <w:r>
        <w:rPr>
          <w:rFonts w:hint="eastAsia"/>
        </w:rPr>
        <w:t xml:space="preserve"> </w:t>
      </w:r>
      <w:r>
        <w:rPr>
          <w:rStyle w:val="EndnoteReference"/>
        </w:rPr>
        <w:endnoteReference w:id="287"/>
      </w:r>
      <w:r>
        <w:rPr>
          <w:rFonts w:hint="eastAsia"/>
        </w:rPr>
        <w:t xml:space="preserve"> </w:t>
      </w:r>
      <w:r>
        <w:rPr>
          <w:rFonts w:hint="eastAsia"/>
        </w:rPr>
        <w:t>贸易自由化多边谈判以及在与其他国家的双边贸易政策制度谈判中，捷克共和国强调保证世界粮食供应公平分配的问题。此外，在与欠发达和发展中国家的关系中，它单方面向这些国家给予适当的普惠制待遇。</w:t>
      </w:r>
    </w:p>
    <w:p w:rsidR="00000000" w:rsidRDefault="00000000">
      <w:pPr>
        <w:rPr>
          <w:rFonts w:hint="eastAsia"/>
        </w:rPr>
      </w:pPr>
      <w:r>
        <w:rPr>
          <w:rFonts w:hint="eastAsia"/>
        </w:rPr>
        <w:tab/>
        <w:t xml:space="preserve">467.  </w:t>
      </w:r>
      <w:r>
        <w:rPr>
          <w:rFonts w:hint="eastAsia"/>
        </w:rPr>
        <w:t>捷克共和国也通过财务、双边和多边援助</w:t>
      </w:r>
      <w:r>
        <w:rPr>
          <w:rFonts w:hint="eastAsia"/>
        </w:rPr>
        <w:t>(</w:t>
      </w:r>
      <w:r>
        <w:rPr>
          <w:rFonts w:hint="eastAsia"/>
        </w:rPr>
        <w:t>通过向联合国和国际货币基金自愿捐款</w:t>
      </w:r>
      <w:r>
        <w:rPr>
          <w:rFonts w:hint="eastAsia"/>
        </w:rPr>
        <w:t>)</w:t>
      </w:r>
      <w:r>
        <w:rPr>
          <w:rFonts w:hint="eastAsia"/>
        </w:rPr>
        <w:t>向因缺少粮食而面临危险的地区提供援助。捷克共和国于</w:t>
      </w:r>
      <w:r>
        <w:rPr>
          <w:rFonts w:hint="eastAsia"/>
        </w:rPr>
        <w:t>1998</w:t>
      </w:r>
      <w:r>
        <w:rPr>
          <w:rFonts w:hint="eastAsia"/>
        </w:rPr>
        <w:t>年从国家预算中</w:t>
      </w:r>
      <w:r>
        <w:rPr>
          <w:rFonts w:hint="eastAsia"/>
        </w:rPr>
        <w:t xml:space="preserve"> </w:t>
      </w:r>
      <w:r>
        <w:rPr>
          <w:rStyle w:val="EndnoteReference"/>
        </w:rPr>
        <w:endnoteReference w:id="288"/>
      </w:r>
      <w:r>
        <w:rPr>
          <w:rFonts w:hint="eastAsia"/>
        </w:rPr>
        <w:t xml:space="preserve"> </w:t>
      </w:r>
      <w:r>
        <w:rPr>
          <w:rFonts w:hint="eastAsia"/>
        </w:rPr>
        <w:t>拨出</w:t>
      </w:r>
      <w:r>
        <w:rPr>
          <w:rFonts w:hint="eastAsia"/>
        </w:rPr>
        <w:t>32,600</w:t>
      </w:r>
      <w:r>
        <w:rPr>
          <w:rFonts w:hint="eastAsia"/>
        </w:rPr>
        <w:t>万克朗发展援助和</w:t>
      </w:r>
      <w:r>
        <w:rPr>
          <w:rFonts w:hint="eastAsia"/>
        </w:rPr>
        <w:t>3,000</w:t>
      </w:r>
      <w:r>
        <w:rPr>
          <w:rFonts w:hint="eastAsia"/>
        </w:rPr>
        <w:t>万克朗人道主义援助。该预算根据紧急情况和提供外援原则</w:t>
      </w:r>
      <w:r>
        <w:rPr>
          <w:rFonts w:hint="eastAsia"/>
        </w:rPr>
        <w:t xml:space="preserve"> </w:t>
      </w:r>
      <w:r>
        <w:rPr>
          <w:rStyle w:val="EndnoteReference"/>
        </w:rPr>
        <w:endnoteReference w:id="289"/>
      </w:r>
      <w:r>
        <w:rPr>
          <w:rFonts w:hint="eastAsia"/>
        </w:rPr>
        <w:t xml:space="preserve"> </w:t>
      </w:r>
      <w:r>
        <w:rPr>
          <w:rFonts w:hint="eastAsia"/>
        </w:rPr>
        <w:t>用于临时确定的目的。</w:t>
      </w:r>
    </w:p>
    <w:p w:rsidR="00000000" w:rsidRDefault="00000000">
      <w:pPr>
        <w:rPr>
          <w:rFonts w:hint="eastAsia"/>
        </w:rPr>
      </w:pPr>
      <w:r>
        <w:rPr>
          <w:rFonts w:hint="eastAsia"/>
        </w:rPr>
        <w:tab/>
        <w:t xml:space="preserve">468.  </w:t>
      </w:r>
      <w:r>
        <w:rPr>
          <w:rFonts w:hint="eastAsia"/>
        </w:rPr>
        <w:t>就捷克共和国的援助被用于确保世界粮食供应公平分配而言，捷克共和国将来加入欧洲联盟和参与联盟援助方案将至关重要。捷克共和国已开始作筹备，制定与发展中国家的贸易制度。捷克共和国一俟加入联盟将立即参与欧洲发展基金的融资。</w:t>
      </w:r>
    </w:p>
    <w:p w:rsidR="00000000" w:rsidRDefault="00000000">
      <w:pPr>
        <w:spacing w:after="320"/>
        <w:rPr>
          <w:rFonts w:hint="eastAsia"/>
        </w:rPr>
      </w:pPr>
      <w:r>
        <w:rPr>
          <w:rFonts w:hint="eastAsia"/>
        </w:rPr>
        <w:tab/>
        <w:t xml:space="preserve">469.  </w:t>
      </w:r>
      <w:r>
        <w:rPr>
          <w:rFonts w:hint="eastAsia"/>
        </w:rPr>
        <w:t>食品和烟草产品法</w:t>
      </w:r>
      <w:r>
        <w:rPr>
          <w:rFonts w:hint="eastAsia"/>
        </w:rPr>
        <w:t xml:space="preserve"> </w:t>
      </w:r>
      <w:r>
        <w:rPr>
          <w:rStyle w:val="EndnoteReference"/>
        </w:rPr>
        <w:endnoteReference w:id="290"/>
      </w:r>
      <w:r>
        <w:rPr>
          <w:rFonts w:hint="eastAsia"/>
        </w:rPr>
        <w:t xml:space="preserve"> </w:t>
      </w:r>
      <w:r>
        <w:rPr>
          <w:rFonts w:hint="eastAsia"/>
        </w:rPr>
        <w:t>于</w:t>
      </w:r>
      <w:r>
        <w:rPr>
          <w:rFonts w:hint="eastAsia"/>
        </w:rPr>
        <w:t>1997</w:t>
      </w:r>
      <w:r>
        <w:rPr>
          <w:rFonts w:hint="eastAsia"/>
        </w:rPr>
        <w:t>年生效，该法规定企业有义务生产、分销、包装和运输食品和烟草产品及其标签。该法还规定国家监督该法规定的义务的遵守和制裁违法行为。该法执行细则按食品类分类颁发。卫生部同时酌情颁发了有关法令。该法及其执行命令的目的是让消费者获得符合具体质量参数的无害食品。该法和单项执行法令在技术领域，特别是在化学和物理质量参数确定方面在最大程度上与欧洲联盟条例相统一。</w:t>
      </w:r>
    </w:p>
    <w:p w:rsidR="00000000" w:rsidRDefault="00000000">
      <w:pPr>
        <w:pStyle w:val="Heading3"/>
        <w:rPr>
          <w:rFonts w:hint="eastAsia"/>
        </w:rPr>
      </w:pPr>
      <w:r>
        <w:rPr>
          <w:rFonts w:hint="eastAsia"/>
        </w:rPr>
        <w:t>第</w:t>
      </w:r>
      <w:r>
        <w:rPr>
          <w:rFonts w:hint="eastAsia"/>
        </w:rPr>
        <w:t xml:space="preserve"> 12 </w:t>
      </w:r>
      <w:r>
        <w:rPr>
          <w:rFonts w:hint="eastAsia"/>
        </w:rPr>
        <w:t>条</w:t>
      </w:r>
    </w:p>
    <w:p w:rsidR="00000000" w:rsidRDefault="00000000">
      <w:pPr>
        <w:pStyle w:val="Heading4"/>
        <w:rPr>
          <w:rFonts w:hint="eastAsia"/>
        </w:rPr>
      </w:pPr>
      <w:r>
        <w:rPr>
          <w:rFonts w:hint="eastAsia"/>
        </w:rPr>
        <w:t>第</w:t>
      </w:r>
      <w:r>
        <w:rPr>
          <w:rFonts w:hint="eastAsia"/>
        </w:rPr>
        <w:t xml:space="preserve"> 1 </w:t>
      </w:r>
      <w:r>
        <w:rPr>
          <w:rFonts w:hint="eastAsia"/>
        </w:rPr>
        <w:t>款</w:t>
      </w:r>
    </w:p>
    <w:p w:rsidR="00000000" w:rsidRDefault="00000000">
      <w:pPr>
        <w:rPr>
          <w:rFonts w:hint="eastAsia"/>
        </w:rPr>
      </w:pPr>
      <w:r>
        <w:rPr>
          <w:rFonts w:hint="eastAsia"/>
        </w:rPr>
        <w:tab/>
        <w:t xml:space="preserve">470.  </w:t>
      </w:r>
      <w:r>
        <w:rPr>
          <w:rFonts w:hint="eastAsia"/>
        </w:rPr>
        <w:t>宪章第</w:t>
      </w:r>
      <w:r>
        <w:rPr>
          <w:rFonts w:hint="eastAsia"/>
        </w:rPr>
        <w:t>31</w:t>
      </w:r>
      <w:r>
        <w:rPr>
          <w:rFonts w:hint="eastAsia"/>
        </w:rPr>
        <w:t>条规定：“人人享有保护健康权。公民依据公共保险有权按照法律规定的条件享受免费保健和医疗。”</w:t>
      </w:r>
    </w:p>
    <w:p w:rsidR="00000000" w:rsidRDefault="00000000">
      <w:pPr>
        <w:rPr>
          <w:rFonts w:hint="eastAsia"/>
        </w:rPr>
      </w:pPr>
      <w:r>
        <w:rPr>
          <w:rFonts w:hint="eastAsia"/>
        </w:rPr>
        <w:tab/>
        <w:t xml:space="preserve">471.  </w:t>
      </w:r>
      <w:r>
        <w:rPr>
          <w:rFonts w:hint="eastAsia"/>
        </w:rPr>
        <w:t>捷克共和国人口健康状况受到年龄结构相当大的影响。自然人口增长为负数，人口正在老化。总标准死亡率自</w:t>
      </w:r>
      <w:r>
        <w:rPr>
          <w:rFonts w:hint="eastAsia"/>
        </w:rPr>
        <w:t>1990</w:t>
      </w:r>
      <w:r>
        <w:rPr>
          <w:rFonts w:hint="eastAsia"/>
        </w:rPr>
        <w:t>年以来一直在下降，在男子中比在女子中下降更快。目前，每千个居民的死亡人数为</w:t>
      </w:r>
      <w:r>
        <w:rPr>
          <w:rFonts w:hint="eastAsia"/>
        </w:rPr>
        <w:t>10.6</w:t>
      </w:r>
      <w:r>
        <w:rPr>
          <w:rFonts w:hint="eastAsia"/>
        </w:rPr>
        <w:t>：男子为</w:t>
      </w:r>
      <w:r>
        <w:rPr>
          <w:rFonts w:hint="eastAsia"/>
        </w:rPr>
        <w:t>12.5,</w:t>
      </w:r>
      <w:r>
        <w:rPr>
          <w:rFonts w:hint="eastAsia"/>
        </w:rPr>
        <w:t>女子为</w:t>
      </w:r>
      <w:r>
        <w:rPr>
          <w:rFonts w:hint="eastAsia"/>
        </w:rPr>
        <w:t>7.4</w:t>
      </w:r>
      <w:r>
        <w:rPr>
          <w:rFonts w:hint="eastAsia"/>
        </w:rPr>
        <w:t>。婴儿死亡率也在下降。出生时的预期寿命在延长，但仍低于欧盟国家最小数值。</w:t>
      </w:r>
      <w:r>
        <w:rPr>
          <w:rFonts w:hint="eastAsia"/>
        </w:rPr>
        <w:t>85%</w:t>
      </w:r>
      <w:r>
        <w:rPr>
          <w:rFonts w:hint="eastAsia"/>
        </w:rPr>
        <w:t>的死亡归因于循环系统的疾病、肿瘤、受伤和中毒。虽然循环系统的疾病造成的死亡正在下降，特别是在男子中，但赘生物引起的死亡率稳定甚至上升。</w:t>
      </w:r>
    </w:p>
    <w:p w:rsidR="00000000" w:rsidRDefault="00000000">
      <w:pPr>
        <w:rPr>
          <w:rFonts w:hint="eastAsia"/>
        </w:rPr>
      </w:pPr>
      <w:r>
        <w:rPr>
          <w:rFonts w:hint="eastAsia"/>
        </w:rPr>
        <w:tab/>
        <w:t xml:space="preserve">472.  </w:t>
      </w:r>
      <w:r>
        <w:rPr>
          <w:rFonts w:hint="eastAsia"/>
        </w:rPr>
        <w:t>尽管心血管病引起的死亡率在下降，但这些疾病仍然是造成死亡的主要原因</w:t>
      </w:r>
      <w:r>
        <w:rPr>
          <w:rFonts w:hint="eastAsia"/>
        </w:rPr>
        <w:t>(56.2%)</w:t>
      </w:r>
      <w:r>
        <w:rPr>
          <w:rFonts w:hint="eastAsia"/>
        </w:rPr>
        <w:t>。第二最常见的死因是肿瘤</w:t>
      </w:r>
      <w:r>
        <w:rPr>
          <w:rFonts w:hint="eastAsia"/>
        </w:rPr>
        <w:t>(24.8%)</w:t>
      </w:r>
      <w:r>
        <w:rPr>
          <w:rFonts w:hint="eastAsia"/>
        </w:rPr>
        <w:t>。尽管死亡率数字稳定，但这些疾病的发病率正在上升</w:t>
      </w:r>
      <w:r>
        <w:rPr>
          <w:rFonts w:hint="eastAsia"/>
        </w:rPr>
        <w:t>(</w:t>
      </w:r>
      <w:r>
        <w:rPr>
          <w:rFonts w:hint="eastAsia"/>
        </w:rPr>
        <w:t>每年约</w:t>
      </w:r>
      <w:r>
        <w:rPr>
          <w:rFonts w:hint="eastAsia"/>
        </w:rPr>
        <w:t>2%)</w:t>
      </w:r>
      <w:r>
        <w:rPr>
          <w:rFonts w:hint="eastAsia"/>
        </w:rPr>
        <w:t>，其在人口中的流行程度也在上升</w:t>
      </w:r>
      <w:r>
        <w:rPr>
          <w:rFonts w:hint="eastAsia"/>
        </w:rPr>
        <w:t>(</w:t>
      </w:r>
      <w:r>
        <w:rPr>
          <w:rFonts w:hint="eastAsia"/>
        </w:rPr>
        <w:t>在</w:t>
      </w:r>
      <w:r>
        <w:rPr>
          <w:rFonts w:hint="eastAsia"/>
        </w:rPr>
        <w:t>1997</w:t>
      </w:r>
      <w:r>
        <w:rPr>
          <w:rFonts w:hint="eastAsia"/>
        </w:rPr>
        <w:t>年，捷克共和国全国肿瘤学登记处接到</w:t>
      </w:r>
      <w:r>
        <w:rPr>
          <w:rFonts w:hint="eastAsia"/>
        </w:rPr>
        <w:t>52,304</w:t>
      </w:r>
      <w:r>
        <w:rPr>
          <w:rFonts w:hint="eastAsia"/>
        </w:rPr>
        <w:t>个恶性肿瘤新病历的报告</w:t>
      </w:r>
      <w:r>
        <w:rPr>
          <w:rFonts w:hint="eastAsia"/>
        </w:rPr>
        <w:t>)</w:t>
      </w:r>
      <w:r>
        <w:rPr>
          <w:rFonts w:hint="eastAsia"/>
        </w:rPr>
        <w:t>。第</w:t>
      </w:r>
      <w:r>
        <w:rPr>
          <w:rFonts w:hint="eastAsia"/>
        </w:rPr>
        <w:t>3</w:t>
      </w:r>
      <w:r>
        <w:rPr>
          <w:rFonts w:hint="eastAsia"/>
        </w:rPr>
        <w:t>个最常见死因是受伤和其他外部原因，占总死亡率的约</w:t>
      </w:r>
      <w:r>
        <w:rPr>
          <w:rFonts w:hint="eastAsia"/>
        </w:rPr>
        <w:t>8%</w:t>
      </w:r>
      <w:r>
        <w:rPr>
          <w:rFonts w:hint="eastAsia"/>
        </w:rPr>
        <w:t>并且尚未下降。糖尿病增加仍然是一严重问题。</w:t>
      </w:r>
      <w:r>
        <w:rPr>
          <w:rFonts w:hint="eastAsia"/>
        </w:rPr>
        <w:t>1997</w:t>
      </w:r>
      <w:r>
        <w:rPr>
          <w:rFonts w:hint="eastAsia"/>
        </w:rPr>
        <w:t>年发病率比上一年增加</w:t>
      </w:r>
      <w:r>
        <w:rPr>
          <w:rFonts w:hint="eastAsia"/>
        </w:rPr>
        <w:t>3%</w:t>
      </w:r>
      <w:r>
        <w:rPr>
          <w:rFonts w:hint="eastAsia"/>
        </w:rPr>
        <w:t>。</w:t>
      </w:r>
    </w:p>
    <w:p w:rsidR="00000000" w:rsidRDefault="00000000">
      <w:pPr>
        <w:spacing w:after="320"/>
        <w:rPr>
          <w:rFonts w:hint="eastAsia"/>
        </w:rPr>
      </w:pPr>
      <w:r>
        <w:rPr>
          <w:rFonts w:hint="eastAsia"/>
        </w:rPr>
        <w:tab/>
        <w:t xml:space="preserve">473.  </w:t>
      </w:r>
      <w:r>
        <w:rPr>
          <w:rFonts w:hint="eastAsia"/>
        </w:rPr>
        <w:t>丧失工作能力的统计数字自</w:t>
      </w:r>
      <w:r>
        <w:rPr>
          <w:rFonts w:hint="eastAsia"/>
        </w:rPr>
        <w:t>1990</w:t>
      </w:r>
      <w:r>
        <w:rPr>
          <w:rFonts w:hint="eastAsia"/>
        </w:rPr>
        <w:t>年以来缓慢下降，但丧失工作能力的平均期限在延长，男子由</w:t>
      </w:r>
      <w:r>
        <w:rPr>
          <w:rFonts w:hint="eastAsia"/>
        </w:rPr>
        <w:t>25.5</w:t>
      </w:r>
      <w:r>
        <w:rPr>
          <w:rFonts w:hint="eastAsia"/>
        </w:rPr>
        <w:t>天到</w:t>
      </w:r>
      <w:r>
        <w:rPr>
          <w:rFonts w:hint="eastAsia"/>
        </w:rPr>
        <w:t>1997</w:t>
      </w:r>
      <w:r>
        <w:rPr>
          <w:rFonts w:hint="eastAsia"/>
        </w:rPr>
        <w:t>年的</w:t>
      </w:r>
      <w:r>
        <w:rPr>
          <w:rFonts w:hint="eastAsia"/>
        </w:rPr>
        <w:t>27.2</w:t>
      </w:r>
      <w:r>
        <w:rPr>
          <w:rFonts w:hint="eastAsia"/>
        </w:rPr>
        <w:t>天</w:t>
      </w:r>
      <w:r>
        <w:rPr>
          <w:rFonts w:hint="eastAsia"/>
        </w:rPr>
        <w:t>(</w:t>
      </w:r>
      <w:r>
        <w:rPr>
          <w:rFonts w:hint="eastAsia"/>
        </w:rPr>
        <w:t>日历日，非工作日</w:t>
      </w:r>
      <w:r>
        <w:rPr>
          <w:rFonts w:hint="eastAsia"/>
        </w:rPr>
        <w:t>)</w:t>
      </w:r>
      <w:r>
        <w:rPr>
          <w:rFonts w:hint="eastAsia"/>
        </w:rPr>
        <w:t>。社会经济因素对丧失工作能力的期限和频率有重大影响。</w:t>
      </w:r>
    </w:p>
    <w:p w:rsidR="00000000" w:rsidRDefault="00000000">
      <w:pPr>
        <w:pStyle w:val="Heading3"/>
        <w:spacing w:after="160"/>
        <w:rPr>
          <w:rFonts w:hint="eastAsia"/>
        </w:rPr>
      </w:pPr>
      <w:r>
        <w:rPr>
          <w:rFonts w:hint="eastAsia"/>
        </w:rPr>
        <w:t>因疾病和受伤丧失工作能力</w:t>
      </w:r>
    </w:p>
    <w:tbl>
      <w:tblPr>
        <w:tblW w:w="5000" w:type="pct"/>
        <w:tblBorders>
          <w:top w:val="single" w:sz="12" w:space="0" w:color="008000"/>
          <w:bottom w:val="single" w:sz="12" w:space="0" w:color="008000"/>
        </w:tblBorders>
        <w:tblCellMar>
          <w:left w:w="70" w:type="dxa"/>
          <w:right w:w="70" w:type="dxa"/>
        </w:tblCellMar>
        <w:tblLook w:val="0000" w:firstRow="0" w:lastRow="0" w:firstColumn="0" w:lastColumn="0" w:noHBand="0" w:noVBand="0"/>
      </w:tblPr>
      <w:tblGrid>
        <w:gridCol w:w="4751"/>
        <w:gridCol w:w="959"/>
        <w:gridCol w:w="961"/>
        <w:gridCol w:w="839"/>
        <w:gridCol w:w="961"/>
        <w:gridCol w:w="1024"/>
      </w:tblGrid>
      <w:tr w:rsidR="00000000">
        <w:tblPrEx>
          <w:tblCellMar>
            <w:top w:w="0" w:type="dxa"/>
            <w:bottom w:w="0" w:type="dxa"/>
          </w:tblCellMar>
        </w:tblPrEx>
        <w:tc>
          <w:tcPr>
            <w:tcW w:w="2501" w:type="pct"/>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pPr>
          </w:p>
        </w:tc>
        <w:tc>
          <w:tcPr>
            <w:tcW w:w="505" w:type="pct"/>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rPr>
                <w:rFonts w:hint="eastAsia"/>
              </w:rPr>
            </w:pPr>
            <w:r>
              <w:t>1990</w:t>
            </w:r>
            <w:r>
              <w:rPr>
                <w:rFonts w:hint="eastAsia"/>
              </w:rPr>
              <w:t>年</w:t>
            </w:r>
          </w:p>
        </w:tc>
        <w:tc>
          <w:tcPr>
            <w:tcW w:w="506" w:type="pct"/>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rPr>
                <w:rFonts w:hint="eastAsia"/>
              </w:rPr>
            </w:pPr>
            <w:r>
              <w:t>1995</w:t>
            </w:r>
            <w:r>
              <w:rPr>
                <w:rFonts w:hint="eastAsia"/>
              </w:rPr>
              <w:t>年</w:t>
            </w:r>
          </w:p>
        </w:tc>
        <w:tc>
          <w:tcPr>
            <w:tcW w:w="442" w:type="pct"/>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rPr>
                <w:rFonts w:hint="eastAsia"/>
              </w:rPr>
            </w:pPr>
            <w:r>
              <w:t>1996</w:t>
            </w:r>
            <w:r>
              <w:rPr>
                <w:rFonts w:hint="eastAsia"/>
              </w:rPr>
              <w:t>年</w:t>
            </w:r>
          </w:p>
        </w:tc>
        <w:tc>
          <w:tcPr>
            <w:tcW w:w="506" w:type="pct"/>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rPr>
                <w:rFonts w:hint="eastAsia"/>
              </w:rPr>
            </w:pPr>
            <w:r>
              <w:t>1997</w:t>
            </w:r>
            <w:r>
              <w:rPr>
                <w:rFonts w:hint="eastAsia"/>
              </w:rPr>
              <w:t>年</w:t>
            </w:r>
          </w:p>
        </w:tc>
        <w:tc>
          <w:tcPr>
            <w:tcW w:w="539" w:type="pct"/>
            <w:tcBorders>
              <w:top w:val="single" w:sz="4" w:space="0" w:color="auto"/>
              <w:left w:val="single" w:sz="4" w:space="0" w:color="auto"/>
              <w:bottom w:val="single" w:sz="6" w:space="0" w:color="008000"/>
              <w:right w:val="single" w:sz="4" w:space="0" w:color="auto"/>
            </w:tcBorders>
          </w:tcPr>
          <w:p w:rsidR="00000000" w:rsidRDefault="00000000">
            <w:pPr>
              <w:pStyle w:val="aa"/>
              <w:spacing w:before="60" w:line="336" w:lineRule="auto"/>
              <w:rPr>
                <w:rFonts w:hint="eastAsia"/>
              </w:rPr>
            </w:pPr>
            <w:r>
              <w:t>1998</w:t>
            </w:r>
            <w:r>
              <w:rPr>
                <w:rFonts w:hint="eastAsia"/>
              </w:rPr>
              <w:t>年</w:t>
            </w:r>
          </w:p>
        </w:tc>
      </w:tr>
      <w:tr w:rsidR="00000000">
        <w:tblPrEx>
          <w:tblCellMar>
            <w:top w:w="0" w:type="dxa"/>
            <w:bottom w:w="0" w:type="dxa"/>
          </w:tblCellMar>
        </w:tblPrEx>
        <w:tc>
          <w:tcPr>
            <w:tcW w:w="2501" w:type="pct"/>
            <w:tcBorders>
              <w:top w:val="nil"/>
              <w:left w:val="single" w:sz="4" w:space="0" w:color="auto"/>
              <w:bottom w:val="nil"/>
              <w:right w:val="single" w:sz="4" w:space="0" w:color="auto"/>
            </w:tcBorders>
          </w:tcPr>
          <w:p w:rsidR="00000000" w:rsidRDefault="00000000">
            <w:pPr>
              <w:pStyle w:val="aa"/>
              <w:spacing w:before="60" w:line="336" w:lineRule="auto"/>
              <w:rPr>
                <w:rFonts w:hint="eastAsia"/>
              </w:rPr>
            </w:pPr>
            <w:r>
              <w:rPr>
                <w:rFonts w:hint="eastAsia"/>
              </w:rPr>
              <w:t>每</w:t>
            </w:r>
            <w:r>
              <w:t>100</w:t>
            </w:r>
            <w:r>
              <w:rPr>
                <w:rFonts w:hint="eastAsia"/>
              </w:rPr>
              <w:t>个健康投保人丧失工作能力的新情况</w:t>
            </w:r>
          </w:p>
        </w:tc>
        <w:tc>
          <w:tcPr>
            <w:tcW w:w="505" w:type="pct"/>
            <w:tcBorders>
              <w:top w:val="nil"/>
              <w:left w:val="single" w:sz="4" w:space="0" w:color="auto"/>
              <w:bottom w:val="nil"/>
              <w:right w:val="single" w:sz="4" w:space="0" w:color="auto"/>
            </w:tcBorders>
          </w:tcPr>
          <w:p w:rsidR="00000000" w:rsidRDefault="00000000">
            <w:pPr>
              <w:pStyle w:val="aa"/>
              <w:spacing w:before="60" w:line="336" w:lineRule="auto"/>
              <w:ind w:right="227"/>
              <w:jc w:val="right"/>
            </w:pPr>
            <w:r>
              <w:t>95.3</w:t>
            </w:r>
          </w:p>
        </w:tc>
        <w:tc>
          <w:tcPr>
            <w:tcW w:w="506" w:type="pct"/>
            <w:tcBorders>
              <w:top w:val="nil"/>
              <w:left w:val="single" w:sz="4" w:space="0" w:color="auto"/>
              <w:bottom w:val="nil"/>
              <w:right w:val="single" w:sz="4" w:space="0" w:color="auto"/>
            </w:tcBorders>
          </w:tcPr>
          <w:p w:rsidR="00000000" w:rsidRDefault="00000000">
            <w:pPr>
              <w:pStyle w:val="aa"/>
              <w:spacing w:before="60" w:line="336" w:lineRule="auto"/>
              <w:ind w:right="227"/>
              <w:jc w:val="right"/>
            </w:pPr>
            <w:r>
              <w:t>91.9</w:t>
            </w:r>
          </w:p>
        </w:tc>
        <w:tc>
          <w:tcPr>
            <w:tcW w:w="442" w:type="pct"/>
            <w:tcBorders>
              <w:top w:val="nil"/>
              <w:left w:val="single" w:sz="4" w:space="0" w:color="auto"/>
              <w:bottom w:val="nil"/>
              <w:right w:val="single" w:sz="4" w:space="0" w:color="auto"/>
            </w:tcBorders>
          </w:tcPr>
          <w:p w:rsidR="00000000" w:rsidRDefault="00000000">
            <w:pPr>
              <w:pStyle w:val="aa"/>
              <w:spacing w:before="60" w:line="336" w:lineRule="auto"/>
              <w:ind w:right="227"/>
              <w:jc w:val="right"/>
            </w:pPr>
            <w:r>
              <w:t>85.8</w:t>
            </w:r>
          </w:p>
        </w:tc>
        <w:tc>
          <w:tcPr>
            <w:tcW w:w="506" w:type="pct"/>
            <w:tcBorders>
              <w:top w:val="nil"/>
              <w:left w:val="single" w:sz="4" w:space="0" w:color="auto"/>
              <w:bottom w:val="nil"/>
              <w:right w:val="single" w:sz="4" w:space="0" w:color="auto"/>
            </w:tcBorders>
          </w:tcPr>
          <w:p w:rsidR="00000000" w:rsidRDefault="00000000">
            <w:pPr>
              <w:pStyle w:val="aa"/>
              <w:spacing w:before="60" w:line="336" w:lineRule="auto"/>
              <w:ind w:right="227"/>
              <w:jc w:val="right"/>
            </w:pPr>
            <w:r>
              <w:t>86.7</w:t>
            </w:r>
          </w:p>
        </w:tc>
        <w:tc>
          <w:tcPr>
            <w:tcW w:w="539" w:type="pct"/>
            <w:tcBorders>
              <w:top w:val="nil"/>
              <w:left w:val="single" w:sz="4" w:space="0" w:color="auto"/>
              <w:bottom w:val="nil"/>
              <w:right w:val="single" w:sz="4" w:space="0" w:color="auto"/>
            </w:tcBorders>
          </w:tcPr>
          <w:p w:rsidR="00000000" w:rsidRDefault="00000000">
            <w:pPr>
              <w:pStyle w:val="aa"/>
              <w:spacing w:before="60" w:line="336" w:lineRule="auto"/>
              <w:ind w:right="227"/>
              <w:jc w:val="right"/>
            </w:pPr>
            <w:r>
              <w:t>79.2</w:t>
            </w:r>
          </w:p>
        </w:tc>
      </w:tr>
      <w:tr w:rsidR="00000000">
        <w:tblPrEx>
          <w:tblCellMar>
            <w:top w:w="0" w:type="dxa"/>
            <w:bottom w:w="0" w:type="dxa"/>
          </w:tblCellMar>
        </w:tblPrEx>
        <w:tc>
          <w:tcPr>
            <w:tcW w:w="2501" w:type="pct"/>
            <w:tcBorders>
              <w:top w:val="nil"/>
              <w:left w:val="single" w:sz="4" w:space="0" w:color="auto"/>
              <w:bottom w:val="nil"/>
              <w:right w:val="single" w:sz="4" w:space="0" w:color="auto"/>
            </w:tcBorders>
          </w:tcPr>
          <w:p w:rsidR="00000000" w:rsidRDefault="00000000">
            <w:pPr>
              <w:pStyle w:val="aa"/>
              <w:spacing w:line="336" w:lineRule="auto"/>
            </w:pPr>
            <w:r>
              <w:rPr>
                <w:rFonts w:hint="eastAsia"/>
              </w:rPr>
              <w:t>一个丧失工作能力情况的平均期限</w:t>
            </w:r>
            <w:r>
              <w:rPr>
                <w:rFonts w:hint="eastAsia"/>
              </w:rPr>
              <w:t>(</w:t>
            </w:r>
            <w:r>
              <w:rPr>
                <w:rFonts w:hint="eastAsia"/>
              </w:rPr>
              <w:t>日历天数</w:t>
            </w:r>
            <w:r>
              <w:rPr>
                <w:rFonts w:hint="eastAsia"/>
              </w:rPr>
              <w:t>)</w:t>
            </w:r>
          </w:p>
        </w:tc>
        <w:tc>
          <w:tcPr>
            <w:tcW w:w="505" w:type="pct"/>
            <w:tcBorders>
              <w:top w:val="nil"/>
              <w:left w:val="single" w:sz="4" w:space="0" w:color="auto"/>
              <w:bottom w:val="nil"/>
              <w:right w:val="single" w:sz="4" w:space="0" w:color="auto"/>
            </w:tcBorders>
          </w:tcPr>
          <w:p w:rsidR="00000000" w:rsidRDefault="00000000">
            <w:pPr>
              <w:pStyle w:val="aa"/>
              <w:spacing w:line="336" w:lineRule="auto"/>
              <w:ind w:right="227"/>
              <w:jc w:val="right"/>
            </w:pPr>
            <w:r>
              <w:t>18.4</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227"/>
              <w:jc w:val="right"/>
            </w:pPr>
            <w:r>
              <w:t>24.4</w:t>
            </w:r>
          </w:p>
        </w:tc>
        <w:tc>
          <w:tcPr>
            <w:tcW w:w="442" w:type="pct"/>
            <w:tcBorders>
              <w:top w:val="nil"/>
              <w:left w:val="single" w:sz="4" w:space="0" w:color="auto"/>
              <w:bottom w:val="nil"/>
              <w:right w:val="single" w:sz="4" w:space="0" w:color="auto"/>
            </w:tcBorders>
          </w:tcPr>
          <w:p w:rsidR="00000000" w:rsidRDefault="00000000">
            <w:pPr>
              <w:pStyle w:val="aa"/>
              <w:spacing w:line="336" w:lineRule="auto"/>
              <w:ind w:right="227"/>
              <w:jc w:val="right"/>
            </w:pPr>
            <w:r>
              <w:t>25.8</w:t>
            </w:r>
          </w:p>
        </w:tc>
        <w:tc>
          <w:tcPr>
            <w:tcW w:w="506" w:type="pct"/>
            <w:tcBorders>
              <w:top w:val="nil"/>
              <w:left w:val="single" w:sz="4" w:space="0" w:color="auto"/>
              <w:bottom w:val="nil"/>
              <w:right w:val="single" w:sz="4" w:space="0" w:color="auto"/>
            </w:tcBorders>
          </w:tcPr>
          <w:p w:rsidR="00000000" w:rsidRDefault="00000000">
            <w:pPr>
              <w:pStyle w:val="aa"/>
              <w:spacing w:line="336" w:lineRule="auto"/>
              <w:ind w:right="227"/>
              <w:jc w:val="right"/>
            </w:pPr>
            <w:r>
              <w:t>26.3</w:t>
            </w:r>
          </w:p>
        </w:tc>
        <w:tc>
          <w:tcPr>
            <w:tcW w:w="539" w:type="pct"/>
            <w:tcBorders>
              <w:top w:val="nil"/>
              <w:left w:val="single" w:sz="4" w:space="0" w:color="auto"/>
              <w:bottom w:val="nil"/>
              <w:right w:val="single" w:sz="4" w:space="0" w:color="auto"/>
            </w:tcBorders>
          </w:tcPr>
          <w:p w:rsidR="00000000" w:rsidRDefault="00000000">
            <w:pPr>
              <w:pStyle w:val="aa"/>
              <w:spacing w:line="336" w:lineRule="auto"/>
              <w:ind w:right="227"/>
              <w:jc w:val="right"/>
            </w:pPr>
            <w:r>
              <w:t>26.8</w:t>
            </w:r>
          </w:p>
        </w:tc>
      </w:tr>
      <w:tr w:rsidR="00000000">
        <w:tblPrEx>
          <w:tblCellMar>
            <w:top w:w="0" w:type="dxa"/>
            <w:bottom w:w="0" w:type="dxa"/>
          </w:tblCellMar>
        </w:tblPrEx>
        <w:tc>
          <w:tcPr>
            <w:tcW w:w="2501" w:type="pct"/>
            <w:tcBorders>
              <w:top w:val="nil"/>
              <w:left w:val="single" w:sz="4" w:space="0" w:color="auto"/>
              <w:bottom w:val="single" w:sz="4" w:space="0" w:color="auto"/>
              <w:right w:val="single" w:sz="4" w:space="0" w:color="auto"/>
            </w:tcBorders>
          </w:tcPr>
          <w:p w:rsidR="00000000" w:rsidRDefault="00000000">
            <w:pPr>
              <w:pStyle w:val="aa"/>
              <w:spacing w:line="336" w:lineRule="auto"/>
              <w:rPr>
                <w:rFonts w:hint="eastAsia"/>
              </w:rPr>
            </w:pPr>
            <w:r>
              <w:rPr>
                <w:rFonts w:hint="eastAsia"/>
              </w:rPr>
              <w:t>每年丧失工作能力平均百分比</w:t>
            </w:r>
          </w:p>
        </w:tc>
        <w:tc>
          <w:tcPr>
            <w:tcW w:w="505"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227"/>
              <w:jc w:val="right"/>
            </w:pPr>
            <w:r>
              <w:t>4.8</w:t>
            </w:r>
          </w:p>
        </w:tc>
        <w:tc>
          <w:tcPr>
            <w:tcW w:w="506"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227"/>
              <w:jc w:val="right"/>
            </w:pPr>
            <w:r>
              <w:t>6.2</w:t>
            </w:r>
          </w:p>
        </w:tc>
        <w:tc>
          <w:tcPr>
            <w:tcW w:w="442"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227"/>
              <w:jc w:val="right"/>
            </w:pPr>
            <w:r>
              <w:t>6.0</w:t>
            </w:r>
          </w:p>
        </w:tc>
        <w:tc>
          <w:tcPr>
            <w:tcW w:w="506"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227"/>
              <w:jc w:val="right"/>
            </w:pPr>
            <w:r>
              <w:t>6.3</w:t>
            </w:r>
          </w:p>
        </w:tc>
        <w:tc>
          <w:tcPr>
            <w:tcW w:w="539" w:type="pct"/>
            <w:tcBorders>
              <w:top w:val="nil"/>
              <w:left w:val="single" w:sz="4" w:space="0" w:color="auto"/>
              <w:bottom w:val="single" w:sz="4" w:space="0" w:color="auto"/>
              <w:right w:val="single" w:sz="4" w:space="0" w:color="auto"/>
            </w:tcBorders>
          </w:tcPr>
          <w:p w:rsidR="00000000" w:rsidRDefault="00000000">
            <w:pPr>
              <w:pStyle w:val="aa"/>
              <w:spacing w:line="336" w:lineRule="auto"/>
              <w:ind w:right="227"/>
              <w:jc w:val="right"/>
            </w:pPr>
            <w:r>
              <w:t>5.8</w:t>
            </w:r>
          </w:p>
        </w:tc>
      </w:tr>
    </w:tbl>
    <w:p w:rsidR="00000000" w:rsidRDefault="00000000">
      <w:pPr>
        <w:pStyle w:val="FootnoteText"/>
        <w:spacing w:before="240" w:after="240" w:line="336" w:lineRule="auto"/>
        <w:rPr>
          <w:rFonts w:hint="eastAsia"/>
        </w:rPr>
      </w:pPr>
      <w:r>
        <w:rPr>
          <w:rFonts w:hint="eastAsia"/>
          <w:u w:val="single"/>
        </w:rPr>
        <w:t>资料来源</w:t>
      </w:r>
      <w:r>
        <w:rPr>
          <w:rFonts w:hint="eastAsia"/>
        </w:rPr>
        <w:t>：</w:t>
      </w:r>
      <w:r>
        <w:rPr>
          <w:rFonts w:hint="eastAsia"/>
        </w:rPr>
        <w:t>1999</w:t>
      </w:r>
      <w:r>
        <w:rPr>
          <w:rFonts w:hint="eastAsia"/>
        </w:rPr>
        <w:t>年捷克共和国统计年鉴。</w:t>
      </w:r>
    </w:p>
    <w:p w:rsidR="00000000" w:rsidRDefault="00000000">
      <w:pPr>
        <w:rPr>
          <w:rFonts w:hint="eastAsia"/>
        </w:rPr>
      </w:pPr>
      <w:r>
        <w:rPr>
          <w:rFonts w:hint="eastAsia"/>
        </w:rPr>
        <w:tab/>
        <w:t xml:space="preserve">474.  </w:t>
      </w:r>
      <w:r>
        <w:rPr>
          <w:rFonts w:hint="eastAsia"/>
        </w:rPr>
        <w:t>尽管近几年食品消费结构发生积极变化，但居民健康也是营养不良的结果</w:t>
      </w:r>
      <w:r>
        <w:rPr>
          <w:rFonts w:hint="eastAsia"/>
          <w:spacing w:val="-50"/>
        </w:rPr>
        <w:t>―</w:t>
      </w:r>
      <w:r>
        <w:rPr>
          <w:rFonts w:hint="eastAsia"/>
        </w:rPr>
        <w:t>―卡路里摄取量过多、以动物脂肪为主、单糖和盐以及粗糙食物、蔬菜和水果消费不足。按人体重量指数界定，人口体重显示，</w:t>
      </w:r>
      <w:r>
        <w:rPr>
          <w:rFonts w:hint="eastAsia"/>
        </w:rPr>
        <w:t>45</w:t>
      </w:r>
      <w:r>
        <w:rPr>
          <w:rFonts w:hint="eastAsia"/>
        </w:rPr>
        <w:t>至</w:t>
      </w:r>
      <w:r>
        <w:rPr>
          <w:rFonts w:hint="eastAsia"/>
        </w:rPr>
        <w:t>64</w:t>
      </w:r>
      <w:r>
        <w:rPr>
          <w:rFonts w:hint="eastAsia"/>
        </w:rPr>
        <w:t>岁的男子和</w:t>
      </w:r>
      <w:r>
        <w:rPr>
          <w:rFonts w:hint="eastAsia"/>
        </w:rPr>
        <w:t>55</w:t>
      </w:r>
      <w:r>
        <w:rPr>
          <w:rFonts w:hint="eastAsia"/>
        </w:rPr>
        <w:t>岁至</w:t>
      </w:r>
      <w:r>
        <w:rPr>
          <w:rFonts w:hint="eastAsia"/>
        </w:rPr>
        <w:t>74</w:t>
      </w:r>
      <w:r>
        <w:rPr>
          <w:rFonts w:hint="eastAsia"/>
        </w:rPr>
        <w:t>岁的妇女超重至过于肥胖。这一事实与体育活动少也有关。从事体育运动的妇女通常少于男子：</w:t>
      </w:r>
      <w:r>
        <w:rPr>
          <w:rFonts w:hint="eastAsia"/>
        </w:rPr>
        <w:t>60%</w:t>
      </w:r>
      <w:r>
        <w:rPr>
          <w:rFonts w:hint="eastAsia"/>
        </w:rPr>
        <w:t>的男子和</w:t>
      </w:r>
      <w:r>
        <w:rPr>
          <w:rFonts w:hint="eastAsia"/>
        </w:rPr>
        <w:t>80%</w:t>
      </w:r>
      <w:r>
        <w:rPr>
          <w:rFonts w:hint="eastAsia"/>
        </w:rPr>
        <w:t>的妇女一周甚至连一天的体育活动都没有。体育活动强度与教育程度呈间接比例。</w:t>
      </w:r>
    </w:p>
    <w:p w:rsidR="00000000" w:rsidRDefault="00000000">
      <w:pPr>
        <w:spacing w:after="320"/>
        <w:rPr>
          <w:rFonts w:hint="eastAsia"/>
        </w:rPr>
      </w:pPr>
      <w:r>
        <w:rPr>
          <w:rFonts w:hint="eastAsia"/>
        </w:rPr>
        <w:tab/>
        <w:t xml:space="preserve">475.  </w:t>
      </w:r>
      <w:r>
        <w:rPr>
          <w:rFonts w:hint="eastAsia"/>
        </w:rPr>
        <w:t>按立升计算的纯酒精消费在增加。男子消费更多的酒精</w:t>
      </w:r>
      <w:r>
        <w:rPr>
          <w:rFonts w:hint="eastAsia"/>
        </w:rPr>
        <w:t>(1995</w:t>
      </w:r>
      <w:r>
        <w:rPr>
          <w:rFonts w:hint="eastAsia"/>
        </w:rPr>
        <w:t>年每个男子消费</w:t>
      </w:r>
      <w:r>
        <w:rPr>
          <w:rFonts w:hint="eastAsia"/>
        </w:rPr>
        <w:t>18.2</w:t>
      </w:r>
      <w:r>
        <w:rPr>
          <w:rFonts w:hint="eastAsia"/>
        </w:rPr>
        <w:t>升</w:t>
      </w:r>
      <w:r>
        <w:rPr>
          <w:rFonts w:hint="eastAsia"/>
        </w:rPr>
        <w:t>)</w:t>
      </w:r>
      <w:r>
        <w:rPr>
          <w:rFonts w:hint="eastAsia"/>
        </w:rPr>
        <w:t>；其中</w:t>
      </w:r>
      <w:r>
        <w:rPr>
          <w:rFonts w:hint="eastAsia"/>
        </w:rPr>
        <w:t>70%</w:t>
      </w:r>
      <w:r>
        <w:rPr>
          <w:rFonts w:hint="eastAsia"/>
        </w:rPr>
        <w:t>可归入酒精经常消费者类。</w:t>
      </w:r>
      <w:r>
        <w:rPr>
          <w:rFonts w:hint="eastAsia"/>
        </w:rPr>
        <w:t>16%</w:t>
      </w:r>
      <w:r>
        <w:rPr>
          <w:rFonts w:hint="eastAsia"/>
        </w:rPr>
        <w:t>的男子和</w:t>
      </w:r>
      <w:r>
        <w:rPr>
          <w:rFonts w:hint="eastAsia"/>
        </w:rPr>
        <w:t>2%</w:t>
      </w:r>
      <w:r>
        <w:rPr>
          <w:rFonts w:hint="eastAsia"/>
        </w:rPr>
        <w:t>的妇女属于过量消费者</w:t>
      </w:r>
      <w:r>
        <w:rPr>
          <w:rFonts w:hint="eastAsia"/>
        </w:rPr>
        <w:t>(</w:t>
      </w:r>
      <w:r>
        <w:rPr>
          <w:rFonts w:hint="eastAsia"/>
        </w:rPr>
        <w:t>按卫生组织标准，每周男子在</w:t>
      </w:r>
      <w:r>
        <w:rPr>
          <w:rFonts w:hint="eastAsia"/>
        </w:rPr>
        <w:t>264</w:t>
      </w:r>
      <w:r>
        <w:rPr>
          <w:rFonts w:hint="eastAsia"/>
        </w:rPr>
        <w:t>克以上，妇女在</w:t>
      </w:r>
      <w:r>
        <w:rPr>
          <w:rFonts w:hint="eastAsia"/>
        </w:rPr>
        <w:t>180</w:t>
      </w:r>
      <w:r>
        <w:rPr>
          <w:rFonts w:hint="eastAsia"/>
        </w:rPr>
        <w:t>克以上</w:t>
      </w:r>
      <w:r>
        <w:rPr>
          <w:rFonts w:hint="eastAsia"/>
        </w:rPr>
        <w:t>)</w:t>
      </w:r>
      <w:r>
        <w:rPr>
          <w:rFonts w:hint="eastAsia"/>
        </w:rPr>
        <w:t>。男子酒精消费量与其教育呈间接比例。这种关系在妇女中不明显。在捷克共和国，非酒精毒品消费特别是在达到成年的青年人中也出现有害发展。</w:t>
      </w:r>
      <w:r>
        <w:rPr>
          <w:rFonts w:hint="eastAsia"/>
        </w:rPr>
        <w:t>1996</w:t>
      </w:r>
      <w:r>
        <w:rPr>
          <w:rFonts w:hint="eastAsia"/>
        </w:rPr>
        <w:t>年因使用这些物质引起紊乱在非卧床治疗设施接受治疗的病人中，三分之一以上是年龄不超过</w:t>
      </w:r>
      <w:r>
        <w:rPr>
          <w:rFonts w:hint="eastAsia"/>
        </w:rPr>
        <w:t>19</w:t>
      </w:r>
      <w:r>
        <w:rPr>
          <w:rFonts w:hint="eastAsia"/>
        </w:rPr>
        <w:t>岁的青年人。</w:t>
      </w:r>
    </w:p>
    <w:p w:rsidR="00000000" w:rsidRDefault="00000000">
      <w:pPr>
        <w:pStyle w:val="Heading3"/>
        <w:spacing w:after="160"/>
        <w:rPr>
          <w:u w:val="none"/>
        </w:rPr>
      </w:pPr>
      <w:r>
        <w:rPr>
          <w:rFonts w:hint="eastAsia"/>
        </w:rPr>
        <w:t>人均酒精消费增长情况</w:t>
      </w:r>
      <w:r>
        <w:rPr>
          <w:rFonts w:hint="eastAsia"/>
        </w:rPr>
        <w:t>(</w:t>
      </w:r>
      <w:r>
        <w:rPr>
          <w:rFonts w:hint="eastAsia"/>
        </w:rPr>
        <w:t>单位：</w:t>
      </w:r>
      <w:r>
        <w:rPr>
          <w:rFonts w:hint="eastAsia"/>
        </w:rPr>
        <w:t>100%</w:t>
      </w:r>
      <w:r>
        <w:rPr>
          <w:rFonts w:hint="eastAsia"/>
        </w:rPr>
        <w:t>纯酒精，升</w:t>
      </w:r>
      <w:r>
        <w:rPr>
          <w:rFonts w:hint="eastAsia"/>
          <w:u w:val="none"/>
        </w:rPr>
        <w:t>)</w:t>
      </w:r>
    </w:p>
    <w:tbl>
      <w:tblPr>
        <w:tblW w:w="5000" w:type="pct"/>
        <w:tblBorders>
          <w:top w:val="single" w:sz="12" w:space="0" w:color="008000"/>
          <w:bottom w:val="single" w:sz="12" w:space="0" w:color="008000"/>
        </w:tblBorders>
        <w:tblCellMar>
          <w:left w:w="70" w:type="dxa"/>
          <w:right w:w="70" w:type="dxa"/>
        </w:tblCellMar>
        <w:tblLook w:val="0000" w:firstRow="0" w:lastRow="0" w:firstColumn="0" w:lastColumn="0" w:noHBand="0" w:noVBand="0"/>
      </w:tblPr>
      <w:tblGrid>
        <w:gridCol w:w="3281"/>
        <w:gridCol w:w="1242"/>
        <w:gridCol w:w="1244"/>
        <w:gridCol w:w="1242"/>
        <w:gridCol w:w="1244"/>
        <w:gridCol w:w="1242"/>
      </w:tblGrid>
      <w:tr w:rsidR="00000000">
        <w:tblPrEx>
          <w:tblCellMar>
            <w:top w:w="0" w:type="dxa"/>
            <w:bottom w:w="0" w:type="dxa"/>
          </w:tblCellMar>
        </w:tblPrEx>
        <w:tc>
          <w:tcPr>
            <w:tcW w:w="1728" w:type="pct"/>
            <w:tcBorders>
              <w:top w:val="single" w:sz="4" w:space="0" w:color="auto"/>
              <w:left w:val="single" w:sz="4" w:space="0" w:color="auto"/>
              <w:bottom w:val="single" w:sz="6" w:space="0" w:color="008000"/>
              <w:right w:val="single" w:sz="4" w:space="0" w:color="auto"/>
            </w:tcBorders>
          </w:tcPr>
          <w:p w:rsidR="00000000" w:rsidRDefault="00000000">
            <w:pPr>
              <w:spacing w:before="60"/>
              <w:rPr>
                <w:sz w:val="21"/>
                <w:szCs w:val="22"/>
              </w:rPr>
            </w:pPr>
          </w:p>
        </w:tc>
        <w:tc>
          <w:tcPr>
            <w:tcW w:w="654" w:type="pct"/>
            <w:tcBorders>
              <w:top w:val="single" w:sz="4" w:space="0" w:color="auto"/>
              <w:left w:val="single" w:sz="4" w:space="0" w:color="auto"/>
              <w:bottom w:val="single" w:sz="6" w:space="0" w:color="008000"/>
              <w:right w:val="single" w:sz="4" w:space="0" w:color="auto"/>
            </w:tcBorders>
          </w:tcPr>
          <w:p w:rsidR="00000000" w:rsidRDefault="00000000">
            <w:pPr>
              <w:spacing w:before="60"/>
              <w:jc w:val="center"/>
              <w:rPr>
                <w:rFonts w:hint="eastAsia"/>
                <w:sz w:val="21"/>
                <w:szCs w:val="22"/>
              </w:rPr>
            </w:pPr>
            <w:r>
              <w:rPr>
                <w:sz w:val="21"/>
                <w:szCs w:val="22"/>
              </w:rPr>
              <w:t>1990</w:t>
            </w:r>
            <w:r>
              <w:rPr>
                <w:rFonts w:hint="eastAsia"/>
                <w:sz w:val="21"/>
                <w:szCs w:val="22"/>
              </w:rPr>
              <w:t>年</w:t>
            </w:r>
          </w:p>
        </w:tc>
        <w:tc>
          <w:tcPr>
            <w:tcW w:w="655" w:type="pct"/>
            <w:tcBorders>
              <w:top w:val="single" w:sz="4" w:space="0" w:color="auto"/>
              <w:left w:val="single" w:sz="4" w:space="0" w:color="auto"/>
              <w:bottom w:val="single" w:sz="6" w:space="0" w:color="008000"/>
              <w:right w:val="single" w:sz="4" w:space="0" w:color="auto"/>
            </w:tcBorders>
          </w:tcPr>
          <w:p w:rsidR="00000000" w:rsidRDefault="00000000">
            <w:pPr>
              <w:spacing w:before="60"/>
              <w:jc w:val="center"/>
              <w:rPr>
                <w:rFonts w:hint="eastAsia"/>
                <w:sz w:val="21"/>
                <w:szCs w:val="22"/>
              </w:rPr>
            </w:pPr>
            <w:r>
              <w:rPr>
                <w:sz w:val="21"/>
                <w:szCs w:val="22"/>
              </w:rPr>
              <w:t>1994</w:t>
            </w:r>
            <w:r>
              <w:rPr>
                <w:rFonts w:hint="eastAsia"/>
                <w:sz w:val="21"/>
                <w:szCs w:val="22"/>
              </w:rPr>
              <w:t>年</w:t>
            </w:r>
          </w:p>
        </w:tc>
        <w:tc>
          <w:tcPr>
            <w:tcW w:w="654" w:type="pct"/>
            <w:tcBorders>
              <w:top w:val="single" w:sz="4" w:space="0" w:color="auto"/>
              <w:left w:val="single" w:sz="4" w:space="0" w:color="auto"/>
              <w:bottom w:val="single" w:sz="6" w:space="0" w:color="008000"/>
              <w:right w:val="single" w:sz="4" w:space="0" w:color="auto"/>
            </w:tcBorders>
          </w:tcPr>
          <w:p w:rsidR="00000000" w:rsidRDefault="00000000">
            <w:pPr>
              <w:spacing w:before="60"/>
              <w:jc w:val="center"/>
              <w:rPr>
                <w:rFonts w:hint="eastAsia"/>
                <w:sz w:val="21"/>
                <w:szCs w:val="22"/>
              </w:rPr>
            </w:pPr>
            <w:r>
              <w:rPr>
                <w:sz w:val="21"/>
                <w:szCs w:val="22"/>
              </w:rPr>
              <w:t>1995</w:t>
            </w:r>
            <w:r>
              <w:rPr>
                <w:rFonts w:hint="eastAsia"/>
                <w:sz w:val="21"/>
                <w:szCs w:val="22"/>
              </w:rPr>
              <w:t>年</w:t>
            </w:r>
          </w:p>
        </w:tc>
        <w:tc>
          <w:tcPr>
            <w:tcW w:w="655" w:type="pct"/>
            <w:tcBorders>
              <w:top w:val="single" w:sz="4" w:space="0" w:color="auto"/>
              <w:left w:val="single" w:sz="4" w:space="0" w:color="auto"/>
              <w:bottom w:val="single" w:sz="6" w:space="0" w:color="008000"/>
              <w:right w:val="single" w:sz="4" w:space="0" w:color="auto"/>
            </w:tcBorders>
          </w:tcPr>
          <w:p w:rsidR="00000000" w:rsidRDefault="00000000">
            <w:pPr>
              <w:spacing w:before="60"/>
              <w:jc w:val="center"/>
              <w:rPr>
                <w:rFonts w:hint="eastAsia"/>
                <w:sz w:val="21"/>
                <w:szCs w:val="22"/>
              </w:rPr>
            </w:pPr>
            <w:r>
              <w:rPr>
                <w:sz w:val="21"/>
                <w:szCs w:val="22"/>
              </w:rPr>
              <w:t>1996</w:t>
            </w:r>
            <w:r>
              <w:rPr>
                <w:rFonts w:hint="eastAsia"/>
                <w:sz w:val="21"/>
                <w:szCs w:val="22"/>
              </w:rPr>
              <w:t>年</w:t>
            </w:r>
          </w:p>
        </w:tc>
        <w:tc>
          <w:tcPr>
            <w:tcW w:w="654" w:type="pct"/>
            <w:tcBorders>
              <w:top w:val="single" w:sz="4" w:space="0" w:color="auto"/>
              <w:left w:val="single" w:sz="4" w:space="0" w:color="auto"/>
              <w:bottom w:val="single" w:sz="6" w:space="0" w:color="008000"/>
              <w:right w:val="single" w:sz="4" w:space="0" w:color="auto"/>
            </w:tcBorders>
          </w:tcPr>
          <w:p w:rsidR="00000000" w:rsidRDefault="00000000">
            <w:pPr>
              <w:spacing w:before="60"/>
              <w:ind w:right="72"/>
              <w:jc w:val="center"/>
              <w:rPr>
                <w:rFonts w:hint="eastAsia"/>
                <w:sz w:val="21"/>
                <w:szCs w:val="22"/>
              </w:rPr>
            </w:pPr>
            <w:r>
              <w:rPr>
                <w:sz w:val="21"/>
                <w:szCs w:val="22"/>
              </w:rPr>
              <w:t>1997</w:t>
            </w:r>
            <w:r>
              <w:rPr>
                <w:rFonts w:hint="eastAsia"/>
                <w:sz w:val="21"/>
                <w:szCs w:val="22"/>
              </w:rPr>
              <w:t>年</w:t>
            </w:r>
          </w:p>
        </w:tc>
      </w:tr>
      <w:tr w:rsidR="00000000">
        <w:tblPrEx>
          <w:tblCellMar>
            <w:top w:w="0" w:type="dxa"/>
            <w:bottom w:w="0" w:type="dxa"/>
          </w:tblCellMar>
        </w:tblPrEx>
        <w:tc>
          <w:tcPr>
            <w:tcW w:w="1728" w:type="pct"/>
            <w:tcBorders>
              <w:top w:val="nil"/>
              <w:left w:val="single" w:sz="4" w:space="0" w:color="auto"/>
              <w:bottom w:val="nil"/>
              <w:right w:val="single" w:sz="4" w:space="0" w:color="auto"/>
            </w:tcBorders>
          </w:tcPr>
          <w:p w:rsidR="00000000" w:rsidRDefault="00000000">
            <w:pPr>
              <w:spacing w:before="60"/>
              <w:rPr>
                <w:rFonts w:hint="eastAsia"/>
                <w:sz w:val="21"/>
                <w:szCs w:val="22"/>
              </w:rPr>
            </w:pPr>
            <w:r>
              <w:rPr>
                <w:rFonts w:hint="eastAsia"/>
                <w:sz w:val="21"/>
                <w:szCs w:val="22"/>
              </w:rPr>
              <w:t>含酒精饮料总计</w:t>
            </w:r>
          </w:p>
        </w:tc>
        <w:tc>
          <w:tcPr>
            <w:tcW w:w="654" w:type="pct"/>
            <w:tcBorders>
              <w:top w:val="nil"/>
              <w:left w:val="single" w:sz="4" w:space="0" w:color="auto"/>
              <w:bottom w:val="nil"/>
              <w:right w:val="single" w:sz="4" w:space="0" w:color="auto"/>
            </w:tcBorders>
          </w:tcPr>
          <w:p w:rsidR="00000000" w:rsidRDefault="00000000">
            <w:pPr>
              <w:spacing w:before="60"/>
              <w:ind w:right="284"/>
              <w:jc w:val="right"/>
              <w:rPr>
                <w:sz w:val="21"/>
                <w:szCs w:val="22"/>
              </w:rPr>
            </w:pPr>
            <w:r>
              <w:rPr>
                <w:sz w:val="21"/>
                <w:szCs w:val="22"/>
              </w:rPr>
              <w:t>8.9</w:t>
            </w:r>
          </w:p>
        </w:tc>
        <w:tc>
          <w:tcPr>
            <w:tcW w:w="655" w:type="pct"/>
            <w:tcBorders>
              <w:top w:val="nil"/>
              <w:left w:val="single" w:sz="4" w:space="0" w:color="auto"/>
              <w:bottom w:val="nil"/>
              <w:right w:val="single" w:sz="4" w:space="0" w:color="auto"/>
            </w:tcBorders>
          </w:tcPr>
          <w:p w:rsidR="00000000" w:rsidRDefault="00000000">
            <w:pPr>
              <w:spacing w:before="60"/>
              <w:ind w:right="284"/>
              <w:jc w:val="right"/>
              <w:rPr>
                <w:sz w:val="21"/>
                <w:szCs w:val="22"/>
              </w:rPr>
            </w:pPr>
            <w:r>
              <w:rPr>
                <w:sz w:val="21"/>
                <w:szCs w:val="22"/>
              </w:rPr>
              <w:t>9.4</w:t>
            </w:r>
          </w:p>
        </w:tc>
        <w:tc>
          <w:tcPr>
            <w:tcW w:w="654" w:type="pct"/>
            <w:tcBorders>
              <w:top w:val="nil"/>
              <w:left w:val="single" w:sz="4" w:space="0" w:color="auto"/>
              <w:bottom w:val="nil"/>
              <w:right w:val="single" w:sz="4" w:space="0" w:color="auto"/>
            </w:tcBorders>
          </w:tcPr>
          <w:p w:rsidR="00000000" w:rsidRDefault="00000000">
            <w:pPr>
              <w:spacing w:before="60"/>
              <w:ind w:right="284"/>
              <w:jc w:val="right"/>
              <w:rPr>
                <w:sz w:val="21"/>
                <w:szCs w:val="22"/>
              </w:rPr>
            </w:pPr>
            <w:r>
              <w:rPr>
                <w:sz w:val="21"/>
                <w:szCs w:val="22"/>
              </w:rPr>
              <w:t>9.4</w:t>
            </w:r>
          </w:p>
        </w:tc>
        <w:tc>
          <w:tcPr>
            <w:tcW w:w="655" w:type="pct"/>
            <w:tcBorders>
              <w:top w:val="nil"/>
              <w:left w:val="single" w:sz="4" w:space="0" w:color="auto"/>
              <w:bottom w:val="nil"/>
              <w:right w:val="single" w:sz="4" w:space="0" w:color="auto"/>
            </w:tcBorders>
          </w:tcPr>
          <w:p w:rsidR="00000000" w:rsidRDefault="00000000">
            <w:pPr>
              <w:spacing w:before="60"/>
              <w:ind w:right="284"/>
              <w:jc w:val="right"/>
              <w:rPr>
                <w:sz w:val="21"/>
                <w:szCs w:val="22"/>
              </w:rPr>
            </w:pPr>
            <w:r>
              <w:rPr>
                <w:sz w:val="21"/>
                <w:szCs w:val="22"/>
              </w:rPr>
              <w:t>9.5</w:t>
            </w:r>
          </w:p>
        </w:tc>
        <w:tc>
          <w:tcPr>
            <w:tcW w:w="654" w:type="pct"/>
            <w:tcBorders>
              <w:top w:val="nil"/>
              <w:left w:val="single" w:sz="4" w:space="0" w:color="auto"/>
              <w:bottom w:val="nil"/>
              <w:right w:val="single" w:sz="4" w:space="0" w:color="auto"/>
            </w:tcBorders>
          </w:tcPr>
          <w:p w:rsidR="00000000" w:rsidRDefault="00000000">
            <w:pPr>
              <w:spacing w:before="60"/>
              <w:ind w:right="284"/>
              <w:jc w:val="right"/>
              <w:rPr>
                <w:sz w:val="21"/>
                <w:szCs w:val="22"/>
              </w:rPr>
            </w:pPr>
            <w:r>
              <w:rPr>
                <w:sz w:val="21"/>
                <w:szCs w:val="22"/>
              </w:rPr>
              <w:t>9.8</w:t>
            </w:r>
          </w:p>
        </w:tc>
      </w:tr>
      <w:tr w:rsidR="00000000">
        <w:tblPrEx>
          <w:tblCellMar>
            <w:top w:w="0" w:type="dxa"/>
            <w:bottom w:w="0" w:type="dxa"/>
          </w:tblCellMar>
        </w:tblPrEx>
        <w:tc>
          <w:tcPr>
            <w:tcW w:w="1728" w:type="pct"/>
            <w:tcBorders>
              <w:top w:val="nil"/>
              <w:left w:val="single" w:sz="4" w:space="0" w:color="auto"/>
              <w:bottom w:val="nil"/>
              <w:right w:val="single" w:sz="4" w:space="0" w:color="auto"/>
            </w:tcBorders>
          </w:tcPr>
          <w:p w:rsidR="00000000" w:rsidRDefault="00000000">
            <w:pPr>
              <w:rPr>
                <w:sz w:val="21"/>
                <w:szCs w:val="22"/>
              </w:rPr>
            </w:pPr>
            <w:r>
              <w:rPr>
                <w:rFonts w:hint="eastAsia"/>
                <w:sz w:val="21"/>
                <w:szCs w:val="22"/>
              </w:rPr>
              <w:t>烈酒</w:t>
            </w:r>
            <w:r>
              <w:rPr>
                <w:sz w:val="21"/>
                <w:szCs w:val="22"/>
              </w:rPr>
              <w:t>(40%)</w:t>
            </w:r>
          </w:p>
        </w:tc>
        <w:tc>
          <w:tcPr>
            <w:tcW w:w="654"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7.2</w:t>
            </w:r>
          </w:p>
        </w:tc>
        <w:tc>
          <w:tcPr>
            <w:tcW w:w="655"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7.9</w:t>
            </w:r>
          </w:p>
        </w:tc>
        <w:tc>
          <w:tcPr>
            <w:tcW w:w="654"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7.9</w:t>
            </w:r>
          </w:p>
        </w:tc>
        <w:tc>
          <w:tcPr>
            <w:tcW w:w="655"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8.0</w:t>
            </w:r>
          </w:p>
        </w:tc>
        <w:tc>
          <w:tcPr>
            <w:tcW w:w="654"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8.3</w:t>
            </w:r>
          </w:p>
        </w:tc>
      </w:tr>
      <w:tr w:rsidR="00000000">
        <w:tblPrEx>
          <w:tblCellMar>
            <w:top w:w="0" w:type="dxa"/>
            <w:bottom w:w="0" w:type="dxa"/>
          </w:tblCellMar>
        </w:tblPrEx>
        <w:tc>
          <w:tcPr>
            <w:tcW w:w="1728" w:type="pct"/>
            <w:tcBorders>
              <w:top w:val="nil"/>
              <w:left w:val="single" w:sz="4" w:space="0" w:color="auto"/>
              <w:bottom w:val="nil"/>
              <w:right w:val="single" w:sz="4" w:space="0" w:color="auto"/>
            </w:tcBorders>
          </w:tcPr>
          <w:p w:rsidR="00000000" w:rsidRDefault="00000000">
            <w:pPr>
              <w:rPr>
                <w:rFonts w:hint="eastAsia"/>
                <w:sz w:val="21"/>
                <w:szCs w:val="22"/>
              </w:rPr>
            </w:pPr>
            <w:r>
              <w:rPr>
                <w:rFonts w:hint="eastAsia"/>
                <w:sz w:val="21"/>
                <w:szCs w:val="22"/>
              </w:rPr>
              <w:t>啤</w:t>
            </w:r>
            <w:r>
              <w:rPr>
                <w:rFonts w:hint="eastAsia"/>
                <w:sz w:val="21"/>
                <w:szCs w:val="22"/>
              </w:rPr>
              <w:t xml:space="preserve">  </w:t>
            </w:r>
            <w:r>
              <w:rPr>
                <w:rFonts w:hint="eastAsia"/>
                <w:sz w:val="21"/>
                <w:szCs w:val="22"/>
              </w:rPr>
              <w:t>酒</w:t>
            </w:r>
          </w:p>
        </w:tc>
        <w:tc>
          <w:tcPr>
            <w:tcW w:w="654"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155.2</w:t>
            </w:r>
          </w:p>
        </w:tc>
        <w:tc>
          <w:tcPr>
            <w:tcW w:w="655"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156.7</w:t>
            </w:r>
          </w:p>
        </w:tc>
        <w:tc>
          <w:tcPr>
            <w:tcW w:w="654"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156.9</w:t>
            </w:r>
          </w:p>
        </w:tc>
        <w:tc>
          <w:tcPr>
            <w:tcW w:w="655"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157.3</w:t>
            </w:r>
          </w:p>
        </w:tc>
        <w:tc>
          <w:tcPr>
            <w:tcW w:w="654" w:type="pct"/>
            <w:tcBorders>
              <w:top w:val="nil"/>
              <w:left w:val="single" w:sz="4" w:space="0" w:color="auto"/>
              <w:bottom w:val="nil"/>
              <w:right w:val="single" w:sz="4" w:space="0" w:color="auto"/>
            </w:tcBorders>
          </w:tcPr>
          <w:p w:rsidR="00000000" w:rsidRDefault="00000000">
            <w:pPr>
              <w:ind w:right="284"/>
              <w:jc w:val="right"/>
              <w:rPr>
                <w:sz w:val="21"/>
                <w:szCs w:val="22"/>
              </w:rPr>
            </w:pPr>
            <w:r>
              <w:rPr>
                <w:sz w:val="21"/>
                <w:szCs w:val="22"/>
              </w:rPr>
              <w:t>161.4</w:t>
            </w:r>
          </w:p>
        </w:tc>
      </w:tr>
      <w:tr w:rsidR="00000000">
        <w:tblPrEx>
          <w:tblCellMar>
            <w:top w:w="0" w:type="dxa"/>
            <w:bottom w:w="0" w:type="dxa"/>
          </w:tblCellMar>
        </w:tblPrEx>
        <w:tc>
          <w:tcPr>
            <w:tcW w:w="1728" w:type="pct"/>
            <w:tcBorders>
              <w:top w:val="nil"/>
              <w:left w:val="single" w:sz="4" w:space="0" w:color="auto"/>
              <w:bottom w:val="single" w:sz="4" w:space="0" w:color="auto"/>
              <w:right w:val="single" w:sz="4" w:space="0" w:color="auto"/>
            </w:tcBorders>
          </w:tcPr>
          <w:p w:rsidR="00000000" w:rsidRDefault="00000000">
            <w:pPr>
              <w:rPr>
                <w:rFonts w:hint="eastAsia"/>
                <w:sz w:val="21"/>
                <w:szCs w:val="22"/>
              </w:rPr>
            </w:pPr>
            <w:r>
              <w:rPr>
                <w:rFonts w:hint="eastAsia"/>
                <w:sz w:val="21"/>
                <w:szCs w:val="22"/>
              </w:rPr>
              <w:t>葡萄酒</w:t>
            </w:r>
          </w:p>
        </w:tc>
        <w:tc>
          <w:tcPr>
            <w:tcW w:w="654" w:type="pct"/>
            <w:tcBorders>
              <w:top w:val="nil"/>
              <w:left w:val="single" w:sz="4" w:space="0" w:color="auto"/>
              <w:bottom w:val="single" w:sz="4" w:space="0" w:color="auto"/>
              <w:right w:val="single" w:sz="4" w:space="0" w:color="auto"/>
            </w:tcBorders>
          </w:tcPr>
          <w:p w:rsidR="00000000" w:rsidRDefault="00000000">
            <w:pPr>
              <w:ind w:right="284"/>
              <w:jc w:val="right"/>
              <w:rPr>
                <w:sz w:val="21"/>
                <w:szCs w:val="22"/>
              </w:rPr>
            </w:pPr>
            <w:r>
              <w:rPr>
                <w:sz w:val="21"/>
                <w:szCs w:val="22"/>
              </w:rPr>
              <w:t>14.8</w:t>
            </w:r>
          </w:p>
        </w:tc>
        <w:tc>
          <w:tcPr>
            <w:tcW w:w="655" w:type="pct"/>
            <w:tcBorders>
              <w:top w:val="nil"/>
              <w:left w:val="single" w:sz="4" w:space="0" w:color="auto"/>
              <w:bottom w:val="single" w:sz="4" w:space="0" w:color="auto"/>
              <w:right w:val="single" w:sz="4" w:space="0" w:color="auto"/>
            </w:tcBorders>
          </w:tcPr>
          <w:p w:rsidR="00000000" w:rsidRDefault="00000000">
            <w:pPr>
              <w:ind w:right="284"/>
              <w:jc w:val="right"/>
              <w:rPr>
                <w:sz w:val="21"/>
                <w:szCs w:val="22"/>
              </w:rPr>
            </w:pPr>
            <w:r>
              <w:rPr>
                <w:sz w:val="21"/>
                <w:szCs w:val="22"/>
              </w:rPr>
              <w:t>15.4</w:t>
            </w:r>
          </w:p>
        </w:tc>
        <w:tc>
          <w:tcPr>
            <w:tcW w:w="654" w:type="pct"/>
            <w:tcBorders>
              <w:top w:val="nil"/>
              <w:left w:val="single" w:sz="4" w:space="0" w:color="auto"/>
              <w:bottom w:val="single" w:sz="4" w:space="0" w:color="auto"/>
              <w:right w:val="single" w:sz="4" w:space="0" w:color="auto"/>
            </w:tcBorders>
          </w:tcPr>
          <w:p w:rsidR="00000000" w:rsidRDefault="00000000">
            <w:pPr>
              <w:ind w:right="284"/>
              <w:jc w:val="right"/>
              <w:rPr>
                <w:sz w:val="21"/>
                <w:szCs w:val="22"/>
              </w:rPr>
            </w:pPr>
            <w:r>
              <w:rPr>
                <w:sz w:val="21"/>
                <w:szCs w:val="22"/>
              </w:rPr>
              <w:t>15.4</w:t>
            </w:r>
          </w:p>
        </w:tc>
        <w:tc>
          <w:tcPr>
            <w:tcW w:w="655" w:type="pct"/>
            <w:tcBorders>
              <w:top w:val="nil"/>
              <w:left w:val="single" w:sz="4" w:space="0" w:color="auto"/>
              <w:bottom w:val="single" w:sz="4" w:space="0" w:color="auto"/>
              <w:right w:val="single" w:sz="4" w:space="0" w:color="auto"/>
            </w:tcBorders>
          </w:tcPr>
          <w:p w:rsidR="00000000" w:rsidRDefault="00000000">
            <w:pPr>
              <w:ind w:right="284"/>
              <w:jc w:val="right"/>
              <w:rPr>
                <w:sz w:val="21"/>
                <w:szCs w:val="22"/>
              </w:rPr>
            </w:pPr>
            <w:r>
              <w:rPr>
                <w:sz w:val="21"/>
                <w:szCs w:val="22"/>
              </w:rPr>
              <w:t>15.8</w:t>
            </w:r>
          </w:p>
        </w:tc>
        <w:tc>
          <w:tcPr>
            <w:tcW w:w="654" w:type="pct"/>
            <w:tcBorders>
              <w:top w:val="nil"/>
              <w:left w:val="single" w:sz="4" w:space="0" w:color="auto"/>
              <w:bottom w:val="single" w:sz="4" w:space="0" w:color="auto"/>
              <w:right w:val="single" w:sz="4" w:space="0" w:color="auto"/>
            </w:tcBorders>
          </w:tcPr>
          <w:p w:rsidR="00000000" w:rsidRDefault="00000000">
            <w:pPr>
              <w:ind w:right="284"/>
              <w:jc w:val="right"/>
              <w:rPr>
                <w:sz w:val="21"/>
                <w:szCs w:val="22"/>
              </w:rPr>
            </w:pPr>
            <w:r>
              <w:rPr>
                <w:sz w:val="21"/>
                <w:szCs w:val="22"/>
              </w:rPr>
              <w:t>15.9</w:t>
            </w:r>
          </w:p>
        </w:tc>
      </w:tr>
    </w:tbl>
    <w:p w:rsidR="00000000" w:rsidRDefault="00000000">
      <w:pPr>
        <w:spacing w:before="240"/>
        <w:rPr>
          <w:rFonts w:hint="eastAsia"/>
        </w:rPr>
      </w:pPr>
      <w:r>
        <w:rPr>
          <w:rFonts w:hint="eastAsia"/>
        </w:rPr>
        <w:tab/>
        <w:t xml:space="preserve">476.  </w:t>
      </w:r>
      <w:r>
        <w:rPr>
          <w:rFonts w:hint="eastAsia"/>
        </w:rPr>
        <w:t>人口中吸烟普遍。健康资料和统计研究所</w:t>
      </w:r>
      <w:r>
        <w:rPr>
          <w:rFonts w:hint="eastAsia"/>
        </w:rPr>
        <w:t>1993</w:t>
      </w:r>
      <w:r>
        <w:rPr>
          <w:rFonts w:hint="eastAsia"/>
        </w:rPr>
        <w:t>年进行的调查发现</w:t>
      </w:r>
      <w:r>
        <w:rPr>
          <w:rFonts w:hint="eastAsia"/>
        </w:rPr>
        <w:t>32.3%</w:t>
      </w:r>
      <w:r>
        <w:rPr>
          <w:rFonts w:hint="eastAsia"/>
        </w:rPr>
        <w:t>的男子和</w:t>
      </w:r>
      <w:r>
        <w:rPr>
          <w:rFonts w:hint="eastAsia"/>
        </w:rPr>
        <w:t>21.3%</w:t>
      </w:r>
      <w:r>
        <w:rPr>
          <w:rFonts w:hint="eastAsia"/>
        </w:rPr>
        <w:t>的妇女为经常吸烟者。在两性中，</w:t>
      </w:r>
      <w:r>
        <w:rPr>
          <w:rFonts w:hint="eastAsia"/>
        </w:rPr>
        <w:t>35</w:t>
      </w:r>
      <w:r>
        <w:rPr>
          <w:rFonts w:hint="eastAsia"/>
        </w:rPr>
        <w:t>至</w:t>
      </w:r>
      <w:r>
        <w:rPr>
          <w:rFonts w:hint="eastAsia"/>
        </w:rPr>
        <w:t>44</w:t>
      </w:r>
      <w:r>
        <w:rPr>
          <w:rFonts w:hint="eastAsia"/>
        </w:rPr>
        <w:t>岁年龄段吸烟率最高。情况比</w:t>
      </w:r>
      <w:r>
        <w:rPr>
          <w:rFonts w:hint="eastAsia"/>
        </w:rPr>
        <w:t>1980</w:t>
      </w:r>
      <w:r>
        <w:rPr>
          <w:rFonts w:hint="eastAsia"/>
        </w:rPr>
        <w:t>年代好，但并不令人满意，因为吸烟是过早得病和死亡的重要因素。受教育程度较低和社会地位较低群体中吸烟者较多。</w:t>
      </w:r>
    </w:p>
    <w:p w:rsidR="00000000" w:rsidRDefault="00000000">
      <w:pPr>
        <w:rPr>
          <w:rFonts w:hint="eastAsia"/>
        </w:rPr>
      </w:pPr>
      <w:r>
        <w:rPr>
          <w:rFonts w:hint="eastAsia"/>
        </w:rPr>
        <w:tab/>
        <w:t xml:space="preserve">477.  </w:t>
      </w:r>
      <w:r>
        <w:rPr>
          <w:rFonts w:hint="eastAsia"/>
        </w:rPr>
        <w:t>精神压力是慢性疾病增加的因素之一。引起精神压力的强度和程度在</w:t>
      </w:r>
      <w:r>
        <w:rPr>
          <w:rFonts w:hint="eastAsia"/>
        </w:rPr>
        <w:t>1990</w:t>
      </w:r>
      <w:r>
        <w:rPr>
          <w:rFonts w:hint="eastAsia"/>
        </w:rPr>
        <w:t>年后急剧增加。</w:t>
      </w:r>
    </w:p>
    <w:p w:rsidR="00000000" w:rsidRDefault="00000000">
      <w:pPr>
        <w:rPr>
          <w:rFonts w:hint="eastAsia"/>
        </w:rPr>
      </w:pPr>
      <w:r>
        <w:rPr>
          <w:rFonts w:hint="eastAsia"/>
        </w:rPr>
        <w:tab/>
        <w:t xml:space="preserve">478.  </w:t>
      </w:r>
      <w:r>
        <w:rPr>
          <w:rFonts w:hint="eastAsia"/>
        </w:rPr>
        <w:t>因此捷克共和国人口健康的控制因素是：</w:t>
      </w:r>
    </w:p>
    <w:p w:rsidR="00000000" w:rsidRDefault="00000000">
      <w:pPr>
        <w:numPr>
          <w:ilvl w:val="0"/>
          <w:numId w:val="896"/>
        </w:numPr>
        <w:rPr>
          <w:rFonts w:hint="eastAsia"/>
        </w:rPr>
      </w:pPr>
      <w:r>
        <w:rPr>
          <w:rFonts w:hint="eastAsia"/>
        </w:rPr>
        <w:t>生活方式。有害健康生活方式的重要因素是吸烟、能量失衡和营养结构不适当、体育活动少、脑力负担过重、有害使用和依赖酒精和非酒精药物和不适当的性行为。这些因素对健康的影响高达</w:t>
      </w:r>
      <w:r>
        <w:rPr>
          <w:rFonts w:hint="eastAsia"/>
        </w:rPr>
        <w:t>60%</w:t>
      </w:r>
      <w:r>
        <w:rPr>
          <w:rFonts w:hint="eastAsia"/>
        </w:rPr>
        <w:t>。虽然营养情况有改善，但其他因素引起的危险程度并未下降；</w:t>
      </w:r>
    </w:p>
    <w:p w:rsidR="00000000" w:rsidRDefault="00000000">
      <w:pPr>
        <w:numPr>
          <w:ilvl w:val="0"/>
          <w:numId w:val="896"/>
        </w:numPr>
        <w:rPr>
          <w:rFonts w:hint="eastAsia"/>
        </w:rPr>
      </w:pPr>
      <w:r>
        <w:rPr>
          <w:rFonts w:hint="eastAsia"/>
        </w:rPr>
        <w:t>生活和工作环境退化对健康的影响大约为</w:t>
      </w:r>
      <w:r>
        <w:rPr>
          <w:rFonts w:hint="eastAsia"/>
        </w:rPr>
        <w:t>20%</w:t>
      </w:r>
      <w:r>
        <w:rPr>
          <w:rFonts w:hint="eastAsia"/>
        </w:rPr>
        <w:t>。捷克共和国的环境质量正慢慢改善，但污染长期影响的发病率尚未下降，特别是急性和慢性呼吸性疾病、过敏和某些种类的肿瘤的发病率；</w:t>
      </w:r>
    </w:p>
    <w:p w:rsidR="00000000" w:rsidRDefault="00000000">
      <w:pPr>
        <w:numPr>
          <w:ilvl w:val="0"/>
          <w:numId w:val="896"/>
        </w:numPr>
        <w:rPr>
          <w:rFonts w:hint="eastAsia"/>
        </w:rPr>
      </w:pPr>
      <w:r>
        <w:rPr>
          <w:rFonts w:hint="eastAsia"/>
        </w:rPr>
        <w:t>保健程度对捷克共和国人口健康的影响大约为</w:t>
      </w:r>
      <w:r>
        <w:rPr>
          <w:rFonts w:hint="eastAsia"/>
        </w:rPr>
        <w:t>20%</w:t>
      </w:r>
      <w:r>
        <w:rPr>
          <w:rFonts w:hint="eastAsia"/>
        </w:rPr>
        <w:t>。</w:t>
      </w:r>
    </w:p>
    <w:p w:rsidR="00000000" w:rsidRDefault="00000000">
      <w:pPr>
        <w:rPr>
          <w:rFonts w:hint="eastAsia"/>
        </w:rPr>
      </w:pPr>
      <w:r>
        <w:rPr>
          <w:rFonts w:hint="eastAsia"/>
        </w:rPr>
        <w:tab/>
        <w:t xml:space="preserve">479.  </w:t>
      </w:r>
      <w:r>
        <w:rPr>
          <w:rFonts w:hint="eastAsia"/>
        </w:rPr>
        <w:t>捷克共和国农村和城市人口的健康无根本区别，但罗姆人口有不同的发病率和流行程度。有关人口健康的统计研究没有单独跟踪这一群体；上述结论的依据是医生和健康检查员的若干调查结果和经验。罗姆人口的健康，特别是儿童发病率较高和预期寿命较低，这与包括饮食习惯在内的不同生活方式有关，此外一些罗姆人及其家庭的物质生活条件不恰当。</w:t>
      </w:r>
    </w:p>
    <w:p w:rsidR="00000000" w:rsidRDefault="00000000">
      <w:pPr>
        <w:rPr>
          <w:rFonts w:hint="eastAsia"/>
        </w:rPr>
      </w:pPr>
      <w:r>
        <w:rPr>
          <w:rFonts w:hint="eastAsia"/>
        </w:rPr>
        <w:tab/>
        <w:t xml:space="preserve">480.  </w:t>
      </w:r>
      <w:r>
        <w:rPr>
          <w:rFonts w:hint="eastAsia"/>
        </w:rPr>
        <w:t>捷克共和国卫生和环境行动计划</w:t>
      </w:r>
      <w:r>
        <w:rPr>
          <w:rFonts w:hint="eastAsia"/>
        </w:rPr>
        <w:t xml:space="preserve"> </w:t>
      </w:r>
      <w:r>
        <w:rPr>
          <w:rStyle w:val="EndnoteReference"/>
        </w:rPr>
        <w:endnoteReference w:id="291"/>
      </w:r>
      <w:r>
        <w:rPr>
          <w:rFonts w:hint="eastAsia"/>
        </w:rPr>
        <w:t xml:space="preserve"> </w:t>
      </w:r>
      <w:r>
        <w:rPr>
          <w:rFonts w:hint="eastAsia"/>
        </w:rPr>
        <w:t>和全国保健方案</w:t>
      </w:r>
      <w:r>
        <w:rPr>
          <w:rFonts w:hint="eastAsia"/>
        </w:rPr>
        <w:t xml:space="preserve"> </w:t>
      </w:r>
      <w:r>
        <w:rPr>
          <w:rStyle w:val="EndnoteReference"/>
        </w:rPr>
        <w:endnoteReference w:id="292"/>
      </w:r>
      <w:r>
        <w:rPr>
          <w:rFonts w:hint="eastAsia"/>
        </w:rPr>
        <w:t xml:space="preserve"> </w:t>
      </w:r>
      <w:r>
        <w:rPr>
          <w:rFonts w:hint="eastAsia"/>
        </w:rPr>
        <w:t>是捷克共和国保健政策的基础并确保对健康生活条件给予专门指导以及保护和支持健康。先前的文件，全国振兴和支持保健方案早在</w:t>
      </w:r>
      <w:r>
        <w:rPr>
          <w:rFonts w:hint="eastAsia"/>
        </w:rPr>
        <w:t>1991</w:t>
      </w:r>
      <w:r>
        <w:rPr>
          <w:rFonts w:hint="eastAsia"/>
        </w:rPr>
        <w:t>年初就获得捷克共和国政府批准</w:t>
      </w:r>
      <w:r>
        <w:rPr>
          <w:rStyle w:val="EndnoteReference"/>
        </w:rPr>
        <w:endnoteReference w:id="293"/>
      </w:r>
      <w:r>
        <w:rPr>
          <w:rFonts w:hint="eastAsia"/>
        </w:rPr>
        <w:t xml:space="preserve"> </w:t>
      </w:r>
      <w:r>
        <w:rPr>
          <w:rFonts w:hint="eastAsia"/>
        </w:rPr>
        <w:t>。继该方案后捷克共和国于</w:t>
      </w:r>
      <w:r>
        <w:rPr>
          <w:rFonts w:hint="eastAsia"/>
        </w:rPr>
        <w:t>1992</w:t>
      </w:r>
      <w:r>
        <w:rPr>
          <w:rFonts w:hint="eastAsia"/>
        </w:rPr>
        <w:t>年制订了振兴和支持保健的中期战略项目</w:t>
      </w:r>
      <w:r>
        <w:rPr>
          <w:rFonts w:hint="eastAsia"/>
        </w:rPr>
        <w:t xml:space="preserve"> </w:t>
      </w:r>
      <w:r>
        <w:rPr>
          <w:rStyle w:val="EndnoteReference"/>
        </w:rPr>
        <w:endnoteReference w:id="294"/>
      </w:r>
      <w:r>
        <w:rPr>
          <w:rFonts w:hint="eastAsia"/>
        </w:rPr>
        <w:t xml:space="preserve"> </w:t>
      </w:r>
      <w:r>
        <w:rPr>
          <w:rFonts w:hint="eastAsia"/>
        </w:rPr>
        <w:t>，其中确定了保健政策未来</w:t>
      </w:r>
      <w:r>
        <w:rPr>
          <w:rFonts w:hint="eastAsia"/>
        </w:rPr>
        <w:t>3</w:t>
      </w:r>
      <w:r>
        <w:rPr>
          <w:rFonts w:hint="eastAsia"/>
        </w:rPr>
        <w:t>年的目标和制订长期战略的任务：全国保健方案。该项目是世界卫生组织</w:t>
      </w:r>
      <w:r>
        <w:t xml:space="preserve"> </w:t>
      </w:r>
      <w:r>
        <w:rPr>
          <w:rStyle w:val="EndnoteReference"/>
        </w:rPr>
        <w:endnoteReference w:id="295"/>
      </w:r>
      <w:r>
        <w:rPr>
          <w:rFonts w:hint="eastAsia"/>
        </w:rPr>
        <w:t xml:space="preserve"> </w:t>
      </w:r>
      <w:r>
        <w:rPr>
          <w:rFonts w:hint="eastAsia"/>
        </w:rPr>
        <w:t>区域战略</w:t>
      </w:r>
      <w:r>
        <w:t>(</w:t>
      </w:r>
      <w:r>
        <w:rPr>
          <w:rFonts w:hint="eastAsia"/>
        </w:rPr>
        <w:t>到</w:t>
      </w:r>
      <w:r>
        <w:rPr>
          <w:rFonts w:hint="eastAsia"/>
        </w:rPr>
        <w:t>2000</w:t>
      </w:r>
      <w:r>
        <w:rPr>
          <w:rFonts w:hint="eastAsia"/>
        </w:rPr>
        <w:t>年争取人人健康</w:t>
      </w:r>
      <w:r>
        <w:t>)</w:t>
      </w:r>
      <w:r>
        <w:rPr>
          <w:rFonts w:hint="eastAsia"/>
        </w:rPr>
        <w:t>的国家版本。</w:t>
      </w:r>
    </w:p>
    <w:p w:rsidR="00000000" w:rsidRDefault="00000000">
      <w:pPr>
        <w:rPr>
          <w:rFonts w:hint="eastAsia"/>
        </w:rPr>
      </w:pPr>
      <w:r>
        <w:rPr>
          <w:rFonts w:hint="eastAsia"/>
        </w:rPr>
        <w:tab/>
        <w:t xml:space="preserve">481.  </w:t>
      </w:r>
      <w:r>
        <w:rPr>
          <w:rFonts w:hint="eastAsia"/>
        </w:rPr>
        <w:t>全国保健方案的主要任务是支持执行健康辅助项目：</w:t>
      </w:r>
    </w:p>
    <w:p w:rsidR="00000000" w:rsidRDefault="00000000">
      <w:pPr>
        <w:pStyle w:val="a6"/>
        <w:tabs>
          <w:tab w:val="num" w:pos="510"/>
        </w:tabs>
        <w:ind w:left="1550"/>
        <w:rPr>
          <w:rFonts w:hint="eastAsia"/>
        </w:rPr>
      </w:pPr>
      <w:r>
        <w:rPr>
          <w:rFonts w:hint="eastAsia"/>
        </w:rPr>
        <w:t>向所有公民系统和充分介绍其行动和行为对健康的影响；</w:t>
      </w:r>
    </w:p>
    <w:p w:rsidR="00000000" w:rsidRDefault="00000000">
      <w:pPr>
        <w:pStyle w:val="a6"/>
        <w:tabs>
          <w:tab w:val="num" w:pos="510"/>
        </w:tabs>
        <w:ind w:left="1550"/>
        <w:rPr>
          <w:rFonts w:hint="eastAsia"/>
        </w:rPr>
      </w:pPr>
      <w:r>
        <w:rPr>
          <w:rFonts w:hint="eastAsia"/>
        </w:rPr>
        <w:t>教育人民对自己的健康采取积极做法和支持对健康负责的态度；</w:t>
      </w:r>
    </w:p>
    <w:p w:rsidR="00000000" w:rsidRDefault="00000000">
      <w:pPr>
        <w:pStyle w:val="a6"/>
        <w:tabs>
          <w:tab w:val="num" w:pos="510"/>
        </w:tabs>
        <w:ind w:left="1550"/>
        <w:rPr>
          <w:rFonts w:hint="eastAsia"/>
        </w:rPr>
      </w:pPr>
      <w:r>
        <w:rPr>
          <w:rFonts w:hint="eastAsia"/>
        </w:rPr>
        <w:t>改善食品消费结构；</w:t>
      </w:r>
    </w:p>
    <w:p w:rsidR="00000000" w:rsidRDefault="00000000">
      <w:pPr>
        <w:pStyle w:val="a6"/>
        <w:tabs>
          <w:tab w:val="num" w:pos="510"/>
        </w:tabs>
        <w:ind w:left="1550"/>
        <w:rPr>
          <w:rFonts w:hint="eastAsia"/>
        </w:rPr>
      </w:pPr>
      <w:r>
        <w:rPr>
          <w:rFonts w:hint="eastAsia"/>
        </w:rPr>
        <w:t>减少酒精消费；</w:t>
      </w:r>
    </w:p>
    <w:p w:rsidR="00000000" w:rsidRDefault="00000000">
      <w:pPr>
        <w:pStyle w:val="a6"/>
        <w:tabs>
          <w:tab w:val="num" w:pos="510"/>
        </w:tabs>
        <w:ind w:left="1550"/>
        <w:rPr>
          <w:rFonts w:hint="eastAsia"/>
        </w:rPr>
      </w:pPr>
      <w:r>
        <w:rPr>
          <w:rFonts w:hint="eastAsia"/>
        </w:rPr>
        <w:t>提高人民体育活动水平；</w:t>
      </w:r>
    </w:p>
    <w:p w:rsidR="00000000" w:rsidRDefault="00000000">
      <w:pPr>
        <w:pStyle w:val="a6"/>
        <w:tabs>
          <w:tab w:val="num" w:pos="510"/>
        </w:tabs>
        <w:ind w:left="1550"/>
        <w:rPr>
          <w:rFonts w:hint="eastAsia"/>
        </w:rPr>
      </w:pPr>
      <w:r>
        <w:rPr>
          <w:rFonts w:hint="eastAsia"/>
        </w:rPr>
        <w:t>减少吸烟现象，特别是在青年人中；</w:t>
      </w:r>
    </w:p>
    <w:p w:rsidR="00000000" w:rsidRDefault="00000000">
      <w:pPr>
        <w:pStyle w:val="a6"/>
        <w:tabs>
          <w:tab w:val="num" w:pos="510"/>
        </w:tabs>
        <w:ind w:left="1550"/>
        <w:rPr>
          <w:rFonts w:hint="eastAsia"/>
        </w:rPr>
      </w:pPr>
      <w:r>
        <w:rPr>
          <w:rFonts w:hint="eastAsia"/>
        </w:rPr>
        <w:t>减少毒品需求和上瘾人数；</w:t>
      </w:r>
    </w:p>
    <w:p w:rsidR="00000000" w:rsidRDefault="00000000">
      <w:pPr>
        <w:pStyle w:val="a6"/>
        <w:tabs>
          <w:tab w:val="num" w:pos="510"/>
        </w:tabs>
        <w:ind w:left="1550"/>
        <w:rPr>
          <w:rFonts w:hint="eastAsia"/>
        </w:rPr>
      </w:pPr>
      <w:r>
        <w:rPr>
          <w:rFonts w:hint="eastAsia"/>
        </w:rPr>
        <w:t>减少造成精神压力的情况并教授如何消除心理压力；</w:t>
      </w:r>
    </w:p>
    <w:p w:rsidR="00000000" w:rsidRDefault="00000000">
      <w:pPr>
        <w:pStyle w:val="a6"/>
        <w:tabs>
          <w:tab w:val="num" w:pos="510"/>
        </w:tabs>
        <w:ind w:left="1550"/>
        <w:rPr>
          <w:rFonts w:hint="eastAsia"/>
        </w:rPr>
      </w:pPr>
      <w:r>
        <w:rPr>
          <w:rFonts w:hint="eastAsia"/>
        </w:rPr>
        <w:t>扩大计划生育和使用适当的避孕方法。</w:t>
      </w:r>
    </w:p>
    <w:p w:rsidR="00000000" w:rsidRDefault="00000000">
      <w:pPr>
        <w:spacing w:after="320"/>
        <w:rPr>
          <w:rFonts w:hint="eastAsia"/>
        </w:rPr>
      </w:pPr>
      <w:r>
        <w:rPr>
          <w:rFonts w:hint="eastAsia"/>
        </w:rPr>
        <w:tab/>
        <w:t xml:space="preserve">482.  </w:t>
      </w:r>
      <w:r>
        <w:rPr>
          <w:rFonts w:hint="eastAsia"/>
        </w:rPr>
        <w:t>捷克共和国是拟定欧洲药典公约</w:t>
      </w:r>
      <w:r>
        <w:rPr>
          <w:rFonts w:hint="eastAsia"/>
        </w:rPr>
        <w:t>(</w:t>
      </w:r>
      <w:r>
        <w:rPr>
          <w:rFonts w:hint="eastAsia"/>
        </w:rPr>
        <w:t>欧洲委员会</w:t>
      </w:r>
      <w:r>
        <w:rPr>
          <w:rFonts w:hint="eastAsia"/>
        </w:rPr>
        <w:t>)</w:t>
      </w:r>
      <w:r>
        <w:rPr>
          <w:rFonts w:hint="eastAsia"/>
        </w:rPr>
        <w:t>的缔约方，该公约经其议定书修正。自</w:t>
      </w:r>
      <w:r>
        <w:rPr>
          <w:rFonts w:hint="eastAsia"/>
        </w:rPr>
        <w:t>1998</w:t>
      </w:r>
      <w:r>
        <w:rPr>
          <w:rFonts w:hint="eastAsia"/>
        </w:rPr>
        <w:t>年以来，捷克共和国也加入了人权和生物医学公约以及在利用生物学和医学方面保护人权和人的尊严，禁止克隆人类公约附加议定书。有鉴于此，捷克有必要将国内法律规章与议定书相统一。捷克共和国作为捷克斯洛伐克社会主义联邦共和国的继承国自建国以来就是世界卫生组织成员国并依据两年合作协定向其预算经常捐款。欧洲健康</w:t>
      </w:r>
      <w:r>
        <w:rPr>
          <w:rFonts w:hint="eastAsia"/>
        </w:rPr>
        <w:t>98/99</w:t>
      </w:r>
      <w:r>
        <w:rPr>
          <w:rFonts w:hint="eastAsia"/>
        </w:rPr>
        <w:t>方案的项目于</w:t>
      </w:r>
      <w:r>
        <w:rPr>
          <w:rFonts w:hint="eastAsia"/>
        </w:rPr>
        <w:t>1999</w:t>
      </w:r>
      <w:r>
        <w:rPr>
          <w:rFonts w:hint="eastAsia"/>
        </w:rPr>
        <w:t>年完成，有关该项目的工作在卫生组织“</w:t>
      </w:r>
      <w:r>
        <w:rPr>
          <w:rFonts w:hint="eastAsia"/>
        </w:rPr>
        <w:t>21</w:t>
      </w:r>
      <w:r>
        <w:rPr>
          <w:rFonts w:hint="eastAsia"/>
        </w:rPr>
        <w:t>世纪健康</w:t>
      </w:r>
      <w:r>
        <w:rPr>
          <w:rFonts w:hint="eastAsia"/>
          <w:spacing w:val="-50"/>
        </w:rPr>
        <w:t>―</w:t>
      </w:r>
      <w:r>
        <w:rPr>
          <w:rFonts w:hint="eastAsia"/>
        </w:rPr>
        <w:t>―</w:t>
      </w:r>
      <w:r>
        <w:rPr>
          <w:rFonts w:hint="eastAsia"/>
        </w:rPr>
        <w:t>21</w:t>
      </w:r>
      <w:r>
        <w:rPr>
          <w:rFonts w:hint="eastAsia"/>
        </w:rPr>
        <w:t>世纪的</w:t>
      </w:r>
      <w:r>
        <w:rPr>
          <w:rFonts w:hint="eastAsia"/>
        </w:rPr>
        <w:t>21</w:t>
      </w:r>
      <w:r>
        <w:rPr>
          <w:rFonts w:hint="eastAsia"/>
        </w:rPr>
        <w:t>个目标”的总体新方案的主持下进行。</w:t>
      </w:r>
    </w:p>
    <w:p w:rsidR="00000000" w:rsidRDefault="00000000">
      <w:pPr>
        <w:pStyle w:val="Heading4"/>
        <w:ind w:left="500"/>
        <w:rPr>
          <w:rFonts w:hint="eastAsia"/>
        </w:rPr>
      </w:pPr>
      <w:r>
        <w:rPr>
          <w:rFonts w:hint="eastAsia"/>
        </w:rPr>
        <w:t>基本保健及其融资</w:t>
      </w:r>
    </w:p>
    <w:p w:rsidR="00000000" w:rsidRDefault="00000000">
      <w:pPr>
        <w:rPr>
          <w:rFonts w:hint="eastAsia"/>
        </w:rPr>
      </w:pPr>
      <w:r>
        <w:rPr>
          <w:rFonts w:hint="eastAsia"/>
        </w:rPr>
        <w:tab/>
        <w:t xml:space="preserve">483.  </w:t>
      </w:r>
      <w:r>
        <w:rPr>
          <w:rFonts w:hint="eastAsia"/>
        </w:rPr>
        <w:t>基本保健的提供和融资按公共保健法管理</w:t>
      </w:r>
      <w:r>
        <w:rPr>
          <w:rFonts w:hint="eastAsia"/>
        </w:rPr>
        <w:t xml:space="preserve"> </w:t>
      </w:r>
      <w:r>
        <w:rPr>
          <w:rStyle w:val="EndnoteReference"/>
        </w:rPr>
        <w:endnoteReference w:id="296"/>
      </w:r>
      <w:r>
        <w:rPr>
          <w:rFonts w:hint="eastAsia"/>
        </w:rPr>
        <w:t xml:space="preserve"> </w:t>
      </w:r>
      <w:r>
        <w:rPr>
          <w:rFonts w:hint="eastAsia"/>
        </w:rPr>
        <w:t>。</w:t>
      </w:r>
      <w:r>
        <w:rPr>
          <w:rFonts w:hint="eastAsia"/>
        </w:rPr>
        <w:t>2000</w:t>
      </w:r>
      <w:r>
        <w:rPr>
          <w:rFonts w:hint="eastAsia"/>
        </w:rPr>
        <w:t>年第一季度，卫生部长将根据政府立法任务计划提交一项新的综合保健法，于</w:t>
      </w:r>
      <w:r>
        <w:rPr>
          <w:rFonts w:hint="eastAsia"/>
        </w:rPr>
        <w:t>2001</w:t>
      </w:r>
      <w:r>
        <w:rPr>
          <w:rFonts w:hint="eastAsia"/>
        </w:rPr>
        <w:t>年</w:t>
      </w:r>
      <w:r>
        <w:rPr>
          <w:rFonts w:hint="eastAsia"/>
        </w:rPr>
        <w:t>1</w:t>
      </w:r>
      <w:r>
        <w:rPr>
          <w:rFonts w:hint="eastAsia"/>
        </w:rPr>
        <w:t>月生效。</w:t>
      </w:r>
    </w:p>
    <w:p w:rsidR="00000000" w:rsidRDefault="00000000">
      <w:pPr>
        <w:rPr>
          <w:rFonts w:hint="eastAsia"/>
        </w:rPr>
      </w:pPr>
      <w:r>
        <w:rPr>
          <w:rFonts w:hint="eastAsia"/>
        </w:rPr>
        <w:tab/>
        <w:t xml:space="preserve">484.  </w:t>
      </w:r>
      <w:r>
        <w:rPr>
          <w:rFonts w:hint="eastAsia"/>
        </w:rPr>
        <w:t>保健费用主要由健康保险公司支付。保险公司依据与保健公司达成的协议支付提供的护理。在必要和紧急护理情况中，保健设施必须向每个人提供护理。捷克共和国有</w:t>
      </w:r>
      <w:r>
        <w:rPr>
          <w:rFonts w:hint="eastAsia"/>
        </w:rPr>
        <w:t>10</w:t>
      </w:r>
      <w:r>
        <w:rPr>
          <w:rFonts w:hint="eastAsia"/>
        </w:rPr>
        <w:t>个健康保险公司。其中最大的，一般健康保险公司承担了所有投保人的大约</w:t>
      </w:r>
      <w:r>
        <w:rPr>
          <w:rFonts w:hint="eastAsia"/>
        </w:rPr>
        <w:t>75%</w:t>
      </w:r>
      <w:r>
        <w:rPr>
          <w:rFonts w:hint="eastAsia"/>
        </w:rPr>
        <w:t>的保险。</w:t>
      </w:r>
    </w:p>
    <w:p w:rsidR="00000000" w:rsidRDefault="00000000">
      <w:pPr>
        <w:rPr>
          <w:rFonts w:hint="eastAsia"/>
        </w:rPr>
      </w:pPr>
      <w:r>
        <w:rPr>
          <w:rFonts w:hint="eastAsia"/>
        </w:rPr>
        <w:tab/>
        <w:t xml:space="preserve">485.  </w:t>
      </w:r>
      <w:r>
        <w:rPr>
          <w:rFonts w:hint="eastAsia"/>
        </w:rPr>
        <w:t>保健津贴是提供给投保人的津贴。公共健康保险法</w:t>
      </w:r>
      <w:r>
        <w:rPr>
          <w:rFonts w:hint="eastAsia"/>
        </w:rPr>
        <w:t xml:space="preserve"> </w:t>
      </w:r>
      <w:r>
        <w:rPr>
          <w:rStyle w:val="EndnoteReference"/>
        </w:rPr>
        <w:endnoteReference w:id="297"/>
      </w:r>
      <w:r>
        <w:rPr>
          <w:rFonts w:hint="eastAsia"/>
        </w:rPr>
        <w:t xml:space="preserve"> </w:t>
      </w:r>
      <w:r>
        <w:rPr>
          <w:rFonts w:hint="eastAsia"/>
        </w:rPr>
        <w:t>第</w:t>
      </w:r>
      <w:r>
        <w:rPr>
          <w:rFonts w:hint="eastAsia"/>
        </w:rPr>
        <w:t>2</w:t>
      </w:r>
      <w:r>
        <w:rPr>
          <w:rFonts w:hint="eastAsia"/>
        </w:rPr>
        <w:t>节将投保人界定为在捷克共和国有永久居住权或由在一定程度上按该法具体规定在捷克共和国有注册地址的组织雇用的人。国家预算中卫生部款下的资金不支付</w:t>
      </w:r>
      <w:r>
        <w:rPr>
          <w:rFonts w:hint="eastAsia"/>
        </w:rPr>
        <w:t>(</w:t>
      </w:r>
      <w:r>
        <w:rPr>
          <w:rFonts w:hint="eastAsia"/>
        </w:rPr>
        <w:t>作为一种福利的</w:t>
      </w:r>
      <w:r>
        <w:rPr>
          <w:rFonts w:hint="eastAsia"/>
        </w:rPr>
        <w:t>)</w:t>
      </w:r>
      <w:r>
        <w:rPr>
          <w:rFonts w:hint="eastAsia"/>
        </w:rPr>
        <w:t>保健费。该部从其预算中支付健康保险不适用的某些活动和为提供保健创造条件的某些其他活动</w:t>
      </w:r>
      <w:r>
        <w:rPr>
          <w:rFonts w:hint="eastAsia"/>
        </w:rPr>
        <w:t>(</w:t>
      </w:r>
      <w:r>
        <w:rPr>
          <w:rFonts w:hint="eastAsia"/>
        </w:rPr>
        <w:t>行政和服务活动</w:t>
      </w:r>
      <w:r>
        <w:rPr>
          <w:rFonts w:hint="eastAsia"/>
        </w:rPr>
        <w:t>)</w:t>
      </w:r>
      <w:r>
        <w:rPr>
          <w:rFonts w:hint="eastAsia"/>
        </w:rPr>
        <w:t>，但主要支持盖建保健设施的投资，其中国家不论中央还是地方均为创建人。对来自与捷克共和国达成免费提供保健协定的国家的外籍人提供的保健开支也由国家预算通过卫生部支付。这些开支在保健总开支中所占百分比</w:t>
      </w:r>
      <w:r>
        <w:rPr>
          <w:rFonts w:hint="eastAsia"/>
        </w:rPr>
        <w:t>1998</w:t>
      </w:r>
      <w:r>
        <w:rPr>
          <w:rFonts w:hint="eastAsia"/>
        </w:rPr>
        <w:t>年为</w:t>
      </w:r>
      <w:r>
        <w:rPr>
          <w:rFonts w:hint="eastAsia"/>
        </w:rPr>
        <w:t>5.9%</w:t>
      </w:r>
      <w:r>
        <w:rPr>
          <w:rFonts w:hint="eastAsia"/>
        </w:rPr>
        <w:t>。</w:t>
      </w:r>
    </w:p>
    <w:p w:rsidR="00000000" w:rsidRDefault="00000000">
      <w:pPr>
        <w:rPr>
          <w:rFonts w:hint="eastAsia"/>
        </w:rPr>
      </w:pPr>
      <w:r>
        <w:rPr>
          <w:rFonts w:hint="eastAsia"/>
        </w:rPr>
        <w:tab/>
        <w:t xml:space="preserve">486.  </w:t>
      </w:r>
      <w:r>
        <w:rPr>
          <w:rFonts w:hint="eastAsia"/>
        </w:rPr>
        <w:t>保健付款来源是一般健康保险付款，数额由一般保健保险费法</w:t>
      </w:r>
      <w:r>
        <w:rPr>
          <w:rFonts w:hint="eastAsia"/>
        </w:rPr>
        <w:t xml:space="preserve"> </w:t>
      </w:r>
      <w:r>
        <w:rPr>
          <w:rStyle w:val="EndnoteReference"/>
        </w:rPr>
        <w:endnoteReference w:id="298"/>
      </w:r>
      <w:r>
        <w:rPr>
          <w:rFonts w:hint="eastAsia"/>
        </w:rPr>
        <w:t xml:space="preserve"> </w:t>
      </w:r>
      <w:r>
        <w:rPr>
          <w:rFonts w:hint="eastAsia"/>
        </w:rPr>
        <w:t>规定。保健保险费付款人是投保人</w:t>
      </w:r>
      <w:r>
        <w:rPr>
          <w:rFonts w:hint="eastAsia"/>
        </w:rPr>
        <w:t>(</w:t>
      </w:r>
      <w:r>
        <w:rPr>
          <w:rFonts w:hint="eastAsia"/>
        </w:rPr>
        <w:t>雇员、自营职业者和在捷克共和国长期居住的人，对这种人国家不支付保险费</w:t>
      </w:r>
      <w:r>
        <w:rPr>
          <w:rFonts w:hint="eastAsia"/>
        </w:rPr>
        <w:t>)</w:t>
      </w:r>
      <w:r>
        <w:rPr>
          <w:rFonts w:hint="eastAsia"/>
        </w:rPr>
        <w:t>、雇主</w:t>
      </w:r>
      <w:r>
        <w:rPr>
          <w:rFonts w:hint="eastAsia"/>
        </w:rPr>
        <w:t>(</w:t>
      </w:r>
      <w:r>
        <w:rPr>
          <w:rFonts w:hint="eastAsia"/>
        </w:rPr>
        <w:t>为其雇员支付</w:t>
      </w:r>
      <w:r>
        <w:rPr>
          <w:rFonts w:hint="eastAsia"/>
        </w:rPr>
        <w:t>)</w:t>
      </w:r>
      <w:r>
        <w:rPr>
          <w:rFonts w:hint="eastAsia"/>
        </w:rPr>
        <w:t>和国家。根据上文援引的法律</w:t>
      </w:r>
      <w:r>
        <w:rPr>
          <w:rFonts w:hint="eastAsia"/>
        </w:rPr>
        <w:t>(</w:t>
      </w:r>
      <w:r>
        <w:rPr>
          <w:rFonts w:hint="eastAsia"/>
        </w:rPr>
        <w:t>第</w:t>
      </w:r>
      <w:r>
        <w:rPr>
          <w:rFonts w:hint="eastAsia"/>
        </w:rPr>
        <w:t>3</w:t>
      </w:r>
      <w:r>
        <w:rPr>
          <w:rFonts w:hint="eastAsia"/>
        </w:rPr>
        <w:t>节</w:t>
      </w:r>
      <w:r>
        <w:t>a-c</w:t>
      </w:r>
      <w:r>
        <w:rPr>
          <w:rFonts w:hint="eastAsia"/>
        </w:rPr>
        <w:t>款</w:t>
      </w:r>
      <w:r>
        <w:rPr>
          <w:rFonts w:hint="eastAsia"/>
        </w:rPr>
        <w:t>)</w:t>
      </w:r>
      <w:r>
        <w:rPr>
          <w:rFonts w:hint="eastAsia"/>
        </w:rPr>
        <w:t>，保险费数额的评估基础是：</w:t>
      </w:r>
    </w:p>
    <w:p w:rsidR="00000000" w:rsidRDefault="00000000">
      <w:pPr>
        <w:numPr>
          <w:ilvl w:val="0"/>
          <w:numId w:val="899"/>
        </w:numPr>
        <w:spacing w:line="312" w:lineRule="auto"/>
        <w:rPr>
          <w:rFonts w:hint="eastAsia"/>
        </w:rPr>
      </w:pPr>
      <w:r>
        <w:rPr>
          <w:rFonts w:hint="eastAsia"/>
        </w:rPr>
        <w:t>对于雇用关系中的雇员而言是所有来源的收入之和，排除在外的收入除外；最低计算基数是最低工资</w:t>
      </w:r>
      <w:r>
        <w:rPr>
          <w:rFonts w:hint="eastAsia"/>
        </w:rPr>
        <w:t>(</w:t>
      </w:r>
      <w:r>
        <w:rPr>
          <w:rFonts w:hint="eastAsia"/>
        </w:rPr>
        <w:t>按月界定</w:t>
      </w:r>
      <w:r>
        <w:rPr>
          <w:rFonts w:hint="eastAsia"/>
        </w:rPr>
        <w:t>)</w:t>
      </w:r>
      <w:r>
        <w:rPr>
          <w:rFonts w:hint="eastAsia"/>
        </w:rPr>
        <w:t>；</w:t>
      </w:r>
    </w:p>
    <w:p w:rsidR="00000000" w:rsidRDefault="00000000">
      <w:pPr>
        <w:numPr>
          <w:ilvl w:val="0"/>
          <w:numId w:val="899"/>
        </w:numPr>
        <w:spacing w:line="312" w:lineRule="auto"/>
        <w:rPr>
          <w:rFonts w:hint="eastAsia"/>
        </w:rPr>
      </w:pPr>
      <w:r>
        <w:rPr>
          <w:rFonts w:hint="eastAsia"/>
        </w:rPr>
        <w:t>对于独立自营职业者是在扣除为开业、确保其运转和予以维持所发生的开支后来自经营或其他独立自营职业的收入的</w:t>
      </w:r>
      <w:r>
        <w:rPr>
          <w:rFonts w:hint="eastAsia"/>
        </w:rPr>
        <w:t>35%</w:t>
      </w:r>
      <w:r>
        <w:rPr>
          <w:rFonts w:hint="eastAsia"/>
        </w:rPr>
        <w:t>；最低计算基数是最低工资</w:t>
      </w:r>
      <w:r>
        <w:rPr>
          <w:rFonts w:hint="eastAsia"/>
        </w:rPr>
        <w:t>(</w:t>
      </w:r>
      <w:r>
        <w:rPr>
          <w:rFonts w:hint="eastAsia"/>
        </w:rPr>
        <w:t>或为了全年计算，该工资乘以</w:t>
      </w:r>
      <w:r>
        <w:rPr>
          <w:rFonts w:hint="eastAsia"/>
        </w:rPr>
        <w:t>12)</w:t>
      </w:r>
      <w:r>
        <w:rPr>
          <w:rFonts w:hint="eastAsia"/>
        </w:rPr>
        <w:t>最高计算基数为</w:t>
      </w:r>
      <w:r>
        <w:rPr>
          <w:rFonts w:hint="eastAsia"/>
        </w:rPr>
        <w:t>486,800</w:t>
      </w:r>
      <w:r>
        <w:rPr>
          <w:rFonts w:hint="eastAsia"/>
        </w:rPr>
        <w:t>克朗</w:t>
      </w:r>
      <w:r>
        <w:rPr>
          <w:rFonts w:hint="eastAsia"/>
        </w:rPr>
        <w:t>(</w:t>
      </w:r>
      <w:r>
        <w:rPr>
          <w:rFonts w:hint="eastAsia"/>
        </w:rPr>
        <w:t>为</w:t>
      </w:r>
      <w:r>
        <w:rPr>
          <w:rFonts w:hint="eastAsia"/>
        </w:rPr>
        <w:t>1</w:t>
      </w:r>
      <w:r>
        <w:rPr>
          <w:rFonts w:hint="eastAsia"/>
        </w:rPr>
        <w:t>日历年</w:t>
      </w:r>
      <w:r>
        <w:rPr>
          <w:rFonts w:hint="eastAsia"/>
        </w:rPr>
        <w:t>)</w:t>
      </w:r>
      <w:r>
        <w:rPr>
          <w:rFonts w:hint="eastAsia"/>
        </w:rPr>
        <w:t>；</w:t>
      </w:r>
    </w:p>
    <w:p w:rsidR="00000000" w:rsidRDefault="00000000">
      <w:pPr>
        <w:numPr>
          <w:ilvl w:val="0"/>
          <w:numId w:val="899"/>
        </w:numPr>
        <w:spacing w:line="312" w:lineRule="auto"/>
        <w:rPr>
          <w:rFonts w:hint="eastAsia"/>
        </w:rPr>
      </w:pPr>
      <w:r>
        <w:rPr>
          <w:rFonts w:hint="eastAsia"/>
        </w:rPr>
        <w:t>对由国家支付保险费的人是</w:t>
      </w:r>
      <w:r>
        <w:rPr>
          <w:rFonts w:hint="eastAsia"/>
        </w:rPr>
        <w:t>2,900</w:t>
      </w:r>
      <w:r>
        <w:rPr>
          <w:rFonts w:hint="eastAsia"/>
        </w:rPr>
        <w:t>克朗；</w:t>
      </w:r>
    </w:p>
    <w:p w:rsidR="00000000" w:rsidRDefault="00000000">
      <w:pPr>
        <w:numPr>
          <w:ilvl w:val="0"/>
          <w:numId w:val="899"/>
        </w:numPr>
        <w:spacing w:line="312" w:lineRule="auto"/>
        <w:rPr>
          <w:rFonts w:hint="eastAsia"/>
        </w:rPr>
      </w:pPr>
      <w:r>
        <w:rPr>
          <w:rFonts w:hint="eastAsia"/>
        </w:rPr>
        <w:t>对无就业或独立自营职业收入和国家不支付保险费的人为最低工资。</w:t>
      </w:r>
    </w:p>
    <w:p w:rsidR="00000000" w:rsidRDefault="00000000">
      <w:pPr>
        <w:rPr>
          <w:rFonts w:hint="eastAsia"/>
        </w:rPr>
      </w:pPr>
      <w:r>
        <w:rPr>
          <w:rFonts w:hint="eastAsia"/>
        </w:rPr>
        <w:tab/>
        <w:t xml:space="preserve">487.  </w:t>
      </w:r>
      <w:r>
        <w:rPr>
          <w:rFonts w:hint="eastAsia"/>
        </w:rPr>
        <w:t>此外，雇主向健康保险公司帐户汇款，支付其必须为雇员支付的保险费部分。在实际中，计算保险费数额的方式和规定的计算基数的区别导致下列情况：尽管雇员平均实际个人收入和生活水准较低，但他们所付的数额</w:t>
      </w:r>
      <w:r>
        <w:rPr>
          <w:rFonts w:hint="eastAsia"/>
        </w:rPr>
        <w:t>(</w:t>
      </w:r>
      <w:r>
        <w:rPr>
          <w:rFonts w:hint="eastAsia"/>
        </w:rPr>
        <w:t>包括其雇主支付的保险费</w:t>
      </w:r>
      <w:r>
        <w:rPr>
          <w:rFonts w:hint="eastAsia"/>
        </w:rPr>
        <w:t>)</w:t>
      </w:r>
      <w:r>
        <w:rPr>
          <w:rFonts w:hint="eastAsia"/>
        </w:rPr>
        <w:t>平均高于自营职业者。</w:t>
      </w:r>
    </w:p>
    <w:p w:rsidR="00000000" w:rsidRDefault="00000000">
      <w:pPr>
        <w:rPr>
          <w:rFonts w:hint="eastAsia"/>
        </w:rPr>
      </w:pPr>
      <w:r>
        <w:rPr>
          <w:rFonts w:hint="eastAsia"/>
        </w:rPr>
        <w:tab/>
        <w:t xml:space="preserve">488.  </w:t>
      </w:r>
      <w:r>
        <w:rPr>
          <w:rFonts w:hint="eastAsia"/>
        </w:rPr>
        <w:t>国家根据公共健康保险法第</w:t>
      </w:r>
      <w:r>
        <w:rPr>
          <w:rFonts w:hint="eastAsia"/>
        </w:rPr>
        <w:t>7</w:t>
      </w:r>
      <w:r>
        <w:rPr>
          <w:rFonts w:hint="eastAsia"/>
        </w:rPr>
        <w:t>条由国家预算为下列人员支付健康保险：须抚养的儿童、从养恤金保险领取养恤金的人、父母津贴领取者、休产假和额外产假的妇女、寻求工作者、因社会贫困的原因而领取福利津贴的人、完全或基本残疾的人员和照顾他们的人员、在部队服基本兵役的人、被拘留者或在监狱服刑的人和被安置在学校设施由机构进行培养或受到保护性拘留的青少年。这是国家开支与一般健康保险制度相互联系最重要的部分。在重新分配若干保险费后，个人健康保险公司</w:t>
      </w:r>
      <w:r>
        <w:rPr>
          <w:rFonts w:hint="eastAsia"/>
        </w:rPr>
        <w:t>(</w:t>
      </w:r>
      <w:r>
        <w:rPr>
          <w:rFonts w:hint="eastAsia"/>
        </w:rPr>
        <w:t>公共法律机构</w:t>
      </w:r>
      <w:r>
        <w:rPr>
          <w:rFonts w:hint="eastAsia"/>
        </w:rPr>
        <w:t>)</w:t>
      </w:r>
      <w:r>
        <w:rPr>
          <w:rFonts w:hint="eastAsia"/>
        </w:rPr>
        <w:t>向保健设施支付提供给其投保方的护理，付款程度和条件由公共健康保险法具体规定</w:t>
      </w:r>
    </w:p>
    <w:p w:rsidR="00000000" w:rsidRDefault="00000000">
      <w:pPr>
        <w:rPr>
          <w:rFonts w:hint="eastAsia"/>
          <w:spacing w:val="8"/>
        </w:rPr>
      </w:pPr>
      <w:r>
        <w:rPr>
          <w:rFonts w:hint="eastAsia"/>
        </w:rPr>
        <w:tab/>
        <w:t xml:space="preserve">489.  </w:t>
      </w:r>
      <w:r>
        <w:rPr>
          <w:rFonts w:hint="eastAsia"/>
          <w:spacing w:val="8"/>
        </w:rPr>
        <w:t>公共健康保险法规定公共健康保险是所有人的义务。根据该法第</w:t>
      </w:r>
      <w:r>
        <w:rPr>
          <w:rFonts w:hint="eastAsia"/>
          <w:spacing w:val="8"/>
        </w:rPr>
        <w:t>2</w:t>
      </w:r>
      <w:r>
        <w:rPr>
          <w:rFonts w:hint="eastAsia"/>
          <w:spacing w:val="8"/>
        </w:rPr>
        <w:t>条第</w:t>
      </w:r>
      <w:r>
        <w:rPr>
          <w:rFonts w:hint="eastAsia"/>
          <w:spacing w:val="8"/>
        </w:rPr>
        <w:t>5</w:t>
      </w:r>
      <w:r>
        <w:rPr>
          <w:rFonts w:hint="eastAsia"/>
          <w:spacing w:val="8"/>
        </w:rPr>
        <w:t>款，健康保险“不包含不在捷克共和国长期居住的人和在捷克共和国享有外交特权和豁免的雇主或根据外国法律规章达成劳工法律关系的雇主或为在捷克共和国无注册地址的雇主工作的人和长期居住国外而</w:t>
      </w:r>
      <w:r>
        <w:rPr>
          <w:rFonts w:hint="eastAsia"/>
          <w:spacing w:val="8"/>
        </w:rPr>
        <w:t>(</w:t>
      </w:r>
      <w:r>
        <w:rPr>
          <w:rFonts w:hint="eastAsia"/>
          <w:spacing w:val="8"/>
        </w:rPr>
        <w:t>根据法律规定的具体条件</w:t>
      </w:r>
      <w:r>
        <w:rPr>
          <w:rFonts w:hint="eastAsia"/>
          <w:spacing w:val="8"/>
        </w:rPr>
        <w:t>)</w:t>
      </w:r>
      <w:r>
        <w:rPr>
          <w:rFonts w:hint="eastAsia"/>
          <w:spacing w:val="8"/>
        </w:rPr>
        <w:t>不支付保险费的人”。不符合法律具体规定的参加公共健康保险的条件但在捷克共和国长期或永久居住并希望购买健康保险的人可与若干健康保险公司签订健康保险协议。</w:t>
      </w:r>
    </w:p>
    <w:p w:rsidR="00000000" w:rsidRDefault="00000000">
      <w:pPr>
        <w:rPr>
          <w:rFonts w:hint="eastAsia"/>
        </w:rPr>
      </w:pPr>
      <w:r>
        <w:rPr>
          <w:rFonts w:hint="eastAsia"/>
        </w:rPr>
        <w:tab/>
        <w:t xml:space="preserve">490.  </w:t>
      </w:r>
      <w:r>
        <w:rPr>
          <w:rFonts w:hint="eastAsia"/>
        </w:rPr>
        <w:t>为了预防职业病、工伤和由工作和工作条件的影响造成和加剧的疾病的目的，所有雇主必须向其雇员提供公司预防性保健。这是为评估工作能力目的的预防性体检的组成部分。劳工法和公共健康法规定雇主负责确保工作仅由经体检有能力从事的雇员进行。</w:t>
      </w:r>
    </w:p>
    <w:p w:rsidR="00000000" w:rsidRDefault="00000000">
      <w:pPr>
        <w:spacing w:after="160"/>
      </w:pPr>
      <w:r>
        <w:rPr>
          <w:rFonts w:hint="eastAsia"/>
        </w:rPr>
        <w:tab/>
        <w:t xml:space="preserve">491.  </w:t>
      </w:r>
      <w:r>
        <w:rPr>
          <w:rFonts w:hint="eastAsia"/>
        </w:rPr>
        <w:t>保健的提供依据公平原则，即在提供保健方面不得实行不利于老年公民或其他人口群体的任何措施或立法规定。这一人口群体的问题之一是对药物的共同付款部分增加</w:t>
      </w:r>
      <w:r>
        <w:rPr>
          <w:rFonts w:hint="eastAsia"/>
        </w:rPr>
        <w:t>(</w:t>
      </w:r>
      <w:r>
        <w:rPr>
          <w:rFonts w:hint="eastAsia"/>
        </w:rPr>
        <w:t>然而，但原则仍得到遵守，其健康保险公司完全支付至少一种用于治疗特定症状的基本和绝对必要的药物</w:t>
      </w:r>
      <w:r>
        <w:rPr>
          <w:rFonts w:hint="eastAsia"/>
        </w:rPr>
        <w:t>)</w:t>
      </w:r>
      <w:r>
        <w:rPr>
          <w:rFonts w:hint="eastAsia"/>
        </w:rPr>
        <w:t>。</w:t>
      </w:r>
    </w:p>
    <w:p w:rsidR="00000000" w:rsidRDefault="00000000">
      <w:pPr>
        <w:pStyle w:val="Heading3"/>
        <w:spacing w:after="160"/>
        <w:rPr>
          <w:rFonts w:hint="eastAsia"/>
        </w:rPr>
      </w:pPr>
      <w:r>
        <w:rPr>
          <w:rFonts w:hint="eastAsia"/>
        </w:rPr>
        <w:t>保健服务支出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2"/>
        <w:gridCol w:w="1082"/>
        <w:gridCol w:w="961"/>
        <w:gridCol w:w="961"/>
        <w:gridCol w:w="961"/>
        <w:gridCol w:w="1080"/>
        <w:gridCol w:w="944"/>
      </w:tblGrid>
      <w:tr w:rsidR="00000000">
        <w:tblPrEx>
          <w:tblCellMar>
            <w:top w:w="0" w:type="dxa"/>
            <w:bottom w:w="0" w:type="dxa"/>
          </w:tblCellMar>
        </w:tblPrEx>
        <w:tc>
          <w:tcPr>
            <w:tcW w:w="1871" w:type="pct"/>
            <w:tcBorders>
              <w:bottom w:val="single" w:sz="4" w:space="0" w:color="auto"/>
            </w:tcBorders>
          </w:tcPr>
          <w:p w:rsidR="00000000" w:rsidRDefault="00000000">
            <w:pPr>
              <w:spacing w:before="120" w:after="120" w:line="240" w:lineRule="auto"/>
              <w:rPr>
                <w:sz w:val="20"/>
              </w:rPr>
            </w:pPr>
          </w:p>
        </w:tc>
        <w:tc>
          <w:tcPr>
            <w:tcW w:w="565" w:type="pct"/>
            <w:tcBorders>
              <w:bottom w:val="single" w:sz="4" w:space="0" w:color="auto"/>
            </w:tcBorders>
          </w:tcPr>
          <w:p w:rsidR="00000000" w:rsidRDefault="00000000">
            <w:pPr>
              <w:spacing w:before="120" w:after="120" w:line="240" w:lineRule="auto"/>
              <w:jc w:val="center"/>
              <w:rPr>
                <w:rFonts w:hint="eastAsia"/>
                <w:sz w:val="20"/>
              </w:rPr>
            </w:pPr>
            <w:r>
              <w:rPr>
                <w:sz w:val="20"/>
              </w:rPr>
              <w:t>1993</w:t>
            </w:r>
            <w:r>
              <w:rPr>
                <w:rFonts w:hint="eastAsia"/>
                <w:sz w:val="20"/>
              </w:rPr>
              <w:t>年</w:t>
            </w:r>
          </w:p>
        </w:tc>
        <w:tc>
          <w:tcPr>
            <w:tcW w:w="502" w:type="pct"/>
            <w:tcBorders>
              <w:bottom w:val="single" w:sz="4" w:space="0" w:color="auto"/>
            </w:tcBorders>
          </w:tcPr>
          <w:p w:rsidR="00000000" w:rsidRDefault="00000000">
            <w:pPr>
              <w:spacing w:before="120" w:after="120" w:line="240" w:lineRule="auto"/>
              <w:jc w:val="center"/>
              <w:rPr>
                <w:rFonts w:hint="eastAsia"/>
                <w:sz w:val="20"/>
              </w:rPr>
            </w:pPr>
            <w:r>
              <w:rPr>
                <w:sz w:val="20"/>
              </w:rPr>
              <w:t>1994</w:t>
            </w:r>
            <w:r>
              <w:rPr>
                <w:rFonts w:hint="eastAsia"/>
                <w:sz w:val="20"/>
              </w:rPr>
              <w:t>年</w:t>
            </w:r>
          </w:p>
        </w:tc>
        <w:tc>
          <w:tcPr>
            <w:tcW w:w="502" w:type="pct"/>
            <w:tcBorders>
              <w:bottom w:val="single" w:sz="4" w:space="0" w:color="auto"/>
            </w:tcBorders>
          </w:tcPr>
          <w:p w:rsidR="00000000" w:rsidRDefault="00000000">
            <w:pPr>
              <w:spacing w:before="120" w:after="120" w:line="240" w:lineRule="auto"/>
              <w:jc w:val="center"/>
              <w:rPr>
                <w:rFonts w:hint="eastAsia"/>
                <w:sz w:val="20"/>
              </w:rPr>
            </w:pPr>
            <w:r>
              <w:rPr>
                <w:sz w:val="20"/>
              </w:rPr>
              <w:t>1995</w:t>
            </w:r>
            <w:r>
              <w:rPr>
                <w:rFonts w:hint="eastAsia"/>
                <w:sz w:val="20"/>
              </w:rPr>
              <w:t>年</w:t>
            </w:r>
          </w:p>
        </w:tc>
        <w:tc>
          <w:tcPr>
            <w:tcW w:w="502" w:type="pct"/>
            <w:tcBorders>
              <w:bottom w:val="single" w:sz="4" w:space="0" w:color="auto"/>
            </w:tcBorders>
          </w:tcPr>
          <w:p w:rsidR="00000000" w:rsidRDefault="00000000">
            <w:pPr>
              <w:spacing w:before="120" w:after="120" w:line="240" w:lineRule="auto"/>
              <w:jc w:val="center"/>
              <w:rPr>
                <w:rFonts w:hint="eastAsia"/>
                <w:sz w:val="20"/>
              </w:rPr>
            </w:pPr>
            <w:r>
              <w:rPr>
                <w:sz w:val="20"/>
              </w:rPr>
              <w:t>1996</w:t>
            </w:r>
            <w:r>
              <w:rPr>
                <w:rFonts w:hint="eastAsia"/>
                <w:sz w:val="20"/>
              </w:rPr>
              <w:t>年</w:t>
            </w:r>
          </w:p>
        </w:tc>
        <w:tc>
          <w:tcPr>
            <w:tcW w:w="564" w:type="pct"/>
            <w:tcBorders>
              <w:bottom w:val="single" w:sz="4" w:space="0" w:color="auto"/>
            </w:tcBorders>
          </w:tcPr>
          <w:p w:rsidR="00000000" w:rsidRDefault="00000000">
            <w:pPr>
              <w:spacing w:before="120" w:after="120" w:line="240" w:lineRule="auto"/>
              <w:jc w:val="center"/>
              <w:rPr>
                <w:rFonts w:hint="eastAsia"/>
                <w:sz w:val="20"/>
              </w:rPr>
            </w:pPr>
            <w:r>
              <w:rPr>
                <w:sz w:val="20"/>
              </w:rPr>
              <w:t>1997</w:t>
            </w:r>
            <w:r>
              <w:rPr>
                <w:rFonts w:hint="eastAsia"/>
                <w:sz w:val="20"/>
              </w:rPr>
              <w:t>年</w:t>
            </w:r>
          </w:p>
        </w:tc>
        <w:tc>
          <w:tcPr>
            <w:tcW w:w="493" w:type="pct"/>
            <w:tcBorders>
              <w:bottom w:val="single" w:sz="4" w:space="0" w:color="auto"/>
            </w:tcBorders>
          </w:tcPr>
          <w:p w:rsidR="00000000" w:rsidRDefault="00000000">
            <w:pPr>
              <w:spacing w:before="120" w:after="120" w:line="240" w:lineRule="auto"/>
              <w:jc w:val="center"/>
              <w:rPr>
                <w:rFonts w:hint="eastAsia"/>
                <w:sz w:val="20"/>
              </w:rPr>
            </w:pPr>
            <w:r>
              <w:rPr>
                <w:sz w:val="20"/>
              </w:rPr>
              <w:t>1998</w:t>
            </w:r>
            <w:r>
              <w:rPr>
                <w:rFonts w:hint="eastAsia"/>
                <w:sz w:val="20"/>
              </w:rPr>
              <w:t>年</w:t>
            </w:r>
          </w:p>
        </w:tc>
      </w:tr>
      <w:tr w:rsidR="00000000">
        <w:tblPrEx>
          <w:tblCellMar>
            <w:top w:w="0" w:type="dxa"/>
            <w:bottom w:w="0" w:type="dxa"/>
          </w:tblCellMar>
        </w:tblPrEx>
        <w:tc>
          <w:tcPr>
            <w:tcW w:w="1871" w:type="pct"/>
            <w:tcBorders>
              <w:bottom w:val="nil"/>
            </w:tcBorders>
          </w:tcPr>
          <w:p w:rsidR="00000000" w:rsidRDefault="00000000">
            <w:pPr>
              <w:spacing w:line="240" w:lineRule="auto"/>
              <w:rPr>
                <w:sz w:val="20"/>
              </w:rPr>
            </w:pPr>
            <w:r>
              <w:rPr>
                <w:rFonts w:hint="eastAsia"/>
                <w:sz w:val="20"/>
              </w:rPr>
              <w:t>公共支出总计</w:t>
            </w:r>
            <w:r>
              <w:rPr>
                <w:sz w:val="20"/>
              </w:rPr>
              <w:t>(</w:t>
            </w:r>
            <w:r>
              <w:rPr>
                <w:rFonts w:hint="eastAsia"/>
                <w:sz w:val="20"/>
              </w:rPr>
              <w:t>10</w:t>
            </w:r>
            <w:r>
              <w:rPr>
                <w:rFonts w:hint="eastAsia"/>
                <w:sz w:val="20"/>
              </w:rPr>
              <w:t>亿克朗</w:t>
            </w:r>
            <w:r>
              <w:rPr>
                <w:sz w:val="20"/>
              </w:rPr>
              <w:t>)</w:t>
            </w:r>
          </w:p>
        </w:tc>
        <w:tc>
          <w:tcPr>
            <w:tcW w:w="565" w:type="pct"/>
            <w:tcBorders>
              <w:bottom w:val="nil"/>
            </w:tcBorders>
          </w:tcPr>
          <w:p w:rsidR="00000000" w:rsidRDefault="00000000">
            <w:pPr>
              <w:spacing w:line="240" w:lineRule="auto"/>
              <w:ind w:right="113"/>
              <w:jc w:val="right"/>
              <w:rPr>
                <w:sz w:val="20"/>
              </w:rPr>
            </w:pPr>
            <w:r>
              <w:rPr>
                <w:sz w:val="20"/>
              </w:rPr>
              <w:t>69.3</w:t>
            </w:r>
          </w:p>
        </w:tc>
        <w:tc>
          <w:tcPr>
            <w:tcW w:w="502" w:type="pct"/>
            <w:tcBorders>
              <w:bottom w:val="nil"/>
            </w:tcBorders>
          </w:tcPr>
          <w:p w:rsidR="00000000" w:rsidRDefault="00000000">
            <w:pPr>
              <w:spacing w:line="240" w:lineRule="auto"/>
              <w:ind w:right="113"/>
              <w:jc w:val="right"/>
              <w:rPr>
                <w:sz w:val="20"/>
              </w:rPr>
            </w:pPr>
            <w:r>
              <w:rPr>
                <w:sz w:val="20"/>
              </w:rPr>
              <w:t>81.1</w:t>
            </w:r>
          </w:p>
        </w:tc>
        <w:tc>
          <w:tcPr>
            <w:tcW w:w="502" w:type="pct"/>
            <w:tcBorders>
              <w:bottom w:val="nil"/>
            </w:tcBorders>
          </w:tcPr>
          <w:p w:rsidR="00000000" w:rsidRDefault="00000000">
            <w:pPr>
              <w:spacing w:line="240" w:lineRule="auto"/>
              <w:ind w:right="113"/>
              <w:jc w:val="right"/>
              <w:rPr>
                <w:sz w:val="20"/>
              </w:rPr>
            </w:pPr>
            <w:r>
              <w:rPr>
                <w:sz w:val="20"/>
              </w:rPr>
              <w:t>93.3</w:t>
            </w:r>
          </w:p>
        </w:tc>
        <w:tc>
          <w:tcPr>
            <w:tcW w:w="502" w:type="pct"/>
            <w:tcBorders>
              <w:bottom w:val="nil"/>
            </w:tcBorders>
          </w:tcPr>
          <w:p w:rsidR="00000000" w:rsidRDefault="00000000">
            <w:pPr>
              <w:spacing w:line="240" w:lineRule="auto"/>
              <w:ind w:right="113"/>
              <w:jc w:val="right"/>
              <w:rPr>
                <w:sz w:val="20"/>
              </w:rPr>
            </w:pPr>
            <w:r>
              <w:rPr>
                <w:sz w:val="20"/>
              </w:rPr>
              <w:t>102.4</w:t>
            </w:r>
          </w:p>
        </w:tc>
        <w:tc>
          <w:tcPr>
            <w:tcW w:w="564" w:type="pct"/>
            <w:tcBorders>
              <w:bottom w:val="nil"/>
            </w:tcBorders>
          </w:tcPr>
          <w:p w:rsidR="00000000" w:rsidRDefault="00000000">
            <w:pPr>
              <w:spacing w:line="240" w:lineRule="auto"/>
              <w:ind w:right="113"/>
              <w:jc w:val="right"/>
              <w:rPr>
                <w:sz w:val="20"/>
              </w:rPr>
            </w:pPr>
            <w:r>
              <w:rPr>
                <w:sz w:val="20"/>
              </w:rPr>
              <w:t>108.9</w:t>
            </w:r>
          </w:p>
        </w:tc>
        <w:tc>
          <w:tcPr>
            <w:tcW w:w="493" w:type="pct"/>
            <w:tcBorders>
              <w:bottom w:val="nil"/>
            </w:tcBorders>
          </w:tcPr>
          <w:p w:rsidR="00000000" w:rsidRDefault="00000000">
            <w:pPr>
              <w:spacing w:line="240" w:lineRule="auto"/>
              <w:ind w:right="113"/>
              <w:jc w:val="right"/>
              <w:rPr>
                <w:sz w:val="20"/>
              </w:rPr>
            </w:pPr>
            <w:r>
              <w:rPr>
                <w:sz w:val="20"/>
              </w:rPr>
              <w:t>113.6</w:t>
            </w: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sz w:val="20"/>
              </w:rPr>
            </w:pPr>
            <w:r>
              <w:rPr>
                <w:rFonts w:hint="eastAsia"/>
                <w:sz w:val="20"/>
              </w:rPr>
              <w:t>公共支出占国内生产总值比例</w:t>
            </w:r>
            <w:r>
              <w:rPr>
                <w:sz w:val="20"/>
              </w:rPr>
              <w:t>(%)</w:t>
            </w:r>
          </w:p>
        </w:tc>
        <w:tc>
          <w:tcPr>
            <w:tcW w:w="565" w:type="pct"/>
            <w:tcBorders>
              <w:top w:val="nil"/>
              <w:bottom w:val="nil"/>
            </w:tcBorders>
          </w:tcPr>
          <w:p w:rsidR="00000000" w:rsidRDefault="00000000">
            <w:pPr>
              <w:spacing w:line="240" w:lineRule="auto"/>
              <w:ind w:right="113"/>
              <w:jc w:val="right"/>
              <w:rPr>
                <w:sz w:val="20"/>
              </w:rPr>
            </w:pPr>
            <w:r>
              <w:rPr>
                <w:sz w:val="20"/>
              </w:rPr>
              <w:t>6.9</w:t>
            </w:r>
          </w:p>
        </w:tc>
        <w:tc>
          <w:tcPr>
            <w:tcW w:w="502" w:type="pct"/>
            <w:tcBorders>
              <w:top w:val="nil"/>
              <w:bottom w:val="nil"/>
            </w:tcBorders>
          </w:tcPr>
          <w:p w:rsidR="00000000" w:rsidRDefault="00000000">
            <w:pPr>
              <w:spacing w:line="240" w:lineRule="auto"/>
              <w:ind w:right="113"/>
              <w:jc w:val="right"/>
              <w:rPr>
                <w:sz w:val="20"/>
              </w:rPr>
            </w:pPr>
            <w:r>
              <w:rPr>
                <w:sz w:val="20"/>
              </w:rPr>
              <w:t>7.1</w:t>
            </w:r>
          </w:p>
        </w:tc>
        <w:tc>
          <w:tcPr>
            <w:tcW w:w="502" w:type="pct"/>
            <w:tcBorders>
              <w:top w:val="nil"/>
              <w:bottom w:val="nil"/>
            </w:tcBorders>
          </w:tcPr>
          <w:p w:rsidR="00000000" w:rsidRDefault="00000000">
            <w:pPr>
              <w:spacing w:line="240" w:lineRule="auto"/>
              <w:ind w:right="113"/>
              <w:jc w:val="right"/>
              <w:rPr>
                <w:sz w:val="20"/>
              </w:rPr>
            </w:pPr>
            <w:r>
              <w:rPr>
                <w:sz w:val="20"/>
              </w:rPr>
              <w:t>6.9</w:t>
            </w:r>
          </w:p>
        </w:tc>
        <w:tc>
          <w:tcPr>
            <w:tcW w:w="502" w:type="pct"/>
            <w:tcBorders>
              <w:top w:val="nil"/>
              <w:bottom w:val="nil"/>
            </w:tcBorders>
          </w:tcPr>
          <w:p w:rsidR="00000000" w:rsidRDefault="00000000">
            <w:pPr>
              <w:spacing w:line="240" w:lineRule="auto"/>
              <w:ind w:right="113"/>
              <w:jc w:val="right"/>
              <w:rPr>
                <w:sz w:val="20"/>
              </w:rPr>
            </w:pPr>
            <w:r>
              <w:rPr>
                <w:sz w:val="20"/>
              </w:rPr>
              <w:t>6.7</w:t>
            </w:r>
          </w:p>
        </w:tc>
        <w:tc>
          <w:tcPr>
            <w:tcW w:w="564" w:type="pct"/>
            <w:tcBorders>
              <w:top w:val="nil"/>
              <w:bottom w:val="nil"/>
            </w:tcBorders>
          </w:tcPr>
          <w:p w:rsidR="00000000" w:rsidRDefault="00000000">
            <w:pPr>
              <w:spacing w:line="240" w:lineRule="auto"/>
              <w:ind w:right="113"/>
              <w:jc w:val="right"/>
              <w:rPr>
                <w:sz w:val="20"/>
              </w:rPr>
            </w:pPr>
            <w:r>
              <w:rPr>
                <w:sz w:val="20"/>
              </w:rPr>
              <w:t>6.7</w:t>
            </w:r>
          </w:p>
        </w:tc>
        <w:tc>
          <w:tcPr>
            <w:tcW w:w="493" w:type="pct"/>
            <w:tcBorders>
              <w:top w:val="nil"/>
              <w:bottom w:val="nil"/>
            </w:tcBorders>
          </w:tcPr>
          <w:p w:rsidR="00000000" w:rsidRDefault="00000000">
            <w:pPr>
              <w:spacing w:line="240" w:lineRule="auto"/>
              <w:ind w:right="113"/>
              <w:jc w:val="right"/>
              <w:rPr>
                <w:sz w:val="20"/>
              </w:rPr>
            </w:pPr>
            <w:r>
              <w:rPr>
                <w:sz w:val="20"/>
              </w:rPr>
              <w:t>6.6</w:t>
            </w: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rFonts w:hint="eastAsia"/>
                <w:sz w:val="20"/>
              </w:rPr>
            </w:pPr>
            <w:r>
              <w:rPr>
                <w:rFonts w:hint="eastAsia"/>
                <w:sz w:val="20"/>
              </w:rPr>
              <w:t>保健总支出</w:t>
            </w:r>
          </w:p>
        </w:tc>
        <w:tc>
          <w:tcPr>
            <w:tcW w:w="565" w:type="pct"/>
            <w:tcBorders>
              <w:top w:val="nil"/>
              <w:bottom w:val="nil"/>
            </w:tcBorders>
          </w:tcPr>
          <w:p w:rsidR="00000000" w:rsidRDefault="00000000">
            <w:pPr>
              <w:spacing w:line="240" w:lineRule="auto"/>
              <w:ind w:right="113"/>
              <w:jc w:val="right"/>
              <w:rPr>
                <w:sz w:val="20"/>
              </w:rPr>
            </w:pPr>
          </w:p>
        </w:tc>
        <w:tc>
          <w:tcPr>
            <w:tcW w:w="502" w:type="pct"/>
            <w:tcBorders>
              <w:top w:val="nil"/>
              <w:bottom w:val="nil"/>
            </w:tcBorders>
          </w:tcPr>
          <w:p w:rsidR="00000000" w:rsidRDefault="00000000">
            <w:pPr>
              <w:spacing w:line="240" w:lineRule="auto"/>
              <w:ind w:right="113"/>
              <w:jc w:val="right"/>
              <w:rPr>
                <w:sz w:val="20"/>
              </w:rPr>
            </w:pPr>
          </w:p>
        </w:tc>
        <w:tc>
          <w:tcPr>
            <w:tcW w:w="502" w:type="pct"/>
            <w:tcBorders>
              <w:top w:val="nil"/>
              <w:bottom w:val="nil"/>
            </w:tcBorders>
          </w:tcPr>
          <w:p w:rsidR="00000000" w:rsidRDefault="00000000">
            <w:pPr>
              <w:spacing w:line="240" w:lineRule="auto"/>
              <w:ind w:right="113"/>
              <w:jc w:val="right"/>
              <w:rPr>
                <w:sz w:val="20"/>
              </w:rPr>
            </w:pPr>
          </w:p>
        </w:tc>
        <w:tc>
          <w:tcPr>
            <w:tcW w:w="502" w:type="pct"/>
            <w:tcBorders>
              <w:top w:val="nil"/>
              <w:bottom w:val="nil"/>
            </w:tcBorders>
          </w:tcPr>
          <w:p w:rsidR="00000000" w:rsidRDefault="00000000">
            <w:pPr>
              <w:spacing w:line="240" w:lineRule="auto"/>
              <w:ind w:right="113"/>
              <w:jc w:val="right"/>
              <w:rPr>
                <w:sz w:val="20"/>
              </w:rPr>
            </w:pPr>
          </w:p>
        </w:tc>
        <w:tc>
          <w:tcPr>
            <w:tcW w:w="564" w:type="pct"/>
            <w:tcBorders>
              <w:top w:val="nil"/>
              <w:bottom w:val="nil"/>
            </w:tcBorders>
          </w:tcPr>
          <w:p w:rsidR="00000000" w:rsidRDefault="00000000">
            <w:pPr>
              <w:spacing w:line="240" w:lineRule="auto"/>
              <w:ind w:right="113"/>
              <w:jc w:val="right"/>
              <w:rPr>
                <w:sz w:val="20"/>
              </w:rPr>
            </w:pPr>
          </w:p>
        </w:tc>
        <w:tc>
          <w:tcPr>
            <w:tcW w:w="493" w:type="pct"/>
            <w:tcBorders>
              <w:top w:val="nil"/>
              <w:bottom w:val="nil"/>
            </w:tcBorders>
          </w:tcPr>
          <w:p w:rsidR="00000000" w:rsidRDefault="00000000">
            <w:pPr>
              <w:spacing w:line="240" w:lineRule="auto"/>
              <w:ind w:right="113"/>
              <w:jc w:val="right"/>
              <w:rPr>
                <w:sz w:val="20"/>
              </w:rPr>
            </w:pP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sz w:val="20"/>
              </w:rPr>
            </w:pPr>
            <w:r>
              <w:rPr>
                <w:sz w:val="20"/>
              </w:rPr>
              <w:t xml:space="preserve">  </w:t>
            </w:r>
            <w:r>
              <w:rPr>
                <w:rFonts w:hint="eastAsia"/>
                <w:sz w:val="20"/>
              </w:rPr>
              <w:t>10</w:t>
            </w:r>
            <w:r>
              <w:rPr>
                <w:rFonts w:hint="eastAsia"/>
                <w:sz w:val="20"/>
              </w:rPr>
              <w:t>亿克朗</w:t>
            </w:r>
            <w:r>
              <w:rPr>
                <w:b/>
                <w:bCs/>
                <w:sz w:val="20"/>
                <w:vertAlign w:val="superscript"/>
              </w:rPr>
              <w:t>a</w:t>
            </w:r>
          </w:p>
        </w:tc>
        <w:tc>
          <w:tcPr>
            <w:tcW w:w="565" w:type="pct"/>
            <w:tcBorders>
              <w:top w:val="nil"/>
              <w:bottom w:val="nil"/>
            </w:tcBorders>
          </w:tcPr>
          <w:p w:rsidR="00000000" w:rsidRDefault="00000000">
            <w:pPr>
              <w:spacing w:line="240" w:lineRule="auto"/>
              <w:ind w:right="113"/>
              <w:jc w:val="right"/>
              <w:rPr>
                <w:sz w:val="20"/>
              </w:rPr>
            </w:pPr>
            <w:r>
              <w:rPr>
                <w:sz w:val="20"/>
              </w:rPr>
              <w:t>73.5</w:t>
            </w:r>
          </w:p>
        </w:tc>
        <w:tc>
          <w:tcPr>
            <w:tcW w:w="502" w:type="pct"/>
            <w:tcBorders>
              <w:top w:val="nil"/>
              <w:bottom w:val="nil"/>
            </w:tcBorders>
          </w:tcPr>
          <w:p w:rsidR="00000000" w:rsidRDefault="00000000">
            <w:pPr>
              <w:spacing w:line="240" w:lineRule="auto"/>
              <w:ind w:right="113"/>
              <w:jc w:val="right"/>
              <w:rPr>
                <w:sz w:val="20"/>
              </w:rPr>
            </w:pPr>
            <w:r>
              <w:rPr>
                <w:sz w:val="20"/>
              </w:rPr>
              <w:t>89.6</w:t>
            </w:r>
          </w:p>
        </w:tc>
        <w:tc>
          <w:tcPr>
            <w:tcW w:w="502" w:type="pct"/>
            <w:tcBorders>
              <w:top w:val="nil"/>
              <w:bottom w:val="nil"/>
            </w:tcBorders>
          </w:tcPr>
          <w:p w:rsidR="00000000" w:rsidRDefault="00000000">
            <w:pPr>
              <w:spacing w:line="240" w:lineRule="auto"/>
              <w:ind w:right="113"/>
              <w:jc w:val="right"/>
              <w:rPr>
                <w:sz w:val="20"/>
              </w:rPr>
            </w:pPr>
            <w:r>
              <w:rPr>
                <w:sz w:val="20"/>
              </w:rPr>
              <w:t>102.4</w:t>
            </w:r>
          </w:p>
        </w:tc>
        <w:tc>
          <w:tcPr>
            <w:tcW w:w="502" w:type="pct"/>
            <w:tcBorders>
              <w:top w:val="nil"/>
              <w:bottom w:val="nil"/>
            </w:tcBorders>
          </w:tcPr>
          <w:p w:rsidR="00000000" w:rsidRDefault="00000000">
            <w:pPr>
              <w:spacing w:line="240" w:lineRule="auto"/>
              <w:ind w:right="113"/>
              <w:jc w:val="right"/>
              <w:rPr>
                <w:sz w:val="20"/>
              </w:rPr>
            </w:pPr>
            <w:r>
              <w:rPr>
                <w:sz w:val="20"/>
              </w:rPr>
              <w:t>112.4</w:t>
            </w:r>
          </w:p>
        </w:tc>
        <w:tc>
          <w:tcPr>
            <w:tcW w:w="564" w:type="pct"/>
            <w:tcBorders>
              <w:top w:val="nil"/>
              <w:bottom w:val="nil"/>
            </w:tcBorders>
          </w:tcPr>
          <w:p w:rsidR="00000000" w:rsidRDefault="00000000">
            <w:pPr>
              <w:spacing w:line="240" w:lineRule="auto"/>
              <w:ind w:right="113"/>
              <w:jc w:val="right"/>
              <w:rPr>
                <w:sz w:val="20"/>
              </w:rPr>
            </w:pPr>
            <w:r>
              <w:rPr>
                <w:sz w:val="20"/>
              </w:rPr>
              <w:t>121.5</w:t>
            </w:r>
          </w:p>
        </w:tc>
        <w:tc>
          <w:tcPr>
            <w:tcW w:w="493" w:type="pct"/>
            <w:tcBorders>
              <w:top w:val="nil"/>
              <w:bottom w:val="nil"/>
            </w:tcBorders>
          </w:tcPr>
          <w:p w:rsidR="00000000" w:rsidRDefault="00000000">
            <w:pPr>
              <w:spacing w:line="240" w:lineRule="auto"/>
              <w:ind w:right="113"/>
              <w:jc w:val="right"/>
              <w:rPr>
                <w:sz w:val="20"/>
              </w:rPr>
            </w:pPr>
            <w:r>
              <w:rPr>
                <w:sz w:val="20"/>
              </w:rPr>
              <w:t>132.3</w:t>
            </w: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rFonts w:hint="eastAsia"/>
                <w:sz w:val="20"/>
              </w:rPr>
            </w:pPr>
            <w:r>
              <w:rPr>
                <w:sz w:val="20"/>
              </w:rPr>
              <w:t xml:space="preserve">  </w:t>
            </w:r>
            <w:r>
              <w:rPr>
                <w:rFonts w:hint="eastAsia"/>
                <w:sz w:val="20"/>
              </w:rPr>
              <w:t>人均克朗</w:t>
            </w:r>
          </w:p>
        </w:tc>
        <w:tc>
          <w:tcPr>
            <w:tcW w:w="565" w:type="pct"/>
            <w:tcBorders>
              <w:top w:val="nil"/>
              <w:bottom w:val="nil"/>
            </w:tcBorders>
          </w:tcPr>
          <w:p w:rsidR="00000000" w:rsidRDefault="00000000">
            <w:pPr>
              <w:spacing w:line="240" w:lineRule="auto"/>
              <w:ind w:right="113"/>
              <w:jc w:val="right"/>
              <w:rPr>
                <w:sz w:val="20"/>
              </w:rPr>
            </w:pPr>
            <w:r>
              <w:rPr>
                <w:sz w:val="20"/>
              </w:rPr>
              <w:t>7,112</w:t>
            </w:r>
          </w:p>
        </w:tc>
        <w:tc>
          <w:tcPr>
            <w:tcW w:w="502" w:type="pct"/>
            <w:tcBorders>
              <w:top w:val="nil"/>
              <w:bottom w:val="nil"/>
            </w:tcBorders>
          </w:tcPr>
          <w:p w:rsidR="00000000" w:rsidRDefault="00000000">
            <w:pPr>
              <w:spacing w:line="240" w:lineRule="auto"/>
              <w:ind w:right="113"/>
              <w:jc w:val="right"/>
              <w:rPr>
                <w:sz w:val="20"/>
              </w:rPr>
            </w:pPr>
            <w:r>
              <w:rPr>
                <w:sz w:val="20"/>
              </w:rPr>
              <w:t>8,671</w:t>
            </w:r>
          </w:p>
        </w:tc>
        <w:tc>
          <w:tcPr>
            <w:tcW w:w="502" w:type="pct"/>
            <w:tcBorders>
              <w:top w:val="nil"/>
              <w:bottom w:val="nil"/>
            </w:tcBorders>
          </w:tcPr>
          <w:p w:rsidR="00000000" w:rsidRDefault="00000000">
            <w:pPr>
              <w:spacing w:line="240" w:lineRule="auto"/>
              <w:ind w:right="113"/>
              <w:jc w:val="right"/>
              <w:rPr>
                <w:sz w:val="20"/>
              </w:rPr>
            </w:pPr>
            <w:r>
              <w:rPr>
                <w:sz w:val="20"/>
              </w:rPr>
              <w:t>9,922</w:t>
            </w:r>
          </w:p>
        </w:tc>
        <w:tc>
          <w:tcPr>
            <w:tcW w:w="502" w:type="pct"/>
            <w:tcBorders>
              <w:top w:val="nil"/>
              <w:bottom w:val="nil"/>
            </w:tcBorders>
          </w:tcPr>
          <w:p w:rsidR="00000000" w:rsidRDefault="00000000">
            <w:pPr>
              <w:spacing w:line="240" w:lineRule="auto"/>
              <w:ind w:right="113"/>
              <w:jc w:val="right"/>
              <w:rPr>
                <w:sz w:val="20"/>
              </w:rPr>
            </w:pPr>
            <w:r>
              <w:rPr>
                <w:sz w:val="20"/>
              </w:rPr>
              <w:t>10,903</w:t>
            </w:r>
          </w:p>
        </w:tc>
        <w:tc>
          <w:tcPr>
            <w:tcW w:w="564" w:type="pct"/>
            <w:tcBorders>
              <w:top w:val="nil"/>
              <w:bottom w:val="nil"/>
            </w:tcBorders>
          </w:tcPr>
          <w:p w:rsidR="00000000" w:rsidRDefault="00000000">
            <w:pPr>
              <w:spacing w:line="240" w:lineRule="auto"/>
              <w:ind w:right="113"/>
              <w:jc w:val="right"/>
              <w:rPr>
                <w:sz w:val="20"/>
              </w:rPr>
            </w:pPr>
            <w:r>
              <w:rPr>
                <w:sz w:val="20"/>
              </w:rPr>
              <w:t>11,797</w:t>
            </w:r>
          </w:p>
        </w:tc>
        <w:tc>
          <w:tcPr>
            <w:tcW w:w="493" w:type="pct"/>
            <w:tcBorders>
              <w:top w:val="nil"/>
              <w:bottom w:val="nil"/>
            </w:tcBorders>
          </w:tcPr>
          <w:p w:rsidR="00000000" w:rsidRDefault="00000000">
            <w:pPr>
              <w:spacing w:line="240" w:lineRule="auto"/>
              <w:ind w:right="113"/>
              <w:jc w:val="right"/>
              <w:rPr>
                <w:sz w:val="20"/>
              </w:rPr>
            </w:pPr>
            <w:r>
              <w:rPr>
                <w:sz w:val="20"/>
              </w:rPr>
              <w:t>12,857</w:t>
            </w: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sz w:val="20"/>
              </w:rPr>
            </w:pPr>
            <w:r>
              <w:rPr>
                <w:rFonts w:hint="eastAsia"/>
                <w:sz w:val="20"/>
              </w:rPr>
              <w:t>其中包括</w:t>
            </w:r>
            <w:r>
              <w:rPr>
                <w:rFonts w:hint="eastAsia"/>
                <w:sz w:val="20"/>
              </w:rPr>
              <w:t>(10</w:t>
            </w:r>
            <w:r>
              <w:rPr>
                <w:rFonts w:hint="eastAsia"/>
                <w:sz w:val="20"/>
              </w:rPr>
              <w:t>亿克朗</w:t>
            </w:r>
            <w:r>
              <w:rPr>
                <w:sz w:val="20"/>
              </w:rPr>
              <w:t>)</w:t>
            </w:r>
            <w:r>
              <w:rPr>
                <w:sz w:val="20"/>
              </w:rPr>
              <w:t>：</w:t>
            </w:r>
          </w:p>
        </w:tc>
        <w:tc>
          <w:tcPr>
            <w:tcW w:w="565" w:type="pct"/>
            <w:tcBorders>
              <w:top w:val="nil"/>
              <w:bottom w:val="nil"/>
            </w:tcBorders>
          </w:tcPr>
          <w:p w:rsidR="00000000" w:rsidRDefault="00000000">
            <w:pPr>
              <w:spacing w:line="240" w:lineRule="auto"/>
              <w:ind w:right="113"/>
              <w:jc w:val="right"/>
              <w:rPr>
                <w:sz w:val="20"/>
              </w:rPr>
            </w:pPr>
          </w:p>
        </w:tc>
        <w:tc>
          <w:tcPr>
            <w:tcW w:w="502" w:type="pct"/>
            <w:tcBorders>
              <w:top w:val="nil"/>
              <w:bottom w:val="nil"/>
            </w:tcBorders>
          </w:tcPr>
          <w:p w:rsidR="00000000" w:rsidRDefault="00000000">
            <w:pPr>
              <w:spacing w:line="240" w:lineRule="auto"/>
              <w:ind w:right="113"/>
              <w:jc w:val="right"/>
              <w:rPr>
                <w:sz w:val="20"/>
              </w:rPr>
            </w:pPr>
          </w:p>
        </w:tc>
        <w:tc>
          <w:tcPr>
            <w:tcW w:w="502" w:type="pct"/>
            <w:tcBorders>
              <w:top w:val="nil"/>
              <w:bottom w:val="nil"/>
            </w:tcBorders>
          </w:tcPr>
          <w:p w:rsidR="00000000" w:rsidRDefault="00000000">
            <w:pPr>
              <w:spacing w:line="240" w:lineRule="auto"/>
              <w:ind w:right="113"/>
              <w:jc w:val="right"/>
              <w:rPr>
                <w:sz w:val="20"/>
              </w:rPr>
            </w:pPr>
          </w:p>
        </w:tc>
        <w:tc>
          <w:tcPr>
            <w:tcW w:w="502" w:type="pct"/>
            <w:tcBorders>
              <w:top w:val="nil"/>
              <w:bottom w:val="nil"/>
            </w:tcBorders>
          </w:tcPr>
          <w:p w:rsidR="00000000" w:rsidRDefault="00000000">
            <w:pPr>
              <w:spacing w:line="240" w:lineRule="auto"/>
              <w:ind w:right="113"/>
              <w:jc w:val="right"/>
              <w:rPr>
                <w:sz w:val="20"/>
              </w:rPr>
            </w:pPr>
          </w:p>
        </w:tc>
        <w:tc>
          <w:tcPr>
            <w:tcW w:w="564" w:type="pct"/>
            <w:tcBorders>
              <w:top w:val="nil"/>
              <w:bottom w:val="nil"/>
            </w:tcBorders>
          </w:tcPr>
          <w:p w:rsidR="00000000" w:rsidRDefault="00000000">
            <w:pPr>
              <w:spacing w:line="240" w:lineRule="auto"/>
              <w:ind w:right="113"/>
              <w:jc w:val="right"/>
              <w:rPr>
                <w:sz w:val="20"/>
              </w:rPr>
            </w:pPr>
          </w:p>
        </w:tc>
        <w:tc>
          <w:tcPr>
            <w:tcW w:w="493" w:type="pct"/>
            <w:tcBorders>
              <w:top w:val="nil"/>
              <w:bottom w:val="nil"/>
            </w:tcBorders>
          </w:tcPr>
          <w:p w:rsidR="00000000" w:rsidRDefault="00000000">
            <w:pPr>
              <w:spacing w:line="240" w:lineRule="auto"/>
              <w:ind w:right="113"/>
              <w:jc w:val="right"/>
              <w:rPr>
                <w:sz w:val="20"/>
              </w:rPr>
            </w:pP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rFonts w:hint="eastAsia"/>
                <w:sz w:val="20"/>
              </w:rPr>
            </w:pPr>
            <w:r>
              <w:rPr>
                <w:rFonts w:hint="eastAsia"/>
                <w:sz w:val="20"/>
              </w:rPr>
              <w:t>居民保健直接私人支出</w:t>
            </w:r>
          </w:p>
        </w:tc>
        <w:tc>
          <w:tcPr>
            <w:tcW w:w="565" w:type="pct"/>
            <w:tcBorders>
              <w:top w:val="nil"/>
              <w:bottom w:val="nil"/>
            </w:tcBorders>
          </w:tcPr>
          <w:p w:rsidR="00000000" w:rsidRDefault="00000000">
            <w:pPr>
              <w:spacing w:line="240" w:lineRule="auto"/>
              <w:ind w:right="113"/>
              <w:jc w:val="right"/>
              <w:rPr>
                <w:sz w:val="20"/>
              </w:rPr>
            </w:pPr>
            <w:r>
              <w:rPr>
                <w:sz w:val="20"/>
              </w:rPr>
              <w:t>3.8</w:t>
            </w:r>
          </w:p>
        </w:tc>
        <w:tc>
          <w:tcPr>
            <w:tcW w:w="502" w:type="pct"/>
            <w:tcBorders>
              <w:top w:val="nil"/>
              <w:bottom w:val="nil"/>
            </w:tcBorders>
          </w:tcPr>
          <w:p w:rsidR="00000000" w:rsidRDefault="00000000">
            <w:pPr>
              <w:spacing w:line="240" w:lineRule="auto"/>
              <w:ind w:right="113"/>
              <w:jc w:val="right"/>
              <w:rPr>
                <w:sz w:val="20"/>
              </w:rPr>
            </w:pPr>
            <w:r>
              <w:rPr>
                <w:sz w:val="20"/>
              </w:rPr>
              <w:t>5.4</w:t>
            </w:r>
          </w:p>
        </w:tc>
        <w:tc>
          <w:tcPr>
            <w:tcW w:w="502" w:type="pct"/>
            <w:tcBorders>
              <w:top w:val="nil"/>
              <w:bottom w:val="nil"/>
            </w:tcBorders>
          </w:tcPr>
          <w:p w:rsidR="00000000" w:rsidRDefault="00000000">
            <w:pPr>
              <w:spacing w:line="240" w:lineRule="auto"/>
              <w:ind w:right="113"/>
              <w:jc w:val="right"/>
              <w:rPr>
                <w:sz w:val="20"/>
              </w:rPr>
            </w:pPr>
            <w:r>
              <w:rPr>
                <w:sz w:val="20"/>
              </w:rPr>
              <w:t>7.4</w:t>
            </w:r>
          </w:p>
        </w:tc>
        <w:tc>
          <w:tcPr>
            <w:tcW w:w="502" w:type="pct"/>
            <w:tcBorders>
              <w:top w:val="nil"/>
              <w:bottom w:val="nil"/>
            </w:tcBorders>
          </w:tcPr>
          <w:p w:rsidR="00000000" w:rsidRDefault="00000000">
            <w:pPr>
              <w:spacing w:line="240" w:lineRule="auto"/>
              <w:ind w:right="113"/>
              <w:jc w:val="right"/>
              <w:rPr>
                <w:sz w:val="20"/>
              </w:rPr>
            </w:pPr>
            <w:r>
              <w:rPr>
                <w:sz w:val="20"/>
              </w:rPr>
              <w:t>8.3</w:t>
            </w:r>
          </w:p>
        </w:tc>
        <w:tc>
          <w:tcPr>
            <w:tcW w:w="564" w:type="pct"/>
            <w:tcBorders>
              <w:top w:val="nil"/>
              <w:bottom w:val="nil"/>
            </w:tcBorders>
          </w:tcPr>
          <w:p w:rsidR="00000000" w:rsidRDefault="00000000">
            <w:pPr>
              <w:spacing w:line="240" w:lineRule="auto"/>
              <w:ind w:right="113"/>
              <w:jc w:val="right"/>
              <w:rPr>
                <w:sz w:val="20"/>
              </w:rPr>
            </w:pPr>
            <w:r>
              <w:rPr>
                <w:sz w:val="20"/>
              </w:rPr>
              <w:t>9.9</w:t>
            </w:r>
          </w:p>
        </w:tc>
        <w:tc>
          <w:tcPr>
            <w:tcW w:w="493" w:type="pct"/>
            <w:tcBorders>
              <w:top w:val="nil"/>
              <w:bottom w:val="nil"/>
            </w:tcBorders>
          </w:tcPr>
          <w:p w:rsidR="00000000" w:rsidRDefault="00000000">
            <w:pPr>
              <w:spacing w:line="240" w:lineRule="auto"/>
              <w:ind w:right="113"/>
              <w:jc w:val="right"/>
              <w:rPr>
                <w:sz w:val="20"/>
              </w:rPr>
            </w:pPr>
            <w:r>
              <w:rPr>
                <w:sz w:val="20"/>
              </w:rPr>
              <w:t>10.6</w:t>
            </w: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sz w:val="20"/>
              </w:rPr>
            </w:pPr>
            <w:r>
              <w:rPr>
                <w:rFonts w:hint="eastAsia"/>
                <w:sz w:val="20"/>
              </w:rPr>
              <w:t>国家预算直接支出</w:t>
            </w:r>
          </w:p>
        </w:tc>
        <w:tc>
          <w:tcPr>
            <w:tcW w:w="565" w:type="pct"/>
            <w:tcBorders>
              <w:top w:val="nil"/>
              <w:bottom w:val="nil"/>
            </w:tcBorders>
          </w:tcPr>
          <w:p w:rsidR="00000000" w:rsidRDefault="00000000">
            <w:pPr>
              <w:spacing w:line="240" w:lineRule="auto"/>
              <w:ind w:right="113"/>
              <w:jc w:val="right"/>
              <w:rPr>
                <w:sz w:val="20"/>
              </w:rPr>
            </w:pPr>
            <w:r>
              <w:rPr>
                <w:sz w:val="20"/>
              </w:rPr>
              <w:t>7.5</w:t>
            </w:r>
          </w:p>
        </w:tc>
        <w:tc>
          <w:tcPr>
            <w:tcW w:w="502" w:type="pct"/>
            <w:tcBorders>
              <w:top w:val="nil"/>
              <w:bottom w:val="nil"/>
            </w:tcBorders>
          </w:tcPr>
          <w:p w:rsidR="00000000" w:rsidRDefault="00000000">
            <w:pPr>
              <w:spacing w:line="240" w:lineRule="auto"/>
              <w:ind w:right="113"/>
              <w:jc w:val="right"/>
              <w:rPr>
                <w:sz w:val="20"/>
              </w:rPr>
            </w:pPr>
            <w:r>
              <w:rPr>
                <w:sz w:val="20"/>
              </w:rPr>
              <w:t>8.7</w:t>
            </w:r>
          </w:p>
        </w:tc>
        <w:tc>
          <w:tcPr>
            <w:tcW w:w="502" w:type="pct"/>
            <w:tcBorders>
              <w:top w:val="nil"/>
              <w:bottom w:val="nil"/>
            </w:tcBorders>
          </w:tcPr>
          <w:p w:rsidR="00000000" w:rsidRDefault="00000000">
            <w:pPr>
              <w:spacing w:line="240" w:lineRule="auto"/>
              <w:ind w:right="113"/>
              <w:jc w:val="right"/>
              <w:rPr>
                <w:sz w:val="20"/>
              </w:rPr>
            </w:pPr>
            <w:r>
              <w:rPr>
                <w:sz w:val="20"/>
              </w:rPr>
              <w:t>9.6</w:t>
            </w:r>
          </w:p>
        </w:tc>
        <w:tc>
          <w:tcPr>
            <w:tcW w:w="502" w:type="pct"/>
            <w:tcBorders>
              <w:top w:val="nil"/>
              <w:bottom w:val="nil"/>
            </w:tcBorders>
          </w:tcPr>
          <w:p w:rsidR="00000000" w:rsidRDefault="00000000">
            <w:pPr>
              <w:spacing w:line="240" w:lineRule="auto"/>
              <w:ind w:right="113"/>
              <w:jc w:val="right"/>
              <w:rPr>
                <w:sz w:val="20"/>
              </w:rPr>
            </w:pPr>
            <w:r>
              <w:rPr>
                <w:sz w:val="20"/>
              </w:rPr>
              <w:t>7.2</w:t>
            </w:r>
          </w:p>
        </w:tc>
        <w:tc>
          <w:tcPr>
            <w:tcW w:w="564" w:type="pct"/>
            <w:tcBorders>
              <w:top w:val="nil"/>
              <w:bottom w:val="nil"/>
            </w:tcBorders>
          </w:tcPr>
          <w:p w:rsidR="00000000" w:rsidRDefault="00000000">
            <w:pPr>
              <w:spacing w:line="240" w:lineRule="auto"/>
              <w:ind w:right="113"/>
              <w:jc w:val="right"/>
              <w:rPr>
                <w:sz w:val="20"/>
              </w:rPr>
            </w:pPr>
            <w:r>
              <w:rPr>
                <w:sz w:val="20"/>
              </w:rPr>
              <w:t>7.5</w:t>
            </w:r>
          </w:p>
        </w:tc>
        <w:tc>
          <w:tcPr>
            <w:tcW w:w="493" w:type="pct"/>
            <w:tcBorders>
              <w:top w:val="nil"/>
              <w:bottom w:val="nil"/>
            </w:tcBorders>
          </w:tcPr>
          <w:p w:rsidR="00000000" w:rsidRDefault="00000000">
            <w:pPr>
              <w:spacing w:line="240" w:lineRule="auto"/>
              <w:ind w:right="113"/>
              <w:jc w:val="right"/>
              <w:rPr>
                <w:sz w:val="20"/>
              </w:rPr>
            </w:pPr>
            <w:r>
              <w:rPr>
                <w:sz w:val="20"/>
              </w:rPr>
              <w:t>7.8</w:t>
            </w: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rFonts w:hint="eastAsia"/>
                <w:sz w:val="20"/>
              </w:rPr>
            </w:pPr>
            <w:r>
              <w:rPr>
                <w:rFonts w:hint="eastAsia"/>
                <w:sz w:val="20"/>
              </w:rPr>
              <w:t>地方预算支出</w:t>
            </w:r>
          </w:p>
        </w:tc>
        <w:tc>
          <w:tcPr>
            <w:tcW w:w="565" w:type="pct"/>
            <w:tcBorders>
              <w:top w:val="nil"/>
              <w:bottom w:val="nil"/>
            </w:tcBorders>
          </w:tcPr>
          <w:p w:rsidR="00000000" w:rsidRDefault="00000000">
            <w:pPr>
              <w:spacing w:line="240" w:lineRule="auto"/>
              <w:ind w:right="113"/>
              <w:jc w:val="right"/>
              <w:rPr>
                <w:sz w:val="20"/>
              </w:rPr>
            </w:pPr>
            <w:r>
              <w:rPr>
                <w:sz w:val="20"/>
              </w:rPr>
              <w:t>6.4</w:t>
            </w:r>
          </w:p>
        </w:tc>
        <w:tc>
          <w:tcPr>
            <w:tcW w:w="502" w:type="pct"/>
            <w:tcBorders>
              <w:top w:val="nil"/>
              <w:bottom w:val="nil"/>
            </w:tcBorders>
          </w:tcPr>
          <w:p w:rsidR="00000000" w:rsidRDefault="00000000">
            <w:pPr>
              <w:spacing w:line="240" w:lineRule="auto"/>
              <w:ind w:right="113"/>
              <w:jc w:val="right"/>
              <w:rPr>
                <w:sz w:val="20"/>
              </w:rPr>
            </w:pPr>
            <w:r>
              <w:rPr>
                <w:sz w:val="20"/>
              </w:rPr>
              <w:t>6.1</w:t>
            </w:r>
          </w:p>
        </w:tc>
        <w:tc>
          <w:tcPr>
            <w:tcW w:w="502" w:type="pct"/>
            <w:tcBorders>
              <w:top w:val="nil"/>
              <w:bottom w:val="nil"/>
            </w:tcBorders>
          </w:tcPr>
          <w:p w:rsidR="00000000" w:rsidRDefault="00000000">
            <w:pPr>
              <w:spacing w:line="240" w:lineRule="auto"/>
              <w:ind w:right="113"/>
              <w:jc w:val="right"/>
              <w:rPr>
                <w:sz w:val="20"/>
              </w:rPr>
            </w:pPr>
            <w:r>
              <w:rPr>
                <w:sz w:val="20"/>
              </w:rPr>
              <w:t>7.3</w:t>
            </w:r>
          </w:p>
        </w:tc>
        <w:tc>
          <w:tcPr>
            <w:tcW w:w="502" w:type="pct"/>
            <w:tcBorders>
              <w:top w:val="nil"/>
              <w:bottom w:val="nil"/>
            </w:tcBorders>
          </w:tcPr>
          <w:p w:rsidR="00000000" w:rsidRDefault="00000000">
            <w:pPr>
              <w:spacing w:line="240" w:lineRule="auto"/>
              <w:ind w:right="113"/>
              <w:jc w:val="right"/>
              <w:rPr>
                <w:sz w:val="20"/>
              </w:rPr>
            </w:pPr>
            <w:r>
              <w:rPr>
                <w:sz w:val="20"/>
              </w:rPr>
              <w:t>6.5</w:t>
            </w:r>
          </w:p>
        </w:tc>
        <w:tc>
          <w:tcPr>
            <w:tcW w:w="564" w:type="pct"/>
            <w:tcBorders>
              <w:top w:val="nil"/>
              <w:bottom w:val="nil"/>
            </w:tcBorders>
          </w:tcPr>
          <w:p w:rsidR="00000000" w:rsidRDefault="00000000">
            <w:pPr>
              <w:spacing w:line="240" w:lineRule="auto"/>
              <w:ind w:right="113"/>
              <w:jc w:val="right"/>
              <w:rPr>
                <w:sz w:val="20"/>
              </w:rPr>
            </w:pPr>
            <w:r>
              <w:rPr>
                <w:sz w:val="20"/>
              </w:rPr>
              <w:t>5.9</w:t>
            </w:r>
          </w:p>
        </w:tc>
        <w:tc>
          <w:tcPr>
            <w:tcW w:w="493" w:type="pct"/>
            <w:tcBorders>
              <w:top w:val="nil"/>
              <w:bottom w:val="nil"/>
            </w:tcBorders>
          </w:tcPr>
          <w:p w:rsidR="00000000" w:rsidRDefault="00000000">
            <w:pPr>
              <w:spacing w:line="240" w:lineRule="auto"/>
              <w:ind w:right="113"/>
              <w:jc w:val="right"/>
              <w:rPr>
                <w:sz w:val="20"/>
              </w:rPr>
            </w:pPr>
            <w:r>
              <w:rPr>
                <w:sz w:val="20"/>
              </w:rPr>
              <w:t>5.8</w:t>
            </w:r>
          </w:p>
        </w:tc>
      </w:tr>
      <w:tr w:rsidR="00000000">
        <w:tblPrEx>
          <w:tblCellMar>
            <w:top w:w="0" w:type="dxa"/>
            <w:bottom w:w="0" w:type="dxa"/>
          </w:tblCellMar>
        </w:tblPrEx>
        <w:tc>
          <w:tcPr>
            <w:tcW w:w="1871" w:type="pct"/>
            <w:tcBorders>
              <w:top w:val="nil"/>
              <w:bottom w:val="nil"/>
            </w:tcBorders>
          </w:tcPr>
          <w:p w:rsidR="00000000" w:rsidRDefault="00000000">
            <w:pPr>
              <w:spacing w:line="240" w:lineRule="auto"/>
              <w:rPr>
                <w:rFonts w:hint="eastAsia"/>
                <w:sz w:val="20"/>
              </w:rPr>
            </w:pPr>
            <w:r>
              <w:rPr>
                <w:rFonts w:hint="eastAsia"/>
                <w:sz w:val="20"/>
              </w:rPr>
              <w:t>健康保险公司系统的支出</w:t>
            </w:r>
          </w:p>
        </w:tc>
        <w:tc>
          <w:tcPr>
            <w:tcW w:w="565" w:type="pct"/>
            <w:tcBorders>
              <w:top w:val="nil"/>
              <w:bottom w:val="nil"/>
            </w:tcBorders>
          </w:tcPr>
          <w:p w:rsidR="00000000" w:rsidRDefault="00000000">
            <w:pPr>
              <w:spacing w:line="240" w:lineRule="auto"/>
              <w:ind w:right="113"/>
              <w:jc w:val="right"/>
              <w:rPr>
                <w:sz w:val="20"/>
              </w:rPr>
            </w:pPr>
            <w:r>
              <w:rPr>
                <w:sz w:val="20"/>
              </w:rPr>
              <w:t>55.8</w:t>
            </w:r>
          </w:p>
        </w:tc>
        <w:tc>
          <w:tcPr>
            <w:tcW w:w="502" w:type="pct"/>
            <w:tcBorders>
              <w:top w:val="nil"/>
              <w:bottom w:val="nil"/>
            </w:tcBorders>
          </w:tcPr>
          <w:p w:rsidR="00000000" w:rsidRDefault="00000000">
            <w:pPr>
              <w:spacing w:line="240" w:lineRule="auto"/>
              <w:ind w:right="113"/>
              <w:jc w:val="right"/>
              <w:rPr>
                <w:sz w:val="20"/>
              </w:rPr>
            </w:pPr>
            <w:r>
              <w:rPr>
                <w:sz w:val="20"/>
              </w:rPr>
              <w:t>69.4</w:t>
            </w:r>
          </w:p>
        </w:tc>
        <w:tc>
          <w:tcPr>
            <w:tcW w:w="502" w:type="pct"/>
            <w:tcBorders>
              <w:top w:val="nil"/>
              <w:bottom w:val="nil"/>
            </w:tcBorders>
          </w:tcPr>
          <w:p w:rsidR="00000000" w:rsidRDefault="00000000">
            <w:pPr>
              <w:spacing w:line="240" w:lineRule="auto"/>
              <w:ind w:right="113"/>
              <w:jc w:val="right"/>
              <w:rPr>
                <w:sz w:val="20"/>
              </w:rPr>
            </w:pPr>
            <w:r>
              <w:rPr>
                <w:sz w:val="20"/>
              </w:rPr>
              <w:t>78.1</w:t>
            </w:r>
          </w:p>
        </w:tc>
        <w:tc>
          <w:tcPr>
            <w:tcW w:w="502" w:type="pct"/>
            <w:tcBorders>
              <w:top w:val="nil"/>
              <w:bottom w:val="nil"/>
            </w:tcBorders>
          </w:tcPr>
          <w:p w:rsidR="00000000" w:rsidRDefault="00000000">
            <w:pPr>
              <w:spacing w:line="240" w:lineRule="auto"/>
              <w:ind w:right="113"/>
              <w:jc w:val="right"/>
              <w:rPr>
                <w:sz w:val="20"/>
              </w:rPr>
            </w:pPr>
            <w:r>
              <w:rPr>
                <w:sz w:val="20"/>
              </w:rPr>
              <w:t>90.1</w:t>
            </w:r>
          </w:p>
        </w:tc>
        <w:tc>
          <w:tcPr>
            <w:tcW w:w="564" w:type="pct"/>
            <w:tcBorders>
              <w:top w:val="nil"/>
              <w:bottom w:val="nil"/>
            </w:tcBorders>
          </w:tcPr>
          <w:p w:rsidR="00000000" w:rsidRDefault="00000000">
            <w:pPr>
              <w:spacing w:line="240" w:lineRule="auto"/>
              <w:ind w:right="113"/>
              <w:jc w:val="right"/>
              <w:rPr>
                <w:sz w:val="20"/>
              </w:rPr>
            </w:pPr>
            <w:r>
              <w:rPr>
                <w:sz w:val="20"/>
              </w:rPr>
              <w:t>97.3</w:t>
            </w:r>
          </w:p>
        </w:tc>
        <w:tc>
          <w:tcPr>
            <w:tcW w:w="493" w:type="pct"/>
            <w:tcBorders>
              <w:top w:val="nil"/>
              <w:bottom w:val="nil"/>
            </w:tcBorders>
          </w:tcPr>
          <w:p w:rsidR="00000000" w:rsidRDefault="00000000">
            <w:pPr>
              <w:spacing w:line="240" w:lineRule="auto"/>
              <w:ind w:right="113"/>
              <w:jc w:val="right"/>
              <w:rPr>
                <w:sz w:val="20"/>
              </w:rPr>
            </w:pPr>
            <w:r>
              <w:rPr>
                <w:sz w:val="20"/>
              </w:rPr>
              <w:t>107.5</w:t>
            </w:r>
          </w:p>
        </w:tc>
      </w:tr>
      <w:tr w:rsidR="00000000">
        <w:tblPrEx>
          <w:tblCellMar>
            <w:top w:w="0" w:type="dxa"/>
            <w:bottom w:w="0" w:type="dxa"/>
          </w:tblCellMar>
        </w:tblPrEx>
        <w:tc>
          <w:tcPr>
            <w:tcW w:w="1871" w:type="pct"/>
            <w:tcBorders>
              <w:top w:val="nil"/>
            </w:tcBorders>
          </w:tcPr>
          <w:p w:rsidR="00000000" w:rsidRDefault="00000000">
            <w:pPr>
              <w:spacing w:line="240" w:lineRule="auto"/>
              <w:rPr>
                <w:sz w:val="20"/>
              </w:rPr>
            </w:pPr>
            <w:r>
              <w:rPr>
                <w:rFonts w:hint="eastAsia"/>
                <w:sz w:val="20"/>
              </w:rPr>
              <w:t>总支出占国内生产总值的比例</w:t>
            </w:r>
            <w:r>
              <w:rPr>
                <w:sz w:val="20"/>
              </w:rPr>
              <w:t>(%)</w:t>
            </w:r>
          </w:p>
        </w:tc>
        <w:tc>
          <w:tcPr>
            <w:tcW w:w="565" w:type="pct"/>
            <w:tcBorders>
              <w:top w:val="nil"/>
            </w:tcBorders>
          </w:tcPr>
          <w:p w:rsidR="00000000" w:rsidRDefault="00000000">
            <w:pPr>
              <w:spacing w:line="240" w:lineRule="auto"/>
              <w:ind w:right="113"/>
              <w:jc w:val="right"/>
              <w:rPr>
                <w:sz w:val="20"/>
              </w:rPr>
            </w:pPr>
            <w:r>
              <w:rPr>
                <w:sz w:val="20"/>
              </w:rPr>
              <w:t>7.3</w:t>
            </w:r>
          </w:p>
        </w:tc>
        <w:tc>
          <w:tcPr>
            <w:tcW w:w="502" w:type="pct"/>
            <w:tcBorders>
              <w:top w:val="nil"/>
            </w:tcBorders>
          </w:tcPr>
          <w:p w:rsidR="00000000" w:rsidRDefault="00000000">
            <w:pPr>
              <w:spacing w:line="240" w:lineRule="auto"/>
              <w:ind w:right="113"/>
              <w:jc w:val="right"/>
              <w:rPr>
                <w:sz w:val="20"/>
              </w:rPr>
            </w:pPr>
            <w:r>
              <w:rPr>
                <w:sz w:val="20"/>
              </w:rPr>
              <w:t>7.6</w:t>
            </w:r>
          </w:p>
        </w:tc>
        <w:tc>
          <w:tcPr>
            <w:tcW w:w="502" w:type="pct"/>
            <w:tcBorders>
              <w:top w:val="nil"/>
            </w:tcBorders>
          </w:tcPr>
          <w:p w:rsidR="00000000" w:rsidRDefault="00000000">
            <w:pPr>
              <w:spacing w:line="240" w:lineRule="auto"/>
              <w:ind w:right="113"/>
              <w:jc w:val="right"/>
              <w:rPr>
                <w:sz w:val="20"/>
              </w:rPr>
            </w:pPr>
            <w:r>
              <w:rPr>
                <w:sz w:val="20"/>
              </w:rPr>
              <w:t>7.4</w:t>
            </w:r>
          </w:p>
        </w:tc>
        <w:tc>
          <w:tcPr>
            <w:tcW w:w="502" w:type="pct"/>
            <w:tcBorders>
              <w:top w:val="nil"/>
            </w:tcBorders>
          </w:tcPr>
          <w:p w:rsidR="00000000" w:rsidRDefault="00000000">
            <w:pPr>
              <w:spacing w:line="240" w:lineRule="auto"/>
              <w:ind w:right="113"/>
              <w:jc w:val="right"/>
              <w:rPr>
                <w:sz w:val="20"/>
              </w:rPr>
            </w:pPr>
            <w:r>
              <w:rPr>
                <w:sz w:val="20"/>
              </w:rPr>
              <w:t>7.1</w:t>
            </w:r>
          </w:p>
        </w:tc>
        <w:tc>
          <w:tcPr>
            <w:tcW w:w="564" w:type="pct"/>
            <w:tcBorders>
              <w:top w:val="nil"/>
            </w:tcBorders>
          </w:tcPr>
          <w:p w:rsidR="00000000" w:rsidRDefault="00000000">
            <w:pPr>
              <w:spacing w:line="240" w:lineRule="auto"/>
              <w:ind w:right="113"/>
              <w:jc w:val="right"/>
              <w:rPr>
                <w:sz w:val="20"/>
              </w:rPr>
            </w:pPr>
            <w:r>
              <w:rPr>
                <w:sz w:val="20"/>
              </w:rPr>
              <w:t>7.2</w:t>
            </w:r>
          </w:p>
        </w:tc>
        <w:tc>
          <w:tcPr>
            <w:tcW w:w="493" w:type="pct"/>
            <w:tcBorders>
              <w:top w:val="nil"/>
            </w:tcBorders>
          </w:tcPr>
          <w:p w:rsidR="00000000" w:rsidRDefault="00000000">
            <w:pPr>
              <w:spacing w:line="240" w:lineRule="auto"/>
              <w:ind w:right="113"/>
              <w:jc w:val="right"/>
              <w:rPr>
                <w:sz w:val="20"/>
              </w:rPr>
            </w:pPr>
            <w:r>
              <w:rPr>
                <w:sz w:val="20"/>
              </w:rPr>
              <w:t>7.3</w:t>
            </w:r>
          </w:p>
        </w:tc>
      </w:tr>
    </w:tbl>
    <w:p w:rsidR="00000000" w:rsidRDefault="00000000">
      <w:pPr>
        <w:pStyle w:val="FootnoteText"/>
        <w:spacing w:before="160" w:line="240" w:lineRule="auto"/>
        <w:ind w:left="1020" w:hanging="510"/>
        <w:rPr>
          <w:rFonts w:hint="eastAsia"/>
          <w:sz w:val="21"/>
        </w:rPr>
      </w:pPr>
      <w:r>
        <w:rPr>
          <w:sz w:val="21"/>
        </w:rPr>
        <w:t>a</w:t>
      </w:r>
      <w:r>
        <w:rPr>
          <w:rFonts w:hint="eastAsia"/>
          <w:sz w:val="21"/>
        </w:rPr>
        <w:t xml:space="preserve"> </w:t>
      </w:r>
      <w:r>
        <w:rPr>
          <w:rFonts w:hint="eastAsia"/>
          <w:sz w:val="21"/>
        </w:rPr>
        <w:tab/>
      </w:r>
      <w:r>
        <w:rPr>
          <w:rFonts w:hint="eastAsia"/>
          <w:spacing w:val="4"/>
          <w:sz w:val="21"/>
        </w:rPr>
        <w:t>国家预算直接支出、国家预算付给健康保险公司和其他公共预算的净支出</w:t>
      </w:r>
      <w:r>
        <w:rPr>
          <w:spacing w:val="4"/>
          <w:sz w:val="21"/>
        </w:rPr>
        <w:t>+</w:t>
      </w:r>
      <w:r>
        <w:rPr>
          <w:rFonts w:hint="eastAsia"/>
          <w:spacing w:val="4"/>
          <w:sz w:val="21"/>
        </w:rPr>
        <w:t>地方预算支出</w:t>
      </w:r>
      <w:r>
        <w:rPr>
          <w:spacing w:val="4"/>
          <w:sz w:val="21"/>
        </w:rPr>
        <w:t>+</w:t>
      </w:r>
      <w:r>
        <w:rPr>
          <w:rFonts w:hint="eastAsia"/>
          <w:spacing w:val="4"/>
          <w:sz w:val="21"/>
        </w:rPr>
        <w:t>健康保险公司系统的支出</w:t>
      </w:r>
      <w:r>
        <w:rPr>
          <w:spacing w:val="4"/>
          <w:sz w:val="21"/>
        </w:rPr>
        <w:t>+</w:t>
      </w:r>
      <w:r>
        <w:rPr>
          <w:rFonts w:hint="eastAsia"/>
          <w:spacing w:val="4"/>
          <w:sz w:val="21"/>
        </w:rPr>
        <w:t>购买认可的保健设施</w:t>
      </w:r>
      <w:r>
        <w:rPr>
          <w:spacing w:val="4"/>
          <w:sz w:val="21"/>
        </w:rPr>
        <w:t>+</w:t>
      </w:r>
      <w:r>
        <w:rPr>
          <w:rFonts w:hint="eastAsia"/>
          <w:spacing w:val="4"/>
          <w:sz w:val="21"/>
        </w:rPr>
        <w:t>公民所付现金</w:t>
      </w:r>
      <w:r>
        <w:rPr>
          <w:rFonts w:hint="eastAsia"/>
          <w:spacing w:val="4"/>
          <w:sz w:val="21"/>
        </w:rPr>
        <w:t>(</w:t>
      </w:r>
      <w:r>
        <w:rPr>
          <w:rFonts w:hint="eastAsia"/>
          <w:spacing w:val="4"/>
          <w:sz w:val="21"/>
        </w:rPr>
        <w:t>共同付款</w:t>
      </w:r>
      <w:r>
        <w:rPr>
          <w:rFonts w:hint="eastAsia"/>
          <w:spacing w:val="4"/>
          <w:sz w:val="21"/>
        </w:rPr>
        <w:t>)</w:t>
      </w:r>
      <w:r>
        <w:rPr>
          <w:rFonts w:hint="eastAsia"/>
          <w:spacing w:val="4"/>
          <w:sz w:val="21"/>
        </w:rPr>
        <w:t>。</w:t>
      </w:r>
    </w:p>
    <w:p w:rsidR="00000000" w:rsidRDefault="00000000">
      <w:pPr>
        <w:pStyle w:val="FootnoteText"/>
        <w:spacing w:before="160" w:after="160" w:line="240" w:lineRule="auto"/>
        <w:rPr>
          <w:rFonts w:hint="eastAsia"/>
          <w:sz w:val="21"/>
        </w:rPr>
      </w:pPr>
      <w:r>
        <w:rPr>
          <w:rFonts w:hint="eastAsia"/>
          <w:sz w:val="21"/>
          <w:u w:val="single"/>
        </w:rPr>
        <w:t>资料来源</w:t>
      </w:r>
      <w:r>
        <w:rPr>
          <w:rFonts w:hint="eastAsia"/>
          <w:sz w:val="21"/>
        </w:rPr>
        <w:t>：捷克财政部。</w:t>
      </w:r>
    </w:p>
    <w:p w:rsidR="00000000" w:rsidRDefault="00000000">
      <w:pPr>
        <w:pStyle w:val="Heading4"/>
        <w:ind w:left="500"/>
        <w:rPr>
          <w:rFonts w:hint="eastAsia"/>
        </w:rPr>
      </w:pPr>
      <w:r>
        <w:rPr>
          <w:rFonts w:hint="eastAsia"/>
        </w:rPr>
        <w:t>在无线电和电视广播和在广告方面保护精神健康</w:t>
      </w:r>
    </w:p>
    <w:p w:rsidR="00000000" w:rsidRDefault="00000000">
      <w:pPr>
        <w:rPr>
          <w:rFonts w:hint="eastAsia"/>
        </w:rPr>
      </w:pPr>
      <w:r>
        <w:rPr>
          <w:rFonts w:hint="eastAsia"/>
        </w:rPr>
        <w:tab/>
        <w:t xml:space="preserve">492.  </w:t>
      </w:r>
      <w:r>
        <w:rPr>
          <w:rFonts w:hint="eastAsia"/>
        </w:rPr>
        <w:t>无线电和电视广播法</w:t>
      </w:r>
      <w:r>
        <w:rPr>
          <w:rFonts w:hint="eastAsia"/>
        </w:rPr>
        <w:t xml:space="preserve"> </w:t>
      </w:r>
      <w:r>
        <w:rPr>
          <w:rStyle w:val="EndnoteReference"/>
        </w:rPr>
        <w:endnoteReference w:id="299"/>
      </w:r>
      <w:r>
        <w:rPr>
          <w:rFonts w:hint="eastAsia"/>
        </w:rPr>
        <w:t xml:space="preserve"> </w:t>
      </w:r>
      <w:r>
        <w:rPr>
          <w:rFonts w:hint="eastAsia"/>
        </w:rPr>
        <w:t>第</w:t>
      </w:r>
      <w:r>
        <w:rPr>
          <w:rFonts w:hint="eastAsia"/>
        </w:rPr>
        <w:t>5</w:t>
      </w:r>
      <w:r>
        <w:rPr>
          <w:rFonts w:hint="eastAsia"/>
        </w:rPr>
        <w:t>条责成所有广播台在上午</w:t>
      </w:r>
      <w:r>
        <w:rPr>
          <w:rFonts w:hint="eastAsia"/>
        </w:rPr>
        <w:t>6</w:t>
      </w:r>
      <w:r>
        <w:rPr>
          <w:rFonts w:hint="eastAsia"/>
        </w:rPr>
        <w:t>时至晚间</w:t>
      </w:r>
      <w:r>
        <w:rPr>
          <w:rFonts w:hint="eastAsia"/>
        </w:rPr>
        <w:t>10</w:t>
      </w:r>
      <w:r>
        <w:rPr>
          <w:rFonts w:hint="eastAsia"/>
        </w:rPr>
        <w:t>时之间不安排有可能危及儿童和青少年心理或道德发展的节目。该法第</w:t>
      </w:r>
      <w:r>
        <w:rPr>
          <w:rFonts w:hint="eastAsia"/>
        </w:rPr>
        <w:t>4</w:t>
      </w:r>
      <w:r>
        <w:rPr>
          <w:rFonts w:hint="eastAsia"/>
        </w:rPr>
        <w:t>条责成广播台提供自由形成意见所必须的客观和不偏不倚的信息。第</w:t>
      </w:r>
      <w:r>
        <w:rPr>
          <w:rFonts w:hint="eastAsia"/>
        </w:rPr>
        <w:t>5</w:t>
      </w:r>
      <w:r>
        <w:rPr>
          <w:rFonts w:hint="eastAsia"/>
        </w:rPr>
        <w:t>条规定广播台有义务保证广播节目不包含潜意识内容。该法第</w:t>
      </w:r>
      <w:r>
        <w:rPr>
          <w:rFonts w:hint="eastAsia"/>
        </w:rPr>
        <w:t>6</w:t>
      </w:r>
      <w:r>
        <w:rPr>
          <w:rFonts w:hint="eastAsia"/>
        </w:rPr>
        <w:t>至第</w:t>
      </w:r>
      <w:r>
        <w:rPr>
          <w:rFonts w:hint="eastAsia"/>
        </w:rPr>
        <w:t>8</w:t>
      </w:r>
      <w:r>
        <w:rPr>
          <w:rFonts w:hint="eastAsia"/>
        </w:rPr>
        <w:t>条规定了管理播放广告和赞助节目的规定：</w:t>
      </w:r>
    </w:p>
    <w:p w:rsidR="00000000" w:rsidRDefault="00000000">
      <w:pPr>
        <w:numPr>
          <w:ilvl w:val="0"/>
          <w:numId w:val="900"/>
        </w:numPr>
        <w:rPr>
          <w:rFonts w:hint="eastAsia"/>
        </w:rPr>
      </w:pPr>
      <w:r>
        <w:rPr>
          <w:rFonts w:hint="eastAsia"/>
        </w:rPr>
        <w:t>广播台必须保证播放的广播不含有支持危及道德、消费者利益或精神保护或道德健康利益的行为。针对儿童或儿童在其中出现的广告，如果支持危及健康、精神或道德发展的行为应予禁止；</w:t>
      </w:r>
    </w:p>
    <w:p w:rsidR="00000000" w:rsidRDefault="00000000">
      <w:pPr>
        <w:numPr>
          <w:ilvl w:val="0"/>
          <w:numId w:val="900"/>
        </w:numPr>
        <w:rPr>
          <w:rFonts w:hint="eastAsia"/>
        </w:rPr>
      </w:pPr>
      <w:r>
        <w:rPr>
          <w:rFonts w:hint="eastAsia"/>
        </w:rPr>
        <w:t>广告必须与其他节目有明显区别和明确分开；</w:t>
      </w:r>
    </w:p>
    <w:p w:rsidR="00000000" w:rsidRDefault="00000000">
      <w:pPr>
        <w:numPr>
          <w:ilvl w:val="0"/>
          <w:numId w:val="900"/>
        </w:numPr>
        <w:rPr>
          <w:rFonts w:hint="eastAsia"/>
        </w:rPr>
      </w:pPr>
      <w:r>
        <w:rPr>
          <w:rFonts w:hint="eastAsia"/>
        </w:rPr>
        <w:t>广播台必须保证点播广告方不得以任何方式影响节目内容或节目服务结构。广告长度及其在节目中的位置由法律明确规定。</w:t>
      </w:r>
    </w:p>
    <w:p w:rsidR="00000000" w:rsidRDefault="00000000">
      <w:pPr>
        <w:rPr>
          <w:rFonts w:hint="eastAsia"/>
        </w:rPr>
      </w:pPr>
      <w:r>
        <w:rPr>
          <w:rFonts w:hint="eastAsia"/>
        </w:rPr>
        <w:tab/>
        <w:t xml:space="preserve">493.  </w:t>
      </w:r>
      <w:r>
        <w:rPr>
          <w:rFonts w:hint="eastAsia"/>
        </w:rPr>
        <w:t>广告条例法</w:t>
      </w:r>
      <w:r>
        <w:rPr>
          <w:rFonts w:hint="eastAsia"/>
        </w:rPr>
        <w:t xml:space="preserve"> </w:t>
      </w:r>
      <w:r>
        <w:rPr>
          <w:rStyle w:val="EndnoteReference"/>
        </w:rPr>
        <w:endnoteReference w:id="300"/>
      </w:r>
      <w:r>
        <w:rPr>
          <w:rFonts w:hint="eastAsia"/>
        </w:rPr>
        <w:t xml:space="preserve"> </w:t>
      </w:r>
      <w:r>
        <w:rPr>
          <w:rFonts w:hint="eastAsia"/>
        </w:rPr>
        <w:t>禁止基于人的潜意识的广告、没有在捷克共和国注册或批准或需要医生处方的药物和医疗设备广告或含有麻醉、精神和其他使人上瘾物质的药物广告；广告也不得包含使人对自己健康状况做出错误评估的数据。</w:t>
      </w:r>
    </w:p>
    <w:p w:rsidR="00000000" w:rsidRDefault="00000000">
      <w:pPr>
        <w:spacing w:after="320"/>
        <w:rPr>
          <w:rFonts w:hint="eastAsia"/>
        </w:rPr>
      </w:pPr>
      <w:r>
        <w:rPr>
          <w:rFonts w:hint="eastAsia"/>
        </w:rPr>
        <w:tab/>
        <w:t xml:space="preserve">494.  </w:t>
      </w:r>
      <w:r>
        <w:rPr>
          <w:rFonts w:hint="eastAsia"/>
        </w:rPr>
        <w:t>广告条例法对管制烟草产品广告做了分别规定。根据该法第</w:t>
      </w:r>
      <w:r>
        <w:rPr>
          <w:rFonts w:hint="eastAsia"/>
        </w:rPr>
        <w:t>3</w:t>
      </w:r>
      <w:r>
        <w:rPr>
          <w:rFonts w:hint="eastAsia"/>
        </w:rPr>
        <w:t>条，烟草产品广告不得以青少年为对象，不得鼓励任何人吸烟。此外，广告必须明文警告吸烟有损害身体的后果。电视和无线电广播不得在上午</w:t>
      </w:r>
      <w:r>
        <w:rPr>
          <w:rFonts w:hint="eastAsia"/>
        </w:rPr>
        <w:t>6</w:t>
      </w:r>
      <w:r>
        <w:rPr>
          <w:rFonts w:hint="eastAsia"/>
        </w:rPr>
        <w:t>时至晚间</w:t>
      </w:r>
      <w:r>
        <w:rPr>
          <w:rFonts w:hint="eastAsia"/>
        </w:rPr>
        <w:t>10</w:t>
      </w:r>
      <w:r>
        <w:rPr>
          <w:rFonts w:hint="eastAsia"/>
        </w:rPr>
        <w:t>时之间安排烟草产品广告。广告条例法第</w:t>
      </w:r>
      <w:r>
        <w:rPr>
          <w:rFonts w:hint="eastAsia"/>
        </w:rPr>
        <w:t>4</w:t>
      </w:r>
      <w:r>
        <w:rPr>
          <w:rFonts w:hint="eastAsia"/>
        </w:rPr>
        <w:t>条也禁止含酒精饮料的广告：它不得以未成年人为对象，不得鼓励任何人过度或有害使用含酒精饮料。</w:t>
      </w:r>
    </w:p>
    <w:p w:rsidR="00000000" w:rsidRDefault="00000000">
      <w:pPr>
        <w:pStyle w:val="Heading4"/>
        <w:rPr>
          <w:rFonts w:hint="eastAsia"/>
        </w:rPr>
      </w:pPr>
      <w:r>
        <w:rPr>
          <w:rFonts w:hint="eastAsia"/>
        </w:rPr>
        <w:t>第</w:t>
      </w:r>
      <w:r>
        <w:rPr>
          <w:rFonts w:hint="eastAsia"/>
        </w:rPr>
        <w:t>2</w:t>
      </w:r>
      <w:r>
        <w:rPr>
          <w:rFonts w:hint="eastAsia"/>
        </w:rPr>
        <w:t>款</w:t>
      </w:r>
      <w:r>
        <w:t>(a)</w:t>
      </w:r>
      <w:r>
        <w:rPr>
          <w:rFonts w:hint="eastAsia"/>
        </w:rPr>
        <w:t>项</w:t>
      </w:r>
    </w:p>
    <w:p w:rsidR="00000000" w:rsidRDefault="00000000">
      <w:pPr>
        <w:spacing w:after="320"/>
        <w:rPr>
          <w:rFonts w:hint="eastAsia"/>
        </w:rPr>
      </w:pPr>
      <w:r>
        <w:rPr>
          <w:rFonts w:hint="eastAsia"/>
        </w:rPr>
        <w:tab/>
        <w:t xml:space="preserve">495.  </w:t>
      </w:r>
      <w:r>
        <w:rPr>
          <w:rFonts w:hint="eastAsia"/>
        </w:rPr>
        <w:t>捷克共和国出生</w:t>
      </w:r>
      <w:r>
        <w:rPr>
          <w:rFonts w:hint="eastAsia"/>
        </w:rPr>
        <w:t>(</w:t>
      </w:r>
      <w:r>
        <w:rPr>
          <w:rFonts w:hint="eastAsia"/>
        </w:rPr>
        <w:t>活胎</w:t>
      </w:r>
      <w:r>
        <w:rPr>
          <w:rFonts w:hint="eastAsia"/>
        </w:rPr>
        <w:t>)</w:t>
      </w:r>
      <w:r>
        <w:rPr>
          <w:rFonts w:hint="eastAsia"/>
        </w:rPr>
        <w:t>率下降，人口负增长趋势显而易见。</w:t>
      </w:r>
      <w:r>
        <w:rPr>
          <w:rFonts w:hint="eastAsia"/>
        </w:rPr>
        <w:t>1996</w:t>
      </w:r>
      <w:r>
        <w:rPr>
          <w:rFonts w:hint="eastAsia"/>
        </w:rPr>
        <w:t>年，死亡数超过出生数，移民未能平衡人口的自然减少。积极变化是婴儿和新生儿死亡率正在下降：</w:t>
      </w:r>
      <w:r>
        <w:rPr>
          <w:rFonts w:hint="eastAsia"/>
        </w:rPr>
        <w:t>1998</w:t>
      </w:r>
      <w:r>
        <w:rPr>
          <w:rFonts w:hint="eastAsia"/>
        </w:rPr>
        <w:t>年下降到</w:t>
      </w:r>
      <w:r>
        <w:rPr>
          <w:rFonts w:hint="eastAsia"/>
        </w:rPr>
        <w:t>1992</w:t>
      </w:r>
      <w:r>
        <w:rPr>
          <w:rFonts w:hint="eastAsia"/>
        </w:rPr>
        <w:t>年死亡率的一半。另一积极变化是妊娠引产继续减少，当然可以假定这与出生率和记录的妊娠数目</w:t>
      </w:r>
      <w:r>
        <w:rPr>
          <w:rFonts w:hint="eastAsia"/>
        </w:rPr>
        <w:t>(</w:t>
      </w:r>
      <w:r>
        <w:rPr>
          <w:rFonts w:hint="eastAsia"/>
        </w:rPr>
        <w:t>见下文</w:t>
      </w:r>
      <w:r>
        <w:rPr>
          <w:rFonts w:hint="eastAsia"/>
        </w:rPr>
        <w:t>)</w:t>
      </w:r>
      <w:r>
        <w:rPr>
          <w:rFonts w:hint="eastAsia"/>
        </w:rPr>
        <w:t>减少有关。</w:t>
      </w:r>
    </w:p>
    <w:p w:rsidR="00000000" w:rsidRDefault="00000000">
      <w:pPr>
        <w:pStyle w:val="Heading3"/>
        <w:spacing w:after="160"/>
        <w:rPr>
          <w:rFonts w:hint="eastAsia"/>
        </w:rPr>
      </w:pPr>
      <w:r>
        <w:rPr>
          <w:rFonts w:hint="eastAsia"/>
        </w:rPr>
        <w:t>出生人数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1"/>
        <w:gridCol w:w="1341"/>
        <w:gridCol w:w="1701"/>
        <w:gridCol w:w="1843"/>
        <w:gridCol w:w="1771"/>
        <w:gridCol w:w="1489"/>
      </w:tblGrid>
      <w:tr w:rsidR="00000000">
        <w:tblPrEx>
          <w:tblCellMar>
            <w:top w:w="0" w:type="dxa"/>
            <w:bottom w:w="0" w:type="dxa"/>
          </w:tblCellMar>
        </w:tblPrEx>
        <w:trPr>
          <w:cantSplit/>
          <w:trHeight w:val="20"/>
        </w:trPr>
        <w:tc>
          <w:tcPr>
            <w:tcW w:w="1211" w:type="dxa"/>
            <w:vMerge w:val="restart"/>
            <w:vAlign w:val="center"/>
          </w:tcPr>
          <w:p w:rsidR="00000000" w:rsidRDefault="00000000">
            <w:pPr>
              <w:pStyle w:val="aa"/>
              <w:spacing w:before="60" w:line="288" w:lineRule="auto"/>
              <w:jc w:val="center"/>
              <w:rPr>
                <w:rFonts w:hint="eastAsia"/>
              </w:rPr>
            </w:pPr>
            <w:r>
              <w:rPr>
                <w:rFonts w:hint="eastAsia"/>
              </w:rPr>
              <w:t>年</w:t>
            </w:r>
            <w:r>
              <w:rPr>
                <w:rFonts w:hint="eastAsia"/>
              </w:rPr>
              <w:t xml:space="preserve">  </w:t>
            </w:r>
            <w:r>
              <w:rPr>
                <w:rFonts w:hint="eastAsia"/>
              </w:rPr>
              <w:t>份</w:t>
            </w:r>
          </w:p>
        </w:tc>
        <w:tc>
          <w:tcPr>
            <w:tcW w:w="1341" w:type="dxa"/>
            <w:vMerge w:val="restart"/>
            <w:vAlign w:val="center"/>
          </w:tcPr>
          <w:p w:rsidR="00000000" w:rsidRDefault="00000000">
            <w:pPr>
              <w:pStyle w:val="aa"/>
              <w:spacing w:before="60" w:line="288" w:lineRule="auto"/>
              <w:jc w:val="center"/>
              <w:rPr>
                <w:rFonts w:hint="eastAsia"/>
              </w:rPr>
            </w:pPr>
            <w:r>
              <w:rPr>
                <w:rFonts w:hint="eastAsia"/>
              </w:rPr>
              <w:t>出生总数</w:t>
            </w:r>
          </w:p>
        </w:tc>
        <w:tc>
          <w:tcPr>
            <w:tcW w:w="3544" w:type="dxa"/>
            <w:gridSpan w:val="2"/>
            <w:tcBorders>
              <w:bottom w:val="single" w:sz="4" w:space="0" w:color="auto"/>
            </w:tcBorders>
          </w:tcPr>
          <w:p w:rsidR="00000000" w:rsidRDefault="00000000">
            <w:pPr>
              <w:pStyle w:val="aa"/>
              <w:spacing w:before="60" w:line="288" w:lineRule="auto"/>
              <w:jc w:val="center"/>
              <w:rPr>
                <w:rFonts w:hint="eastAsia"/>
              </w:rPr>
            </w:pPr>
            <w:r>
              <w:rPr>
                <w:rFonts w:hint="eastAsia"/>
              </w:rPr>
              <w:t>出生人数</w:t>
            </w:r>
          </w:p>
        </w:tc>
        <w:tc>
          <w:tcPr>
            <w:tcW w:w="3260" w:type="dxa"/>
            <w:gridSpan w:val="2"/>
            <w:tcBorders>
              <w:bottom w:val="single" w:sz="4" w:space="0" w:color="auto"/>
            </w:tcBorders>
          </w:tcPr>
          <w:p w:rsidR="00000000" w:rsidRDefault="00000000">
            <w:pPr>
              <w:pStyle w:val="aa"/>
              <w:spacing w:before="60" w:line="288" w:lineRule="auto"/>
              <w:jc w:val="center"/>
            </w:pPr>
            <w:r>
              <w:rPr>
                <w:rFonts w:hint="eastAsia"/>
              </w:rPr>
              <w:t>出生人数</w:t>
            </w:r>
          </w:p>
        </w:tc>
      </w:tr>
      <w:tr w:rsidR="00000000">
        <w:tblPrEx>
          <w:tblCellMar>
            <w:top w:w="0" w:type="dxa"/>
            <w:bottom w:w="0" w:type="dxa"/>
          </w:tblCellMar>
        </w:tblPrEx>
        <w:trPr>
          <w:cantSplit/>
          <w:trHeight w:val="20"/>
        </w:trPr>
        <w:tc>
          <w:tcPr>
            <w:tcW w:w="1211" w:type="dxa"/>
            <w:vMerge/>
            <w:tcBorders>
              <w:bottom w:val="single" w:sz="4" w:space="0" w:color="auto"/>
            </w:tcBorders>
          </w:tcPr>
          <w:p w:rsidR="00000000" w:rsidRDefault="00000000">
            <w:pPr>
              <w:pStyle w:val="aa"/>
              <w:spacing w:before="60" w:line="288" w:lineRule="auto"/>
            </w:pPr>
          </w:p>
        </w:tc>
        <w:tc>
          <w:tcPr>
            <w:tcW w:w="1341" w:type="dxa"/>
            <w:vMerge/>
            <w:tcBorders>
              <w:bottom w:val="single" w:sz="4" w:space="0" w:color="auto"/>
            </w:tcBorders>
          </w:tcPr>
          <w:p w:rsidR="00000000" w:rsidRDefault="00000000">
            <w:pPr>
              <w:pStyle w:val="aa"/>
              <w:spacing w:before="60" w:line="288" w:lineRule="auto"/>
            </w:pPr>
          </w:p>
        </w:tc>
        <w:tc>
          <w:tcPr>
            <w:tcW w:w="1701" w:type="dxa"/>
            <w:tcBorders>
              <w:bottom w:val="single" w:sz="4" w:space="0" w:color="auto"/>
            </w:tcBorders>
          </w:tcPr>
          <w:p w:rsidR="00000000" w:rsidRDefault="00000000">
            <w:pPr>
              <w:pStyle w:val="aa"/>
              <w:spacing w:before="60" w:line="288" w:lineRule="auto"/>
              <w:jc w:val="center"/>
              <w:rPr>
                <w:rFonts w:hint="eastAsia"/>
              </w:rPr>
            </w:pPr>
            <w:r>
              <w:rPr>
                <w:rFonts w:hint="eastAsia"/>
              </w:rPr>
              <w:t>活</w:t>
            </w:r>
            <w:r>
              <w:rPr>
                <w:rFonts w:hint="eastAsia"/>
              </w:rPr>
              <w:t xml:space="preserve">  </w:t>
            </w:r>
            <w:r>
              <w:rPr>
                <w:rFonts w:hint="eastAsia"/>
              </w:rPr>
              <w:t>胎</w:t>
            </w:r>
          </w:p>
        </w:tc>
        <w:tc>
          <w:tcPr>
            <w:tcW w:w="1843" w:type="dxa"/>
            <w:tcBorders>
              <w:bottom w:val="single" w:sz="4" w:space="0" w:color="auto"/>
            </w:tcBorders>
          </w:tcPr>
          <w:p w:rsidR="00000000" w:rsidRDefault="00000000">
            <w:pPr>
              <w:pStyle w:val="aa"/>
              <w:spacing w:before="60" w:line="288" w:lineRule="auto"/>
              <w:jc w:val="center"/>
              <w:rPr>
                <w:rFonts w:hint="eastAsia"/>
              </w:rPr>
            </w:pPr>
            <w:r>
              <w:rPr>
                <w:rFonts w:hint="eastAsia"/>
              </w:rPr>
              <w:t>死</w:t>
            </w:r>
            <w:r>
              <w:rPr>
                <w:rFonts w:hint="eastAsia"/>
              </w:rPr>
              <w:t xml:space="preserve">  </w:t>
            </w:r>
            <w:r>
              <w:rPr>
                <w:rFonts w:hint="eastAsia"/>
              </w:rPr>
              <w:t>胎</w:t>
            </w:r>
          </w:p>
        </w:tc>
        <w:tc>
          <w:tcPr>
            <w:tcW w:w="1771" w:type="dxa"/>
            <w:tcBorders>
              <w:bottom w:val="single" w:sz="4" w:space="0" w:color="auto"/>
            </w:tcBorders>
          </w:tcPr>
          <w:p w:rsidR="00000000" w:rsidRDefault="00000000">
            <w:pPr>
              <w:pStyle w:val="aa"/>
              <w:spacing w:before="60" w:line="288" w:lineRule="auto"/>
              <w:jc w:val="center"/>
              <w:rPr>
                <w:rFonts w:hint="eastAsia"/>
              </w:rPr>
            </w:pPr>
            <w:r>
              <w:rPr>
                <w:rFonts w:hint="eastAsia"/>
              </w:rPr>
              <w:t>合</w:t>
            </w:r>
            <w:r>
              <w:rPr>
                <w:rFonts w:hint="eastAsia"/>
              </w:rPr>
              <w:t xml:space="preserve">  </w:t>
            </w:r>
            <w:r>
              <w:rPr>
                <w:rFonts w:hint="eastAsia"/>
              </w:rPr>
              <w:t>法</w:t>
            </w:r>
          </w:p>
        </w:tc>
        <w:tc>
          <w:tcPr>
            <w:tcW w:w="1489" w:type="dxa"/>
            <w:tcBorders>
              <w:bottom w:val="single" w:sz="4" w:space="0" w:color="auto"/>
            </w:tcBorders>
          </w:tcPr>
          <w:p w:rsidR="00000000" w:rsidRDefault="00000000">
            <w:pPr>
              <w:pStyle w:val="aa"/>
              <w:spacing w:before="60" w:line="288" w:lineRule="auto"/>
              <w:jc w:val="center"/>
            </w:pPr>
            <w:r>
              <w:rPr>
                <w:rFonts w:hint="eastAsia"/>
              </w:rPr>
              <w:t>非</w:t>
            </w:r>
            <w:r>
              <w:rPr>
                <w:rFonts w:hint="eastAsia"/>
              </w:rPr>
              <w:t xml:space="preserve">  </w:t>
            </w:r>
            <w:r>
              <w:rPr>
                <w:rFonts w:hint="eastAsia"/>
              </w:rPr>
              <w:t>法</w:t>
            </w:r>
          </w:p>
        </w:tc>
      </w:tr>
      <w:tr w:rsidR="00000000">
        <w:tblPrEx>
          <w:tblCellMar>
            <w:top w:w="0" w:type="dxa"/>
            <w:bottom w:w="0" w:type="dxa"/>
          </w:tblCellMar>
        </w:tblPrEx>
        <w:tc>
          <w:tcPr>
            <w:tcW w:w="1211" w:type="dxa"/>
            <w:tcBorders>
              <w:bottom w:val="nil"/>
            </w:tcBorders>
          </w:tcPr>
          <w:p w:rsidR="00000000" w:rsidRDefault="00000000">
            <w:pPr>
              <w:pStyle w:val="aa"/>
              <w:spacing w:before="40" w:line="336" w:lineRule="auto"/>
              <w:rPr>
                <w:rFonts w:hint="eastAsia"/>
              </w:rPr>
            </w:pPr>
            <w:r>
              <w:t>1994</w:t>
            </w:r>
            <w:r>
              <w:rPr>
                <w:rFonts w:hint="eastAsia"/>
              </w:rPr>
              <w:t>年</w:t>
            </w:r>
          </w:p>
        </w:tc>
        <w:tc>
          <w:tcPr>
            <w:tcW w:w="1341" w:type="dxa"/>
            <w:tcBorders>
              <w:bottom w:val="nil"/>
            </w:tcBorders>
          </w:tcPr>
          <w:p w:rsidR="00000000" w:rsidRDefault="00000000">
            <w:pPr>
              <w:pStyle w:val="aa"/>
              <w:spacing w:before="40" w:line="336" w:lineRule="auto"/>
              <w:ind w:right="170"/>
              <w:jc w:val="right"/>
            </w:pPr>
            <w:r>
              <w:t>106,915</w:t>
            </w:r>
          </w:p>
        </w:tc>
        <w:tc>
          <w:tcPr>
            <w:tcW w:w="1701" w:type="dxa"/>
            <w:tcBorders>
              <w:bottom w:val="nil"/>
            </w:tcBorders>
          </w:tcPr>
          <w:p w:rsidR="00000000" w:rsidRDefault="00000000">
            <w:pPr>
              <w:pStyle w:val="aa"/>
              <w:spacing w:before="40" w:line="336" w:lineRule="auto"/>
              <w:ind w:right="340"/>
              <w:jc w:val="right"/>
            </w:pPr>
            <w:r>
              <w:t>106,579</w:t>
            </w:r>
          </w:p>
        </w:tc>
        <w:tc>
          <w:tcPr>
            <w:tcW w:w="1843" w:type="dxa"/>
            <w:tcBorders>
              <w:bottom w:val="nil"/>
            </w:tcBorders>
          </w:tcPr>
          <w:p w:rsidR="00000000" w:rsidRDefault="00000000">
            <w:pPr>
              <w:pStyle w:val="aa"/>
              <w:spacing w:before="40" w:line="336" w:lineRule="auto"/>
              <w:ind w:right="57"/>
              <w:jc w:val="center"/>
            </w:pPr>
            <w:r>
              <w:t>336</w:t>
            </w:r>
          </w:p>
        </w:tc>
        <w:tc>
          <w:tcPr>
            <w:tcW w:w="1771" w:type="dxa"/>
            <w:tcBorders>
              <w:bottom w:val="nil"/>
            </w:tcBorders>
          </w:tcPr>
          <w:p w:rsidR="00000000" w:rsidRDefault="00000000">
            <w:pPr>
              <w:pStyle w:val="aa"/>
              <w:spacing w:before="40" w:line="336" w:lineRule="auto"/>
              <w:ind w:right="340"/>
              <w:jc w:val="right"/>
            </w:pPr>
            <w:r>
              <w:t>91,345</w:t>
            </w:r>
          </w:p>
        </w:tc>
        <w:tc>
          <w:tcPr>
            <w:tcW w:w="1489" w:type="dxa"/>
            <w:tcBorders>
              <w:bottom w:val="nil"/>
            </w:tcBorders>
          </w:tcPr>
          <w:p w:rsidR="00000000" w:rsidRDefault="00000000">
            <w:pPr>
              <w:pStyle w:val="aa"/>
              <w:spacing w:before="40" w:line="336" w:lineRule="auto"/>
              <w:ind w:right="340"/>
              <w:jc w:val="right"/>
            </w:pPr>
            <w:r>
              <w:t>15,570</w:t>
            </w:r>
          </w:p>
        </w:tc>
      </w:tr>
      <w:tr w:rsidR="00000000">
        <w:tblPrEx>
          <w:tblCellMar>
            <w:top w:w="0" w:type="dxa"/>
            <w:bottom w:w="0" w:type="dxa"/>
          </w:tblCellMar>
        </w:tblPrEx>
        <w:tc>
          <w:tcPr>
            <w:tcW w:w="1211" w:type="dxa"/>
            <w:tcBorders>
              <w:top w:val="nil"/>
              <w:bottom w:val="nil"/>
            </w:tcBorders>
          </w:tcPr>
          <w:p w:rsidR="00000000" w:rsidRDefault="00000000">
            <w:pPr>
              <w:pStyle w:val="aa"/>
              <w:spacing w:line="336" w:lineRule="auto"/>
              <w:rPr>
                <w:rFonts w:hint="eastAsia"/>
              </w:rPr>
            </w:pPr>
            <w:r>
              <w:t>1995</w:t>
            </w:r>
            <w:r>
              <w:rPr>
                <w:rFonts w:hint="eastAsia"/>
              </w:rPr>
              <w:t>年</w:t>
            </w:r>
          </w:p>
        </w:tc>
        <w:tc>
          <w:tcPr>
            <w:tcW w:w="1341" w:type="dxa"/>
            <w:tcBorders>
              <w:top w:val="nil"/>
              <w:bottom w:val="nil"/>
            </w:tcBorders>
          </w:tcPr>
          <w:p w:rsidR="00000000" w:rsidRDefault="00000000">
            <w:pPr>
              <w:pStyle w:val="aa"/>
              <w:spacing w:line="336" w:lineRule="auto"/>
              <w:ind w:right="170"/>
              <w:jc w:val="right"/>
            </w:pPr>
            <w:r>
              <w:t>96,397</w:t>
            </w:r>
          </w:p>
        </w:tc>
        <w:tc>
          <w:tcPr>
            <w:tcW w:w="1701" w:type="dxa"/>
            <w:tcBorders>
              <w:top w:val="nil"/>
              <w:bottom w:val="nil"/>
            </w:tcBorders>
          </w:tcPr>
          <w:p w:rsidR="00000000" w:rsidRDefault="00000000">
            <w:pPr>
              <w:pStyle w:val="aa"/>
              <w:spacing w:line="336" w:lineRule="auto"/>
              <w:ind w:right="340"/>
              <w:jc w:val="right"/>
            </w:pPr>
            <w:r>
              <w:t>96,097</w:t>
            </w:r>
          </w:p>
        </w:tc>
        <w:tc>
          <w:tcPr>
            <w:tcW w:w="1843" w:type="dxa"/>
            <w:tcBorders>
              <w:top w:val="nil"/>
              <w:bottom w:val="nil"/>
            </w:tcBorders>
          </w:tcPr>
          <w:p w:rsidR="00000000" w:rsidRDefault="00000000">
            <w:pPr>
              <w:pStyle w:val="aa"/>
              <w:spacing w:line="336" w:lineRule="auto"/>
              <w:ind w:right="57"/>
              <w:jc w:val="center"/>
            </w:pPr>
            <w:r>
              <w:t>300</w:t>
            </w:r>
          </w:p>
        </w:tc>
        <w:tc>
          <w:tcPr>
            <w:tcW w:w="1771" w:type="dxa"/>
            <w:tcBorders>
              <w:top w:val="nil"/>
              <w:bottom w:val="nil"/>
            </w:tcBorders>
          </w:tcPr>
          <w:p w:rsidR="00000000" w:rsidRDefault="00000000">
            <w:pPr>
              <w:pStyle w:val="aa"/>
              <w:spacing w:line="336" w:lineRule="auto"/>
              <w:ind w:right="340"/>
              <w:jc w:val="right"/>
            </w:pPr>
            <w:r>
              <w:t>81,384</w:t>
            </w:r>
          </w:p>
        </w:tc>
        <w:tc>
          <w:tcPr>
            <w:tcW w:w="1489" w:type="dxa"/>
            <w:tcBorders>
              <w:top w:val="nil"/>
              <w:bottom w:val="nil"/>
            </w:tcBorders>
          </w:tcPr>
          <w:p w:rsidR="00000000" w:rsidRDefault="00000000">
            <w:pPr>
              <w:pStyle w:val="aa"/>
              <w:spacing w:line="336" w:lineRule="auto"/>
              <w:ind w:right="340"/>
              <w:jc w:val="right"/>
            </w:pPr>
            <w:r>
              <w:t>15,013</w:t>
            </w:r>
          </w:p>
        </w:tc>
      </w:tr>
      <w:tr w:rsidR="00000000">
        <w:tblPrEx>
          <w:tblCellMar>
            <w:top w:w="0" w:type="dxa"/>
            <w:bottom w:w="0" w:type="dxa"/>
          </w:tblCellMar>
        </w:tblPrEx>
        <w:tc>
          <w:tcPr>
            <w:tcW w:w="1211" w:type="dxa"/>
            <w:tcBorders>
              <w:top w:val="nil"/>
              <w:bottom w:val="nil"/>
            </w:tcBorders>
          </w:tcPr>
          <w:p w:rsidR="00000000" w:rsidRDefault="00000000">
            <w:pPr>
              <w:pStyle w:val="aa"/>
              <w:spacing w:line="336" w:lineRule="auto"/>
              <w:rPr>
                <w:rFonts w:hint="eastAsia"/>
              </w:rPr>
            </w:pPr>
            <w:r>
              <w:t>1996</w:t>
            </w:r>
            <w:r>
              <w:rPr>
                <w:rFonts w:hint="eastAsia"/>
              </w:rPr>
              <w:t>年</w:t>
            </w:r>
          </w:p>
        </w:tc>
        <w:tc>
          <w:tcPr>
            <w:tcW w:w="1341" w:type="dxa"/>
            <w:tcBorders>
              <w:top w:val="nil"/>
              <w:bottom w:val="nil"/>
            </w:tcBorders>
          </w:tcPr>
          <w:p w:rsidR="00000000" w:rsidRDefault="00000000">
            <w:pPr>
              <w:pStyle w:val="aa"/>
              <w:spacing w:line="336" w:lineRule="auto"/>
              <w:ind w:right="170"/>
              <w:jc w:val="right"/>
            </w:pPr>
            <w:r>
              <w:t>90,763</w:t>
            </w:r>
          </w:p>
        </w:tc>
        <w:tc>
          <w:tcPr>
            <w:tcW w:w="1701" w:type="dxa"/>
            <w:tcBorders>
              <w:top w:val="nil"/>
              <w:bottom w:val="nil"/>
            </w:tcBorders>
          </w:tcPr>
          <w:p w:rsidR="00000000" w:rsidRDefault="00000000">
            <w:pPr>
              <w:pStyle w:val="aa"/>
              <w:spacing w:line="336" w:lineRule="auto"/>
              <w:ind w:right="340"/>
              <w:jc w:val="right"/>
            </w:pPr>
            <w:r>
              <w:t>90,446</w:t>
            </w:r>
          </w:p>
        </w:tc>
        <w:tc>
          <w:tcPr>
            <w:tcW w:w="1843" w:type="dxa"/>
            <w:tcBorders>
              <w:top w:val="nil"/>
              <w:bottom w:val="nil"/>
            </w:tcBorders>
          </w:tcPr>
          <w:p w:rsidR="00000000" w:rsidRDefault="00000000">
            <w:pPr>
              <w:pStyle w:val="aa"/>
              <w:spacing w:line="336" w:lineRule="auto"/>
              <w:ind w:right="57"/>
              <w:jc w:val="center"/>
            </w:pPr>
            <w:r>
              <w:t>317</w:t>
            </w:r>
          </w:p>
        </w:tc>
        <w:tc>
          <w:tcPr>
            <w:tcW w:w="1771" w:type="dxa"/>
            <w:tcBorders>
              <w:top w:val="nil"/>
              <w:bottom w:val="nil"/>
            </w:tcBorders>
          </w:tcPr>
          <w:p w:rsidR="00000000" w:rsidRDefault="00000000">
            <w:pPr>
              <w:pStyle w:val="aa"/>
              <w:spacing w:line="336" w:lineRule="auto"/>
              <w:ind w:right="340"/>
              <w:jc w:val="right"/>
            </w:pPr>
            <w:r>
              <w:t>75,396</w:t>
            </w:r>
          </w:p>
        </w:tc>
        <w:tc>
          <w:tcPr>
            <w:tcW w:w="1489" w:type="dxa"/>
            <w:tcBorders>
              <w:top w:val="nil"/>
              <w:bottom w:val="nil"/>
            </w:tcBorders>
          </w:tcPr>
          <w:p w:rsidR="00000000" w:rsidRDefault="00000000">
            <w:pPr>
              <w:pStyle w:val="aa"/>
              <w:spacing w:line="336" w:lineRule="auto"/>
              <w:ind w:right="340"/>
              <w:jc w:val="right"/>
            </w:pPr>
            <w:r>
              <w:t>15,367</w:t>
            </w:r>
          </w:p>
        </w:tc>
      </w:tr>
      <w:tr w:rsidR="00000000">
        <w:tblPrEx>
          <w:tblCellMar>
            <w:top w:w="0" w:type="dxa"/>
            <w:bottom w:w="0" w:type="dxa"/>
          </w:tblCellMar>
        </w:tblPrEx>
        <w:tc>
          <w:tcPr>
            <w:tcW w:w="1211" w:type="dxa"/>
            <w:tcBorders>
              <w:top w:val="nil"/>
              <w:bottom w:val="nil"/>
            </w:tcBorders>
          </w:tcPr>
          <w:p w:rsidR="00000000" w:rsidRDefault="00000000">
            <w:pPr>
              <w:pStyle w:val="aa"/>
              <w:spacing w:line="336" w:lineRule="auto"/>
              <w:rPr>
                <w:rFonts w:hint="eastAsia"/>
              </w:rPr>
            </w:pPr>
            <w:r>
              <w:t>1997</w:t>
            </w:r>
            <w:r>
              <w:rPr>
                <w:rFonts w:hint="eastAsia"/>
              </w:rPr>
              <w:t>年</w:t>
            </w:r>
          </w:p>
        </w:tc>
        <w:tc>
          <w:tcPr>
            <w:tcW w:w="1341" w:type="dxa"/>
            <w:tcBorders>
              <w:top w:val="nil"/>
              <w:bottom w:val="nil"/>
            </w:tcBorders>
          </w:tcPr>
          <w:p w:rsidR="00000000" w:rsidRDefault="00000000">
            <w:pPr>
              <w:pStyle w:val="aa"/>
              <w:spacing w:line="336" w:lineRule="auto"/>
              <w:ind w:right="170"/>
              <w:jc w:val="right"/>
            </w:pPr>
            <w:r>
              <w:t>90,930</w:t>
            </w:r>
          </w:p>
        </w:tc>
        <w:tc>
          <w:tcPr>
            <w:tcW w:w="1701" w:type="dxa"/>
            <w:tcBorders>
              <w:top w:val="nil"/>
              <w:bottom w:val="nil"/>
            </w:tcBorders>
          </w:tcPr>
          <w:p w:rsidR="00000000" w:rsidRDefault="00000000">
            <w:pPr>
              <w:pStyle w:val="aa"/>
              <w:spacing w:line="336" w:lineRule="auto"/>
              <w:ind w:right="340"/>
              <w:jc w:val="right"/>
            </w:pPr>
            <w:r>
              <w:t>90,657</w:t>
            </w:r>
          </w:p>
        </w:tc>
        <w:tc>
          <w:tcPr>
            <w:tcW w:w="1843" w:type="dxa"/>
            <w:tcBorders>
              <w:top w:val="nil"/>
              <w:bottom w:val="nil"/>
            </w:tcBorders>
          </w:tcPr>
          <w:p w:rsidR="00000000" w:rsidRDefault="00000000">
            <w:pPr>
              <w:pStyle w:val="aa"/>
              <w:spacing w:line="336" w:lineRule="auto"/>
              <w:ind w:right="57"/>
              <w:jc w:val="center"/>
            </w:pPr>
            <w:r>
              <w:t>273</w:t>
            </w:r>
          </w:p>
        </w:tc>
        <w:tc>
          <w:tcPr>
            <w:tcW w:w="1771" w:type="dxa"/>
            <w:tcBorders>
              <w:top w:val="nil"/>
              <w:bottom w:val="nil"/>
            </w:tcBorders>
          </w:tcPr>
          <w:p w:rsidR="00000000" w:rsidRDefault="00000000">
            <w:pPr>
              <w:pStyle w:val="aa"/>
              <w:spacing w:line="336" w:lineRule="auto"/>
              <w:ind w:right="340"/>
              <w:jc w:val="right"/>
            </w:pPr>
            <w:r>
              <w:t>74,736</w:t>
            </w:r>
          </w:p>
        </w:tc>
        <w:tc>
          <w:tcPr>
            <w:tcW w:w="1489" w:type="dxa"/>
            <w:tcBorders>
              <w:top w:val="nil"/>
              <w:bottom w:val="nil"/>
            </w:tcBorders>
          </w:tcPr>
          <w:p w:rsidR="00000000" w:rsidRDefault="00000000">
            <w:pPr>
              <w:pStyle w:val="aa"/>
              <w:spacing w:line="336" w:lineRule="auto"/>
              <w:ind w:right="340"/>
              <w:jc w:val="right"/>
            </w:pPr>
            <w:r>
              <w:t>16,194</w:t>
            </w:r>
          </w:p>
        </w:tc>
      </w:tr>
      <w:tr w:rsidR="00000000">
        <w:tblPrEx>
          <w:tblCellMar>
            <w:top w:w="0" w:type="dxa"/>
            <w:bottom w:w="0" w:type="dxa"/>
          </w:tblCellMar>
        </w:tblPrEx>
        <w:tc>
          <w:tcPr>
            <w:tcW w:w="1211" w:type="dxa"/>
            <w:tcBorders>
              <w:top w:val="nil"/>
            </w:tcBorders>
          </w:tcPr>
          <w:p w:rsidR="00000000" w:rsidRDefault="00000000">
            <w:pPr>
              <w:pStyle w:val="aa"/>
              <w:spacing w:line="336" w:lineRule="auto"/>
              <w:rPr>
                <w:rFonts w:hint="eastAsia"/>
              </w:rPr>
            </w:pPr>
            <w:r>
              <w:t>1998</w:t>
            </w:r>
            <w:r>
              <w:rPr>
                <w:rFonts w:hint="eastAsia"/>
              </w:rPr>
              <w:t>年</w:t>
            </w:r>
          </w:p>
        </w:tc>
        <w:tc>
          <w:tcPr>
            <w:tcW w:w="1341" w:type="dxa"/>
            <w:tcBorders>
              <w:top w:val="nil"/>
            </w:tcBorders>
          </w:tcPr>
          <w:p w:rsidR="00000000" w:rsidRDefault="00000000">
            <w:pPr>
              <w:pStyle w:val="aa"/>
              <w:spacing w:line="336" w:lineRule="auto"/>
              <w:ind w:right="170"/>
              <w:jc w:val="right"/>
            </w:pPr>
            <w:r>
              <w:t>90,829</w:t>
            </w:r>
          </w:p>
        </w:tc>
        <w:tc>
          <w:tcPr>
            <w:tcW w:w="1701" w:type="dxa"/>
            <w:tcBorders>
              <w:top w:val="nil"/>
            </w:tcBorders>
          </w:tcPr>
          <w:p w:rsidR="00000000" w:rsidRDefault="00000000">
            <w:pPr>
              <w:pStyle w:val="aa"/>
              <w:spacing w:line="336" w:lineRule="auto"/>
              <w:ind w:right="340"/>
              <w:jc w:val="right"/>
            </w:pPr>
            <w:r>
              <w:t>90,535</w:t>
            </w:r>
          </w:p>
        </w:tc>
        <w:tc>
          <w:tcPr>
            <w:tcW w:w="1843" w:type="dxa"/>
            <w:tcBorders>
              <w:top w:val="nil"/>
            </w:tcBorders>
          </w:tcPr>
          <w:p w:rsidR="00000000" w:rsidRDefault="00000000">
            <w:pPr>
              <w:pStyle w:val="aa"/>
              <w:spacing w:line="336" w:lineRule="auto"/>
              <w:ind w:right="57"/>
              <w:jc w:val="center"/>
            </w:pPr>
            <w:r>
              <w:t>294</w:t>
            </w:r>
          </w:p>
        </w:tc>
        <w:tc>
          <w:tcPr>
            <w:tcW w:w="1771" w:type="dxa"/>
            <w:tcBorders>
              <w:top w:val="nil"/>
            </w:tcBorders>
          </w:tcPr>
          <w:p w:rsidR="00000000" w:rsidRDefault="00000000">
            <w:pPr>
              <w:pStyle w:val="aa"/>
              <w:spacing w:line="336" w:lineRule="auto"/>
              <w:ind w:right="340"/>
              <w:jc w:val="right"/>
            </w:pPr>
            <w:r>
              <w:t>73,545</w:t>
            </w:r>
          </w:p>
        </w:tc>
        <w:tc>
          <w:tcPr>
            <w:tcW w:w="1489" w:type="dxa"/>
            <w:tcBorders>
              <w:top w:val="nil"/>
            </w:tcBorders>
          </w:tcPr>
          <w:p w:rsidR="00000000" w:rsidRDefault="00000000">
            <w:pPr>
              <w:pStyle w:val="aa"/>
              <w:spacing w:line="336" w:lineRule="auto"/>
              <w:ind w:right="340"/>
              <w:jc w:val="right"/>
            </w:pPr>
            <w:r>
              <w:t>17,284</w:t>
            </w:r>
          </w:p>
        </w:tc>
      </w:tr>
    </w:tbl>
    <w:p w:rsidR="00000000" w:rsidRDefault="00000000">
      <w:pPr>
        <w:pStyle w:val="FootnoteText"/>
        <w:spacing w:before="240" w:after="240" w:line="336" w:lineRule="auto"/>
        <w:rPr>
          <w:rFonts w:hint="eastAsia"/>
          <w:sz w:val="21"/>
        </w:rPr>
      </w:pPr>
      <w:r>
        <w:rPr>
          <w:rFonts w:hint="eastAsia"/>
          <w:sz w:val="21"/>
          <w:u w:val="single"/>
        </w:rPr>
        <w:t>资料来源</w:t>
      </w:r>
      <w:r>
        <w:rPr>
          <w:sz w:val="21"/>
        </w:rPr>
        <w:t>：</w:t>
      </w:r>
      <w:r>
        <w:rPr>
          <w:sz w:val="21"/>
        </w:rPr>
        <w:t xml:space="preserve">  </w:t>
      </w:r>
      <w:r>
        <w:rPr>
          <w:rFonts w:hint="eastAsia"/>
          <w:sz w:val="21"/>
        </w:rPr>
        <w:t>捷克统计署，</w:t>
      </w:r>
      <w:r>
        <w:rPr>
          <w:sz w:val="21"/>
        </w:rPr>
        <w:t>1999</w:t>
      </w:r>
      <w:r>
        <w:rPr>
          <w:rFonts w:hint="eastAsia"/>
          <w:sz w:val="21"/>
        </w:rPr>
        <w:t>年。</w:t>
      </w:r>
    </w:p>
    <w:p w:rsidR="00000000" w:rsidRDefault="00000000">
      <w:pPr>
        <w:rPr>
          <w:rFonts w:hint="eastAsia"/>
        </w:rPr>
      </w:pPr>
      <w:r>
        <w:rPr>
          <w:rFonts w:hint="eastAsia"/>
        </w:rPr>
        <w:tab/>
        <w:t xml:space="preserve">496.  </w:t>
      </w:r>
      <w:r>
        <w:rPr>
          <w:rFonts w:hint="eastAsia"/>
        </w:rPr>
        <w:t>宪章第</w:t>
      </w:r>
      <w:r>
        <w:rPr>
          <w:rFonts w:hint="eastAsia"/>
        </w:rPr>
        <w:t>6</w:t>
      </w:r>
      <w:r>
        <w:rPr>
          <w:rFonts w:hint="eastAsia"/>
        </w:rPr>
        <w:t>条第</w:t>
      </w:r>
      <w:r>
        <w:rPr>
          <w:rFonts w:hint="eastAsia"/>
        </w:rPr>
        <w:t>1</w:t>
      </w:r>
      <w:r>
        <w:rPr>
          <w:rFonts w:hint="eastAsia"/>
        </w:rPr>
        <w:t>款第</w:t>
      </w:r>
      <w:r>
        <w:rPr>
          <w:rFonts w:hint="eastAsia"/>
        </w:rPr>
        <w:t>2</w:t>
      </w:r>
      <w:r>
        <w:rPr>
          <w:rFonts w:hint="eastAsia"/>
        </w:rPr>
        <w:t>句规定：“人的生命甚至在出生前都值得保护。”这句话所表达的是一种道德品质而不是法律品质。它并不解决禁止引产的问题，即医生、国家、母亲、父亲、可能的父母是否有做出引产决定的合法权利或无人有此权利的问题。堕胎法和卫生部执行该法的有关命令规定了有可能引产的条件</w:t>
      </w:r>
      <w:r>
        <w:rPr>
          <w:rFonts w:hint="eastAsia"/>
        </w:rPr>
        <w:t xml:space="preserve"> </w:t>
      </w:r>
      <w:r>
        <w:rPr>
          <w:rStyle w:val="EndnoteReference"/>
        </w:rPr>
        <w:endnoteReference w:id="301"/>
      </w:r>
      <w:r>
        <w:rPr>
          <w:rFonts w:hint="eastAsia"/>
        </w:rPr>
        <w:t xml:space="preserve"> </w:t>
      </w:r>
      <w:r>
        <w:rPr>
          <w:rFonts w:hint="eastAsia"/>
        </w:rPr>
        <w:t>。</w:t>
      </w:r>
    </w:p>
    <w:p w:rsidR="00000000" w:rsidRDefault="00000000">
      <w:pPr>
        <w:rPr>
          <w:rFonts w:hint="eastAsia"/>
        </w:rPr>
      </w:pPr>
      <w:r>
        <w:rPr>
          <w:rFonts w:hint="eastAsia"/>
        </w:rPr>
        <w:tab/>
        <w:t xml:space="preserve">497.  </w:t>
      </w:r>
      <w:r>
        <w:rPr>
          <w:rFonts w:hint="eastAsia"/>
        </w:rPr>
        <w:t>根据堕胎法第</w:t>
      </w:r>
      <w:r>
        <w:rPr>
          <w:rFonts w:hint="eastAsia"/>
        </w:rPr>
        <w:t>4</w:t>
      </w:r>
      <w:r>
        <w:rPr>
          <w:rFonts w:hint="eastAsia"/>
        </w:rPr>
        <w:t>条，“孕妇如果妊娠不超过</w:t>
      </w:r>
      <w:r>
        <w:rPr>
          <w:rFonts w:hint="eastAsia"/>
        </w:rPr>
        <w:t>12</w:t>
      </w:r>
      <w:r>
        <w:rPr>
          <w:rFonts w:hint="eastAsia"/>
        </w:rPr>
        <w:t>个星期和如果书面要求堕胎并且其他健康原因不妨碍这样做，可以堕胎。”该法第</w:t>
      </w:r>
      <w:r>
        <w:rPr>
          <w:rFonts w:hint="eastAsia"/>
        </w:rPr>
        <w:t>5</w:t>
      </w:r>
      <w:r>
        <w:rPr>
          <w:rFonts w:hint="eastAsia"/>
        </w:rPr>
        <w:t>条也允许出于健康原因的堕胎，条件是她同意</w:t>
      </w:r>
      <w:r>
        <w:rPr>
          <w:rFonts w:hint="eastAsia"/>
        </w:rPr>
        <w:t>[</w:t>
      </w:r>
      <w:r>
        <w:rPr>
          <w:rFonts w:hint="eastAsia"/>
        </w:rPr>
        <w:t>或</w:t>
      </w:r>
      <w:r>
        <w:rPr>
          <w:rFonts w:hint="eastAsia"/>
        </w:rPr>
        <w:t>]</w:t>
      </w:r>
      <w:r>
        <w:rPr>
          <w:rFonts w:hint="eastAsia"/>
        </w:rPr>
        <w:t>在她坚持之下和如果不堕胎她的生命或胎儿的健康或健康发展就受到威胁或胎儿存在基因缺陷”。年龄未满</w:t>
      </w:r>
      <w:r>
        <w:rPr>
          <w:rFonts w:hint="eastAsia"/>
        </w:rPr>
        <w:t>16</w:t>
      </w:r>
      <w:r>
        <w:rPr>
          <w:rFonts w:hint="eastAsia"/>
        </w:rPr>
        <w:t>岁的妇女只有经过其法律代表的同意才可以堕胎；对年龄在</w:t>
      </w:r>
      <w:r>
        <w:rPr>
          <w:rFonts w:hint="eastAsia"/>
        </w:rPr>
        <w:t>16</w:t>
      </w:r>
      <w:r>
        <w:rPr>
          <w:rFonts w:hint="eastAsia"/>
        </w:rPr>
        <w:t>至</w:t>
      </w:r>
      <w:r>
        <w:rPr>
          <w:rFonts w:hint="eastAsia"/>
        </w:rPr>
        <w:t>18</w:t>
      </w:r>
      <w:r>
        <w:rPr>
          <w:rFonts w:hint="eastAsia"/>
        </w:rPr>
        <w:t>岁之间的妇女，如果妊娠中断，健康设施应通知其法律代表。</w:t>
      </w:r>
    </w:p>
    <w:p w:rsidR="00000000" w:rsidRDefault="00000000">
      <w:pPr>
        <w:spacing w:after="320"/>
        <w:rPr>
          <w:rFonts w:hint="eastAsia"/>
        </w:rPr>
      </w:pPr>
      <w:r>
        <w:rPr>
          <w:rFonts w:hint="eastAsia"/>
        </w:rPr>
        <w:tab/>
        <w:t xml:space="preserve">498.  </w:t>
      </w:r>
      <w:r>
        <w:rPr>
          <w:rFonts w:hint="eastAsia"/>
        </w:rPr>
        <w:t>现代、有效和安全避孕办法的具备也是引产人数减少成为可能的原因。从</w:t>
      </w:r>
      <w:r>
        <w:rPr>
          <w:rFonts w:hint="eastAsia"/>
        </w:rPr>
        <w:t>1992</w:t>
      </w:r>
      <w:r>
        <w:rPr>
          <w:rFonts w:hint="eastAsia"/>
        </w:rPr>
        <w:t>年至</w:t>
      </w:r>
      <w:r>
        <w:rPr>
          <w:rFonts w:hint="eastAsia"/>
        </w:rPr>
        <w:t>1997</w:t>
      </w:r>
      <w:r>
        <w:rPr>
          <w:rFonts w:hint="eastAsia"/>
        </w:rPr>
        <w:t>年，在医生监督下使用某种避孕办法的登记生育年龄妇女比例从</w:t>
      </w:r>
      <w:r>
        <w:rPr>
          <w:rFonts w:hint="eastAsia"/>
        </w:rPr>
        <w:t>21.1%</w:t>
      </w:r>
      <w:r>
        <w:rPr>
          <w:rFonts w:hint="eastAsia"/>
        </w:rPr>
        <w:t>上升到</w:t>
      </w:r>
      <w:r>
        <w:rPr>
          <w:rFonts w:hint="eastAsia"/>
        </w:rPr>
        <w:t>37.8%</w:t>
      </w:r>
      <w:r>
        <w:rPr>
          <w:rFonts w:hint="eastAsia"/>
        </w:rPr>
        <w:t>，包括</w:t>
      </w:r>
      <w:r>
        <w:rPr>
          <w:rFonts w:hint="eastAsia"/>
        </w:rPr>
        <w:t>29.1%</w:t>
      </w:r>
      <w:r>
        <w:rPr>
          <w:rFonts w:hint="eastAsia"/>
        </w:rPr>
        <w:t>使用激素避孕办法。从</w:t>
      </w:r>
      <w:r>
        <w:rPr>
          <w:rFonts w:hint="eastAsia"/>
        </w:rPr>
        <w:t>1996</w:t>
      </w:r>
      <w:r>
        <w:rPr>
          <w:rFonts w:hint="eastAsia"/>
        </w:rPr>
        <w:t>年至</w:t>
      </w:r>
      <w:r>
        <w:rPr>
          <w:rFonts w:hint="eastAsia"/>
        </w:rPr>
        <w:t>1997</w:t>
      </w:r>
      <w:r>
        <w:rPr>
          <w:rFonts w:hint="eastAsia"/>
        </w:rPr>
        <w:t>年使用避孕办法的妇女比例年增长率为</w:t>
      </w:r>
      <w:r>
        <w:rPr>
          <w:rFonts w:hint="eastAsia"/>
        </w:rPr>
        <w:t>2.8</w:t>
      </w:r>
      <w:r>
        <w:rPr>
          <w:rFonts w:hint="eastAsia"/>
        </w:rPr>
        <w:t>个百分点。然而，避孕办法尚未实行免费，其中仅一小部分由健康保险支付。</w:t>
      </w:r>
    </w:p>
    <w:p w:rsidR="00000000" w:rsidRDefault="00000000">
      <w:pPr>
        <w:pStyle w:val="Heading3"/>
        <w:pageBreakBefore/>
        <w:spacing w:after="160"/>
        <w:rPr>
          <w:rFonts w:hint="eastAsia"/>
        </w:rPr>
      </w:pPr>
      <w:r>
        <w:rPr>
          <w:rFonts w:hint="eastAsia"/>
        </w:rPr>
        <w:t>堕</w:t>
      </w:r>
      <w:r>
        <w:rPr>
          <w:rFonts w:hint="eastAsia"/>
        </w:rPr>
        <w:t xml:space="preserve">  </w:t>
      </w:r>
      <w:r>
        <w:rPr>
          <w:rFonts w:hint="eastAsia"/>
        </w:rPr>
        <w:t>胎</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75"/>
        <w:gridCol w:w="1545"/>
        <w:gridCol w:w="1983"/>
        <w:gridCol w:w="2445"/>
        <w:gridCol w:w="1808"/>
      </w:tblGrid>
      <w:tr w:rsidR="00000000">
        <w:tblPrEx>
          <w:tblCellMar>
            <w:top w:w="0" w:type="dxa"/>
            <w:bottom w:w="0" w:type="dxa"/>
          </w:tblCellMar>
        </w:tblPrEx>
        <w:trPr>
          <w:cantSplit/>
        </w:trPr>
        <w:tc>
          <w:tcPr>
            <w:tcW w:w="1575" w:type="dxa"/>
            <w:tcBorders>
              <w:bottom w:val="single" w:sz="4" w:space="0" w:color="auto"/>
            </w:tcBorders>
          </w:tcPr>
          <w:p w:rsidR="00000000" w:rsidRDefault="00000000">
            <w:pPr>
              <w:pStyle w:val="aa"/>
              <w:spacing w:before="60" w:line="288" w:lineRule="auto"/>
              <w:jc w:val="center"/>
              <w:rPr>
                <w:rFonts w:hint="eastAsia"/>
              </w:rPr>
            </w:pPr>
            <w:r>
              <w:rPr>
                <w:rFonts w:hint="eastAsia"/>
              </w:rPr>
              <w:t>年</w:t>
            </w:r>
            <w:r>
              <w:rPr>
                <w:rFonts w:hint="eastAsia"/>
              </w:rPr>
              <w:t xml:space="preserve">  </w:t>
            </w:r>
            <w:r>
              <w:rPr>
                <w:rFonts w:hint="eastAsia"/>
              </w:rPr>
              <w:t>份</w:t>
            </w:r>
          </w:p>
        </w:tc>
        <w:tc>
          <w:tcPr>
            <w:tcW w:w="1545" w:type="dxa"/>
            <w:tcBorders>
              <w:top w:val="single" w:sz="4" w:space="0" w:color="auto"/>
              <w:bottom w:val="single" w:sz="4" w:space="0" w:color="auto"/>
            </w:tcBorders>
          </w:tcPr>
          <w:p w:rsidR="00000000" w:rsidRDefault="00000000">
            <w:pPr>
              <w:pStyle w:val="aa"/>
              <w:spacing w:before="60" w:line="288" w:lineRule="auto"/>
              <w:jc w:val="center"/>
              <w:rPr>
                <w:rFonts w:hint="eastAsia"/>
              </w:rPr>
            </w:pPr>
            <w:r>
              <w:rPr>
                <w:rFonts w:hint="eastAsia"/>
              </w:rPr>
              <w:t>堕</w:t>
            </w:r>
            <w:r>
              <w:rPr>
                <w:rFonts w:hint="eastAsia"/>
              </w:rPr>
              <w:t xml:space="preserve">  </w:t>
            </w:r>
            <w:r>
              <w:rPr>
                <w:rFonts w:hint="eastAsia"/>
              </w:rPr>
              <w:t>胎</w:t>
            </w:r>
            <w:r>
              <w:rPr>
                <w:vertAlign w:val="superscript"/>
              </w:rPr>
              <w:t>a</w:t>
            </w:r>
            <w:r>
              <w:rPr>
                <w:rFonts w:hint="eastAsia"/>
                <w:vertAlign w:val="superscript"/>
              </w:rPr>
              <w:br/>
            </w:r>
            <w:r>
              <w:rPr>
                <w:rFonts w:hint="eastAsia"/>
              </w:rPr>
              <w:t>堕胎总数</w:t>
            </w:r>
          </w:p>
        </w:tc>
        <w:tc>
          <w:tcPr>
            <w:tcW w:w="1983" w:type="dxa"/>
            <w:tcBorders>
              <w:top w:val="single" w:sz="4" w:space="0" w:color="auto"/>
              <w:bottom w:val="single" w:sz="4" w:space="0" w:color="auto"/>
            </w:tcBorders>
          </w:tcPr>
          <w:p w:rsidR="00000000" w:rsidRDefault="00000000">
            <w:pPr>
              <w:pStyle w:val="aa"/>
              <w:spacing w:before="60" w:line="288" w:lineRule="auto"/>
              <w:jc w:val="center"/>
              <w:rPr>
                <w:rFonts w:hint="eastAsia"/>
              </w:rPr>
            </w:pPr>
            <w:r>
              <w:rPr>
                <w:rFonts w:hint="eastAsia"/>
              </w:rPr>
              <w:t>引</w:t>
            </w:r>
            <w:r>
              <w:rPr>
                <w:rFonts w:hint="eastAsia"/>
              </w:rPr>
              <w:t xml:space="preserve">  </w:t>
            </w:r>
            <w:r>
              <w:rPr>
                <w:rFonts w:hint="eastAsia"/>
              </w:rPr>
              <w:t>产</w:t>
            </w:r>
          </w:p>
        </w:tc>
        <w:tc>
          <w:tcPr>
            <w:tcW w:w="2445" w:type="dxa"/>
            <w:tcBorders>
              <w:top w:val="single" w:sz="4" w:space="0" w:color="auto"/>
              <w:bottom w:val="single" w:sz="4" w:space="0" w:color="auto"/>
            </w:tcBorders>
          </w:tcPr>
          <w:p w:rsidR="00000000" w:rsidRDefault="00000000">
            <w:pPr>
              <w:pStyle w:val="aa"/>
              <w:spacing w:before="60" w:line="288" w:lineRule="auto"/>
              <w:jc w:val="center"/>
              <w:rPr>
                <w:rFonts w:hint="eastAsia"/>
              </w:rPr>
            </w:pPr>
            <w:r>
              <w:rPr>
                <w:rFonts w:hint="eastAsia"/>
              </w:rPr>
              <w:t>自发堕胎</w:t>
            </w:r>
          </w:p>
        </w:tc>
        <w:tc>
          <w:tcPr>
            <w:tcW w:w="1808" w:type="dxa"/>
            <w:tcBorders>
              <w:top w:val="single" w:sz="4" w:space="0" w:color="auto"/>
              <w:bottom w:val="single" w:sz="4" w:space="0" w:color="auto"/>
            </w:tcBorders>
          </w:tcPr>
          <w:p w:rsidR="00000000" w:rsidRDefault="00000000">
            <w:pPr>
              <w:pStyle w:val="aa"/>
              <w:spacing w:before="60" w:line="288" w:lineRule="auto"/>
              <w:jc w:val="center"/>
              <w:rPr>
                <w:rFonts w:hint="eastAsia"/>
              </w:rPr>
            </w:pPr>
            <w:r>
              <w:rPr>
                <w:rFonts w:hint="eastAsia"/>
              </w:rPr>
              <w:t>其他堕胎</w:t>
            </w:r>
          </w:p>
        </w:tc>
      </w:tr>
      <w:tr w:rsidR="00000000">
        <w:tblPrEx>
          <w:tblCellMar>
            <w:top w:w="0" w:type="dxa"/>
            <w:bottom w:w="0" w:type="dxa"/>
          </w:tblCellMar>
        </w:tblPrEx>
        <w:tc>
          <w:tcPr>
            <w:tcW w:w="1575" w:type="dxa"/>
            <w:tcBorders>
              <w:top w:val="single" w:sz="4" w:space="0" w:color="auto"/>
            </w:tcBorders>
          </w:tcPr>
          <w:p w:rsidR="00000000" w:rsidRDefault="00000000">
            <w:pPr>
              <w:pStyle w:val="aa"/>
              <w:spacing w:before="60" w:line="336" w:lineRule="auto"/>
              <w:jc w:val="center"/>
              <w:rPr>
                <w:rFonts w:hint="eastAsia"/>
              </w:rPr>
            </w:pPr>
            <w:r>
              <w:t>1994</w:t>
            </w:r>
            <w:r>
              <w:rPr>
                <w:rFonts w:hint="eastAsia"/>
              </w:rPr>
              <w:t>年</w:t>
            </w:r>
          </w:p>
        </w:tc>
        <w:tc>
          <w:tcPr>
            <w:tcW w:w="1545" w:type="dxa"/>
            <w:tcBorders>
              <w:top w:val="single" w:sz="4" w:space="0" w:color="auto"/>
            </w:tcBorders>
          </w:tcPr>
          <w:p w:rsidR="00000000" w:rsidRDefault="00000000">
            <w:pPr>
              <w:pStyle w:val="aa"/>
              <w:spacing w:before="60" w:line="336" w:lineRule="auto"/>
              <w:ind w:right="170"/>
              <w:jc w:val="center"/>
            </w:pPr>
            <w:r>
              <w:t>67,434</w:t>
            </w:r>
          </w:p>
        </w:tc>
        <w:tc>
          <w:tcPr>
            <w:tcW w:w="1983" w:type="dxa"/>
            <w:tcBorders>
              <w:top w:val="single" w:sz="4" w:space="0" w:color="auto"/>
            </w:tcBorders>
          </w:tcPr>
          <w:p w:rsidR="00000000" w:rsidRDefault="00000000">
            <w:pPr>
              <w:pStyle w:val="aa"/>
              <w:spacing w:before="60" w:line="336" w:lineRule="auto"/>
              <w:ind w:right="170"/>
              <w:jc w:val="center"/>
            </w:pPr>
            <w:r>
              <w:t>54,836</w:t>
            </w:r>
          </w:p>
        </w:tc>
        <w:tc>
          <w:tcPr>
            <w:tcW w:w="2445" w:type="dxa"/>
            <w:tcBorders>
              <w:top w:val="single" w:sz="4" w:space="0" w:color="auto"/>
            </w:tcBorders>
          </w:tcPr>
          <w:p w:rsidR="00000000" w:rsidRDefault="00000000">
            <w:pPr>
              <w:pStyle w:val="aa"/>
              <w:spacing w:before="60" w:line="336" w:lineRule="auto"/>
              <w:ind w:right="170"/>
              <w:jc w:val="center"/>
            </w:pPr>
            <w:r>
              <w:t>11,109</w:t>
            </w:r>
          </w:p>
        </w:tc>
        <w:tc>
          <w:tcPr>
            <w:tcW w:w="1808" w:type="dxa"/>
            <w:tcBorders>
              <w:top w:val="single" w:sz="4" w:space="0" w:color="auto"/>
            </w:tcBorders>
          </w:tcPr>
          <w:p w:rsidR="00000000" w:rsidRDefault="00000000">
            <w:pPr>
              <w:pStyle w:val="aa"/>
              <w:spacing w:before="60" w:line="336" w:lineRule="auto"/>
              <w:ind w:right="170"/>
              <w:jc w:val="center"/>
            </w:pPr>
            <w:r>
              <w:t>11</w:t>
            </w:r>
          </w:p>
        </w:tc>
      </w:tr>
      <w:tr w:rsidR="00000000">
        <w:tblPrEx>
          <w:tblCellMar>
            <w:top w:w="0" w:type="dxa"/>
            <w:bottom w:w="0" w:type="dxa"/>
          </w:tblCellMar>
        </w:tblPrEx>
        <w:tc>
          <w:tcPr>
            <w:tcW w:w="1575" w:type="dxa"/>
          </w:tcPr>
          <w:p w:rsidR="00000000" w:rsidRDefault="00000000">
            <w:pPr>
              <w:pStyle w:val="aa"/>
              <w:spacing w:line="336" w:lineRule="auto"/>
              <w:jc w:val="center"/>
              <w:rPr>
                <w:rFonts w:hint="eastAsia"/>
              </w:rPr>
            </w:pPr>
            <w:r>
              <w:t>1995</w:t>
            </w:r>
            <w:r>
              <w:rPr>
                <w:rFonts w:hint="eastAsia"/>
              </w:rPr>
              <w:t>年</w:t>
            </w:r>
          </w:p>
        </w:tc>
        <w:tc>
          <w:tcPr>
            <w:tcW w:w="1545" w:type="dxa"/>
          </w:tcPr>
          <w:p w:rsidR="00000000" w:rsidRDefault="00000000">
            <w:pPr>
              <w:pStyle w:val="aa"/>
              <w:spacing w:line="336" w:lineRule="auto"/>
              <w:ind w:right="170"/>
              <w:jc w:val="center"/>
            </w:pPr>
            <w:r>
              <w:t>61,590</w:t>
            </w:r>
          </w:p>
        </w:tc>
        <w:tc>
          <w:tcPr>
            <w:tcW w:w="1983" w:type="dxa"/>
          </w:tcPr>
          <w:p w:rsidR="00000000" w:rsidRDefault="00000000">
            <w:pPr>
              <w:pStyle w:val="aa"/>
              <w:spacing w:line="336" w:lineRule="auto"/>
              <w:ind w:right="170"/>
              <w:jc w:val="center"/>
            </w:pPr>
            <w:r>
              <w:t>49,531</w:t>
            </w:r>
          </w:p>
        </w:tc>
        <w:tc>
          <w:tcPr>
            <w:tcW w:w="2445" w:type="dxa"/>
          </w:tcPr>
          <w:p w:rsidR="00000000" w:rsidRDefault="00000000">
            <w:pPr>
              <w:pStyle w:val="aa"/>
              <w:spacing w:line="336" w:lineRule="auto"/>
              <w:ind w:right="170"/>
              <w:jc w:val="center"/>
            </w:pPr>
            <w:r>
              <w:t>10,571</w:t>
            </w:r>
          </w:p>
        </w:tc>
        <w:tc>
          <w:tcPr>
            <w:tcW w:w="1808" w:type="dxa"/>
          </w:tcPr>
          <w:p w:rsidR="00000000" w:rsidRDefault="00000000">
            <w:pPr>
              <w:pStyle w:val="aa"/>
              <w:spacing w:line="336" w:lineRule="auto"/>
              <w:ind w:right="170"/>
              <w:jc w:val="center"/>
            </w:pPr>
            <w:r>
              <w:t>12</w:t>
            </w:r>
          </w:p>
        </w:tc>
      </w:tr>
      <w:tr w:rsidR="00000000">
        <w:tblPrEx>
          <w:tblCellMar>
            <w:top w:w="0" w:type="dxa"/>
            <w:bottom w:w="0" w:type="dxa"/>
          </w:tblCellMar>
        </w:tblPrEx>
        <w:tc>
          <w:tcPr>
            <w:tcW w:w="1575" w:type="dxa"/>
          </w:tcPr>
          <w:p w:rsidR="00000000" w:rsidRDefault="00000000">
            <w:pPr>
              <w:pStyle w:val="aa"/>
              <w:spacing w:line="336" w:lineRule="auto"/>
              <w:jc w:val="center"/>
              <w:rPr>
                <w:rFonts w:hint="eastAsia"/>
              </w:rPr>
            </w:pPr>
            <w:r>
              <w:t>1996</w:t>
            </w:r>
            <w:r>
              <w:rPr>
                <w:rFonts w:hint="eastAsia"/>
              </w:rPr>
              <w:t>年</w:t>
            </w:r>
          </w:p>
        </w:tc>
        <w:tc>
          <w:tcPr>
            <w:tcW w:w="1545" w:type="dxa"/>
          </w:tcPr>
          <w:p w:rsidR="00000000" w:rsidRDefault="00000000">
            <w:pPr>
              <w:pStyle w:val="aa"/>
              <w:spacing w:line="336" w:lineRule="auto"/>
              <w:ind w:right="170"/>
              <w:jc w:val="center"/>
            </w:pPr>
            <w:r>
              <w:t>59,962</w:t>
            </w:r>
          </w:p>
        </w:tc>
        <w:tc>
          <w:tcPr>
            <w:tcW w:w="1983" w:type="dxa"/>
          </w:tcPr>
          <w:p w:rsidR="00000000" w:rsidRDefault="00000000">
            <w:pPr>
              <w:pStyle w:val="aa"/>
              <w:spacing w:line="336" w:lineRule="auto"/>
              <w:ind w:right="170"/>
              <w:jc w:val="center"/>
            </w:pPr>
            <w:r>
              <w:t>48,086</w:t>
            </w:r>
          </w:p>
        </w:tc>
        <w:tc>
          <w:tcPr>
            <w:tcW w:w="2445" w:type="dxa"/>
          </w:tcPr>
          <w:p w:rsidR="00000000" w:rsidRDefault="00000000">
            <w:pPr>
              <w:pStyle w:val="aa"/>
              <w:spacing w:line="336" w:lineRule="auto"/>
              <w:ind w:right="170"/>
              <w:jc w:val="center"/>
            </w:pPr>
            <w:r>
              <w:t>10,296</w:t>
            </w:r>
          </w:p>
        </w:tc>
        <w:tc>
          <w:tcPr>
            <w:tcW w:w="1808" w:type="dxa"/>
          </w:tcPr>
          <w:p w:rsidR="00000000" w:rsidRDefault="00000000">
            <w:pPr>
              <w:pStyle w:val="aa"/>
              <w:spacing w:line="336" w:lineRule="auto"/>
              <w:ind w:right="170"/>
              <w:jc w:val="center"/>
            </w:pPr>
            <w:r>
              <w:t>20</w:t>
            </w:r>
          </w:p>
        </w:tc>
      </w:tr>
      <w:tr w:rsidR="00000000">
        <w:tblPrEx>
          <w:tblCellMar>
            <w:top w:w="0" w:type="dxa"/>
            <w:bottom w:w="0" w:type="dxa"/>
          </w:tblCellMar>
        </w:tblPrEx>
        <w:tc>
          <w:tcPr>
            <w:tcW w:w="1575" w:type="dxa"/>
          </w:tcPr>
          <w:p w:rsidR="00000000" w:rsidRDefault="00000000">
            <w:pPr>
              <w:pStyle w:val="aa"/>
              <w:spacing w:line="336" w:lineRule="auto"/>
              <w:jc w:val="center"/>
              <w:rPr>
                <w:rFonts w:hint="eastAsia"/>
              </w:rPr>
            </w:pPr>
            <w:r>
              <w:t>1997</w:t>
            </w:r>
            <w:r>
              <w:rPr>
                <w:rFonts w:hint="eastAsia"/>
              </w:rPr>
              <w:t>年</w:t>
            </w:r>
          </w:p>
        </w:tc>
        <w:tc>
          <w:tcPr>
            <w:tcW w:w="1545" w:type="dxa"/>
          </w:tcPr>
          <w:p w:rsidR="00000000" w:rsidRDefault="00000000">
            <w:pPr>
              <w:pStyle w:val="aa"/>
              <w:spacing w:line="336" w:lineRule="auto"/>
              <w:ind w:right="170"/>
              <w:jc w:val="center"/>
            </w:pPr>
            <w:r>
              <w:t>56,973</w:t>
            </w:r>
          </w:p>
        </w:tc>
        <w:tc>
          <w:tcPr>
            <w:tcW w:w="1983" w:type="dxa"/>
          </w:tcPr>
          <w:p w:rsidR="00000000" w:rsidRDefault="00000000">
            <w:pPr>
              <w:pStyle w:val="aa"/>
              <w:spacing w:line="336" w:lineRule="auto"/>
              <w:ind w:right="170"/>
              <w:jc w:val="center"/>
            </w:pPr>
            <w:r>
              <w:t>45,022</w:t>
            </w:r>
          </w:p>
        </w:tc>
        <w:tc>
          <w:tcPr>
            <w:tcW w:w="2445" w:type="dxa"/>
          </w:tcPr>
          <w:p w:rsidR="00000000" w:rsidRDefault="00000000">
            <w:pPr>
              <w:pStyle w:val="aa"/>
              <w:spacing w:line="336" w:lineRule="auto"/>
              <w:ind w:right="170"/>
              <w:jc w:val="center"/>
            </w:pPr>
            <w:r>
              <w:t>10,392</w:t>
            </w:r>
          </w:p>
        </w:tc>
        <w:tc>
          <w:tcPr>
            <w:tcW w:w="1808" w:type="dxa"/>
          </w:tcPr>
          <w:p w:rsidR="00000000" w:rsidRDefault="00000000">
            <w:pPr>
              <w:pStyle w:val="aa"/>
              <w:spacing w:line="336" w:lineRule="auto"/>
              <w:ind w:right="170"/>
              <w:jc w:val="center"/>
            </w:pPr>
            <w:r>
              <w:t>7</w:t>
            </w:r>
          </w:p>
        </w:tc>
      </w:tr>
      <w:tr w:rsidR="00000000">
        <w:tblPrEx>
          <w:tblCellMar>
            <w:top w:w="0" w:type="dxa"/>
            <w:bottom w:w="0" w:type="dxa"/>
          </w:tblCellMar>
        </w:tblPrEx>
        <w:tc>
          <w:tcPr>
            <w:tcW w:w="1575" w:type="dxa"/>
          </w:tcPr>
          <w:p w:rsidR="00000000" w:rsidRDefault="00000000">
            <w:pPr>
              <w:pStyle w:val="aa"/>
              <w:spacing w:line="336" w:lineRule="auto"/>
              <w:jc w:val="center"/>
              <w:rPr>
                <w:rFonts w:hint="eastAsia"/>
              </w:rPr>
            </w:pPr>
            <w:r>
              <w:t>1998</w:t>
            </w:r>
            <w:r>
              <w:rPr>
                <w:rFonts w:hint="eastAsia"/>
              </w:rPr>
              <w:t>年</w:t>
            </w:r>
          </w:p>
        </w:tc>
        <w:tc>
          <w:tcPr>
            <w:tcW w:w="1545" w:type="dxa"/>
          </w:tcPr>
          <w:p w:rsidR="00000000" w:rsidRDefault="00000000">
            <w:pPr>
              <w:pStyle w:val="aa"/>
              <w:spacing w:line="336" w:lineRule="auto"/>
              <w:ind w:right="170"/>
              <w:jc w:val="center"/>
            </w:pPr>
            <w:r>
              <w:t>55,654</w:t>
            </w:r>
          </w:p>
        </w:tc>
        <w:tc>
          <w:tcPr>
            <w:tcW w:w="1983" w:type="dxa"/>
          </w:tcPr>
          <w:p w:rsidR="00000000" w:rsidRDefault="00000000">
            <w:pPr>
              <w:pStyle w:val="aa"/>
              <w:spacing w:line="336" w:lineRule="auto"/>
              <w:ind w:right="170"/>
              <w:jc w:val="center"/>
            </w:pPr>
            <w:r>
              <w:t>42,959</w:t>
            </w:r>
          </w:p>
        </w:tc>
        <w:tc>
          <w:tcPr>
            <w:tcW w:w="2445" w:type="dxa"/>
          </w:tcPr>
          <w:p w:rsidR="00000000" w:rsidRDefault="00000000">
            <w:pPr>
              <w:pStyle w:val="aa"/>
              <w:spacing w:line="336" w:lineRule="auto"/>
              <w:ind w:right="170"/>
              <w:jc w:val="center"/>
            </w:pPr>
            <w:r>
              <w:t>11,128</w:t>
            </w:r>
          </w:p>
        </w:tc>
        <w:tc>
          <w:tcPr>
            <w:tcW w:w="1808" w:type="dxa"/>
          </w:tcPr>
          <w:p w:rsidR="00000000" w:rsidRDefault="00000000">
            <w:pPr>
              <w:pStyle w:val="aa"/>
              <w:spacing w:line="336" w:lineRule="auto"/>
              <w:ind w:right="170"/>
              <w:jc w:val="center"/>
            </w:pPr>
            <w:r>
              <w:t>12</w:t>
            </w:r>
          </w:p>
        </w:tc>
      </w:tr>
    </w:tbl>
    <w:p w:rsidR="00000000" w:rsidRDefault="00000000">
      <w:pPr>
        <w:pStyle w:val="FootnoteText"/>
        <w:spacing w:before="240" w:line="336" w:lineRule="auto"/>
        <w:rPr>
          <w:rFonts w:hint="eastAsia"/>
          <w:sz w:val="21"/>
        </w:rPr>
      </w:pPr>
      <w:r>
        <w:rPr>
          <w:b/>
          <w:bCs/>
          <w:sz w:val="21"/>
          <w:vertAlign w:val="superscript"/>
        </w:rPr>
        <w:t>a</w:t>
      </w:r>
      <w:r>
        <w:rPr>
          <w:sz w:val="21"/>
        </w:rPr>
        <w:t xml:space="preserve">  </w:t>
      </w:r>
      <w:r>
        <w:rPr>
          <w:rFonts w:hint="eastAsia"/>
          <w:sz w:val="21"/>
        </w:rPr>
        <w:t>包括子宫外孕。</w:t>
      </w:r>
    </w:p>
    <w:p w:rsidR="00000000" w:rsidRDefault="00000000">
      <w:pPr>
        <w:pStyle w:val="FootnoteText"/>
        <w:spacing w:after="240" w:line="336" w:lineRule="auto"/>
        <w:rPr>
          <w:rFonts w:hint="eastAsia"/>
          <w:sz w:val="21"/>
        </w:rPr>
      </w:pPr>
      <w:r>
        <w:rPr>
          <w:rFonts w:hint="eastAsia"/>
          <w:sz w:val="21"/>
          <w:u w:val="single"/>
        </w:rPr>
        <w:t>资料来源</w:t>
      </w:r>
      <w:r>
        <w:rPr>
          <w:sz w:val="21"/>
        </w:rPr>
        <w:t>：</w:t>
      </w:r>
      <w:r>
        <w:rPr>
          <w:rFonts w:hint="eastAsia"/>
          <w:sz w:val="21"/>
        </w:rPr>
        <w:t>捷克统计署，</w:t>
      </w:r>
      <w:r>
        <w:rPr>
          <w:rFonts w:hint="eastAsia"/>
          <w:sz w:val="21"/>
        </w:rPr>
        <w:t>1999</w:t>
      </w:r>
      <w:r>
        <w:rPr>
          <w:rFonts w:hint="eastAsia"/>
          <w:sz w:val="21"/>
        </w:rPr>
        <w:t>年。</w:t>
      </w:r>
    </w:p>
    <w:p w:rsidR="00000000" w:rsidRDefault="00000000">
      <w:pPr>
        <w:rPr>
          <w:rFonts w:hint="eastAsia"/>
        </w:rPr>
      </w:pPr>
      <w:r>
        <w:rPr>
          <w:rFonts w:hint="eastAsia"/>
        </w:rPr>
        <w:tab/>
        <w:t xml:space="preserve">499.  </w:t>
      </w:r>
      <w:r>
        <w:rPr>
          <w:rFonts w:hint="eastAsia"/>
        </w:rPr>
        <w:t>支持计划生育是卫生部不断执行的国家保健方案的领域之一。它也包括有关问题：避孕办法的使用、开展引产危险</w:t>
      </w:r>
      <w:r>
        <w:rPr>
          <w:rFonts w:hint="eastAsia"/>
        </w:rPr>
        <w:t>(</w:t>
      </w:r>
      <w:r>
        <w:rPr>
          <w:rFonts w:hint="eastAsia"/>
        </w:rPr>
        <w:t>主要强调引产要尽早做</w:t>
      </w:r>
      <w:r>
        <w:rPr>
          <w:rFonts w:hint="eastAsia"/>
          <w:spacing w:val="-50"/>
        </w:rPr>
        <w:t>―</w:t>
      </w:r>
      <w:r>
        <w:rPr>
          <w:rFonts w:hint="eastAsia"/>
        </w:rPr>
        <w:t>―所谓早期堕胎，即在妊娠后</w:t>
      </w:r>
      <w:r>
        <w:rPr>
          <w:rFonts w:hint="eastAsia"/>
        </w:rPr>
        <w:t>8</w:t>
      </w:r>
      <w:r>
        <w:rPr>
          <w:rFonts w:hint="eastAsia"/>
        </w:rPr>
        <w:t>周内</w:t>
      </w:r>
      <w:r>
        <w:rPr>
          <w:rFonts w:hint="eastAsia"/>
        </w:rPr>
        <w:t>)</w:t>
      </w:r>
      <w:r>
        <w:rPr>
          <w:rFonts w:hint="eastAsia"/>
        </w:rPr>
        <w:t>、对有问题的社会群体和少数民族妇女的影响等问题开展教育，强调第一次妊娠推迟到法定年龄。</w:t>
      </w:r>
    </w:p>
    <w:p w:rsidR="00000000" w:rsidRDefault="00000000">
      <w:pPr>
        <w:rPr>
          <w:rFonts w:hint="eastAsia"/>
        </w:rPr>
      </w:pPr>
      <w:r>
        <w:rPr>
          <w:rFonts w:hint="eastAsia"/>
        </w:rPr>
        <w:tab/>
        <w:t xml:space="preserve">500.  </w:t>
      </w:r>
      <w:r>
        <w:rPr>
          <w:rFonts w:hint="eastAsia"/>
        </w:rPr>
        <w:t>非政府组织，计划生育和性教育协会，也从事家庭问题。自</w:t>
      </w:r>
      <w:r>
        <w:rPr>
          <w:rFonts w:hint="eastAsia"/>
        </w:rPr>
        <w:t>1997</w:t>
      </w:r>
      <w:r>
        <w:rPr>
          <w:rFonts w:hint="eastAsia"/>
        </w:rPr>
        <w:t>年以来，该协会在国际计划生育联合会</w:t>
      </w:r>
      <w:r>
        <w:rPr>
          <w:rFonts w:hint="eastAsia"/>
        </w:rPr>
        <w:t xml:space="preserve"> </w:t>
      </w:r>
      <w:r>
        <w:rPr>
          <w:rStyle w:val="EndnoteReference"/>
        </w:rPr>
        <w:endnoteReference w:id="302"/>
      </w:r>
      <w:r>
        <w:rPr>
          <w:rFonts w:hint="eastAsia"/>
        </w:rPr>
        <w:t xml:space="preserve"> </w:t>
      </w:r>
      <w:r>
        <w:rPr>
          <w:rFonts w:hint="eastAsia"/>
        </w:rPr>
        <w:t>具有正式成员地位，促进其性和生育权章程保障的权利。该章程与国际人权文书，包括人口与发展国际会议方案</w:t>
      </w:r>
      <w:r>
        <w:rPr>
          <w:rFonts w:hint="eastAsia"/>
        </w:rPr>
        <w:t>(1994</w:t>
      </w:r>
      <w:r>
        <w:rPr>
          <w:rFonts w:hint="eastAsia"/>
        </w:rPr>
        <w:t>年</w:t>
      </w:r>
      <w:r>
        <w:rPr>
          <w:rFonts w:hint="eastAsia"/>
        </w:rPr>
        <w:t>)</w:t>
      </w:r>
      <w:r>
        <w:rPr>
          <w:rFonts w:hint="eastAsia"/>
        </w:rPr>
        <w:t>。第四次世界妇女大会行动纲领</w:t>
      </w:r>
      <w:r>
        <w:rPr>
          <w:rFonts w:hint="eastAsia"/>
        </w:rPr>
        <w:t>(1995</w:t>
      </w:r>
      <w:r>
        <w:rPr>
          <w:rFonts w:hint="eastAsia"/>
        </w:rPr>
        <w:t>年</w:t>
      </w:r>
      <w:r>
        <w:rPr>
          <w:rFonts w:hint="eastAsia"/>
        </w:rPr>
        <w:t>)</w:t>
      </w:r>
      <w:r>
        <w:rPr>
          <w:rFonts w:hint="eastAsia"/>
        </w:rPr>
        <w:t>和其他联合国文件相结合，它们对于性健康和生育健康至关重要。该协会开设了计划生育咨询服务热线电话，主要就可靠避孕办法提供咨询；对如何处理紧急和危机情况提供援助。卫生部对该项目给予财务支持，作为执行全国保健方案的一部分。</w:t>
      </w:r>
    </w:p>
    <w:p w:rsidR="00000000" w:rsidRDefault="00000000">
      <w:pPr>
        <w:rPr>
          <w:rFonts w:hint="eastAsia"/>
        </w:rPr>
      </w:pPr>
      <w:r>
        <w:rPr>
          <w:rFonts w:hint="eastAsia"/>
        </w:rPr>
        <w:tab/>
        <w:t xml:space="preserve">501.  </w:t>
      </w:r>
      <w:r>
        <w:rPr>
          <w:rFonts w:hint="eastAsia"/>
        </w:rPr>
        <w:t>根据计划生育协会，现行公共保健法</w:t>
      </w:r>
      <w:r>
        <w:rPr>
          <w:rFonts w:hint="eastAsia"/>
        </w:rPr>
        <w:t xml:space="preserve"> </w:t>
      </w:r>
      <w:r>
        <w:rPr>
          <w:rStyle w:val="EndnoteReference"/>
        </w:rPr>
        <w:endnoteReference w:id="303"/>
      </w:r>
      <w:r>
        <w:rPr>
          <w:rFonts w:hint="eastAsia"/>
        </w:rPr>
        <w:t xml:space="preserve"> </w:t>
      </w:r>
      <w:r>
        <w:rPr>
          <w:rFonts w:hint="eastAsia"/>
        </w:rPr>
        <w:t>和卫生部</w:t>
      </w:r>
      <w:r>
        <w:rPr>
          <w:rFonts w:hint="eastAsia"/>
        </w:rPr>
        <w:t>1972</w:t>
      </w:r>
      <w:r>
        <w:rPr>
          <w:rFonts w:hint="eastAsia"/>
        </w:rPr>
        <w:t>年的法令在自愿绝育的法律规章方面存在问题。妇女仅出于健康原因可自己要求进行自愿绝育。这些规定也包括身边有</w:t>
      </w:r>
      <w:r>
        <w:rPr>
          <w:rFonts w:hint="eastAsia"/>
        </w:rPr>
        <w:t>3</w:t>
      </w:r>
      <w:r>
        <w:rPr>
          <w:rFonts w:hint="eastAsia"/>
        </w:rPr>
        <w:t>个或</w:t>
      </w:r>
      <w:r>
        <w:rPr>
          <w:rFonts w:hint="eastAsia"/>
        </w:rPr>
        <w:t>4</w:t>
      </w:r>
      <w:r>
        <w:rPr>
          <w:rFonts w:hint="eastAsia"/>
        </w:rPr>
        <w:t>个孩子和妇女至少为</w:t>
      </w:r>
      <w:r>
        <w:rPr>
          <w:rFonts w:hint="eastAsia"/>
        </w:rPr>
        <w:t>35</w:t>
      </w:r>
      <w:r>
        <w:rPr>
          <w:rFonts w:hint="eastAsia"/>
        </w:rPr>
        <w:t>岁的要求。申请由专家委员会评估。根据该协会，这一条件是歧视性的</w:t>
      </w:r>
      <w:r>
        <w:rPr>
          <w:rFonts w:hint="eastAsia"/>
        </w:rPr>
        <w:t xml:space="preserve"> </w:t>
      </w:r>
      <w:r>
        <w:rPr>
          <w:rStyle w:val="EndnoteReference"/>
        </w:rPr>
        <w:endnoteReference w:id="304"/>
      </w:r>
      <w:r>
        <w:rPr>
          <w:rFonts w:hint="eastAsia"/>
        </w:rPr>
        <w:t>。</w:t>
      </w:r>
    </w:p>
    <w:p w:rsidR="00000000" w:rsidRDefault="00000000">
      <w:pPr>
        <w:rPr>
          <w:rFonts w:hint="eastAsia"/>
        </w:rPr>
      </w:pPr>
      <w:r>
        <w:rPr>
          <w:rFonts w:hint="eastAsia"/>
        </w:rPr>
        <w:tab/>
        <w:t xml:space="preserve">502.  </w:t>
      </w:r>
      <w:r>
        <w:rPr>
          <w:rFonts w:hint="eastAsia"/>
        </w:rPr>
        <w:t>卫生部安排了保护妇女和女子健康的两个方案。它们是：健康性生活方案和全国围产期学方案，包括妇女计划妊娠之前的保健、孕妇保健和胎儿发育，包括妊娠期间护理和新生儿出生头几天内的护理。</w:t>
      </w:r>
    </w:p>
    <w:p w:rsidR="00000000" w:rsidRDefault="00000000">
      <w:pPr>
        <w:rPr>
          <w:rFonts w:hint="eastAsia"/>
        </w:rPr>
      </w:pPr>
      <w:r>
        <w:rPr>
          <w:rFonts w:hint="eastAsia"/>
        </w:rPr>
        <w:tab/>
        <w:t xml:space="preserve">503.  </w:t>
      </w:r>
      <w:r>
        <w:rPr>
          <w:rFonts w:hint="eastAsia"/>
        </w:rPr>
        <w:t>儿童保健基本指数是婴儿死亡率。捷克共和国在</w:t>
      </w:r>
      <w:r>
        <w:rPr>
          <w:rFonts w:hint="eastAsia"/>
        </w:rPr>
        <w:t>1992</w:t>
      </w:r>
      <w:r>
        <w:rPr>
          <w:rFonts w:hint="eastAsia"/>
        </w:rPr>
        <w:t>年实现了将该死亡率降到</w:t>
      </w:r>
      <w:r>
        <w:rPr>
          <w:rFonts w:hint="eastAsia"/>
        </w:rPr>
        <w:t>10</w:t>
      </w:r>
      <w:r>
        <w:t>‰</w:t>
      </w:r>
      <w:r>
        <w:rPr>
          <w:rFonts w:hint="eastAsia"/>
        </w:rPr>
        <w:t>以下的目标，达到</w:t>
      </w:r>
      <w:r>
        <w:rPr>
          <w:rFonts w:hint="eastAsia"/>
        </w:rPr>
        <w:t>9.9</w:t>
      </w:r>
      <w:r>
        <w:t>‰</w:t>
      </w:r>
      <w:r>
        <w:rPr>
          <w:rFonts w:hint="eastAsia"/>
        </w:rPr>
        <w:t>。在</w:t>
      </w:r>
      <w:r>
        <w:rPr>
          <w:rFonts w:hint="eastAsia"/>
        </w:rPr>
        <w:t>1997</w:t>
      </w:r>
      <w:r>
        <w:rPr>
          <w:rFonts w:hint="eastAsia"/>
        </w:rPr>
        <w:t>年，婴儿死亡率为</w:t>
      </w:r>
      <w:r>
        <w:rPr>
          <w:rFonts w:hint="eastAsia"/>
        </w:rPr>
        <w:t>5.9</w:t>
      </w:r>
      <w:r>
        <w:t>‰</w:t>
      </w:r>
      <w:r>
        <w:rPr>
          <w:rFonts w:hint="eastAsia"/>
        </w:rPr>
        <w:t>，相当于欧盟国家的水平。婴儿死亡受出生重量低的影响。体重最高为</w:t>
      </w:r>
      <w:r>
        <w:rPr>
          <w:rFonts w:hint="eastAsia"/>
        </w:rPr>
        <w:t>2,500</w:t>
      </w:r>
      <w:r>
        <w:rPr>
          <w:rFonts w:hint="eastAsia"/>
        </w:rPr>
        <w:t>克的新生儿在活胎总数中所占比例约为</w:t>
      </w:r>
      <w:r>
        <w:rPr>
          <w:rFonts w:hint="eastAsia"/>
        </w:rPr>
        <w:t>6%</w:t>
      </w:r>
      <w:r>
        <w:rPr>
          <w:rFonts w:hint="eastAsia"/>
        </w:rPr>
        <w:t>，但在婴儿死亡总数中的比例约为</w:t>
      </w:r>
      <w:r>
        <w:rPr>
          <w:rFonts w:hint="eastAsia"/>
        </w:rPr>
        <w:t>60%</w:t>
      </w:r>
      <w:r>
        <w:rPr>
          <w:rFonts w:hint="eastAsia"/>
        </w:rPr>
        <w:t>。</w:t>
      </w:r>
    </w:p>
    <w:p w:rsidR="00000000" w:rsidRDefault="00000000">
      <w:pPr>
        <w:rPr>
          <w:rFonts w:hint="eastAsia"/>
        </w:rPr>
      </w:pPr>
      <w:r>
        <w:rPr>
          <w:rFonts w:hint="eastAsia"/>
        </w:rPr>
        <w:tab/>
        <w:t xml:space="preserve">504.  </w:t>
      </w:r>
      <w:r>
        <w:rPr>
          <w:rFonts w:hint="eastAsia"/>
        </w:rPr>
        <w:t>婴儿死亡的最常见原因是围产期间出现的某些情况，为婴儿死亡的一半原因。婴儿死亡第二最常见原因是先天性畸型、变形和染色体异常。在</w:t>
      </w:r>
      <w:r>
        <w:rPr>
          <w:rFonts w:hint="eastAsia"/>
        </w:rPr>
        <w:t>1997</w:t>
      </w:r>
      <w:r>
        <w:rPr>
          <w:rFonts w:hint="eastAsia"/>
        </w:rPr>
        <w:t>年，据报告</w:t>
      </w:r>
      <w:r>
        <w:rPr>
          <w:rFonts w:hint="eastAsia"/>
        </w:rPr>
        <w:t>2,680</w:t>
      </w:r>
      <w:r>
        <w:rPr>
          <w:rFonts w:hint="eastAsia"/>
        </w:rPr>
        <w:t>个婴儿在年龄达到一岁之前被发现先天性畸型，比</w:t>
      </w:r>
      <w:r>
        <w:rPr>
          <w:rFonts w:hint="eastAsia"/>
        </w:rPr>
        <w:t>1996</w:t>
      </w:r>
      <w:r>
        <w:rPr>
          <w:rFonts w:hint="eastAsia"/>
        </w:rPr>
        <w:t>年增加</w:t>
      </w:r>
      <w:r>
        <w:rPr>
          <w:rFonts w:hint="eastAsia"/>
        </w:rPr>
        <w:t>18%</w:t>
      </w:r>
      <w:r>
        <w:rPr>
          <w:rFonts w:hint="eastAsia"/>
        </w:rPr>
        <w:t>。将女婴和男婴相比，可以说男婴有缺陷的多。最常见的是先天性心脏畸型。由于产前诊断水平的改善，新生儿某些基因缺陷的发生率正在下降。这些缺陷是神经系统组织、胃壁缺陷、某些严重心脏缺陷、泌尿生殖系统缺陷和染色体异常</w:t>
      </w:r>
      <w:r>
        <w:rPr>
          <w:rFonts w:hint="eastAsia"/>
        </w:rPr>
        <w:t>(</w:t>
      </w:r>
      <w:r>
        <w:rPr>
          <w:rFonts w:hint="eastAsia"/>
        </w:rPr>
        <w:t>主要是唐恩综合症</w:t>
      </w:r>
      <w:r>
        <w:rPr>
          <w:rFonts w:hint="eastAsia"/>
        </w:rPr>
        <w:t>)</w:t>
      </w:r>
      <w:r>
        <w:rPr>
          <w:rFonts w:hint="eastAsia"/>
        </w:rPr>
        <w:t>。尽管取得了成就，但在婴儿死亡总数中，先天性缺陷仍然占</w:t>
      </w:r>
      <w:r>
        <w:rPr>
          <w:rFonts w:hint="eastAsia"/>
        </w:rPr>
        <w:t>25%</w:t>
      </w:r>
      <w:r>
        <w:rPr>
          <w:rFonts w:hint="eastAsia"/>
        </w:rPr>
        <w:t>的原因。</w:t>
      </w:r>
    </w:p>
    <w:p w:rsidR="00000000" w:rsidRDefault="00000000">
      <w:pPr>
        <w:pStyle w:val="Heading3"/>
        <w:spacing w:after="160"/>
        <w:rPr>
          <w:rFonts w:hint="eastAsia"/>
        </w:rPr>
      </w:pPr>
      <w:r>
        <w:rPr>
          <w:rFonts w:hint="eastAsia"/>
        </w:rPr>
        <w:t>按年龄分，捷克共和国婴儿死亡率</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0"/>
        <w:gridCol w:w="1080"/>
        <w:gridCol w:w="1080"/>
        <w:gridCol w:w="960"/>
        <w:gridCol w:w="1080"/>
        <w:gridCol w:w="960"/>
        <w:gridCol w:w="960"/>
        <w:gridCol w:w="960"/>
        <w:gridCol w:w="967"/>
      </w:tblGrid>
      <w:tr w:rsidR="00000000">
        <w:tblPrEx>
          <w:tblCellMar>
            <w:top w:w="0" w:type="dxa"/>
            <w:bottom w:w="0" w:type="dxa"/>
          </w:tblCellMar>
        </w:tblPrEx>
        <w:trPr>
          <w:cantSplit/>
          <w:jc w:val="center"/>
        </w:trPr>
        <w:tc>
          <w:tcPr>
            <w:tcW w:w="1320" w:type="dxa"/>
            <w:vMerge w:val="restart"/>
            <w:vAlign w:val="center"/>
          </w:tcPr>
          <w:p w:rsidR="00000000" w:rsidRDefault="00000000">
            <w:pPr>
              <w:pStyle w:val="aa"/>
              <w:spacing w:before="100" w:line="336" w:lineRule="auto"/>
              <w:rPr>
                <w:rFonts w:hint="eastAsia"/>
              </w:rPr>
            </w:pPr>
            <w:r>
              <w:rPr>
                <w:rFonts w:hint="eastAsia"/>
              </w:rPr>
              <w:t>死亡年龄</w:t>
            </w:r>
          </w:p>
        </w:tc>
        <w:tc>
          <w:tcPr>
            <w:tcW w:w="4200" w:type="dxa"/>
            <w:gridSpan w:val="4"/>
            <w:tcBorders>
              <w:bottom w:val="single" w:sz="4" w:space="0" w:color="auto"/>
            </w:tcBorders>
          </w:tcPr>
          <w:p w:rsidR="00000000" w:rsidRDefault="00000000">
            <w:pPr>
              <w:pStyle w:val="aa"/>
              <w:spacing w:before="100" w:line="336" w:lineRule="auto"/>
              <w:jc w:val="center"/>
            </w:pPr>
            <w:r>
              <w:rPr>
                <w:rFonts w:hint="eastAsia"/>
              </w:rPr>
              <w:t>人</w:t>
            </w:r>
            <w:r>
              <w:rPr>
                <w:rFonts w:hint="eastAsia"/>
              </w:rPr>
              <w:t xml:space="preserve">  </w:t>
            </w:r>
            <w:r>
              <w:rPr>
                <w:rFonts w:hint="eastAsia"/>
              </w:rPr>
              <w:t>数</w:t>
            </w:r>
            <w:r>
              <w:rPr>
                <w:b/>
                <w:bCs/>
                <w:vertAlign w:val="superscript"/>
              </w:rPr>
              <w:t>a</w:t>
            </w:r>
          </w:p>
        </w:tc>
        <w:tc>
          <w:tcPr>
            <w:tcW w:w="3847" w:type="dxa"/>
            <w:gridSpan w:val="4"/>
            <w:tcBorders>
              <w:bottom w:val="single" w:sz="4" w:space="0" w:color="auto"/>
            </w:tcBorders>
          </w:tcPr>
          <w:p w:rsidR="00000000" w:rsidRDefault="00000000">
            <w:pPr>
              <w:pStyle w:val="aa"/>
              <w:spacing w:before="100" w:line="336" w:lineRule="auto"/>
              <w:jc w:val="center"/>
              <w:rPr>
                <w:rFonts w:hint="eastAsia"/>
              </w:rPr>
            </w:pPr>
            <w:r>
              <w:rPr>
                <w:rFonts w:hint="eastAsia"/>
              </w:rPr>
              <w:t>平均每</w:t>
            </w:r>
            <w:r>
              <w:rPr>
                <w:rFonts w:hint="eastAsia"/>
              </w:rPr>
              <w:t>1000</w:t>
            </w:r>
            <w:r>
              <w:rPr>
                <w:rFonts w:hint="eastAsia"/>
              </w:rPr>
              <w:t>个活胎</w:t>
            </w:r>
          </w:p>
        </w:tc>
      </w:tr>
      <w:tr w:rsidR="00000000">
        <w:tblPrEx>
          <w:tblCellMar>
            <w:top w:w="0" w:type="dxa"/>
            <w:bottom w:w="0" w:type="dxa"/>
          </w:tblCellMar>
        </w:tblPrEx>
        <w:trPr>
          <w:cantSplit/>
          <w:jc w:val="center"/>
        </w:trPr>
        <w:tc>
          <w:tcPr>
            <w:tcW w:w="1320" w:type="dxa"/>
            <w:vMerge/>
            <w:tcBorders>
              <w:bottom w:val="single" w:sz="4" w:space="0" w:color="auto"/>
            </w:tcBorders>
          </w:tcPr>
          <w:p w:rsidR="00000000" w:rsidRDefault="00000000">
            <w:pPr>
              <w:pStyle w:val="aa"/>
              <w:spacing w:before="100" w:line="336" w:lineRule="auto"/>
            </w:pPr>
          </w:p>
        </w:tc>
        <w:tc>
          <w:tcPr>
            <w:tcW w:w="1080" w:type="dxa"/>
            <w:tcBorders>
              <w:bottom w:val="single" w:sz="4" w:space="0" w:color="auto"/>
            </w:tcBorders>
          </w:tcPr>
          <w:p w:rsidR="00000000" w:rsidRDefault="00000000">
            <w:pPr>
              <w:pStyle w:val="aa"/>
              <w:spacing w:before="100" w:line="336" w:lineRule="auto"/>
              <w:rPr>
                <w:rFonts w:hint="eastAsia"/>
              </w:rPr>
            </w:pPr>
            <w:r>
              <w:t>1990</w:t>
            </w:r>
            <w:r>
              <w:rPr>
                <w:rFonts w:hint="eastAsia"/>
              </w:rPr>
              <w:t>年</w:t>
            </w:r>
          </w:p>
        </w:tc>
        <w:tc>
          <w:tcPr>
            <w:tcW w:w="1080" w:type="dxa"/>
            <w:tcBorders>
              <w:bottom w:val="single" w:sz="4" w:space="0" w:color="auto"/>
            </w:tcBorders>
          </w:tcPr>
          <w:p w:rsidR="00000000" w:rsidRDefault="00000000">
            <w:pPr>
              <w:pStyle w:val="aa"/>
              <w:spacing w:before="100" w:line="336" w:lineRule="auto"/>
              <w:rPr>
                <w:rFonts w:hint="eastAsia"/>
              </w:rPr>
            </w:pPr>
            <w:r>
              <w:t>1996</w:t>
            </w:r>
            <w:r>
              <w:rPr>
                <w:rFonts w:hint="eastAsia"/>
              </w:rPr>
              <w:t>年</w:t>
            </w:r>
          </w:p>
        </w:tc>
        <w:tc>
          <w:tcPr>
            <w:tcW w:w="960" w:type="dxa"/>
            <w:tcBorders>
              <w:bottom w:val="single" w:sz="4" w:space="0" w:color="auto"/>
            </w:tcBorders>
          </w:tcPr>
          <w:p w:rsidR="00000000" w:rsidRDefault="00000000">
            <w:pPr>
              <w:pStyle w:val="aa"/>
              <w:spacing w:before="100" w:line="336" w:lineRule="auto"/>
              <w:rPr>
                <w:rFonts w:hint="eastAsia"/>
              </w:rPr>
            </w:pPr>
            <w:r>
              <w:t>1997</w:t>
            </w:r>
            <w:r>
              <w:rPr>
                <w:rFonts w:hint="eastAsia"/>
              </w:rPr>
              <w:t>年</w:t>
            </w:r>
          </w:p>
        </w:tc>
        <w:tc>
          <w:tcPr>
            <w:tcW w:w="1080" w:type="dxa"/>
            <w:tcBorders>
              <w:bottom w:val="single" w:sz="4" w:space="0" w:color="auto"/>
            </w:tcBorders>
          </w:tcPr>
          <w:p w:rsidR="00000000" w:rsidRDefault="00000000">
            <w:pPr>
              <w:pStyle w:val="aa"/>
              <w:spacing w:before="100" w:line="336" w:lineRule="auto"/>
              <w:rPr>
                <w:rFonts w:hint="eastAsia"/>
              </w:rPr>
            </w:pPr>
            <w:r>
              <w:t>1998</w:t>
            </w:r>
            <w:r>
              <w:rPr>
                <w:rFonts w:hint="eastAsia"/>
              </w:rPr>
              <w:t>年</w:t>
            </w:r>
          </w:p>
        </w:tc>
        <w:tc>
          <w:tcPr>
            <w:tcW w:w="960" w:type="dxa"/>
            <w:tcBorders>
              <w:bottom w:val="single" w:sz="4" w:space="0" w:color="auto"/>
            </w:tcBorders>
          </w:tcPr>
          <w:p w:rsidR="00000000" w:rsidRDefault="00000000">
            <w:pPr>
              <w:pStyle w:val="aa"/>
              <w:spacing w:before="100" w:line="336" w:lineRule="auto"/>
              <w:rPr>
                <w:rFonts w:hint="eastAsia"/>
              </w:rPr>
            </w:pPr>
            <w:r>
              <w:t>1990</w:t>
            </w:r>
            <w:r>
              <w:rPr>
                <w:rFonts w:hint="eastAsia"/>
              </w:rPr>
              <w:t>年</w:t>
            </w:r>
          </w:p>
        </w:tc>
        <w:tc>
          <w:tcPr>
            <w:tcW w:w="960" w:type="dxa"/>
            <w:tcBorders>
              <w:bottom w:val="single" w:sz="4" w:space="0" w:color="auto"/>
            </w:tcBorders>
          </w:tcPr>
          <w:p w:rsidR="00000000" w:rsidRDefault="00000000">
            <w:pPr>
              <w:pStyle w:val="aa"/>
              <w:spacing w:before="100" w:line="336" w:lineRule="auto"/>
              <w:rPr>
                <w:rFonts w:hint="eastAsia"/>
              </w:rPr>
            </w:pPr>
            <w:r>
              <w:t>1996</w:t>
            </w:r>
            <w:r>
              <w:rPr>
                <w:rFonts w:hint="eastAsia"/>
              </w:rPr>
              <w:t>年</w:t>
            </w:r>
          </w:p>
        </w:tc>
        <w:tc>
          <w:tcPr>
            <w:tcW w:w="960" w:type="dxa"/>
            <w:tcBorders>
              <w:bottom w:val="single" w:sz="4" w:space="0" w:color="auto"/>
            </w:tcBorders>
          </w:tcPr>
          <w:p w:rsidR="00000000" w:rsidRDefault="00000000">
            <w:pPr>
              <w:pStyle w:val="aa"/>
              <w:spacing w:before="100" w:line="336" w:lineRule="auto"/>
              <w:rPr>
                <w:rFonts w:hint="eastAsia"/>
              </w:rPr>
            </w:pPr>
            <w:r>
              <w:t>1997</w:t>
            </w:r>
            <w:r>
              <w:rPr>
                <w:rFonts w:hint="eastAsia"/>
              </w:rPr>
              <w:t>年</w:t>
            </w:r>
          </w:p>
        </w:tc>
        <w:tc>
          <w:tcPr>
            <w:tcW w:w="967" w:type="dxa"/>
            <w:tcBorders>
              <w:bottom w:val="single" w:sz="4" w:space="0" w:color="auto"/>
            </w:tcBorders>
          </w:tcPr>
          <w:p w:rsidR="00000000" w:rsidRDefault="00000000">
            <w:pPr>
              <w:pStyle w:val="aa"/>
              <w:spacing w:before="100" w:line="336" w:lineRule="auto"/>
              <w:rPr>
                <w:rFonts w:hint="eastAsia"/>
              </w:rPr>
            </w:pPr>
            <w:r>
              <w:t>1998</w:t>
            </w:r>
            <w:r>
              <w:rPr>
                <w:rFonts w:hint="eastAsia"/>
              </w:rPr>
              <w:t>年</w:t>
            </w:r>
          </w:p>
        </w:tc>
      </w:tr>
      <w:tr w:rsidR="00000000">
        <w:tblPrEx>
          <w:tblCellMar>
            <w:top w:w="0" w:type="dxa"/>
            <w:bottom w:w="0" w:type="dxa"/>
          </w:tblCellMar>
        </w:tblPrEx>
        <w:trPr>
          <w:jc w:val="center"/>
        </w:trPr>
        <w:tc>
          <w:tcPr>
            <w:tcW w:w="1320" w:type="dxa"/>
            <w:tcBorders>
              <w:top w:val="single" w:sz="4" w:space="0" w:color="auto"/>
            </w:tcBorders>
          </w:tcPr>
          <w:p w:rsidR="00000000" w:rsidRDefault="00000000">
            <w:pPr>
              <w:pStyle w:val="aa"/>
              <w:spacing w:before="100" w:line="336" w:lineRule="auto"/>
            </w:pPr>
            <w:r>
              <w:rPr>
                <w:rFonts w:hint="eastAsia"/>
              </w:rPr>
              <w:t>天</w:t>
            </w:r>
            <w:r>
              <w:rPr>
                <w:rFonts w:hint="eastAsia"/>
              </w:rPr>
              <w:t xml:space="preserve">  </w:t>
            </w:r>
            <w:r>
              <w:rPr>
                <w:rFonts w:hint="eastAsia"/>
              </w:rPr>
              <w:t>数</w:t>
            </w:r>
            <w:r>
              <w:t xml:space="preserve"> 0</w:t>
            </w:r>
          </w:p>
        </w:tc>
        <w:tc>
          <w:tcPr>
            <w:tcW w:w="1080" w:type="dxa"/>
            <w:tcBorders>
              <w:top w:val="single" w:sz="4" w:space="0" w:color="auto"/>
            </w:tcBorders>
          </w:tcPr>
          <w:p w:rsidR="00000000" w:rsidRDefault="00000000">
            <w:pPr>
              <w:pStyle w:val="aa"/>
              <w:spacing w:before="100" w:line="336" w:lineRule="auto"/>
              <w:jc w:val="center"/>
            </w:pPr>
            <w:r>
              <w:t>236</w:t>
            </w:r>
          </w:p>
        </w:tc>
        <w:tc>
          <w:tcPr>
            <w:tcW w:w="1080" w:type="dxa"/>
            <w:tcBorders>
              <w:top w:val="single" w:sz="4" w:space="0" w:color="auto"/>
            </w:tcBorders>
          </w:tcPr>
          <w:p w:rsidR="00000000" w:rsidRDefault="00000000">
            <w:pPr>
              <w:pStyle w:val="aa"/>
              <w:spacing w:before="100" w:line="336" w:lineRule="auto"/>
              <w:jc w:val="center"/>
            </w:pPr>
            <w:r>
              <w:t>73</w:t>
            </w:r>
          </w:p>
        </w:tc>
        <w:tc>
          <w:tcPr>
            <w:tcW w:w="960" w:type="dxa"/>
            <w:tcBorders>
              <w:top w:val="single" w:sz="4" w:space="0" w:color="auto"/>
            </w:tcBorders>
          </w:tcPr>
          <w:p w:rsidR="00000000" w:rsidRDefault="00000000">
            <w:pPr>
              <w:pStyle w:val="aa"/>
              <w:spacing w:before="100" w:line="336" w:lineRule="auto"/>
              <w:jc w:val="center"/>
            </w:pPr>
            <w:r>
              <w:t>62</w:t>
            </w:r>
          </w:p>
        </w:tc>
        <w:tc>
          <w:tcPr>
            <w:tcW w:w="1080" w:type="dxa"/>
            <w:tcBorders>
              <w:top w:val="single" w:sz="4" w:space="0" w:color="auto"/>
            </w:tcBorders>
          </w:tcPr>
          <w:p w:rsidR="00000000" w:rsidRDefault="00000000">
            <w:pPr>
              <w:pStyle w:val="aa"/>
              <w:spacing w:before="100" w:line="336" w:lineRule="auto"/>
              <w:jc w:val="center"/>
            </w:pPr>
            <w:r>
              <w:t>66</w:t>
            </w:r>
          </w:p>
        </w:tc>
        <w:tc>
          <w:tcPr>
            <w:tcW w:w="960" w:type="dxa"/>
            <w:tcBorders>
              <w:top w:val="single" w:sz="4" w:space="0" w:color="auto"/>
            </w:tcBorders>
          </w:tcPr>
          <w:p w:rsidR="00000000" w:rsidRDefault="00000000">
            <w:pPr>
              <w:pStyle w:val="aa"/>
              <w:spacing w:before="100" w:line="336" w:lineRule="auto"/>
              <w:jc w:val="center"/>
            </w:pPr>
            <w:r>
              <w:t>1.8</w:t>
            </w:r>
          </w:p>
        </w:tc>
        <w:tc>
          <w:tcPr>
            <w:tcW w:w="960" w:type="dxa"/>
            <w:tcBorders>
              <w:top w:val="single" w:sz="4" w:space="0" w:color="auto"/>
            </w:tcBorders>
          </w:tcPr>
          <w:p w:rsidR="00000000" w:rsidRDefault="00000000">
            <w:pPr>
              <w:pStyle w:val="aa"/>
              <w:spacing w:before="100" w:line="336" w:lineRule="auto"/>
              <w:jc w:val="center"/>
            </w:pPr>
            <w:r>
              <w:t>0.8</w:t>
            </w:r>
          </w:p>
        </w:tc>
        <w:tc>
          <w:tcPr>
            <w:tcW w:w="960" w:type="dxa"/>
            <w:tcBorders>
              <w:top w:val="single" w:sz="4" w:space="0" w:color="auto"/>
            </w:tcBorders>
          </w:tcPr>
          <w:p w:rsidR="00000000" w:rsidRDefault="00000000">
            <w:pPr>
              <w:pStyle w:val="aa"/>
              <w:spacing w:before="100" w:line="336" w:lineRule="auto"/>
              <w:jc w:val="center"/>
            </w:pPr>
            <w:r>
              <w:t>0.7</w:t>
            </w:r>
          </w:p>
        </w:tc>
        <w:tc>
          <w:tcPr>
            <w:tcW w:w="967" w:type="dxa"/>
            <w:tcBorders>
              <w:top w:val="single" w:sz="4" w:space="0" w:color="auto"/>
            </w:tcBorders>
          </w:tcPr>
          <w:p w:rsidR="00000000" w:rsidRDefault="00000000">
            <w:pPr>
              <w:pStyle w:val="aa"/>
              <w:spacing w:before="100" w:line="336" w:lineRule="auto"/>
              <w:jc w:val="center"/>
            </w:pPr>
            <w:r>
              <w:t>0.7</w:t>
            </w:r>
          </w:p>
        </w:tc>
      </w:tr>
    </w:tbl>
    <w:p w:rsidR="00000000" w:rsidRDefault="00000000">
      <w:pPr>
        <w:pStyle w:val="FootnoteText"/>
        <w:spacing w:before="160" w:line="336" w:lineRule="auto"/>
        <w:rPr>
          <w:rFonts w:hint="eastAsia"/>
          <w:sz w:val="21"/>
        </w:rPr>
      </w:pPr>
      <w:r>
        <w:rPr>
          <w:b/>
          <w:bCs/>
          <w:sz w:val="21"/>
          <w:vertAlign w:val="superscript"/>
        </w:rPr>
        <w:t>a</w:t>
      </w:r>
      <w:r>
        <w:rPr>
          <w:sz w:val="21"/>
        </w:rPr>
        <w:t xml:space="preserve">  </w:t>
      </w:r>
      <w:r>
        <w:rPr>
          <w:rFonts w:hint="eastAsia"/>
          <w:sz w:val="21"/>
        </w:rPr>
        <w:t>累积数。</w:t>
      </w:r>
    </w:p>
    <w:p w:rsidR="00000000" w:rsidRDefault="00000000">
      <w:pPr>
        <w:pStyle w:val="FootnoteText"/>
        <w:spacing w:after="160" w:line="336" w:lineRule="auto"/>
        <w:ind w:right="170"/>
        <w:rPr>
          <w:rFonts w:hint="eastAsia"/>
          <w:sz w:val="21"/>
        </w:rPr>
      </w:pPr>
      <w:r>
        <w:rPr>
          <w:rFonts w:hint="eastAsia"/>
          <w:sz w:val="21"/>
          <w:u w:val="single"/>
        </w:rPr>
        <w:t>资料来源</w:t>
      </w:r>
      <w:r>
        <w:rPr>
          <w:sz w:val="21"/>
        </w:rPr>
        <w:t>：</w:t>
      </w:r>
      <w:r>
        <w:rPr>
          <w:rFonts w:hint="eastAsia"/>
          <w:sz w:val="21"/>
        </w:rPr>
        <w:t>捷克统计署</w:t>
      </w:r>
      <w:r>
        <w:rPr>
          <w:sz w:val="21"/>
        </w:rPr>
        <w:t>，</w:t>
      </w:r>
      <w:r>
        <w:rPr>
          <w:sz w:val="21"/>
        </w:rPr>
        <w:t xml:space="preserve"> 1999</w:t>
      </w:r>
      <w:r>
        <w:rPr>
          <w:rFonts w:hint="eastAsia"/>
          <w:sz w:val="21"/>
        </w:rPr>
        <w:t>年。</w:t>
      </w:r>
    </w:p>
    <w:p w:rsidR="00000000" w:rsidRDefault="00000000">
      <w:pPr>
        <w:rPr>
          <w:rFonts w:hint="eastAsia"/>
        </w:rPr>
      </w:pPr>
      <w:r>
        <w:rPr>
          <w:rFonts w:hint="eastAsia"/>
        </w:rPr>
        <w:tab/>
        <w:t xml:space="preserve">505.  </w:t>
      </w:r>
      <w:r>
        <w:rPr>
          <w:rFonts w:hint="eastAsia"/>
        </w:rPr>
        <w:t>在正常怀孕的情况下，产前孕妇经过</w:t>
      </w:r>
      <w:r>
        <w:rPr>
          <w:rFonts w:hint="eastAsia"/>
        </w:rPr>
        <w:t>10</w:t>
      </w:r>
      <w:r>
        <w:rPr>
          <w:rFonts w:hint="eastAsia"/>
        </w:rPr>
        <w:t>次检查，如有必要，则接受更多的检查。怀孕期间</w:t>
      </w:r>
      <w:r>
        <w:rPr>
          <w:rFonts w:hint="eastAsia"/>
        </w:rPr>
        <w:t>(</w:t>
      </w:r>
      <w:r>
        <w:rPr>
          <w:rFonts w:hint="eastAsia"/>
        </w:rPr>
        <w:t>在第</w:t>
      </w:r>
      <w:r>
        <w:rPr>
          <w:rFonts w:hint="eastAsia"/>
        </w:rPr>
        <w:t>20</w:t>
      </w:r>
      <w:r>
        <w:rPr>
          <w:rFonts w:hint="eastAsia"/>
        </w:rPr>
        <w:t>周和第</w:t>
      </w:r>
      <w:r>
        <w:rPr>
          <w:rFonts w:hint="eastAsia"/>
        </w:rPr>
        <w:t>32</w:t>
      </w:r>
      <w:r>
        <w:rPr>
          <w:rFonts w:hint="eastAsia"/>
        </w:rPr>
        <w:t>周</w:t>
      </w:r>
      <w:r>
        <w:rPr>
          <w:rFonts w:hint="eastAsia"/>
        </w:rPr>
        <w:t>)</w:t>
      </w:r>
      <w:r>
        <w:rPr>
          <w:rFonts w:hint="eastAsia"/>
        </w:rPr>
        <w:t>进行超声波检查，但高风险怀孕和病态怀孕妇女则更频繁地接受检查。《门诊治疗法》对产前检查的次数和范围作了规定。</w:t>
      </w:r>
      <w:r>
        <w:rPr>
          <w:rStyle w:val="EndnoteReference"/>
        </w:rPr>
        <w:endnoteReference w:id="305"/>
      </w:r>
      <w:r>
        <w:rPr>
          <w:rFonts w:hint="eastAsia"/>
        </w:rPr>
        <w:t xml:space="preserve"> </w:t>
      </w:r>
      <w:r>
        <w:rPr>
          <w:rFonts w:hint="eastAsia"/>
        </w:rPr>
        <w:t>这种治疗费由一般健康保险支付。</w:t>
      </w:r>
    </w:p>
    <w:p w:rsidR="00000000" w:rsidRDefault="00000000">
      <w:pPr>
        <w:rPr>
          <w:rFonts w:hint="eastAsia"/>
        </w:rPr>
      </w:pPr>
      <w:r>
        <w:rPr>
          <w:rFonts w:hint="eastAsia"/>
        </w:rPr>
        <w:tab/>
        <w:t xml:space="preserve">506.  </w:t>
      </w:r>
      <w:r>
        <w:rPr>
          <w:rFonts w:hint="eastAsia"/>
        </w:rPr>
        <w:t>尽管捷克共和国儿童受到了较高水平的治疗，但这一群体的健康没有得到很大的改善。儿童和少年的发病率没有显著下降，受治疗人数没有下降</w:t>
      </w:r>
      <w:r>
        <w:rPr>
          <w:rFonts w:hint="eastAsia"/>
        </w:rPr>
        <w:t>(</w:t>
      </w:r>
      <w:r>
        <w:rPr>
          <w:rFonts w:hint="eastAsia"/>
        </w:rPr>
        <w:t>先天发育不良和包括支气管炎在内的过敏症病例正在上升，神经系统疾病、智力迟钝和严重的行为错乱的病例继续增加</w:t>
      </w:r>
      <w:r>
        <w:rPr>
          <w:rFonts w:hint="eastAsia"/>
        </w:rPr>
        <w:t>)</w:t>
      </w:r>
      <w:r>
        <w:rPr>
          <w:rFonts w:hint="eastAsia"/>
        </w:rPr>
        <w:t>。我们认为，造成这种现象的最严重的根源是特别是工业城市地区里的环境污染和不健康的生活方式；遭到严重伤害的儿童人数也相对增加。</w:t>
      </w:r>
    </w:p>
    <w:p w:rsidR="00000000" w:rsidRDefault="00000000">
      <w:pPr>
        <w:rPr>
          <w:rFonts w:hint="eastAsia"/>
        </w:rPr>
      </w:pPr>
      <w:r>
        <w:rPr>
          <w:rFonts w:hint="eastAsia"/>
        </w:rPr>
        <w:tab/>
        <w:t xml:space="preserve">507.  </w:t>
      </w:r>
      <w:r>
        <w:rPr>
          <w:rFonts w:hint="eastAsia"/>
        </w:rPr>
        <w:t>自</w:t>
      </w:r>
      <w:r>
        <w:rPr>
          <w:rFonts w:hint="eastAsia"/>
        </w:rPr>
        <w:t>1990</w:t>
      </w:r>
      <w:r>
        <w:rPr>
          <w:rFonts w:hint="eastAsia"/>
        </w:rPr>
        <w:t>年以来，吸过毒或已经吸毒成瘾的少年和儿童的百分比正在上升。青年人中间尼古丁吸食成瘾和酗酒者比例也正在上升。</w:t>
      </w:r>
      <w:r>
        <w:rPr>
          <w:rFonts w:hint="eastAsia"/>
        </w:rPr>
        <w:t>15</w:t>
      </w:r>
      <w:r>
        <w:rPr>
          <w:rFonts w:hint="eastAsia"/>
        </w:rPr>
        <w:t>岁至</w:t>
      </w:r>
      <w:r>
        <w:rPr>
          <w:rFonts w:hint="eastAsia"/>
        </w:rPr>
        <w:t>19</w:t>
      </w:r>
      <w:r>
        <w:rPr>
          <w:rFonts w:hint="eastAsia"/>
        </w:rPr>
        <w:t>岁的青年人是最经常使用非法毒品的高危险人口。流行病学研究表明，大约三分之一的中学生已经吸食过非酒精毒品</w:t>
      </w:r>
      <w:r>
        <w:rPr>
          <w:rFonts w:hint="eastAsia"/>
        </w:rPr>
        <w:t>(</w:t>
      </w:r>
      <w:r>
        <w:rPr>
          <w:rFonts w:hint="eastAsia"/>
        </w:rPr>
        <w:t>即使只有一次</w:t>
      </w:r>
      <w:r>
        <w:rPr>
          <w:rFonts w:hint="eastAsia"/>
        </w:rPr>
        <w:t>)</w:t>
      </w:r>
      <w:r>
        <w:rPr>
          <w:rFonts w:hint="eastAsia"/>
        </w:rPr>
        <w:t>。新的问题吸毒者第一次进入戒毒所的平均年龄为</w:t>
      </w:r>
      <w:r>
        <w:rPr>
          <w:rFonts w:hint="eastAsia"/>
        </w:rPr>
        <w:t>20.6</w:t>
      </w:r>
      <w:r>
        <w:rPr>
          <w:rFonts w:hint="eastAsia"/>
        </w:rPr>
        <w:t>岁，但在新近登记的吸毒者中间，</w:t>
      </w:r>
      <w:r>
        <w:rPr>
          <w:rFonts w:hint="eastAsia"/>
        </w:rPr>
        <w:t>12.7%</w:t>
      </w:r>
      <w:r>
        <w:rPr>
          <w:rFonts w:hint="eastAsia"/>
        </w:rPr>
        <w:t>的人承认，他们在满</w:t>
      </w:r>
      <w:r>
        <w:rPr>
          <w:rFonts w:hint="eastAsia"/>
        </w:rPr>
        <w:t>15</w:t>
      </w:r>
      <w:r>
        <w:rPr>
          <w:rFonts w:hint="eastAsia"/>
        </w:rPr>
        <w:t>岁之前就第一次吸食毒品；在</w:t>
      </w:r>
      <w:r>
        <w:rPr>
          <w:rFonts w:hint="eastAsia"/>
        </w:rPr>
        <w:t>19</w:t>
      </w:r>
      <w:r>
        <w:rPr>
          <w:rFonts w:hint="eastAsia"/>
        </w:rPr>
        <w:t>岁以下的群组中，这一比例为</w:t>
      </w:r>
      <w:r>
        <w:rPr>
          <w:rFonts w:hint="eastAsia"/>
        </w:rPr>
        <w:t>74%</w:t>
      </w:r>
      <w:r>
        <w:rPr>
          <w:rFonts w:hint="eastAsia"/>
        </w:rPr>
        <w:t>。</w:t>
      </w:r>
      <w:r>
        <w:rPr>
          <w:rStyle w:val="EndnoteReference"/>
        </w:rPr>
        <w:endnoteReference w:id="306"/>
      </w:r>
    </w:p>
    <w:p w:rsidR="00000000" w:rsidRDefault="00000000">
      <w:pPr>
        <w:rPr>
          <w:rFonts w:hint="eastAsia"/>
          <w:spacing w:val="8"/>
        </w:rPr>
      </w:pPr>
      <w:r>
        <w:rPr>
          <w:rFonts w:hint="eastAsia"/>
        </w:rPr>
        <w:tab/>
        <w:t xml:space="preserve">508.  </w:t>
      </w:r>
      <w:r>
        <w:rPr>
          <w:rFonts w:hint="eastAsia"/>
          <w:spacing w:val="8"/>
        </w:rPr>
        <w:t>中央政府一级的毒品处理问题协调由捷克共和国政府部委间毒品委员会安排，该委员会由总理担任主席，委员是内务部、司法部、卫生部、教育、青年和体育部以及劳动和社会事务部长。</w:t>
      </w:r>
      <w:r>
        <w:rPr>
          <w:rFonts w:hint="eastAsia"/>
          <w:spacing w:val="8"/>
        </w:rPr>
        <w:t>1998</w:t>
      </w:r>
      <w:r>
        <w:rPr>
          <w:rFonts w:hint="eastAsia"/>
          <w:spacing w:val="8"/>
        </w:rPr>
        <w:t>年</w:t>
      </w:r>
      <w:r>
        <w:rPr>
          <w:rFonts w:hint="eastAsia"/>
          <w:spacing w:val="8"/>
        </w:rPr>
        <w:t>2</w:t>
      </w:r>
      <w:r>
        <w:rPr>
          <w:rFonts w:hint="eastAsia"/>
          <w:spacing w:val="8"/>
        </w:rPr>
        <w:t>月，政府批准了</w:t>
      </w:r>
      <w:r>
        <w:rPr>
          <w:rFonts w:hint="eastAsia"/>
          <w:spacing w:val="8"/>
        </w:rPr>
        <w:t>1998</w:t>
      </w:r>
      <w:r>
        <w:rPr>
          <w:rFonts w:hint="eastAsia"/>
          <w:spacing w:val="8"/>
        </w:rPr>
        <w:t>年至</w:t>
      </w:r>
      <w:r>
        <w:rPr>
          <w:rFonts w:hint="eastAsia"/>
          <w:spacing w:val="8"/>
        </w:rPr>
        <w:t>2001</w:t>
      </w:r>
      <w:r>
        <w:rPr>
          <w:rFonts w:hint="eastAsia"/>
          <w:spacing w:val="8"/>
        </w:rPr>
        <w:t>年禁毒政策纲要和方案，</w:t>
      </w:r>
      <w:r>
        <w:rPr>
          <w:rStyle w:val="EndnoteReference"/>
          <w:spacing w:val="8"/>
        </w:rPr>
        <w:endnoteReference w:id="307"/>
      </w:r>
      <w:r>
        <w:rPr>
          <w:rFonts w:hint="eastAsia"/>
          <w:spacing w:val="8"/>
        </w:rPr>
        <w:t xml:space="preserve"> </w:t>
      </w:r>
      <w:r>
        <w:rPr>
          <w:rFonts w:hint="eastAsia"/>
          <w:spacing w:val="8"/>
        </w:rPr>
        <w:t>该文书规定了各部委和地方政府与自治团体的任务。重点不仅放在惩罚的方法和手段上，而且还放在特别是在儿童和少年中间预防吸毒上。禁毒政策以特殊目的补贴的方式通过有关部委及其补贴方案资助，并且还通过地区和城市办公室从总国库管理预算项目下支付。</w:t>
      </w:r>
      <w:r>
        <w:rPr>
          <w:rFonts w:hint="eastAsia"/>
          <w:spacing w:val="8"/>
        </w:rPr>
        <w:t>1998</w:t>
      </w:r>
      <w:r>
        <w:rPr>
          <w:rFonts w:hint="eastAsia"/>
          <w:spacing w:val="8"/>
        </w:rPr>
        <w:t>年底，在治疗</w:t>
      </w:r>
      <w:r>
        <w:rPr>
          <w:rFonts w:hint="eastAsia"/>
          <w:spacing w:val="8"/>
        </w:rPr>
        <w:t>/</w:t>
      </w:r>
      <w:r>
        <w:rPr>
          <w:rFonts w:hint="eastAsia"/>
          <w:spacing w:val="8"/>
        </w:rPr>
        <w:t>接触中心数据库登记的总共有</w:t>
      </w:r>
      <w:r>
        <w:rPr>
          <w:rFonts w:hint="eastAsia"/>
          <w:spacing w:val="8"/>
        </w:rPr>
        <w:t>237</w:t>
      </w:r>
      <w:r>
        <w:rPr>
          <w:rFonts w:hint="eastAsia"/>
          <w:spacing w:val="8"/>
        </w:rPr>
        <w:t>家据报告将接触吸毒者作为其活动一部分的机构。</w:t>
      </w:r>
      <w:r>
        <w:rPr>
          <w:rFonts w:hint="eastAsia"/>
          <w:spacing w:val="8"/>
        </w:rPr>
        <w:t>1998</w:t>
      </w:r>
      <w:r>
        <w:rPr>
          <w:rFonts w:hint="eastAsia"/>
          <w:spacing w:val="8"/>
        </w:rPr>
        <w:t>年，新登记的吸毒者</w:t>
      </w:r>
      <w:r>
        <w:rPr>
          <w:rFonts w:hint="eastAsia"/>
          <w:spacing w:val="8"/>
        </w:rPr>
        <w:t>(</w:t>
      </w:r>
      <w:r>
        <w:rPr>
          <w:rFonts w:hint="eastAsia"/>
          <w:spacing w:val="8"/>
        </w:rPr>
        <w:t>不分年龄</w:t>
      </w:r>
      <w:r>
        <w:rPr>
          <w:rFonts w:hint="eastAsia"/>
          <w:spacing w:val="8"/>
        </w:rPr>
        <w:t>)</w:t>
      </w:r>
      <w:r>
        <w:rPr>
          <w:rFonts w:hint="eastAsia"/>
          <w:spacing w:val="8"/>
        </w:rPr>
        <w:t>的总人数为</w:t>
      </w:r>
      <w:r>
        <w:rPr>
          <w:rFonts w:hint="eastAsia"/>
          <w:spacing w:val="8"/>
        </w:rPr>
        <w:t>3,858</w:t>
      </w:r>
      <w:r>
        <w:rPr>
          <w:rFonts w:hint="eastAsia"/>
          <w:spacing w:val="8"/>
        </w:rPr>
        <w:t>人；而</w:t>
      </w:r>
      <w:r>
        <w:rPr>
          <w:rFonts w:hint="eastAsia"/>
          <w:spacing w:val="8"/>
        </w:rPr>
        <w:t>1997</w:t>
      </w:r>
      <w:r>
        <w:rPr>
          <w:rFonts w:hint="eastAsia"/>
          <w:spacing w:val="8"/>
        </w:rPr>
        <w:t>年，比这人数少</w:t>
      </w:r>
      <w:r>
        <w:rPr>
          <w:rFonts w:hint="eastAsia"/>
          <w:spacing w:val="8"/>
        </w:rPr>
        <w:t>726</w:t>
      </w:r>
      <w:r>
        <w:rPr>
          <w:rFonts w:hint="eastAsia"/>
          <w:spacing w:val="8"/>
        </w:rPr>
        <w:t>人。</w:t>
      </w:r>
    </w:p>
    <w:p w:rsidR="00000000" w:rsidRDefault="00000000">
      <w:pPr>
        <w:rPr>
          <w:rFonts w:hint="eastAsia"/>
        </w:rPr>
      </w:pPr>
      <w:r>
        <w:rPr>
          <w:rFonts w:hint="eastAsia"/>
        </w:rPr>
        <w:tab/>
        <w:t xml:space="preserve">509.  </w:t>
      </w:r>
      <w:r>
        <w:rPr>
          <w:rFonts w:hint="eastAsia"/>
        </w:rPr>
        <w:t>住院和门诊治疗方面的统计数据表明了儿童和青少年的重病率。</w:t>
      </w:r>
      <w:r>
        <w:rPr>
          <w:rFonts w:hint="eastAsia"/>
        </w:rPr>
        <w:t>1997</w:t>
      </w:r>
      <w:r>
        <w:rPr>
          <w:rFonts w:hint="eastAsia"/>
        </w:rPr>
        <w:t>年，儿童病人在总住院人数中的比例为</w:t>
      </w:r>
      <w:r>
        <w:rPr>
          <w:rFonts w:hint="eastAsia"/>
        </w:rPr>
        <w:t>16.5%</w:t>
      </w:r>
      <w:r>
        <w:rPr>
          <w:rFonts w:hint="eastAsia"/>
        </w:rPr>
        <w:t>：</w:t>
      </w:r>
      <w:r>
        <w:rPr>
          <w:rFonts w:hint="eastAsia"/>
        </w:rPr>
        <w:t>0</w:t>
      </w:r>
      <w:r>
        <w:rPr>
          <w:rFonts w:hint="eastAsia"/>
        </w:rPr>
        <w:t>至</w:t>
      </w:r>
      <w:r>
        <w:rPr>
          <w:rFonts w:hint="eastAsia"/>
        </w:rPr>
        <w:t>14</w:t>
      </w:r>
      <w:r>
        <w:rPr>
          <w:rFonts w:hint="eastAsia"/>
        </w:rPr>
        <w:t>岁儿童</w:t>
      </w:r>
      <w:r>
        <w:rPr>
          <w:rFonts w:hint="eastAsia"/>
        </w:rPr>
        <w:t>(</w:t>
      </w:r>
      <w:r>
        <w:rPr>
          <w:rFonts w:hint="eastAsia"/>
        </w:rPr>
        <w:t>包括新生儿</w:t>
      </w:r>
      <w:r>
        <w:rPr>
          <w:rFonts w:hint="eastAsia"/>
        </w:rPr>
        <w:t>)</w:t>
      </w:r>
      <w:r>
        <w:rPr>
          <w:rFonts w:hint="eastAsia"/>
        </w:rPr>
        <w:t>的住院人次为</w:t>
      </w:r>
      <w:r>
        <w:rPr>
          <w:rFonts w:hint="eastAsia"/>
        </w:rPr>
        <w:t>345,000,</w:t>
      </w:r>
      <w:r>
        <w:rPr>
          <w:rFonts w:hint="eastAsia"/>
        </w:rPr>
        <w:t>即</w:t>
      </w:r>
      <w:r>
        <w:rPr>
          <w:rFonts w:hint="eastAsia"/>
        </w:rPr>
        <w:t>100</w:t>
      </w:r>
      <w:r>
        <w:rPr>
          <w:rFonts w:hint="eastAsia"/>
        </w:rPr>
        <w:t>名儿童中间有</w:t>
      </w:r>
      <w:r>
        <w:rPr>
          <w:rFonts w:hint="eastAsia"/>
        </w:rPr>
        <w:t>19</w:t>
      </w:r>
      <w:r>
        <w:rPr>
          <w:rFonts w:hint="eastAsia"/>
        </w:rPr>
        <w:t>个病例；在</w:t>
      </w:r>
      <w:r>
        <w:rPr>
          <w:rFonts w:hint="eastAsia"/>
        </w:rPr>
        <w:t>15</w:t>
      </w:r>
      <w:r>
        <w:rPr>
          <w:rFonts w:hint="eastAsia"/>
        </w:rPr>
        <w:t>岁至</w:t>
      </w:r>
      <w:r>
        <w:rPr>
          <w:rFonts w:hint="eastAsia"/>
        </w:rPr>
        <w:t>19</w:t>
      </w:r>
      <w:r>
        <w:rPr>
          <w:rFonts w:hint="eastAsia"/>
        </w:rPr>
        <w:t>岁的年龄组中，</w:t>
      </w:r>
      <w:r>
        <w:rPr>
          <w:rFonts w:hint="eastAsia"/>
        </w:rPr>
        <w:t>1997</w:t>
      </w:r>
      <w:r>
        <w:rPr>
          <w:rFonts w:hint="eastAsia"/>
        </w:rPr>
        <w:t>年由</w:t>
      </w:r>
      <w:r>
        <w:rPr>
          <w:rFonts w:hint="eastAsia"/>
        </w:rPr>
        <w:t>90,000</w:t>
      </w:r>
      <w:r>
        <w:rPr>
          <w:rFonts w:hint="eastAsia"/>
        </w:rPr>
        <w:t>人次住院</w:t>
      </w:r>
      <w:r>
        <w:rPr>
          <w:rFonts w:hint="eastAsia"/>
        </w:rPr>
        <w:t>(</w:t>
      </w:r>
      <w:r>
        <w:rPr>
          <w:rFonts w:hint="eastAsia"/>
        </w:rPr>
        <w:t>每</w:t>
      </w:r>
      <w:r>
        <w:rPr>
          <w:rFonts w:hint="eastAsia"/>
        </w:rPr>
        <w:t>100</w:t>
      </w:r>
      <w:r>
        <w:rPr>
          <w:rFonts w:hint="eastAsia"/>
        </w:rPr>
        <w:t>名居民中</w:t>
      </w:r>
      <w:r>
        <w:rPr>
          <w:rFonts w:hint="eastAsia"/>
        </w:rPr>
        <w:t>11</w:t>
      </w:r>
      <w:r>
        <w:rPr>
          <w:rFonts w:hint="eastAsia"/>
        </w:rPr>
        <w:t>个少年</w:t>
      </w:r>
      <w:r>
        <w:rPr>
          <w:rFonts w:hint="eastAsia"/>
        </w:rPr>
        <w:t>)</w:t>
      </w:r>
      <w:r>
        <w:rPr>
          <w:rFonts w:hint="eastAsia"/>
        </w:rPr>
        <w:t>。</w:t>
      </w:r>
    </w:p>
    <w:p w:rsidR="00000000" w:rsidRDefault="00000000">
      <w:pPr>
        <w:rPr>
          <w:rFonts w:hint="eastAsia"/>
        </w:rPr>
      </w:pPr>
      <w:r>
        <w:rPr>
          <w:rFonts w:hint="eastAsia"/>
        </w:rPr>
        <w:tab/>
        <w:t>510.  0</w:t>
      </w:r>
      <w:r>
        <w:rPr>
          <w:rFonts w:hint="eastAsia"/>
        </w:rPr>
        <w:t>到</w:t>
      </w:r>
      <w:r>
        <w:rPr>
          <w:rFonts w:hint="eastAsia"/>
        </w:rPr>
        <w:t>1</w:t>
      </w:r>
      <w:r>
        <w:rPr>
          <w:rFonts w:hint="eastAsia"/>
        </w:rPr>
        <w:t>岁儿童中间住院最常见的原因是产前引起的问题</w:t>
      </w:r>
      <w:r>
        <w:rPr>
          <w:rFonts w:hint="eastAsia"/>
        </w:rPr>
        <w:t>(</w:t>
      </w:r>
      <w:r>
        <w:rPr>
          <w:rFonts w:hint="eastAsia"/>
        </w:rPr>
        <w:t>这一年龄组住院人数的</w:t>
      </w:r>
      <w:r>
        <w:rPr>
          <w:rFonts w:hint="eastAsia"/>
        </w:rPr>
        <w:t>15%)</w:t>
      </w:r>
      <w:r>
        <w:rPr>
          <w:rFonts w:hint="eastAsia"/>
        </w:rPr>
        <w:t>，然后是呼吸道疾病</w:t>
      </w:r>
      <w:r>
        <w:rPr>
          <w:rFonts w:hint="eastAsia"/>
        </w:rPr>
        <w:t>(8%)</w:t>
      </w:r>
      <w:r>
        <w:rPr>
          <w:rFonts w:hint="eastAsia"/>
        </w:rPr>
        <w:t>。在</w:t>
      </w:r>
      <w:r>
        <w:rPr>
          <w:rFonts w:hint="eastAsia"/>
        </w:rPr>
        <w:t>1</w:t>
      </w:r>
      <w:r>
        <w:rPr>
          <w:rFonts w:hint="eastAsia"/>
        </w:rPr>
        <w:t>到</w:t>
      </w:r>
      <w:r>
        <w:rPr>
          <w:rFonts w:hint="eastAsia"/>
        </w:rPr>
        <w:t>4</w:t>
      </w:r>
      <w:r>
        <w:rPr>
          <w:rFonts w:hint="eastAsia"/>
        </w:rPr>
        <w:t>岁和</w:t>
      </w:r>
      <w:r>
        <w:rPr>
          <w:rFonts w:hint="eastAsia"/>
        </w:rPr>
        <w:t>5</w:t>
      </w:r>
      <w:r>
        <w:rPr>
          <w:rFonts w:hint="eastAsia"/>
        </w:rPr>
        <w:t>到</w:t>
      </w:r>
      <w:r>
        <w:rPr>
          <w:rFonts w:hint="eastAsia"/>
        </w:rPr>
        <w:t>9</w:t>
      </w:r>
      <w:r>
        <w:rPr>
          <w:rFonts w:hint="eastAsia"/>
        </w:rPr>
        <w:t>岁的年龄组里，呼吸道疾病显然是住院最常见的原因</w:t>
      </w:r>
      <w:r>
        <w:rPr>
          <w:rFonts w:hint="eastAsia"/>
        </w:rPr>
        <w:t>(</w:t>
      </w:r>
      <w:r>
        <w:rPr>
          <w:rFonts w:hint="eastAsia"/>
        </w:rPr>
        <w:t>大约是住院人数的</w:t>
      </w:r>
      <w:r>
        <w:rPr>
          <w:rFonts w:hint="eastAsia"/>
        </w:rPr>
        <w:t>40%)</w:t>
      </w:r>
      <w:r>
        <w:rPr>
          <w:rFonts w:hint="eastAsia"/>
        </w:rPr>
        <w:t>，随后是受伤和中毒</w:t>
      </w:r>
      <w:r>
        <w:rPr>
          <w:rFonts w:hint="eastAsia"/>
        </w:rPr>
        <w:t>(12%)</w:t>
      </w:r>
      <w:r>
        <w:rPr>
          <w:rFonts w:hint="eastAsia"/>
        </w:rPr>
        <w:t>。在</w:t>
      </w:r>
      <w:r>
        <w:rPr>
          <w:rFonts w:hint="eastAsia"/>
        </w:rPr>
        <w:t>10</w:t>
      </w:r>
      <w:r>
        <w:rPr>
          <w:rFonts w:hint="eastAsia"/>
        </w:rPr>
        <w:t>岁至</w:t>
      </w:r>
      <w:r>
        <w:rPr>
          <w:rFonts w:hint="eastAsia"/>
        </w:rPr>
        <w:t>14</w:t>
      </w:r>
      <w:r>
        <w:rPr>
          <w:rFonts w:hint="eastAsia"/>
        </w:rPr>
        <w:t>岁的儿童中间，受伤和中毒是最多的</w:t>
      </w:r>
      <w:r>
        <w:rPr>
          <w:rFonts w:hint="eastAsia"/>
        </w:rPr>
        <w:t>(</w:t>
      </w:r>
      <w:r>
        <w:rPr>
          <w:rFonts w:hint="eastAsia"/>
        </w:rPr>
        <w:t>将近</w:t>
      </w:r>
      <w:r>
        <w:rPr>
          <w:rFonts w:hint="eastAsia"/>
        </w:rPr>
        <w:t>20%)</w:t>
      </w:r>
      <w:r>
        <w:rPr>
          <w:rFonts w:hint="eastAsia"/>
        </w:rPr>
        <w:t>。消化道疾病是所有儿童中间的第三大疾病。在少年中间，住院最常见的原因是受伤。</w:t>
      </w:r>
    </w:p>
    <w:p w:rsidR="00000000" w:rsidRDefault="00000000">
      <w:pPr>
        <w:rPr>
          <w:rFonts w:hint="eastAsia"/>
        </w:rPr>
      </w:pPr>
      <w:r>
        <w:rPr>
          <w:rFonts w:hint="eastAsia"/>
        </w:rPr>
        <w:tab/>
        <w:t xml:space="preserve">511.  </w:t>
      </w:r>
      <w:r>
        <w:rPr>
          <w:rFonts w:hint="eastAsia"/>
        </w:rPr>
        <w:t>关于发病率的另一个资料来源是门诊治疗。儿童最经常治疗的疾病是神经系统和感官疾病，主要是视力病，随后是呼吸道疾病</w:t>
      </w:r>
      <w:r>
        <w:rPr>
          <w:rFonts w:hint="eastAsia"/>
        </w:rPr>
        <w:t>(</w:t>
      </w:r>
      <w:r>
        <w:rPr>
          <w:rFonts w:hint="eastAsia"/>
        </w:rPr>
        <w:t>主要是支气管炎</w:t>
      </w:r>
      <w:r>
        <w:rPr>
          <w:rFonts w:hint="eastAsia"/>
        </w:rPr>
        <w:t>)</w:t>
      </w:r>
      <w:r>
        <w:rPr>
          <w:rFonts w:hint="eastAsia"/>
        </w:rPr>
        <w:t>和皮肤病和皮下组织疾病</w:t>
      </w:r>
      <w:r>
        <w:rPr>
          <w:rFonts w:hint="eastAsia"/>
        </w:rPr>
        <w:t>(</w:t>
      </w:r>
      <w:r>
        <w:rPr>
          <w:rFonts w:hint="eastAsia"/>
        </w:rPr>
        <w:t>主要是湿疹</w:t>
      </w:r>
      <w:r>
        <w:rPr>
          <w:rFonts w:hint="eastAsia"/>
        </w:rPr>
        <w:t>)</w:t>
      </w:r>
      <w:r>
        <w:rPr>
          <w:rFonts w:hint="eastAsia"/>
        </w:rPr>
        <w:t>。少年中间第三大病是肌肉和骨骼系统疾病。</w:t>
      </w:r>
    </w:p>
    <w:p w:rsidR="00000000" w:rsidRDefault="00000000">
      <w:pPr>
        <w:rPr>
          <w:rFonts w:hint="eastAsia"/>
        </w:rPr>
      </w:pPr>
      <w:r>
        <w:rPr>
          <w:rFonts w:hint="eastAsia"/>
        </w:rPr>
        <w:tab/>
        <w:t xml:space="preserve">512.  </w:t>
      </w:r>
      <w:r>
        <w:rPr>
          <w:rFonts w:hint="eastAsia"/>
        </w:rPr>
        <w:t>捷克共和国继续研究发展诊断法</w:t>
      </w:r>
      <w:r>
        <w:rPr>
          <w:rFonts w:hint="eastAsia"/>
        </w:rPr>
        <w:t>(</w:t>
      </w:r>
      <w:r>
        <w:rPr>
          <w:rFonts w:hint="eastAsia"/>
        </w:rPr>
        <w:t>例如开始对儿童病人采用磁场共振成象</w:t>
      </w:r>
      <w:r>
        <w:rPr>
          <w:rFonts w:hint="eastAsia"/>
        </w:rPr>
        <w:t>)</w:t>
      </w:r>
      <w:r>
        <w:rPr>
          <w:rFonts w:hint="eastAsia"/>
        </w:rPr>
        <w:t>。现在正在建立治疗儿童的高度专门的心脏科、神经科、外伤科、产前科和肿瘤科中心。在儿童移植方面取得了很大的成功</w:t>
      </w:r>
      <w:r>
        <w:rPr>
          <w:rFonts w:hint="eastAsia"/>
          <w:spacing w:val="-50"/>
        </w:rPr>
        <w:t>―</w:t>
      </w:r>
      <w:r>
        <w:rPr>
          <w:rFonts w:hint="eastAsia"/>
        </w:rPr>
        <w:t>―进行肾、心脏</w:t>
      </w:r>
      <w:r>
        <w:rPr>
          <w:rFonts w:hint="eastAsia"/>
        </w:rPr>
        <w:t>(</w:t>
      </w:r>
      <w:r>
        <w:rPr>
          <w:rFonts w:hint="eastAsia"/>
        </w:rPr>
        <w:t>甚至在幼小的儿童身上</w:t>
      </w:r>
      <w:r>
        <w:rPr>
          <w:rFonts w:hint="eastAsia"/>
        </w:rPr>
        <w:t>)</w:t>
      </w:r>
      <w:r>
        <w:rPr>
          <w:rFonts w:hint="eastAsia"/>
        </w:rPr>
        <w:t>肺和肝的移植。最近几年里在采用新的肿瘤治疗法以后，恶性肿瘤造成的死亡人数逐步下降。</w:t>
      </w:r>
      <w:r>
        <w:rPr>
          <w:rFonts w:hint="eastAsia"/>
        </w:rPr>
        <w:t>1991</w:t>
      </w:r>
      <w:r>
        <w:rPr>
          <w:rFonts w:hint="eastAsia"/>
        </w:rPr>
        <w:t>年，有</w:t>
      </w:r>
      <w:r>
        <w:rPr>
          <w:rFonts w:hint="eastAsia"/>
        </w:rPr>
        <w:t>12</w:t>
      </w:r>
      <w:r>
        <w:rPr>
          <w:rFonts w:hint="eastAsia"/>
        </w:rPr>
        <w:t>个男孩和</w:t>
      </w:r>
      <w:r>
        <w:rPr>
          <w:rFonts w:hint="eastAsia"/>
        </w:rPr>
        <w:t>6</w:t>
      </w:r>
      <w:r>
        <w:rPr>
          <w:rFonts w:hint="eastAsia"/>
        </w:rPr>
        <w:t>个女孩死亡</w:t>
      </w:r>
      <w:r>
        <w:rPr>
          <w:rFonts w:hint="eastAsia"/>
        </w:rPr>
        <w:t>(</w:t>
      </w:r>
      <w:r>
        <w:rPr>
          <w:rFonts w:hint="eastAsia"/>
        </w:rPr>
        <w:t>在</w:t>
      </w:r>
      <w:r>
        <w:rPr>
          <w:rFonts w:hint="eastAsia"/>
        </w:rPr>
        <w:t>100,000</w:t>
      </w:r>
      <w:r>
        <w:rPr>
          <w:rFonts w:hint="eastAsia"/>
        </w:rPr>
        <w:t>个男孩和女孩中间</w:t>
      </w:r>
      <w:r>
        <w:rPr>
          <w:rFonts w:hint="eastAsia"/>
        </w:rPr>
        <w:t>)</w:t>
      </w:r>
      <w:r>
        <w:rPr>
          <w:rFonts w:hint="eastAsia"/>
        </w:rPr>
        <w:t>，而</w:t>
      </w:r>
      <w:r>
        <w:rPr>
          <w:rFonts w:hint="eastAsia"/>
        </w:rPr>
        <w:t>1996</w:t>
      </w:r>
      <w:r>
        <w:rPr>
          <w:rFonts w:hint="eastAsia"/>
        </w:rPr>
        <w:t>年，</w:t>
      </w:r>
      <w:r>
        <w:rPr>
          <w:rFonts w:hint="eastAsia"/>
        </w:rPr>
        <w:t>6</w:t>
      </w:r>
      <w:r>
        <w:rPr>
          <w:rFonts w:hint="eastAsia"/>
        </w:rPr>
        <w:t>个男孩和</w:t>
      </w:r>
      <w:r>
        <w:rPr>
          <w:rFonts w:hint="eastAsia"/>
        </w:rPr>
        <w:t>4</w:t>
      </w:r>
      <w:r>
        <w:rPr>
          <w:rFonts w:hint="eastAsia"/>
        </w:rPr>
        <w:t>个女孩死亡。</w:t>
      </w:r>
    </w:p>
    <w:p w:rsidR="00000000" w:rsidRDefault="00000000">
      <w:pPr>
        <w:rPr>
          <w:rFonts w:hint="eastAsia"/>
        </w:rPr>
      </w:pPr>
      <w:r>
        <w:rPr>
          <w:rFonts w:hint="eastAsia"/>
        </w:rPr>
        <w:tab/>
        <w:t xml:space="preserve">513.  </w:t>
      </w:r>
      <w:r>
        <w:rPr>
          <w:rFonts w:hint="eastAsia"/>
        </w:rPr>
        <w:t>儿童和少年的治疗由普通公共保险按照《公共健康保险法》规定的水平支付。</w:t>
      </w:r>
      <w:r>
        <w:rPr>
          <w:rStyle w:val="EndnoteReference"/>
        </w:rPr>
        <w:endnoteReference w:id="308"/>
      </w:r>
      <w:r>
        <w:rPr>
          <w:rFonts w:hint="eastAsia"/>
        </w:rPr>
        <w:t xml:space="preserve"> </w:t>
      </w:r>
      <w:r>
        <w:rPr>
          <w:rFonts w:hint="eastAsia"/>
        </w:rPr>
        <w:t>国家支付少年和少年的公共健康保险费用。在特殊儿童机构里</w:t>
      </w:r>
      <w:r>
        <w:rPr>
          <w:rFonts w:hint="eastAsia"/>
        </w:rPr>
        <w:t>(3</w:t>
      </w:r>
      <w:r>
        <w:rPr>
          <w:rFonts w:hint="eastAsia"/>
        </w:rPr>
        <w:t>岁以下的婴儿院和孤儿院</w:t>
      </w:r>
      <w:r>
        <w:rPr>
          <w:rFonts w:hint="eastAsia"/>
        </w:rPr>
        <w:t>)</w:t>
      </w:r>
      <w:r>
        <w:rPr>
          <w:rFonts w:hint="eastAsia"/>
        </w:rPr>
        <w:t>，从创建者的预算中支付治疗费。</w:t>
      </w:r>
    </w:p>
    <w:p w:rsidR="00000000" w:rsidRDefault="00000000">
      <w:pPr>
        <w:rPr>
          <w:rFonts w:hint="eastAsia"/>
        </w:rPr>
      </w:pPr>
      <w:r>
        <w:rPr>
          <w:rFonts w:hint="eastAsia"/>
        </w:rPr>
        <w:tab/>
        <w:t xml:space="preserve">514.  </w:t>
      </w:r>
      <w:r>
        <w:rPr>
          <w:rFonts w:hint="eastAsia"/>
        </w:rPr>
        <w:t>在特殊的情况下，国内无法进行的手术的费用由卫生部预算部分支付。这些手术主要是在儿童和少年身上移植器官和骨髓。</w:t>
      </w:r>
      <w:r>
        <w:rPr>
          <w:rFonts w:hint="eastAsia"/>
        </w:rPr>
        <w:t>1998</w:t>
      </w:r>
      <w:r>
        <w:rPr>
          <w:rFonts w:hint="eastAsia"/>
        </w:rPr>
        <w:t>年和</w:t>
      </w:r>
      <w:r>
        <w:rPr>
          <w:rFonts w:hint="eastAsia"/>
        </w:rPr>
        <w:t>1999</w:t>
      </w:r>
      <w:r>
        <w:rPr>
          <w:rFonts w:hint="eastAsia"/>
        </w:rPr>
        <w:t>年，卫生部预算为这些目的支付了</w:t>
      </w:r>
      <w:r>
        <w:rPr>
          <w:rFonts w:hint="eastAsia"/>
        </w:rPr>
        <w:t>1,900</w:t>
      </w:r>
      <w:r>
        <w:rPr>
          <w:rFonts w:hint="eastAsia"/>
        </w:rPr>
        <w:t>多万捷克克郎。另外还通过公开争取自然人和法律实体的捐助来为这些手术争取资金。</w:t>
      </w:r>
    </w:p>
    <w:p w:rsidR="00000000" w:rsidRDefault="00000000">
      <w:pPr>
        <w:rPr>
          <w:rFonts w:hint="eastAsia"/>
        </w:rPr>
      </w:pPr>
      <w:r>
        <w:rPr>
          <w:rFonts w:hint="eastAsia"/>
        </w:rPr>
        <w:tab/>
        <w:t xml:space="preserve">515.  </w:t>
      </w:r>
      <w:r>
        <w:rPr>
          <w:rFonts w:hint="eastAsia"/>
        </w:rPr>
        <w:t>某些接种费用也是从预算中支付的。《防止传染病接种法》具体规定了强制性接种的程度和规则。</w:t>
      </w:r>
      <w:r>
        <w:rPr>
          <w:rStyle w:val="EndnoteReference"/>
        </w:rPr>
        <w:endnoteReference w:id="309"/>
      </w:r>
      <w:r>
        <w:rPr>
          <w:rFonts w:hint="eastAsia"/>
        </w:rPr>
        <w:t xml:space="preserve"> </w:t>
      </w:r>
      <w:r>
        <w:rPr>
          <w:rFonts w:hint="eastAsia"/>
        </w:rPr>
        <w:t>接种费根据《健康保险法》支付。</w:t>
      </w:r>
    </w:p>
    <w:p w:rsidR="00000000" w:rsidRDefault="00000000">
      <w:pPr>
        <w:rPr>
          <w:rFonts w:hint="eastAsia"/>
        </w:rPr>
      </w:pPr>
      <w:r>
        <w:rPr>
          <w:rFonts w:hint="eastAsia"/>
        </w:rPr>
        <w:tab/>
        <w:t xml:space="preserve">516.  </w:t>
      </w:r>
      <w:r>
        <w:rPr>
          <w:rFonts w:hint="eastAsia"/>
        </w:rPr>
        <w:t>该法令规定对儿童进行强制性定期接种，即一次预防白喉、破伤风和百日咳的三联接种，一次预防麻疹、风疹和腮炎的三联接种，一次预防传染性小儿麻痹症和肺结核的接种。该法令还专门规定特别接种，这是对在职业上较有可能受感染的人接种。这包括卫生保健工作人员预防肺结核和病毒性乙型肝炎的接种。该法令还专门规定特殊接种</w:t>
      </w:r>
      <w:r>
        <w:rPr>
          <w:rFonts w:hint="eastAsia"/>
        </w:rPr>
        <w:t>(</w:t>
      </w:r>
      <w:r>
        <w:rPr>
          <w:rFonts w:hint="eastAsia"/>
        </w:rPr>
        <w:t>例如，对易生病者的流感接种</w:t>
      </w:r>
      <w:r>
        <w:rPr>
          <w:rFonts w:hint="eastAsia"/>
        </w:rPr>
        <w:t>)</w:t>
      </w:r>
      <w:r>
        <w:rPr>
          <w:rFonts w:hint="eastAsia"/>
        </w:rPr>
        <w:t>、预防受伤接种</w:t>
      </w:r>
      <w:r>
        <w:rPr>
          <w:rFonts w:hint="eastAsia"/>
        </w:rPr>
        <w:t>(</w:t>
      </w:r>
      <w:r>
        <w:rPr>
          <w:rFonts w:hint="eastAsia"/>
        </w:rPr>
        <w:t>防止破伤风</w:t>
      </w:r>
      <w:r>
        <w:rPr>
          <w:rFonts w:hint="eastAsia"/>
        </w:rPr>
        <w:t>)</w:t>
      </w:r>
      <w:r>
        <w:rPr>
          <w:rFonts w:hint="eastAsia"/>
        </w:rPr>
        <w:t>、防止狂犬病接种和出国旅行前接种</w:t>
      </w:r>
      <w:r>
        <w:rPr>
          <w:rFonts w:hint="eastAsia"/>
        </w:rPr>
        <w:t>(</w:t>
      </w:r>
      <w:r>
        <w:rPr>
          <w:rFonts w:hint="eastAsia"/>
        </w:rPr>
        <w:t>防止疟疾</w:t>
      </w:r>
      <w:r>
        <w:rPr>
          <w:rFonts w:hint="eastAsia"/>
        </w:rPr>
        <w:t>)</w:t>
      </w:r>
      <w:r>
        <w:rPr>
          <w:rFonts w:hint="eastAsia"/>
        </w:rPr>
        <w:t>。《药品法》规定必须确保所用接种材料的安全。</w:t>
      </w:r>
      <w:r>
        <w:rPr>
          <w:rStyle w:val="EndnoteReference"/>
        </w:rPr>
        <w:endnoteReference w:id="310"/>
      </w:r>
    </w:p>
    <w:p w:rsidR="00000000" w:rsidRDefault="00000000">
      <w:pPr>
        <w:rPr>
          <w:rFonts w:hint="eastAsia"/>
        </w:rPr>
      </w:pPr>
      <w:r>
        <w:rPr>
          <w:rFonts w:hint="eastAsia"/>
        </w:rPr>
        <w:tab/>
        <w:t xml:space="preserve">517.  </w:t>
      </w:r>
      <w:r>
        <w:rPr>
          <w:rFonts w:hint="eastAsia"/>
        </w:rPr>
        <w:t>截至</w:t>
      </w:r>
      <w:r>
        <w:rPr>
          <w:rFonts w:hint="eastAsia"/>
        </w:rPr>
        <w:t>1999</w:t>
      </w:r>
      <w:r>
        <w:rPr>
          <w:rFonts w:hint="eastAsia"/>
        </w:rPr>
        <w:t>年</w:t>
      </w:r>
      <w:r>
        <w:rPr>
          <w:rFonts w:hint="eastAsia"/>
        </w:rPr>
        <w:t>6</w:t>
      </w:r>
      <w:r>
        <w:rPr>
          <w:rFonts w:hint="eastAsia"/>
        </w:rPr>
        <w:t>月</w:t>
      </w:r>
      <w:r>
        <w:rPr>
          <w:rFonts w:hint="eastAsia"/>
        </w:rPr>
        <w:t>30</w:t>
      </w:r>
      <w:r>
        <w:rPr>
          <w:rFonts w:hint="eastAsia"/>
        </w:rPr>
        <w:t>日，捷克共和国总共发现</w:t>
      </w:r>
      <w:r>
        <w:rPr>
          <w:rFonts w:hint="eastAsia"/>
        </w:rPr>
        <w:t>411</w:t>
      </w:r>
      <w:r>
        <w:rPr>
          <w:rFonts w:hint="eastAsia"/>
        </w:rPr>
        <w:t>起艾滋病毒病例。到此时为止，其中</w:t>
      </w:r>
      <w:r>
        <w:rPr>
          <w:rFonts w:hint="eastAsia"/>
        </w:rPr>
        <w:t>124</w:t>
      </w:r>
      <w:r>
        <w:rPr>
          <w:rFonts w:hint="eastAsia"/>
        </w:rPr>
        <w:t>个病例被诊断为晚期艾滋病，</w:t>
      </w:r>
      <w:r>
        <w:rPr>
          <w:rFonts w:hint="eastAsia"/>
        </w:rPr>
        <w:t>77</w:t>
      </w:r>
      <w:r>
        <w:rPr>
          <w:rFonts w:hint="eastAsia"/>
        </w:rPr>
        <w:t>个艾滋病人死亡。截至同一日期，在捷克共和国，怀孕妇女中有</w:t>
      </w:r>
      <w:r>
        <w:rPr>
          <w:rFonts w:hint="eastAsia"/>
        </w:rPr>
        <w:t>35</w:t>
      </w:r>
      <w:r>
        <w:rPr>
          <w:rFonts w:hint="eastAsia"/>
        </w:rPr>
        <w:t>个艾滋病毒阳性病人，她们生下了</w:t>
      </w:r>
      <w:r>
        <w:rPr>
          <w:rFonts w:hint="eastAsia"/>
        </w:rPr>
        <w:t>25</w:t>
      </w:r>
      <w:r>
        <w:rPr>
          <w:rFonts w:hint="eastAsia"/>
        </w:rPr>
        <w:t>个婴儿</w:t>
      </w:r>
      <w:r>
        <w:rPr>
          <w:rFonts w:hint="eastAsia"/>
        </w:rPr>
        <w:t>(</w:t>
      </w:r>
      <w:r>
        <w:rPr>
          <w:rFonts w:hint="eastAsia"/>
        </w:rPr>
        <w:t>有一人生下了双胞胎，有</w:t>
      </w:r>
      <w:r>
        <w:rPr>
          <w:rFonts w:hint="eastAsia"/>
        </w:rPr>
        <w:t>9</w:t>
      </w:r>
      <w:r>
        <w:rPr>
          <w:rFonts w:hint="eastAsia"/>
        </w:rPr>
        <w:t>人在母亲的请求下人工中止妊娠，有一人自发流产</w:t>
      </w:r>
      <w:r>
        <w:rPr>
          <w:rFonts w:hint="eastAsia"/>
        </w:rPr>
        <w:t>)</w:t>
      </w:r>
      <w:r>
        <w:rPr>
          <w:rFonts w:hint="eastAsia"/>
        </w:rPr>
        <w:t>。</w:t>
      </w:r>
      <w:r>
        <w:rPr>
          <w:rFonts w:hint="eastAsia"/>
        </w:rPr>
        <w:t>19</w:t>
      </w:r>
      <w:r>
        <w:rPr>
          <w:rFonts w:hint="eastAsia"/>
        </w:rPr>
        <w:t>名儿童已经被诊断为艾滋病毒阴性，而另外</w:t>
      </w:r>
      <w:r>
        <w:rPr>
          <w:rFonts w:hint="eastAsia"/>
        </w:rPr>
        <w:t>5</w:t>
      </w:r>
      <w:r>
        <w:rPr>
          <w:rFonts w:hint="eastAsia"/>
        </w:rPr>
        <w:t>人当时还不满</w:t>
      </w:r>
      <w:r>
        <w:rPr>
          <w:rFonts w:hint="eastAsia"/>
        </w:rPr>
        <w:t>2</w:t>
      </w:r>
      <w:r>
        <w:rPr>
          <w:rFonts w:hint="eastAsia"/>
        </w:rPr>
        <w:t>岁，因为儿童满</w:t>
      </w:r>
      <w:r>
        <w:rPr>
          <w:rFonts w:hint="eastAsia"/>
        </w:rPr>
        <w:t>2</w:t>
      </w:r>
      <w:r>
        <w:rPr>
          <w:rFonts w:hint="eastAsia"/>
        </w:rPr>
        <w:t>岁时才能确定其艾滋病的状况；有一名儿童被确定为艾滋病毒阳性。</w:t>
      </w:r>
    </w:p>
    <w:p w:rsidR="00000000" w:rsidRDefault="00000000">
      <w:pPr>
        <w:rPr>
          <w:rFonts w:hint="eastAsia"/>
        </w:rPr>
      </w:pPr>
      <w:r>
        <w:rPr>
          <w:rFonts w:hint="eastAsia"/>
        </w:rPr>
        <w:tab/>
        <w:t>518.  1991</w:t>
      </w:r>
      <w:r>
        <w:rPr>
          <w:rFonts w:hint="eastAsia"/>
        </w:rPr>
        <w:t>年，政府批准了《全国艾滋病预防方案》</w:t>
      </w:r>
      <w:r>
        <w:rPr>
          <w:rStyle w:val="EndnoteReference"/>
        </w:rPr>
        <w:endnoteReference w:id="311"/>
      </w:r>
      <w:r>
        <w:rPr>
          <w:rFonts w:hint="eastAsia"/>
        </w:rPr>
        <w:t>，该方案也是为</w:t>
      </w:r>
      <w:r>
        <w:rPr>
          <w:rFonts w:hint="eastAsia"/>
        </w:rPr>
        <w:t>1993</w:t>
      </w:r>
      <w:r>
        <w:rPr>
          <w:rFonts w:hint="eastAsia"/>
        </w:rPr>
        <w:t>年至</w:t>
      </w:r>
      <w:r>
        <w:rPr>
          <w:rFonts w:hint="eastAsia"/>
        </w:rPr>
        <w:t>1997</w:t>
      </w:r>
      <w:r>
        <w:rPr>
          <w:rFonts w:hint="eastAsia"/>
        </w:rPr>
        <w:t>年编制的处理捷克共和国里艾滋病毒</w:t>
      </w:r>
      <w:r>
        <w:rPr>
          <w:rFonts w:hint="eastAsia"/>
        </w:rPr>
        <w:t>/</w:t>
      </w:r>
      <w:r>
        <w:rPr>
          <w:rFonts w:hint="eastAsia"/>
        </w:rPr>
        <w:t>艾滋病问题中期计划的依据。根据这一计划，除了其他事项以外，还可以在广泛的采样和化验点网络里安排保密的、免费的和易行的艾滋病毒化验，建立许多地方艾滋病帮助热线和一条全国热线并建立几个艾滋病咨询处。非国家非营利性组织参与该方案的比例已经提高，并特别是为青年人起动了启用当代人的保健教育方案</w:t>
      </w:r>
      <w:r>
        <w:rPr>
          <w:rFonts w:hint="eastAsia"/>
        </w:rPr>
        <w:t>(</w:t>
      </w:r>
      <w:r>
        <w:rPr>
          <w:rFonts w:hint="eastAsia"/>
        </w:rPr>
        <w:t>“同龄方案”</w:t>
      </w:r>
      <w:r>
        <w:rPr>
          <w:rFonts w:hint="eastAsia"/>
        </w:rPr>
        <w:t>)</w:t>
      </w:r>
      <w:r>
        <w:rPr>
          <w:rFonts w:hint="eastAsia"/>
        </w:rPr>
        <w:t>。预防性传染疾病和艾滋病问题已经切实纳入教育大纲。另外还与卫生、教育和体育部和非营利性非政府组织合作，展开了艾滋病毒</w:t>
      </w:r>
      <w:r>
        <w:rPr>
          <w:rFonts w:hint="eastAsia"/>
        </w:rPr>
        <w:t>/</w:t>
      </w:r>
      <w:r>
        <w:rPr>
          <w:rFonts w:hint="eastAsia"/>
        </w:rPr>
        <w:t>艾滋病方案和性教育问题教师大学前和研究生教育方案。</w:t>
      </w:r>
    </w:p>
    <w:p w:rsidR="00000000" w:rsidRDefault="00000000">
      <w:pPr>
        <w:rPr>
          <w:rFonts w:hint="eastAsia"/>
        </w:rPr>
      </w:pPr>
      <w:r>
        <w:rPr>
          <w:rFonts w:hint="eastAsia"/>
        </w:rPr>
        <w:tab/>
        <w:t xml:space="preserve">519.  </w:t>
      </w:r>
      <w:r>
        <w:rPr>
          <w:rFonts w:hint="eastAsia"/>
        </w:rPr>
        <w:t>目前，</w:t>
      </w:r>
      <w:r>
        <w:rPr>
          <w:rFonts w:hint="eastAsia"/>
        </w:rPr>
        <w:t>1998</w:t>
      </w:r>
      <w:r>
        <w:rPr>
          <w:rFonts w:hint="eastAsia"/>
        </w:rPr>
        <w:t>年至</w:t>
      </w:r>
      <w:r>
        <w:rPr>
          <w:rFonts w:hint="eastAsia"/>
        </w:rPr>
        <w:t>2002</w:t>
      </w:r>
      <w:r>
        <w:rPr>
          <w:rFonts w:hint="eastAsia"/>
        </w:rPr>
        <w:t>年捷克共和国预防艾滋病毒</w:t>
      </w:r>
      <w:r>
        <w:rPr>
          <w:rFonts w:hint="eastAsia"/>
        </w:rPr>
        <w:t>/</w:t>
      </w:r>
      <w:r>
        <w:rPr>
          <w:rFonts w:hint="eastAsia"/>
        </w:rPr>
        <w:t>艾滋病全国方案正在付诸实施。该方案的主要任务包括：</w:t>
      </w:r>
    </w:p>
    <w:p w:rsidR="00000000" w:rsidRDefault="00000000">
      <w:pPr>
        <w:pStyle w:val="a6"/>
        <w:tabs>
          <w:tab w:val="num" w:pos="1550"/>
        </w:tabs>
        <w:ind w:left="1550"/>
        <w:rPr>
          <w:rFonts w:hint="eastAsia"/>
        </w:rPr>
      </w:pPr>
      <w:r>
        <w:rPr>
          <w:rFonts w:hint="eastAsia"/>
        </w:rPr>
        <w:t>支持较安全性行为；</w:t>
      </w:r>
    </w:p>
    <w:p w:rsidR="00000000" w:rsidRDefault="00000000">
      <w:pPr>
        <w:pStyle w:val="a6"/>
        <w:tabs>
          <w:tab w:val="num" w:pos="1550"/>
        </w:tabs>
        <w:ind w:left="1550"/>
        <w:rPr>
          <w:rFonts w:hint="eastAsia"/>
        </w:rPr>
      </w:pPr>
      <w:r>
        <w:rPr>
          <w:rFonts w:hint="eastAsia"/>
        </w:rPr>
        <w:t>提供关于产前传染艾滋病毒的信息；</w:t>
      </w:r>
    </w:p>
    <w:p w:rsidR="00000000" w:rsidRDefault="00000000">
      <w:pPr>
        <w:pStyle w:val="a6"/>
        <w:tabs>
          <w:tab w:val="num" w:pos="1550"/>
        </w:tabs>
        <w:ind w:left="1550"/>
        <w:rPr>
          <w:rFonts w:hint="eastAsia"/>
        </w:rPr>
      </w:pPr>
      <w:r>
        <w:rPr>
          <w:rFonts w:hint="eastAsia"/>
        </w:rPr>
        <w:t>安排向艾滋病毒阳性妇女提供咨询；</w:t>
      </w:r>
    </w:p>
    <w:p w:rsidR="00000000" w:rsidRDefault="00000000">
      <w:pPr>
        <w:pStyle w:val="a6"/>
        <w:tabs>
          <w:tab w:val="num" w:pos="1550"/>
        </w:tabs>
        <w:ind w:left="1550"/>
        <w:rPr>
          <w:rFonts w:hint="eastAsia"/>
          <w:spacing w:val="0"/>
        </w:rPr>
      </w:pPr>
      <w:r>
        <w:rPr>
          <w:rFonts w:hint="eastAsia"/>
          <w:spacing w:val="0"/>
        </w:rPr>
        <w:t>向所有孕妇提供关于预防艾滋病毒的咨询，包括提供一次艾滋病毒化验；</w:t>
      </w:r>
    </w:p>
    <w:p w:rsidR="00000000" w:rsidRDefault="00000000">
      <w:pPr>
        <w:pStyle w:val="a6"/>
        <w:tabs>
          <w:tab w:val="num" w:pos="1550"/>
        </w:tabs>
        <w:ind w:left="1550"/>
        <w:rPr>
          <w:rFonts w:hint="eastAsia"/>
        </w:rPr>
      </w:pPr>
      <w:r>
        <w:rPr>
          <w:rFonts w:hint="eastAsia"/>
        </w:rPr>
        <w:t>发起一场以公众为对象的全国和区域性宣传运动，目的是通过利用专家文章、讨论、教育活动、电视和电台节目等，使人们更进一步了解安全性接触在艾滋病毒</w:t>
      </w:r>
      <w:r>
        <w:rPr>
          <w:rFonts w:hint="eastAsia"/>
        </w:rPr>
        <w:t>/</w:t>
      </w:r>
      <w:r>
        <w:rPr>
          <w:rFonts w:hint="eastAsia"/>
        </w:rPr>
        <w:t>艾滋病预防方面的重要性和改变性行为的重要性。</w:t>
      </w:r>
    </w:p>
    <w:p w:rsidR="00000000" w:rsidRDefault="00000000">
      <w:pPr>
        <w:spacing w:after="240"/>
        <w:rPr>
          <w:rFonts w:hint="eastAsia"/>
        </w:rPr>
      </w:pPr>
      <w:r>
        <w:rPr>
          <w:rFonts w:hint="eastAsia"/>
        </w:rPr>
        <w:tab/>
        <w:t xml:space="preserve">520.  </w:t>
      </w:r>
      <w:r>
        <w:rPr>
          <w:rFonts w:hint="eastAsia"/>
        </w:rPr>
        <w:t>保护儿童使之避免使用致瘾药物。《刑法》第</w:t>
      </w:r>
      <w:r>
        <w:rPr>
          <w:rFonts w:hint="eastAsia"/>
        </w:rPr>
        <w:t>218</w:t>
      </w:r>
      <w:r>
        <w:rPr>
          <w:rFonts w:hint="eastAsia"/>
        </w:rPr>
        <w:t>条规定，向</w:t>
      </w:r>
      <w:r>
        <w:rPr>
          <w:rFonts w:hint="eastAsia"/>
        </w:rPr>
        <w:t>18</w:t>
      </w:r>
      <w:r>
        <w:rPr>
          <w:rFonts w:hint="eastAsia"/>
        </w:rPr>
        <w:t>岁以下的人提供酒精饮料为犯罪行为。《戒除酗酒和其他毒素成瘾法》</w:t>
      </w:r>
      <w:r>
        <w:rPr>
          <w:rStyle w:val="EndnoteReference"/>
        </w:rPr>
        <w:endnoteReference w:id="312"/>
      </w:r>
      <w:r>
        <w:rPr>
          <w:rFonts w:hint="eastAsia"/>
        </w:rPr>
        <w:t xml:space="preserve"> </w:t>
      </w:r>
      <w:r>
        <w:rPr>
          <w:rFonts w:hint="eastAsia"/>
        </w:rPr>
        <w:t>第</w:t>
      </w:r>
      <w:r>
        <w:rPr>
          <w:rFonts w:hint="eastAsia"/>
        </w:rPr>
        <w:t>4</w:t>
      </w:r>
      <w:r>
        <w:rPr>
          <w:rFonts w:hint="eastAsia"/>
        </w:rPr>
        <w:t>条第</w:t>
      </w:r>
      <w:r>
        <w:rPr>
          <w:rFonts w:hint="eastAsia"/>
        </w:rPr>
        <w:t>1</w:t>
      </w:r>
      <w:r>
        <w:rPr>
          <w:rFonts w:hint="eastAsia"/>
        </w:rPr>
        <w:t>款禁止向</w:t>
      </w:r>
      <w:r>
        <w:rPr>
          <w:rFonts w:hint="eastAsia"/>
        </w:rPr>
        <w:t>18</w:t>
      </w:r>
      <w:r>
        <w:rPr>
          <w:rFonts w:hint="eastAsia"/>
        </w:rPr>
        <w:t>岁以下的人出售或提供酒精饮料或使他们有可能饮用这种饮料。该法令还禁止向</w:t>
      </w:r>
      <w:r>
        <w:rPr>
          <w:rFonts w:hint="eastAsia"/>
        </w:rPr>
        <w:t>16</w:t>
      </w:r>
      <w:r>
        <w:rPr>
          <w:rFonts w:hint="eastAsia"/>
        </w:rPr>
        <w:t>岁以下的人出售烟草制品。根据该法令第</w:t>
      </w:r>
      <w:r>
        <w:rPr>
          <w:rFonts w:hint="eastAsia"/>
        </w:rPr>
        <w:t>4</w:t>
      </w:r>
      <w:r>
        <w:rPr>
          <w:rFonts w:hint="eastAsia"/>
        </w:rPr>
        <w:t>条第</w:t>
      </w:r>
      <w:r>
        <w:rPr>
          <w:rFonts w:hint="eastAsia"/>
        </w:rPr>
        <w:t>3</w:t>
      </w:r>
      <w:r>
        <w:rPr>
          <w:rFonts w:hint="eastAsia"/>
        </w:rPr>
        <w:t>款，领土所属国家政府当局有权在其所属地区限制或禁止商店里向</w:t>
      </w:r>
      <w:r>
        <w:rPr>
          <w:rFonts w:hint="eastAsia"/>
        </w:rPr>
        <w:t>18</w:t>
      </w:r>
      <w:r>
        <w:rPr>
          <w:rFonts w:hint="eastAsia"/>
        </w:rPr>
        <w:t>岁以下者出售致瘾药物或含有这种药物的产品。该法令第</w:t>
      </w:r>
      <w:r>
        <w:rPr>
          <w:rFonts w:hint="eastAsia"/>
        </w:rPr>
        <w:t>5</w:t>
      </w:r>
      <w:r>
        <w:rPr>
          <w:rFonts w:hint="eastAsia"/>
        </w:rPr>
        <w:t>条规定，所有出售或提供酒精饮料者均应拒绝向可能被怀疑未达到年龄要求者出售这些饮料，除非后者用正式证件证明这一点。少年的法律代表也应确保所有这些禁令得到遵守。</w:t>
      </w:r>
    </w:p>
    <w:p w:rsidR="00000000" w:rsidRDefault="00000000">
      <w:pPr>
        <w:pStyle w:val="Heading4"/>
        <w:rPr>
          <w:rFonts w:hint="eastAsia"/>
        </w:rPr>
      </w:pPr>
      <w:r>
        <w:rPr>
          <w:rFonts w:hint="eastAsia"/>
        </w:rPr>
        <w:t>第</w:t>
      </w:r>
      <w:r>
        <w:rPr>
          <w:rFonts w:hint="eastAsia"/>
        </w:rPr>
        <w:t>2</w:t>
      </w:r>
      <w:r>
        <w:rPr>
          <w:rFonts w:hint="eastAsia"/>
        </w:rPr>
        <w:t>款</w:t>
      </w:r>
      <w:r>
        <w:t>(b)</w:t>
      </w:r>
      <w:r>
        <w:rPr>
          <w:rFonts w:hint="eastAsia"/>
        </w:rPr>
        <w:t>项</w:t>
      </w:r>
    </w:p>
    <w:p w:rsidR="00000000" w:rsidRDefault="00000000">
      <w:pPr>
        <w:rPr>
          <w:rFonts w:hint="eastAsia"/>
        </w:rPr>
      </w:pPr>
      <w:r>
        <w:rPr>
          <w:rFonts w:hint="eastAsia"/>
        </w:rPr>
        <w:tab/>
        <w:t xml:space="preserve">521.  </w:t>
      </w:r>
      <w:r>
        <w:rPr>
          <w:rFonts w:hint="eastAsia"/>
        </w:rPr>
        <w:t>生活条件主要包括环境状况，而界定环境的因素是对于个人生活至关紧要的那些环境构成部分的质量或清洁程度：空气和水、大自然和乡村。取得有利的环境的权利受到《宪章》第</w:t>
      </w:r>
      <w:r>
        <w:rPr>
          <w:rFonts w:hint="eastAsia"/>
        </w:rPr>
        <w:t>35</w:t>
      </w:r>
      <w:r>
        <w:rPr>
          <w:rFonts w:hint="eastAsia"/>
        </w:rPr>
        <w:t>条的保障：</w:t>
      </w:r>
    </w:p>
    <w:p w:rsidR="00000000" w:rsidRDefault="00000000">
      <w:pPr>
        <w:pStyle w:val="x0"/>
        <w:rPr>
          <w:rFonts w:hint="eastAsia"/>
        </w:rPr>
      </w:pPr>
      <w:r>
        <w:rPr>
          <w:rFonts w:hint="eastAsia"/>
        </w:rPr>
        <w:t>“</w:t>
      </w:r>
      <w:r>
        <w:t>(1)</w:t>
      </w:r>
      <w:r>
        <w:tab/>
      </w:r>
      <w:r>
        <w:rPr>
          <w:rFonts w:hint="eastAsia"/>
        </w:rPr>
        <w:t>人人有权享有一个有利的环境。</w:t>
      </w:r>
    </w:p>
    <w:p w:rsidR="00000000" w:rsidRDefault="00000000">
      <w:pPr>
        <w:pStyle w:val="x0"/>
        <w:rPr>
          <w:rFonts w:hint="eastAsia"/>
        </w:rPr>
      </w:pPr>
      <w:r>
        <w:rPr>
          <w:rFonts w:hint="eastAsia"/>
        </w:rPr>
        <w:t>“</w:t>
      </w:r>
      <w:r>
        <w:rPr>
          <w:rFonts w:hint="eastAsia"/>
        </w:rPr>
        <w:t>(2)</w:t>
      </w:r>
      <w:r>
        <w:rPr>
          <w:rFonts w:hint="eastAsia"/>
        </w:rPr>
        <w:tab/>
      </w:r>
      <w:r>
        <w:rPr>
          <w:rFonts w:hint="eastAsia"/>
        </w:rPr>
        <w:t>人人有权取得关于环境和自然资源的状况的及时和完整的资料。</w:t>
      </w:r>
    </w:p>
    <w:p w:rsidR="00000000" w:rsidRDefault="00000000">
      <w:pPr>
        <w:pStyle w:val="x0"/>
        <w:rPr>
          <w:rFonts w:hint="eastAsia"/>
        </w:rPr>
      </w:pPr>
      <w:r>
        <w:rPr>
          <w:rFonts w:hint="eastAsia"/>
        </w:rPr>
        <w:t>“</w:t>
      </w:r>
      <w:r>
        <w:rPr>
          <w:rFonts w:hint="eastAsia"/>
        </w:rPr>
        <w:t>(3)</w:t>
      </w:r>
      <w:r>
        <w:rPr>
          <w:rFonts w:hint="eastAsia"/>
        </w:rPr>
        <w:tab/>
      </w:r>
      <w:r>
        <w:rPr>
          <w:rFonts w:hint="eastAsia"/>
        </w:rPr>
        <w:t>在行使其权利时，任何人不得超越法律规定的限度，危及或损害环境、自然资源、自然物种资源或文物。”</w:t>
      </w:r>
    </w:p>
    <w:p w:rsidR="00000000" w:rsidRDefault="00000000">
      <w:pPr>
        <w:rPr>
          <w:rFonts w:hint="eastAsia"/>
        </w:rPr>
      </w:pPr>
      <w:r>
        <w:rPr>
          <w:rFonts w:hint="eastAsia"/>
        </w:rPr>
        <w:tab/>
        <w:t xml:space="preserve">522.  </w:t>
      </w:r>
      <w:r>
        <w:rPr>
          <w:rFonts w:hint="eastAsia"/>
        </w:rPr>
        <w:t>取得环境信息的权利由同名的法令作了详细规定</w:t>
      </w:r>
      <w:r>
        <w:rPr>
          <w:rFonts w:hint="eastAsia"/>
        </w:rPr>
        <w:t xml:space="preserve"> </w:t>
      </w:r>
      <w:r>
        <w:rPr>
          <w:rStyle w:val="EndnoteReference"/>
        </w:rPr>
        <w:endnoteReference w:id="313"/>
      </w:r>
      <w:r>
        <w:rPr>
          <w:rFonts w:hint="eastAsia"/>
        </w:rPr>
        <w:t>，该法令还责成环境部和教育、青年和体育部在保护环境的信息、教育和培训方面予以合作。因此这两个部于</w:t>
      </w:r>
      <w:r>
        <w:rPr>
          <w:rFonts w:hint="eastAsia"/>
        </w:rPr>
        <w:t>1999</w:t>
      </w:r>
      <w:r>
        <w:rPr>
          <w:rFonts w:hint="eastAsia"/>
        </w:rPr>
        <w:t>年</w:t>
      </w:r>
      <w:r>
        <w:rPr>
          <w:rFonts w:hint="eastAsia"/>
        </w:rPr>
        <w:t>12</w:t>
      </w:r>
      <w:r>
        <w:rPr>
          <w:rFonts w:hint="eastAsia"/>
        </w:rPr>
        <w:t>月缔结了一项关于这一方面管辖权分工的双边协议</w:t>
      </w:r>
      <w:r>
        <w:rPr>
          <w:rFonts w:hint="eastAsia"/>
        </w:rPr>
        <w:t xml:space="preserve"> </w:t>
      </w:r>
      <w:r>
        <w:rPr>
          <w:rStyle w:val="EndnoteReference"/>
        </w:rPr>
        <w:endnoteReference w:id="314"/>
      </w:r>
      <w:r>
        <w:rPr>
          <w:rFonts w:hint="eastAsia"/>
        </w:rPr>
        <w:t>。环境部协调捷克共和国环境信息、教育和培训国家方案的拟定工作，并将在</w:t>
      </w:r>
      <w:r>
        <w:rPr>
          <w:rFonts w:hint="eastAsia"/>
        </w:rPr>
        <w:t>2000</w:t>
      </w:r>
      <w:r>
        <w:rPr>
          <w:rFonts w:hint="eastAsia"/>
        </w:rPr>
        <w:t>年底之前提交政府。该文件将与国家环境政策</w:t>
      </w:r>
      <w:r>
        <w:rPr>
          <w:rFonts w:hint="eastAsia"/>
        </w:rPr>
        <w:t xml:space="preserve"> </w:t>
      </w:r>
      <w:r>
        <w:rPr>
          <w:rStyle w:val="EndnoteReference"/>
        </w:rPr>
        <w:endnoteReference w:id="315"/>
      </w:r>
      <w:r>
        <w:rPr>
          <w:rFonts w:hint="eastAsia"/>
        </w:rPr>
        <w:t xml:space="preserve"> </w:t>
      </w:r>
      <w:r>
        <w:rPr>
          <w:rFonts w:hint="eastAsia"/>
        </w:rPr>
        <w:t>和关于环境问题的信息、教育和通报的联合部委大纲联系起来，并有一个重要的附录，题为“关于在欧洲联盟各国和某些其他国家里确保环境信息、教育和培训的概览”</w:t>
      </w:r>
      <w:r>
        <w:rPr>
          <w:rStyle w:val="EndnoteReference"/>
        </w:rPr>
        <w:endnoteReference w:id="316"/>
      </w:r>
      <w:r>
        <w:rPr>
          <w:rFonts w:hint="eastAsia"/>
        </w:rPr>
        <w:t>。</w:t>
      </w:r>
    </w:p>
    <w:p w:rsidR="00000000" w:rsidRDefault="00000000">
      <w:pPr>
        <w:spacing w:after="320"/>
        <w:rPr>
          <w:rFonts w:hint="eastAsia"/>
        </w:rPr>
      </w:pPr>
      <w:r>
        <w:rPr>
          <w:rFonts w:hint="eastAsia"/>
        </w:rPr>
        <w:tab/>
        <w:t xml:space="preserve">523.  </w:t>
      </w:r>
      <w:r>
        <w:rPr>
          <w:rFonts w:hint="eastAsia"/>
        </w:rPr>
        <w:t>水保护受到《水法》</w:t>
      </w:r>
      <w:r>
        <w:rPr>
          <w:rStyle w:val="EndnoteReference"/>
        </w:rPr>
        <w:endnoteReference w:id="317"/>
      </w:r>
      <w:r>
        <w:t xml:space="preserve"> </w:t>
      </w:r>
      <w:r>
        <w:rPr>
          <w:rFonts w:hint="eastAsia"/>
        </w:rPr>
        <w:t>的保障。这特别是指该法令第三部分“水保护”，该部分规定对自然蓄水用水地区、水资源保护区和饮用水道及其河床进行地域保护。这一部分还规定了地面水和地下水的质量和向居民提供饮用水的问题。一部新的《水法》目前正在拟定，其草案将在</w:t>
      </w:r>
      <w:r>
        <w:rPr>
          <w:rFonts w:hint="eastAsia"/>
        </w:rPr>
        <w:t>2000</w:t>
      </w:r>
      <w:r>
        <w:rPr>
          <w:rFonts w:hint="eastAsia"/>
        </w:rPr>
        <w:t>年第一季度提交政府。</w:t>
      </w:r>
      <w:r>
        <w:rPr>
          <w:rFonts w:hint="eastAsia"/>
        </w:rPr>
        <w:t>1999</w:t>
      </w:r>
      <w:r>
        <w:rPr>
          <w:rFonts w:hint="eastAsia"/>
        </w:rPr>
        <w:t>年，为了执行《水法》，政府通过了一项新的第</w:t>
      </w:r>
      <w:r>
        <w:rPr>
          <w:rFonts w:hint="eastAsia"/>
        </w:rPr>
        <w:t>82/1999</w:t>
      </w:r>
      <w:r>
        <w:rPr>
          <w:rFonts w:hint="eastAsia"/>
        </w:rPr>
        <w:t>号法令，规定了水污染允许水平的指数和数值。</w:t>
      </w:r>
    </w:p>
    <w:p w:rsidR="00000000" w:rsidRDefault="00000000">
      <w:pPr>
        <w:pStyle w:val="Heading3"/>
        <w:rPr>
          <w:rFonts w:hint="eastAsia"/>
        </w:rPr>
      </w:pPr>
      <w:r>
        <w:rPr>
          <w:rFonts w:hint="eastAsia"/>
        </w:rPr>
        <w:t>公共供水系统和公共下水道系统</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709"/>
        <w:gridCol w:w="850"/>
        <w:gridCol w:w="851"/>
        <w:gridCol w:w="708"/>
        <w:gridCol w:w="709"/>
        <w:gridCol w:w="709"/>
        <w:gridCol w:w="4"/>
      </w:tblGrid>
      <w:tr w:rsidR="00000000">
        <w:tblPrEx>
          <w:tblCellMar>
            <w:top w:w="0" w:type="dxa"/>
            <w:bottom w:w="0" w:type="dxa"/>
          </w:tblCellMar>
        </w:tblPrEx>
        <w:trPr>
          <w:gridAfter w:val="1"/>
        </w:trPr>
        <w:tc>
          <w:tcPr>
            <w:tcW w:w="4820" w:type="dxa"/>
          </w:tcPr>
          <w:p w:rsidR="00000000" w:rsidRDefault="00000000">
            <w:pPr>
              <w:pStyle w:val="aa"/>
              <w:spacing w:before="120" w:line="288" w:lineRule="auto"/>
            </w:pPr>
          </w:p>
        </w:tc>
        <w:tc>
          <w:tcPr>
            <w:tcW w:w="709" w:type="dxa"/>
          </w:tcPr>
          <w:p w:rsidR="00000000" w:rsidRDefault="00000000">
            <w:pPr>
              <w:pStyle w:val="aa"/>
              <w:spacing w:before="120" w:line="288" w:lineRule="auto"/>
              <w:jc w:val="center"/>
              <w:rPr>
                <w:b/>
                <w:bCs/>
              </w:rPr>
            </w:pPr>
            <w:r>
              <w:rPr>
                <w:b/>
                <w:bCs/>
              </w:rPr>
              <w:t>1990</w:t>
            </w:r>
          </w:p>
        </w:tc>
        <w:tc>
          <w:tcPr>
            <w:tcW w:w="850" w:type="dxa"/>
          </w:tcPr>
          <w:p w:rsidR="00000000" w:rsidRDefault="00000000">
            <w:pPr>
              <w:pStyle w:val="aa"/>
              <w:spacing w:before="120" w:line="288" w:lineRule="auto"/>
              <w:jc w:val="center"/>
              <w:rPr>
                <w:b/>
                <w:bCs/>
              </w:rPr>
            </w:pPr>
            <w:r>
              <w:rPr>
                <w:b/>
                <w:bCs/>
              </w:rPr>
              <w:t>1994</w:t>
            </w:r>
          </w:p>
        </w:tc>
        <w:tc>
          <w:tcPr>
            <w:tcW w:w="851" w:type="dxa"/>
          </w:tcPr>
          <w:p w:rsidR="00000000" w:rsidRDefault="00000000">
            <w:pPr>
              <w:pStyle w:val="aa"/>
              <w:spacing w:before="120" w:line="288" w:lineRule="auto"/>
              <w:jc w:val="center"/>
              <w:rPr>
                <w:b/>
                <w:bCs/>
              </w:rPr>
            </w:pPr>
            <w:r>
              <w:rPr>
                <w:b/>
                <w:bCs/>
              </w:rPr>
              <w:t>1995</w:t>
            </w:r>
          </w:p>
        </w:tc>
        <w:tc>
          <w:tcPr>
            <w:tcW w:w="708" w:type="dxa"/>
          </w:tcPr>
          <w:p w:rsidR="00000000" w:rsidRDefault="00000000">
            <w:pPr>
              <w:pStyle w:val="aa"/>
              <w:spacing w:before="120" w:line="288" w:lineRule="auto"/>
              <w:jc w:val="center"/>
              <w:rPr>
                <w:b/>
                <w:bCs/>
              </w:rPr>
            </w:pPr>
            <w:r>
              <w:rPr>
                <w:b/>
                <w:bCs/>
              </w:rPr>
              <w:t>1996</w:t>
            </w:r>
          </w:p>
        </w:tc>
        <w:tc>
          <w:tcPr>
            <w:tcW w:w="709" w:type="dxa"/>
          </w:tcPr>
          <w:p w:rsidR="00000000" w:rsidRDefault="00000000">
            <w:pPr>
              <w:pStyle w:val="aa"/>
              <w:spacing w:before="120" w:line="288" w:lineRule="auto"/>
              <w:jc w:val="center"/>
              <w:rPr>
                <w:b/>
                <w:bCs/>
              </w:rPr>
            </w:pPr>
            <w:r>
              <w:rPr>
                <w:b/>
                <w:bCs/>
              </w:rPr>
              <w:t>1997</w:t>
            </w:r>
          </w:p>
        </w:tc>
        <w:tc>
          <w:tcPr>
            <w:tcW w:w="709" w:type="dxa"/>
          </w:tcPr>
          <w:p w:rsidR="00000000" w:rsidRDefault="00000000">
            <w:pPr>
              <w:pStyle w:val="aa"/>
              <w:spacing w:before="120" w:line="288" w:lineRule="auto"/>
              <w:jc w:val="center"/>
              <w:rPr>
                <w:b/>
                <w:bCs/>
              </w:rPr>
            </w:pPr>
            <w:r>
              <w:rPr>
                <w:b/>
                <w:bCs/>
              </w:rPr>
              <w:t>1998</w:t>
            </w:r>
          </w:p>
        </w:tc>
      </w:tr>
      <w:tr w:rsidR="00000000">
        <w:tblPrEx>
          <w:tblCellMar>
            <w:top w:w="0" w:type="dxa"/>
            <w:bottom w:w="0" w:type="dxa"/>
          </w:tblCellMar>
        </w:tblPrEx>
        <w:tc>
          <w:tcPr>
            <w:tcW w:w="4820" w:type="dxa"/>
          </w:tcPr>
          <w:p w:rsidR="00000000" w:rsidRDefault="00000000">
            <w:pPr>
              <w:pStyle w:val="aa"/>
              <w:spacing w:before="120" w:line="288" w:lineRule="auto"/>
              <w:rPr>
                <w:rFonts w:hint="eastAsia"/>
              </w:rPr>
            </w:pPr>
            <w:r>
              <w:rPr>
                <w:rFonts w:hint="eastAsia"/>
              </w:rPr>
              <w:t>从公共供水系统取得饮水的人口百分比</w:t>
            </w:r>
          </w:p>
        </w:tc>
        <w:tc>
          <w:tcPr>
            <w:tcW w:w="709" w:type="dxa"/>
          </w:tcPr>
          <w:p w:rsidR="00000000" w:rsidRDefault="00000000">
            <w:pPr>
              <w:pStyle w:val="aa"/>
              <w:spacing w:before="120" w:line="288" w:lineRule="auto"/>
              <w:jc w:val="center"/>
            </w:pPr>
            <w:r>
              <w:t>83.2</w:t>
            </w:r>
          </w:p>
        </w:tc>
        <w:tc>
          <w:tcPr>
            <w:tcW w:w="850" w:type="dxa"/>
          </w:tcPr>
          <w:p w:rsidR="00000000" w:rsidRDefault="00000000">
            <w:pPr>
              <w:pStyle w:val="aa"/>
              <w:spacing w:before="120" w:line="288" w:lineRule="auto"/>
              <w:jc w:val="center"/>
            </w:pPr>
            <w:r>
              <w:t>85.5</w:t>
            </w:r>
          </w:p>
        </w:tc>
        <w:tc>
          <w:tcPr>
            <w:tcW w:w="851" w:type="dxa"/>
          </w:tcPr>
          <w:p w:rsidR="00000000" w:rsidRDefault="00000000">
            <w:pPr>
              <w:pStyle w:val="aa"/>
              <w:spacing w:before="120" w:line="288" w:lineRule="auto"/>
              <w:jc w:val="center"/>
            </w:pPr>
            <w:r>
              <w:t>85.8</w:t>
            </w:r>
          </w:p>
        </w:tc>
        <w:tc>
          <w:tcPr>
            <w:tcW w:w="708" w:type="dxa"/>
          </w:tcPr>
          <w:p w:rsidR="00000000" w:rsidRDefault="00000000">
            <w:pPr>
              <w:pStyle w:val="aa"/>
              <w:spacing w:before="120" w:line="288" w:lineRule="auto"/>
              <w:jc w:val="center"/>
            </w:pPr>
            <w:r>
              <w:t>86.0</w:t>
            </w:r>
          </w:p>
        </w:tc>
        <w:tc>
          <w:tcPr>
            <w:tcW w:w="709" w:type="dxa"/>
          </w:tcPr>
          <w:p w:rsidR="00000000" w:rsidRDefault="00000000">
            <w:pPr>
              <w:pStyle w:val="aa"/>
              <w:spacing w:before="120" w:line="288" w:lineRule="auto"/>
              <w:jc w:val="center"/>
            </w:pPr>
            <w:r>
              <w:t>86.0</w:t>
            </w:r>
          </w:p>
        </w:tc>
        <w:tc>
          <w:tcPr>
            <w:tcW w:w="713" w:type="dxa"/>
            <w:gridSpan w:val="2"/>
          </w:tcPr>
          <w:p w:rsidR="00000000" w:rsidRDefault="00000000">
            <w:pPr>
              <w:pStyle w:val="aa"/>
              <w:spacing w:before="120" w:line="288" w:lineRule="auto"/>
              <w:jc w:val="center"/>
            </w:pPr>
            <w:r>
              <w:t>86.2</w:t>
            </w:r>
          </w:p>
        </w:tc>
      </w:tr>
      <w:tr w:rsidR="00000000">
        <w:tblPrEx>
          <w:tblCellMar>
            <w:top w:w="0" w:type="dxa"/>
            <w:bottom w:w="0" w:type="dxa"/>
          </w:tblCellMar>
        </w:tblPrEx>
        <w:tc>
          <w:tcPr>
            <w:tcW w:w="4820" w:type="dxa"/>
          </w:tcPr>
          <w:p w:rsidR="00000000" w:rsidRDefault="00000000">
            <w:pPr>
              <w:pStyle w:val="aa"/>
              <w:spacing w:before="120" w:line="288" w:lineRule="auto"/>
              <w:rPr>
                <w:rFonts w:hint="eastAsia"/>
              </w:rPr>
            </w:pPr>
            <w:r>
              <w:rPr>
                <w:rFonts w:hint="eastAsia"/>
              </w:rPr>
              <w:t>接通公共下水道系统的建筑物里的居民的百分比</w:t>
            </w:r>
          </w:p>
        </w:tc>
        <w:tc>
          <w:tcPr>
            <w:tcW w:w="709" w:type="dxa"/>
          </w:tcPr>
          <w:p w:rsidR="00000000" w:rsidRDefault="00000000">
            <w:pPr>
              <w:pStyle w:val="aa"/>
              <w:spacing w:before="120" w:line="288" w:lineRule="auto"/>
              <w:jc w:val="center"/>
            </w:pPr>
            <w:r>
              <w:t>72.6</w:t>
            </w:r>
          </w:p>
        </w:tc>
        <w:tc>
          <w:tcPr>
            <w:tcW w:w="850" w:type="dxa"/>
          </w:tcPr>
          <w:p w:rsidR="00000000" w:rsidRDefault="00000000">
            <w:pPr>
              <w:pStyle w:val="aa"/>
              <w:spacing w:before="120" w:line="288" w:lineRule="auto"/>
              <w:jc w:val="center"/>
            </w:pPr>
            <w:r>
              <w:t>73.0</w:t>
            </w:r>
          </w:p>
        </w:tc>
        <w:tc>
          <w:tcPr>
            <w:tcW w:w="851" w:type="dxa"/>
          </w:tcPr>
          <w:p w:rsidR="00000000" w:rsidRDefault="00000000">
            <w:pPr>
              <w:pStyle w:val="aa"/>
              <w:spacing w:before="120" w:line="288" w:lineRule="auto"/>
              <w:jc w:val="center"/>
            </w:pPr>
            <w:r>
              <w:t>73.2</w:t>
            </w:r>
          </w:p>
        </w:tc>
        <w:tc>
          <w:tcPr>
            <w:tcW w:w="708" w:type="dxa"/>
          </w:tcPr>
          <w:p w:rsidR="00000000" w:rsidRDefault="00000000">
            <w:pPr>
              <w:pStyle w:val="aa"/>
              <w:spacing w:before="120" w:line="288" w:lineRule="auto"/>
              <w:jc w:val="center"/>
            </w:pPr>
            <w:r>
              <w:t>73.3</w:t>
            </w:r>
          </w:p>
        </w:tc>
        <w:tc>
          <w:tcPr>
            <w:tcW w:w="709" w:type="dxa"/>
          </w:tcPr>
          <w:p w:rsidR="00000000" w:rsidRDefault="00000000">
            <w:pPr>
              <w:pStyle w:val="aa"/>
              <w:spacing w:before="120" w:line="288" w:lineRule="auto"/>
              <w:jc w:val="center"/>
            </w:pPr>
            <w:r>
              <w:t>73.5</w:t>
            </w:r>
          </w:p>
        </w:tc>
        <w:tc>
          <w:tcPr>
            <w:tcW w:w="713" w:type="dxa"/>
            <w:gridSpan w:val="2"/>
          </w:tcPr>
          <w:p w:rsidR="00000000" w:rsidRDefault="00000000">
            <w:pPr>
              <w:pStyle w:val="aa"/>
              <w:spacing w:before="120" w:line="288" w:lineRule="auto"/>
              <w:jc w:val="center"/>
            </w:pPr>
            <w:r>
              <w:t>74.4</w:t>
            </w:r>
          </w:p>
        </w:tc>
      </w:tr>
      <w:tr w:rsidR="00000000">
        <w:tblPrEx>
          <w:tblCellMar>
            <w:top w:w="0" w:type="dxa"/>
            <w:bottom w:w="0" w:type="dxa"/>
          </w:tblCellMar>
        </w:tblPrEx>
        <w:tc>
          <w:tcPr>
            <w:tcW w:w="4820" w:type="dxa"/>
          </w:tcPr>
          <w:p w:rsidR="00000000" w:rsidRDefault="00000000">
            <w:pPr>
              <w:pStyle w:val="aa"/>
              <w:spacing w:before="120" w:line="288" w:lineRule="auto"/>
              <w:rPr>
                <w:rFonts w:hint="eastAsia"/>
              </w:rPr>
            </w:pPr>
            <w:r>
              <w:rPr>
                <w:rFonts w:hint="eastAsia"/>
              </w:rPr>
              <w:t>废水处理百分比</w:t>
            </w:r>
          </w:p>
        </w:tc>
        <w:tc>
          <w:tcPr>
            <w:tcW w:w="709" w:type="dxa"/>
          </w:tcPr>
          <w:p w:rsidR="00000000" w:rsidRDefault="00000000">
            <w:pPr>
              <w:pStyle w:val="aa"/>
              <w:spacing w:before="120" w:line="288" w:lineRule="auto"/>
              <w:jc w:val="center"/>
            </w:pPr>
            <w:r>
              <w:t>72.6</w:t>
            </w:r>
          </w:p>
        </w:tc>
        <w:tc>
          <w:tcPr>
            <w:tcW w:w="850" w:type="dxa"/>
          </w:tcPr>
          <w:p w:rsidR="00000000" w:rsidRDefault="00000000">
            <w:pPr>
              <w:pStyle w:val="aa"/>
              <w:spacing w:before="120" w:line="288" w:lineRule="auto"/>
              <w:jc w:val="center"/>
            </w:pPr>
            <w:r>
              <w:t>82.2</w:t>
            </w:r>
          </w:p>
        </w:tc>
        <w:tc>
          <w:tcPr>
            <w:tcW w:w="851" w:type="dxa"/>
          </w:tcPr>
          <w:p w:rsidR="00000000" w:rsidRDefault="00000000">
            <w:pPr>
              <w:pStyle w:val="aa"/>
              <w:spacing w:before="120" w:line="288" w:lineRule="auto"/>
              <w:jc w:val="center"/>
            </w:pPr>
            <w:r>
              <w:t>89.5</w:t>
            </w:r>
          </w:p>
        </w:tc>
        <w:tc>
          <w:tcPr>
            <w:tcW w:w="708" w:type="dxa"/>
          </w:tcPr>
          <w:p w:rsidR="00000000" w:rsidRDefault="00000000">
            <w:pPr>
              <w:pStyle w:val="aa"/>
              <w:spacing w:before="120" w:line="288" w:lineRule="auto"/>
              <w:jc w:val="center"/>
            </w:pPr>
            <w:r>
              <w:t>90.3</w:t>
            </w:r>
          </w:p>
        </w:tc>
        <w:tc>
          <w:tcPr>
            <w:tcW w:w="709" w:type="dxa"/>
          </w:tcPr>
          <w:p w:rsidR="00000000" w:rsidRDefault="00000000">
            <w:pPr>
              <w:pStyle w:val="aa"/>
              <w:spacing w:before="120" w:line="288" w:lineRule="auto"/>
              <w:jc w:val="center"/>
            </w:pPr>
            <w:r>
              <w:t>90.9</w:t>
            </w:r>
          </w:p>
        </w:tc>
        <w:tc>
          <w:tcPr>
            <w:tcW w:w="713" w:type="dxa"/>
            <w:gridSpan w:val="2"/>
          </w:tcPr>
          <w:p w:rsidR="00000000" w:rsidRDefault="00000000">
            <w:pPr>
              <w:pStyle w:val="aa"/>
              <w:spacing w:before="120" w:line="288" w:lineRule="auto"/>
              <w:jc w:val="center"/>
            </w:pPr>
            <w:r>
              <w:t>91.3</w:t>
            </w:r>
          </w:p>
        </w:tc>
      </w:tr>
    </w:tbl>
    <w:p w:rsidR="00000000" w:rsidRDefault="00000000">
      <w:pPr>
        <w:pStyle w:val="aa"/>
        <w:spacing w:before="160" w:after="320"/>
        <w:rPr>
          <w:rFonts w:eastAsia="KaiTi_GB2312" w:hint="eastAsia"/>
          <w:snapToGrid/>
          <w:sz w:val="22"/>
        </w:rPr>
      </w:pPr>
      <w:r>
        <w:rPr>
          <w:rFonts w:eastAsia="KaiTi_GB2312" w:hint="eastAsia"/>
          <w:snapToGrid/>
          <w:sz w:val="22"/>
          <w:u w:val="single"/>
        </w:rPr>
        <w:t>资料来源</w:t>
      </w:r>
      <w:r>
        <w:rPr>
          <w:rFonts w:eastAsia="KaiTi_GB2312" w:hint="eastAsia"/>
          <w:snapToGrid/>
          <w:sz w:val="22"/>
        </w:rPr>
        <w:t>：《</w:t>
      </w:r>
      <w:r>
        <w:rPr>
          <w:rFonts w:eastAsia="KaiTi_GB2312" w:hint="eastAsia"/>
          <w:snapToGrid/>
          <w:sz w:val="22"/>
        </w:rPr>
        <w:t>1999</w:t>
      </w:r>
      <w:r>
        <w:rPr>
          <w:rFonts w:eastAsia="KaiTi_GB2312" w:hint="eastAsia"/>
          <w:snapToGrid/>
          <w:sz w:val="22"/>
        </w:rPr>
        <w:t>年捷克共和国统计年鉴》。</w:t>
      </w:r>
    </w:p>
    <w:p w:rsidR="00000000" w:rsidRDefault="00000000">
      <w:pPr>
        <w:rPr>
          <w:rFonts w:hint="eastAsia"/>
          <w:snapToGrid/>
        </w:rPr>
      </w:pPr>
      <w:r>
        <w:rPr>
          <w:rFonts w:hint="eastAsia"/>
          <w:snapToGrid/>
        </w:rPr>
        <w:tab/>
        <w:t xml:space="preserve">524.  </w:t>
      </w:r>
      <w:r>
        <w:rPr>
          <w:rFonts w:hint="eastAsia"/>
          <w:snapToGrid/>
        </w:rPr>
        <w:t>空气保护主要受到《空气法》</w:t>
      </w:r>
      <w:r>
        <w:rPr>
          <w:rStyle w:val="EndnoteReference"/>
          <w:snapToGrid/>
        </w:rPr>
        <w:endnoteReference w:id="318"/>
      </w:r>
      <w:r>
        <w:rPr>
          <w:rFonts w:hint="eastAsia"/>
          <w:snapToGrid/>
        </w:rPr>
        <w:t xml:space="preserve"> </w:t>
      </w:r>
      <w:r>
        <w:rPr>
          <w:rFonts w:hint="eastAsia"/>
        </w:rPr>
        <w:t>和《地球臭氧层保护法》</w:t>
      </w:r>
      <w:r>
        <w:rPr>
          <w:rStyle w:val="EndnoteReference"/>
          <w:snapToGrid/>
        </w:rPr>
        <w:endnoteReference w:id="319"/>
      </w:r>
      <w:r>
        <w:rPr>
          <w:rFonts w:hint="eastAsia"/>
        </w:rPr>
        <w:t xml:space="preserve"> </w:t>
      </w:r>
      <w:r>
        <w:rPr>
          <w:rFonts w:hint="eastAsia"/>
          <w:snapToGrid/>
        </w:rPr>
        <w:t>的保障。在保护居民使之免受过分污染空气之害方面，特别重要的规定是，《空气法》第</w:t>
      </w:r>
      <w:r>
        <w:rPr>
          <w:rFonts w:hint="eastAsia"/>
          <w:snapToGrid/>
        </w:rPr>
        <w:t>14</w:t>
      </w:r>
      <w:r>
        <w:rPr>
          <w:rFonts w:hint="eastAsia"/>
          <w:snapToGrid/>
        </w:rPr>
        <w:t>条通过排入、排放和沉积限度限定了允许的污染水平，《空气法》第</w:t>
      </w:r>
      <w:r>
        <w:rPr>
          <w:rFonts w:hint="eastAsia"/>
          <w:snapToGrid/>
        </w:rPr>
        <w:t>15</w:t>
      </w:r>
      <w:r>
        <w:rPr>
          <w:rFonts w:hint="eastAsia"/>
          <w:snapToGrid/>
        </w:rPr>
        <w:t>条通过需要特别保护空气的方面规定对空气予以特别保护，《空气法》第</w:t>
      </w:r>
      <w:r>
        <w:rPr>
          <w:rFonts w:hint="eastAsia"/>
          <w:snapToGrid/>
        </w:rPr>
        <w:t>16</w:t>
      </w:r>
      <w:r>
        <w:rPr>
          <w:rFonts w:hint="eastAsia"/>
          <w:snapToGrid/>
        </w:rPr>
        <w:t>条规定了解决烟雾状况的措施。该法令的这些规定通过下列规章加以执行：</w:t>
      </w:r>
    </w:p>
    <w:p w:rsidR="00000000" w:rsidRDefault="00000000">
      <w:pPr>
        <w:pStyle w:val="a6"/>
        <w:ind w:left="1550"/>
        <w:rPr>
          <w:rFonts w:hint="eastAsia"/>
          <w:snapToGrid/>
          <w:spacing w:val="14"/>
        </w:rPr>
      </w:pPr>
      <w:r>
        <w:rPr>
          <w:rFonts w:hint="eastAsia"/>
          <w:snapToGrid/>
          <w:spacing w:val="14"/>
        </w:rPr>
        <w:t>环境部的法令，该法令界定了需要特别保护空气的方面并确定了创建和运作烟雾控制系统烟雾控制系统的原则和空气保护的某些其他措施</w:t>
      </w:r>
      <w:r>
        <w:rPr>
          <w:rFonts w:hint="eastAsia"/>
          <w:snapToGrid/>
          <w:spacing w:val="14"/>
        </w:rPr>
        <w:t xml:space="preserve"> </w:t>
      </w:r>
      <w:r>
        <w:rPr>
          <w:rStyle w:val="EndnoteReference"/>
          <w:snapToGrid/>
          <w:spacing w:val="14"/>
        </w:rPr>
        <w:endnoteReference w:id="320"/>
      </w:r>
      <w:r>
        <w:rPr>
          <w:rFonts w:hint="eastAsia"/>
          <w:snapToGrid/>
          <w:spacing w:val="14"/>
        </w:rPr>
        <w:t>；</w:t>
      </w:r>
    </w:p>
    <w:p w:rsidR="00000000" w:rsidRDefault="00000000">
      <w:pPr>
        <w:pStyle w:val="a6"/>
        <w:ind w:left="1550"/>
        <w:rPr>
          <w:rFonts w:hint="eastAsia"/>
          <w:snapToGrid/>
        </w:rPr>
      </w:pPr>
      <w:r>
        <w:rPr>
          <w:rFonts w:hint="eastAsia"/>
          <w:snapToGrid/>
        </w:rPr>
        <w:t>联邦环境委员会关于保护空气使之免除污染物质的法令的措施</w:t>
      </w:r>
      <w:r>
        <w:rPr>
          <w:rFonts w:hint="eastAsia"/>
          <w:snapToGrid/>
        </w:rPr>
        <w:t xml:space="preserve"> </w:t>
      </w:r>
      <w:r>
        <w:rPr>
          <w:rStyle w:val="EndnoteReference"/>
          <w:snapToGrid/>
        </w:rPr>
        <w:endnoteReference w:id="321"/>
      </w:r>
      <w:r>
        <w:rPr>
          <w:rFonts w:hint="eastAsia"/>
          <w:snapToGrid/>
        </w:rPr>
        <w:t>。</w:t>
      </w:r>
    </w:p>
    <w:p w:rsidR="00000000" w:rsidRDefault="00000000">
      <w:pPr>
        <w:rPr>
          <w:rFonts w:hint="eastAsia"/>
          <w:snapToGrid/>
        </w:rPr>
      </w:pPr>
      <w:r>
        <w:rPr>
          <w:rFonts w:hint="eastAsia"/>
          <w:snapToGrid/>
        </w:rPr>
        <w:tab/>
        <w:t xml:space="preserve">525.  </w:t>
      </w:r>
      <w:r>
        <w:rPr>
          <w:rFonts w:hint="eastAsia"/>
          <w:snapToGrid/>
        </w:rPr>
        <w:t>环境部正在拟定一部新的空气和地球臭氧层保护法。它将在</w:t>
      </w:r>
      <w:r>
        <w:rPr>
          <w:rFonts w:hint="eastAsia"/>
          <w:snapToGrid/>
        </w:rPr>
        <w:t>2000</w:t>
      </w:r>
      <w:r>
        <w:rPr>
          <w:rFonts w:hint="eastAsia"/>
          <w:snapToGrid/>
        </w:rPr>
        <w:t>年第一季度将实质性大纲草案提交政府。该法案将在</w:t>
      </w:r>
      <w:r>
        <w:rPr>
          <w:rFonts w:hint="eastAsia"/>
          <w:snapToGrid/>
        </w:rPr>
        <w:t>2001</w:t>
      </w:r>
      <w:r>
        <w:rPr>
          <w:rFonts w:hint="eastAsia"/>
          <w:snapToGrid/>
        </w:rPr>
        <w:t>年下半年提交政府并生效。</w:t>
      </w:r>
    </w:p>
    <w:p w:rsidR="00000000" w:rsidRDefault="00000000">
      <w:pPr>
        <w:rPr>
          <w:rFonts w:hint="eastAsia"/>
          <w:snapToGrid/>
        </w:rPr>
      </w:pPr>
      <w:r>
        <w:rPr>
          <w:rFonts w:hint="eastAsia"/>
          <w:snapToGrid/>
        </w:rPr>
        <w:tab/>
        <w:t xml:space="preserve">526.  </w:t>
      </w:r>
      <w:r>
        <w:rPr>
          <w:rFonts w:hint="eastAsia"/>
          <w:snapToGrid/>
        </w:rPr>
        <w:t>已经拟定的将符合欧洲共同体法律的《综合防止和限制污染法》也将是空气保护的一个重要手段。连同已经拟定的《空气和地球臭氧层保护法》，该法令将重新解决大型工业公司的空气污染问题。环境部将于</w:t>
      </w:r>
      <w:r>
        <w:rPr>
          <w:rFonts w:hint="eastAsia"/>
          <w:snapToGrid/>
        </w:rPr>
        <w:t>2000</w:t>
      </w:r>
      <w:r>
        <w:rPr>
          <w:rFonts w:hint="eastAsia"/>
          <w:snapToGrid/>
        </w:rPr>
        <w:t>年第二季度向政府提交实质性大纲草案。</w:t>
      </w:r>
    </w:p>
    <w:p w:rsidR="00000000" w:rsidRDefault="00000000">
      <w:pPr>
        <w:rPr>
          <w:rFonts w:hint="eastAsia"/>
          <w:snapToGrid/>
        </w:rPr>
      </w:pPr>
      <w:r>
        <w:rPr>
          <w:rFonts w:hint="eastAsia"/>
          <w:snapToGrid/>
        </w:rPr>
        <w:tab/>
        <w:t xml:space="preserve">527.  </w:t>
      </w:r>
      <w:r>
        <w:rPr>
          <w:rFonts w:hint="eastAsia"/>
          <w:snapToGrid/>
        </w:rPr>
        <w:t>保护自然和乡村，即保护野生动物和野生植物的基因库以及作为整个自然整体的乡村中的生态平衡，这一点受到《自然和乡村保护法》及其执行法令的确保</w:t>
      </w:r>
      <w:r>
        <w:rPr>
          <w:rFonts w:hint="eastAsia"/>
          <w:snapToGrid/>
        </w:rPr>
        <w:t xml:space="preserve"> </w:t>
      </w:r>
      <w:r>
        <w:rPr>
          <w:rStyle w:val="EndnoteReference"/>
          <w:snapToGrid/>
        </w:rPr>
        <w:endnoteReference w:id="322"/>
      </w:r>
      <w:r>
        <w:rPr>
          <w:rFonts w:hint="eastAsia"/>
          <w:snapToGrid/>
        </w:rPr>
        <w:t>。捷克共和国正在评估这些法律规章是否符合欧洲联盟的法律，环境部正在拟定这些法令的有关修正案，而捷克共和国国家自然和乡村保护方案也提出了修正案。</w:t>
      </w:r>
      <w:r>
        <w:rPr>
          <w:rStyle w:val="EndnoteReference"/>
          <w:snapToGrid/>
        </w:rPr>
        <w:endnoteReference w:id="323"/>
      </w:r>
    </w:p>
    <w:p w:rsidR="00000000" w:rsidRDefault="00000000">
      <w:pPr>
        <w:rPr>
          <w:rFonts w:hint="eastAsia"/>
          <w:snapToGrid/>
        </w:rPr>
      </w:pPr>
      <w:r>
        <w:rPr>
          <w:rFonts w:hint="eastAsia"/>
          <w:snapToGrid/>
        </w:rPr>
        <w:tab/>
        <w:t xml:space="preserve">528.  </w:t>
      </w:r>
      <w:r>
        <w:rPr>
          <w:rFonts w:hint="eastAsia"/>
          <w:snapToGrid/>
        </w:rPr>
        <w:t>“捷克共和国的运输政策”这一文件</w:t>
      </w:r>
      <w:r>
        <w:rPr>
          <w:rFonts w:hint="eastAsia"/>
          <w:snapToGrid/>
        </w:rPr>
        <w:t xml:space="preserve"> </w:t>
      </w:r>
      <w:r>
        <w:rPr>
          <w:rStyle w:val="EndnoteReference"/>
          <w:snapToGrid/>
        </w:rPr>
        <w:endnoteReference w:id="324"/>
      </w:r>
      <w:r>
        <w:rPr>
          <w:rFonts w:hint="eastAsia"/>
          <w:snapToGrid/>
        </w:rPr>
        <w:t xml:space="preserve"> </w:t>
      </w:r>
      <w:r>
        <w:rPr>
          <w:rFonts w:hint="eastAsia"/>
          <w:snapToGrid/>
        </w:rPr>
        <w:t>规定首要目标是稳定并逐步减少交通运输对环境的不利影响。这项目标将导致进一步保护人口和生态系统，最大限度地减少使用自然资源和矿物燃料，并满足人民对安全和更大流动性的需要。发展有利于环境的运输系统也将得到支持</w:t>
      </w:r>
      <w:r>
        <w:rPr>
          <w:rFonts w:hint="eastAsia"/>
          <w:snapToGrid/>
        </w:rPr>
        <w:t>(</w:t>
      </w:r>
      <w:r>
        <w:rPr>
          <w:rFonts w:hint="eastAsia"/>
          <w:snapToGrid/>
        </w:rPr>
        <w:t>即降低能源消耗，限制产生污染空气的排放和噪音水平，同时减少所需用地并降低水和土壤污染的危险</w:t>
      </w:r>
      <w:r>
        <w:rPr>
          <w:rFonts w:hint="eastAsia"/>
          <w:snapToGrid/>
        </w:rPr>
        <w:t>)</w:t>
      </w:r>
      <w:r>
        <w:rPr>
          <w:rFonts w:hint="eastAsia"/>
          <w:snapToGrid/>
        </w:rPr>
        <w:t>。这意味着支持公共和综合的运输、大规模综合货运、有利于环境的运输系统、汽车现代化、严格排放标准，发展运输基础设施</w:t>
      </w:r>
      <w:r>
        <w:rPr>
          <w:rFonts w:hint="eastAsia"/>
          <w:snapToGrid/>
          <w:spacing w:val="-50"/>
        </w:rPr>
        <w:t>―</w:t>
      </w:r>
      <w:r>
        <w:rPr>
          <w:rFonts w:hint="eastAsia"/>
          <w:snapToGrid/>
        </w:rPr>
        <w:t>―特别是城镇附近的旁路</w:t>
      </w:r>
      <w:r>
        <w:rPr>
          <w:rFonts w:hint="eastAsia"/>
          <w:snapToGrid/>
          <w:spacing w:val="-50"/>
        </w:rPr>
        <w:t>―</w:t>
      </w:r>
      <w:r>
        <w:rPr>
          <w:rFonts w:hint="eastAsia"/>
          <w:snapToGrid/>
        </w:rPr>
        <w:t>―提高燃料质量等。</w:t>
      </w:r>
    </w:p>
    <w:p w:rsidR="00000000" w:rsidRDefault="00000000">
      <w:pPr>
        <w:rPr>
          <w:rFonts w:hint="eastAsia"/>
          <w:snapToGrid/>
        </w:rPr>
      </w:pPr>
      <w:r>
        <w:rPr>
          <w:rFonts w:hint="eastAsia"/>
          <w:snapToGrid/>
        </w:rPr>
        <w:tab/>
        <w:t xml:space="preserve">529.  </w:t>
      </w:r>
      <w:r>
        <w:rPr>
          <w:rFonts w:hint="eastAsia"/>
          <w:snapToGrid/>
        </w:rPr>
        <w:t>拟定一部《转基因生物体和产品待遇法》对于保护人体健康也很重要，因为该法令可以对捷克法律系统尚未解决的一个问题作出规定。环境部长于</w:t>
      </w:r>
      <w:r>
        <w:rPr>
          <w:rFonts w:hint="eastAsia"/>
          <w:snapToGrid/>
        </w:rPr>
        <w:t>1999</w:t>
      </w:r>
      <w:r>
        <w:rPr>
          <w:rFonts w:hint="eastAsia"/>
          <w:snapToGrid/>
        </w:rPr>
        <w:t>年</w:t>
      </w:r>
      <w:r>
        <w:rPr>
          <w:rFonts w:hint="eastAsia"/>
          <w:snapToGrid/>
        </w:rPr>
        <w:t>11</w:t>
      </w:r>
      <w:r>
        <w:rPr>
          <w:rFonts w:hint="eastAsia"/>
          <w:snapToGrid/>
        </w:rPr>
        <w:t>月向捷克共和国政府提出了一份草案。</w:t>
      </w:r>
    </w:p>
    <w:p w:rsidR="00000000" w:rsidRDefault="00000000">
      <w:pPr>
        <w:rPr>
          <w:rFonts w:hint="eastAsia"/>
          <w:snapToGrid/>
        </w:rPr>
      </w:pPr>
      <w:r>
        <w:rPr>
          <w:rFonts w:hint="eastAsia"/>
          <w:snapToGrid/>
        </w:rPr>
        <w:tab/>
        <w:t xml:space="preserve">530.  </w:t>
      </w:r>
      <w:r>
        <w:rPr>
          <w:rFonts w:hint="eastAsia"/>
          <w:snapToGrid/>
        </w:rPr>
        <w:t>影响到环境质量的重要因素是特别是大型工业设施中处理废料的方法。限制废料的产生和废料处理方法在《废料法》</w:t>
      </w:r>
      <w:r>
        <w:rPr>
          <w:rStyle w:val="EndnoteReference"/>
          <w:snapToGrid/>
        </w:rPr>
        <w:endnoteReference w:id="325"/>
      </w:r>
      <w:r>
        <w:rPr>
          <w:rFonts w:hint="eastAsia"/>
          <w:snapToGrid/>
        </w:rPr>
        <w:t xml:space="preserve"> </w:t>
      </w:r>
      <w:r>
        <w:rPr>
          <w:rFonts w:hint="eastAsia"/>
          <w:snapToGrid/>
        </w:rPr>
        <w:t>中加以规定。该法令还述及危险废料问题，现在还涉及到包装问题和包装产生的废料问题。该法令第</w:t>
      </w:r>
      <w:r>
        <w:rPr>
          <w:rFonts w:hint="eastAsia"/>
          <w:snapToGrid/>
        </w:rPr>
        <w:t>3</w:t>
      </w:r>
      <w:r>
        <w:rPr>
          <w:rFonts w:hint="eastAsia"/>
          <w:snapToGrid/>
        </w:rPr>
        <w:t>条规定的所有人的基本义务包括防止产生废料并限制废料数量和危险性。该法令规定了废料处理规则</w:t>
      </w:r>
      <w:r>
        <w:rPr>
          <w:rFonts w:hint="eastAsia"/>
          <w:snapToGrid/>
        </w:rPr>
        <w:t>(</w:t>
      </w:r>
      <w:r>
        <w:rPr>
          <w:rFonts w:hint="eastAsia"/>
          <w:snapToGrid/>
        </w:rPr>
        <w:t>加以利用、使之无害、处理、储存、运输、挑拣等</w:t>
      </w:r>
      <w:r>
        <w:rPr>
          <w:rFonts w:hint="eastAsia"/>
          <w:snapToGrid/>
        </w:rPr>
        <w:t>)</w:t>
      </w:r>
      <w:r>
        <w:rPr>
          <w:rFonts w:hint="eastAsia"/>
          <w:snapToGrid/>
        </w:rPr>
        <w:t>。</w:t>
      </w:r>
      <w:r>
        <w:rPr>
          <w:rFonts w:hint="eastAsia"/>
          <w:snapToGrid/>
        </w:rPr>
        <w:t>1999</w:t>
      </w:r>
      <w:r>
        <w:rPr>
          <w:rFonts w:hint="eastAsia"/>
          <w:snapToGrid/>
        </w:rPr>
        <w:t>年，政府对于该法令签发了一项执行法规，提出了一份应加以回收的产品和包装的清单，并规定了处理包装、包装材料和用过的产品和包装产生的废料的详细方法</w:t>
      </w:r>
      <w:r>
        <w:rPr>
          <w:rFonts w:hint="eastAsia"/>
          <w:snapToGrid/>
        </w:rPr>
        <w:t xml:space="preserve"> </w:t>
      </w:r>
      <w:r>
        <w:rPr>
          <w:rStyle w:val="EndnoteReference"/>
          <w:snapToGrid/>
        </w:rPr>
        <w:endnoteReference w:id="326"/>
      </w:r>
      <w:r>
        <w:rPr>
          <w:rFonts w:hint="eastAsia"/>
          <w:snapToGrid/>
        </w:rPr>
        <w:t>。强制生产商履行挑拣所产生废料的义务仍然很成问题。</w:t>
      </w:r>
    </w:p>
    <w:p w:rsidR="00000000" w:rsidRDefault="00000000">
      <w:pPr>
        <w:rPr>
          <w:rFonts w:hint="eastAsia"/>
          <w:snapToGrid/>
        </w:rPr>
      </w:pPr>
      <w:r>
        <w:rPr>
          <w:rFonts w:hint="eastAsia"/>
          <w:snapToGrid/>
        </w:rPr>
        <w:tab/>
        <w:t xml:space="preserve">531.  </w:t>
      </w:r>
      <w:r>
        <w:rPr>
          <w:rFonts w:hint="eastAsia"/>
          <w:snapToGrid/>
        </w:rPr>
        <w:t>环境部正在拟定一部新的《废料法》，将于</w:t>
      </w:r>
      <w:r>
        <w:rPr>
          <w:rFonts w:hint="eastAsia"/>
          <w:snapToGrid/>
        </w:rPr>
        <w:t>2001</w:t>
      </w:r>
      <w:r>
        <w:rPr>
          <w:rFonts w:hint="eastAsia"/>
          <w:snapToGrid/>
        </w:rPr>
        <w:t>年第二季度在立法工作计划项下提交政府。它还将拟定一部《包装和包装废料法》，将于</w:t>
      </w:r>
      <w:r>
        <w:rPr>
          <w:rFonts w:hint="eastAsia"/>
          <w:snapToGrid/>
        </w:rPr>
        <w:t>2001</w:t>
      </w:r>
      <w:r>
        <w:rPr>
          <w:rFonts w:hint="eastAsia"/>
          <w:snapToGrid/>
        </w:rPr>
        <w:t>年提交政府。这两部法令预计将从</w:t>
      </w:r>
      <w:r>
        <w:rPr>
          <w:rFonts w:hint="eastAsia"/>
          <w:snapToGrid/>
        </w:rPr>
        <w:t>2002</w:t>
      </w:r>
      <w:r>
        <w:rPr>
          <w:rFonts w:hint="eastAsia"/>
          <w:snapToGrid/>
        </w:rPr>
        <w:t>年开始生效。</w:t>
      </w:r>
    </w:p>
    <w:p w:rsidR="00000000" w:rsidRDefault="00000000">
      <w:pPr>
        <w:rPr>
          <w:rFonts w:hint="eastAsia"/>
          <w:snapToGrid/>
        </w:rPr>
      </w:pPr>
      <w:r>
        <w:rPr>
          <w:rFonts w:hint="eastAsia"/>
          <w:snapToGrid/>
        </w:rPr>
        <w:tab/>
        <w:t xml:space="preserve">532.  </w:t>
      </w:r>
      <w:r>
        <w:rPr>
          <w:rFonts w:hint="eastAsia"/>
          <w:snapToGrid/>
        </w:rPr>
        <w:t>在限制某些活动</w:t>
      </w:r>
      <w:r>
        <w:rPr>
          <w:rFonts w:hint="eastAsia"/>
          <w:snapToGrid/>
        </w:rPr>
        <w:t>(</w:t>
      </w:r>
      <w:r>
        <w:rPr>
          <w:rFonts w:hint="eastAsia"/>
          <w:snapToGrid/>
        </w:rPr>
        <w:t>大型工业设施等</w:t>
      </w:r>
      <w:r>
        <w:rPr>
          <w:rFonts w:hint="eastAsia"/>
          <w:snapToGrid/>
        </w:rPr>
        <w:t>)</w:t>
      </w:r>
      <w:r>
        <w:rPr>
          <w:rFonts w:hint="eastAsia"/>
          <w:snapToGrid/>
        </w:rPr>
        <w:t>对环境的不利影响方面，《环境影响评估法》</w:t>
      </w:r>
      <w:r>
        <w:rPr>
          <w:rStyle w:val="EndnoteReference"/>
          <w:snapToGrid/>
        </w:rPr>
        <w:endnoteReference w:id="327"/>
      </w:r>
      <w:r>
        <w:rPr>
          <w:rFonts w:hint="eastAsia"/>
          <w:snapToGrid/>
        </w:rPr>
        <w:t xml:space="preserve"> </w:t>
      </w:r>
      <w:r>
        <w:rPr>
          <w:rFonts w:hint="eastAsia"/>
          <w:snapToGrid/>
        </w:rPr>
        <w:t>十分重要。新的《环境影响评估法》是环境部长于</w:t>
      </w:r>
      <w:r>
        <w:rPr>
          <w:rFonts w:hint="eastAsia"/>
          <w:snapToGrid/>
        </w:rPr>
        <w:t>1999</w:t>
      </w:r>
      <w:r>
        <w:rPr>
          <w:rFonts w:hint="eastAsia"/>
          <w:snapToGrid/>
        </w:rPr>
        <w:t>年底提交政府讨论的，很可能将于</w:t>
      </w:r>
      <w:r>
        <w:rPr>
          <w:rFonts w:hint="eastAsia"/>
          <w:snapToGrid/>
        </w:rPr>
        <w:t>2001</w:t>
      </w:r>
      <w:r>
        <w:rPr>
          <w:rFonts w:hint="eastAsia"/>
          <w:snapToGrid/>
        </w:rPr>
        <w:t>年中期生效。这部法令应该完全符合欧洲共同体的法律以及捷克共和国准备于</w:t>
      </w:r>
      <w:r>
        <w:rPr>
          <w:rFonts w:hint="eastAsia"/>
          <w:snapToGrid/>
        </w:rPr>
        <w:t>2000</w:t>
      </w:r>
      <w:r>
        <w:rPr>
          <w:rFonts w:hint="eastAsia"/>
          <w:snapToGrid/>
        </w:rPr>
        <w:t>年批准的《在环境问题上获得信息、公共参与决策和诉诸法律的公约》</w:t>
      </w:r>
      <w:r>
        <w:rPr>
          <w:rFonts w:hint="eastAsia"/>
          <w:snapToGrid/>
        </w:rPr>
        <w:t>(</w:t>
      </w:r>
      <w:r>
        <w:rPr>
          <w:rFonts w:hint="eastAsia"/>
          <w:snapToGrid/>
        </w:rPr>
        <w:t>称为《奥尔胡斯公约</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533.  </w:t>
      </w:r>
      <w:r>
        <w:rPr>
          <w:rFonts w:hint="eastAsia"/>
          <w:snapToGrid/>
        </w:rPr>
        <w:t>在对环境产生的影响方面，无疑必须监测特定项目</w:t>
      </w:r>
      <w:r>
        <w:rPr>
          <w:rFonts w:hint="eastAsia"/>
          <w:snapToGrid/>
        </w:rPr>
        <w:t>(</w:t>
      </w:r>
      <w:r>
        <w:rPr>
          <w:rFonts w:hint="eastAsia"/>
          <w:snapToGrid/>
        </w:rPr>
        <w:t>例如大型工业设施</w:t>
      </w:r>
      <w:r>
        <w:rPr>
          <w:rFonts w:hint="eastAsia"/>
          <w:snapToGrid/>
        </w:rPr>
        <w:t>)</w:t>
      </w:r>
      <w:r>
        <w:rPr>
          <w:rFonts w:hint="eastAsia"/>
          <w:snapToGrid/>
        </w:rPr>
        <w:t>对环境产生的实际效应，新的法令草案中预见到这一点。环境部还正在拟定一部《综合防止和限制污染法》，其目的是限制制造业活动产生的污染，这对于检查各种制造业</w:t>
      </w:r>
      <w:r>
        <w:rPr>
          <w:rFonts w:hint="eastAsia"/>
          <w:snapToGrid/>
        </w:rPr>
        <w:t>(</w:t>
      </w:r>
      <w:r>
        <w:rPr>
          <w:rFonts w:hint="eastAsia"/>
          <w:snapToGrid/>
        </w:rPr>
        <w:t>工业和农业</w:t>
      </w:r>
      <w:r>
        <w:rPr>
          <w:rFonts w:hint="eastAsia"/>
          <w:snapToGrid/>
        </w:rPr>
        <w:t>)</w:t>
      </w:r>
      <w:r>
        <w:rPr>
          <w:rFonts w:hint="eastAsia"/>
          <w:snapToGrid/>
        </w:rPr>
        <w:t>的活动十分重要。应该基本上根据现有最佳技术和遵守已规定排放限制的情况发放定期经营许可证。</w:t>
      </w:r>
    </w:p>
    <w:p w:rsidR="00000000" w:rsidRDefault="00000000">
      <w:pPr>
        <w:rPr>
          <w:rFonts w:hint="eastAsia"/>
          <w:snapToGrid/>
        </w:rPr>
      </w:pPr>
      <w:r>
        <w:rPr>
          <w:rFonts w:hint="eastAsia"/>
          <w:snapToGrid/>
        </w:rPr>
        <w:tab/>
        <w:t xml:space="preserve">534.  </w:t>
      </w:r>
      <w:r>
        <w:rPr>
          <w:rFonts w:hint="eastAsia"/>
          <w:snapToGrid/>
        </w:rPr>
        <w:t>有关乡村的所有次级系统也受到采矿的严重影响。目前正在通过根据《采矿法》</w:t>
      </w:r>
      <w:r>
        <w:rPr>
          <w:rStyle w:val="EndnoteReference"/>
          <w:snapToGrid/>
        </w:rPr>
        <w:endnoteReference w:id="328"/>
      </w:r>
      <w:r>
        <w:rPr>
          <w:rFonts w:hint="eastAsia"/>
          <w:snapToGrid/>
        </w:rPr>
        <w:t xml:space="preserve"> </w:t>
      </w:r>
      <w:r>
        <w:rPr>
          <w:rFonts w:hint="eastAsia"/>
          <w:snapToGrid/>
        </w:rPr>
        <w:t>和清除与重新开垦方案安排采矿业来克服这些不利的影响。因此，采矿活动破坏的土地正在返回并融入乡村。</w:t>
      </w:r>
    </w:p>
    <w:p w:rsidR="00000000" w:rsidRDefault="00000000">
      <w:pPr>
        <w:rPr>
          <w:rFonts w:hint="eastAsia"/>
          <w:snapToGrid/>
        </w:rPr>
      </w:pPr>
      <w:r>
        <w:rPr>
          <w:rFonts w:hint="eastAsia"/>
          <w:snapToGrid/>
        </w:rPr>
        <w:tab/>
        <w:t xml:space="preserve">535.  </w:t>
      </w:r>
      <w:r>
        <w:rPr>
          <w:rFonts w:hint="eastAsia"/>
          <w:snapToGrid/>
        </w:rPr>
        <w:t>因此正在系统地转变被采矿破坏的整个领土，重新开垦为新的田地、果园、树林和公园、新的水道和水库和娱乐场所。除了采矿公司的自身资金</w:t>
      </w:r>
      <w:r>
        <w:rPr>
          <w:rFonts w:hint="eastAsia"/>
          <w:snapToGrid/>
        </w:rPr>
        <w:t>(</w:t>
      </w:r>
      <w:r>
        <w:rPr>
          <w:rFonts w:hint="eastAsia"/>
          <w:snapToGrid/>
        </w:rPr>
        <w:t>用于根据法律进行清除和重新开垦</w:t>
      </w:r>
      <w:r>
        <w:rPr>
          <w:rFonts w:hint="eastAsia"/>
          <w:snapToGrid/>
        </w:rPr>
        <w:t>)</w:t>
      </w:r>
      <w:r>
        <w:rPr>
          <w:rFonts w:hint="eastAsia"/>
          <w:snapToGrid/>
        </w:rPr>
        <w:t>，国家参与这种在技术上和财政上要求很高而且旷日持久的活动，从国家预算中提供减少投资补贴。从</w:t>
      </w:r>
      <w:r>
        <w:rPr>
          <w:rFonts w:hint="eastAsia"/>
          <w:snapToGrid/>
        </w:rPr>
        <w:t>1994</w:t>
      </w:r>
      <w:r>
        <w:rPr>
          <w:rFonts w:hint="eastAsia"/>
          <w:snapToGrid/>
        </w:rPr>
        <w:t>年到</w:t>
      </w:r>
      <w:r>
        <w:rPr>
          <w:rFonts w:hint="eastAsia"/>
          <w:snapToGrid/>
        </w:rPr>
        <w:t>1996</w:t>
      </w:r>
      <w:r>
        <w:rPr>
          <w:rFonts w:hint="eastAsia"/>
          <w:snapToGrid/>
        </w:rPr>
        <w:t>年，国家从预算中提供</w:t>
      </w:r>
      <w:r>
        <w:rPr>
          <w:rFonts w:hint="eastAsia"/>
          <w:snapToGrid/>
        </w:rPr>
        <w:t>25.85</w:t>
      </w:r>
      <w:r>
        <w:rPr>
          <w:rFonts w:hint="eastAsia"/>
          <w:snapToGrid/>
        </w:rPr>
        <w:t>亿捷克克朗，用于清除陈旧的采矿设施；与此同时，采矿公司在清除和重新开垦方面耗资</w:t>
      </w:r>
      <w:r>
        <w:rPr>
          <w:rFonts w:hint="eastAsia"/>
          <w:snapToGrid/>
        </w:rPr>
        <w:t>15.60</w:t>
      </w:r>
      <w:r>
        <w:rPr>
          <w:rFonts w:hint="eastAsia"/>
          <w:snapToGrid/>
        </w:rPr>
        <w:t>亿捷克克朗。</w:t>
      </w:r>
    </w:p>
    <w:p w:rsidR="00000000" w:rsidRDefault="00000000">
      <w:pPr>
        <w:rPr>
          <w:rFonts w:hint="eastAsia"/>
          <w:snapToGrid/>
        </w:rPr>
      </w:pPr>
      <w:r>
        <w:rPr>
          <w:rFonts w:hint="eastAsia"/>
          <w:snapToGrid/>
        </w:rPr>
        <w:tab/>
        <w:t xml:space="preserve">536.  </w:t>
      </w:r>
      <w:r>
        <w:rPr>
          <w:rFonts w:hint="eastAsia"/>
          <w:snapToGrid/>
        </w:rPr>
        <w:t>在准备加入欧洲联盟的过程中，捷克共和国必须大刀阔斧地修改环境方面的现有法律规章，并使现有保护系统符合联盟的要求。用于这些变革的投资估计为</w:t>
      </w:r>
      <w:r>
        <w:rPr>
          <w:rFonts w:hint="eastAsia"/>
          <w:snapToGrid/>
        </w:rPr>
        <w:t>2,500</w:t>
      </w:r>
      <w:r>
        <w:rPr>
          <w:rFonts w:hint="eastAsia"/>
          <w:snapToGrid/>
        </w:rPr>
        <w:t>亿捷克克朗。由于这些原因，捷克共和国很可能要求包括在预计于</w:t>
      </w:r>
      <w:r>
        <w:rPr>
          <w:rFonts w:hint="eastAsia"/>
          <w:snapToGrid/>
        </w:rPr>
        <w:t>2003</w:t>
      </w:r>
      <w:r>
        <w:rPr>
          <w:rFonts w:hint="eastAsia"/>
          <w:snapToGrid/>
        </w:rPr>
        <w:t>年被接收为成员以后，推迟履行欧洲联盟成员国在保护水、处理废料、工业污染和保护自然方面的义务。</w:t>
      </w:r>
      <w:r>
        <w:rPr>
          <w:rStyle w:val="EndnoteReference"/>
          <w:snapToGrid/>
        </w:rPr>
        <w:endnoteReference w:id="329"/>
      </w:r>
    </w:p>
    <w:p w:rsidR="00000000" w:rsidRDefault="00000000">
      <w:pPr>
        <w:rPr>
          <w:rFonts w:hint="eastAsia"/>
          <w:snapToGrid/>
        </w:rPr>
      </w:pPr>
      <w:r>
        <w:rPr>
          <w:rFonts w:hint="eastAsia"/>
          <w:snapToGrid/>
        </w:rPr>
        <w:tab/>
        <w:t xml:space="preserve">537.  </w:t>
      </w:r>
      <w:r>
        <w:rPr>
          <w:rFonts w:hint="eastAsia"/>
          <w:snapToGrid/>
        </w:rPr>
        <w:t>欧洲委员会认为，未能通过新的《废料法》、《水保护法》和《建筑对环境的影响评估法》，这是一种严重的缺陷。环境部仍然在拟定前两项法律</w:t>
      </w:r>
      <w:r>
        <w:rPr>
          <w:rFonts w:hint="eastAsia"/>
          <w:snapToGrid/>
        </w:rPr>
        <w:t>(</w:t>
      </w:r>
      <w:r>
        <w:rPr>
          <w:rFonts w:hint="eastAsia"/>
          <w:snapToGrid/>
        </w:rPr>
        <w:t>它应该于</w:t>
      </w:r>
      <w:r>
        <w:rPr>
          <w:rFonts w:hint="eastAsia"/>
          <w:snapToGrid/>
        </w:rPr>
        <w:t>2002</w:t>
      </w:r>
      <w:r>
        <w:rPr>
          <w:rFonts w:hint="eastAsia"/>
          <w:snapToGrid/>
        </w:rPr>
        <w:t>年将它们提交政府</w:t>
      </w:r>
      <w:r>
        <w:rPr>
          <w:rFonts w:hint="eastAsia"/>
          <w:snapToGrid/>
        </w:rPr>
        <w:t>)</w:t>
      </w:r>
      <w:r>
        <w:rPr>
          <w:rFonts w:hint="eastAsia"/>
          <w:snapToGrid/>
        </w:rPr>
        <w:t>；《建筑对环境的影响评估法》草案正在由议会众议院讨论，应该于</w:t>
      </w:r>
      <w:r>
        <w:rPr>
          <w:rFonts w:hint="eastAsia"/>
          <w:snapToGrid/>
        </w:rPr>
        <w:t>2000</w:t>
      </w:r>
      <w:r>
        <w:rPr>
          <w:rFonts w:hint="eastAsia"/>
          <w:snapToGrid/>
        </w:rPr>
        <w:t>年下半年生效。</w:t>
      </w:r>
    </w:p>
    <w:p w:rsidR="00000000" w:rsidRDefault="00000000">
      <w:pPr>
        <w:rPr>
          <w:rFonts w:hint="eastAsia"/>
          <w:snapToGrid/>
        </w:rPr>
      </w:pPr>
      <w:r>
        <w:rPr>
          <w:rFonts w:hint="eastAsia"/>
          <w:snapToGrid/>
        </w:rPr>
        <w:tab/>
      </w:r>
      <w:r>
        <w:rPr>
          <w:rFonts w:hint="eastAsia"/>
          <w:snapToGrid/>
        </w:rPr>
        <w:t>因此关于推迟履行欧盟成员国义务的请求将涉及到以下事实：</w:t>
      </w:r>
    </w:p>
    <w:p w:rsidR="00000000" w:rsidRDefault="00000000">
      <w:pPr>
        <w:pStyle w:val="a6"/>
        <w:tabs>
          <w:tab w:val="num" w:pos="1550"/>
        </w:tabs>
        <w:ind w:left="1550"/>
        <w:rPr>
          <w:rFonts w:hint="eastAsia"/>
        </w:rPr>
      </w:pPr>
      <w:r>
        <w:rPr>
          <w:rFonts w:hint="eastAsia"/>
        </w:rPr>
        <w:t>并非所有</w:t>
      </w:r>
      <w:r>
        <w:rPr>
          <w:rFonts w:hint="eastAsia"/>
        </w:rPr>
        <w:t>2,000</w:t>
      </w:r>
      <w:r>
        <w:rPr>
          <w:rFonts w:hint="eastAsia"/>
        </w:rPr>
        <w:t>名居民以上的城镇都将有废水清除设施；</w:t>
      </w:r>
    </w:p>
    <w:p w:rsidR="00000000" w:rsidRDefault="00000000">
      <w:pPr>
        <w:pStyle w:val="a6"/>
        <w:tabs>
          <w:tab w:val="num" w:pos="1550"/>
        </w:tabs>
        <w:ind w:left="1550"/>
        <w:rPr>
          <w:rFonts w:hint="eastAsia"/>
        </w:rPr>
      </w:pPr>
      <w:r>
        <w:rPr>
          <w:rFonts w:hint="eastAsia"/>
        </w:rPr>
        <w:t>国家将无法收回足够的废水；</w:t>
      </w:r>
    </w:p>
    <w:p w:rsidR="00000000" w:rsidRDefault="00000000">
      <w:pPr>
        <w:pStyle w:val="a6"/>
        <w:tabs>
          <w:tab w:val="num" w:pos="1550"/>
        </w:tabs>
        <w:ind w:left="1550"/>
        <w:rPr>
          <w:rFonts w:hint="eastAsia"/>
        </w:rPr>
      </w:pPr>
      <w:r>
        <w:rPr>
          <w:rFonts w:hint="eastAsia"/>
        </w:rPr>
        <w:t>从农业地区流出的水将含有太多的硝酸盐；</w:t>
      </w:r>
    </w:p>
    <w:p w:rsidR="00000000" w:rsidRDefault="00000000">
      <w:pPr>
        <w:pStyle w:val="a6"/>
        <w:tabs>
          <w:tab w:val="num" w:pos="1550"/>
        </w:tabs>
        <w:ind w:left="1550"/>
        <w:rPr>
          <w:rFonts w:hint="eastAsia"/>
        </w:rPr>
      </w:pPr>
      <w:r>
        <w:rPr>
          <w:rFonts w:hint="eastAsia"/>
        </w:rPr>
        <w:t>国家将没有时间按照欧盟标准重新登记欧洲受保护领土网；</w:t>
      </w:r>
    </w:p>
    <w:p w:rsidR="00000000" w:rsidRDefault="00000000">
      <w:pPr>
        <w:pStyle w:val="a6"/>
        <w:tabs>
          <w:tab w:val="num" w:pos="1550"/>
        </w:tabs>
        <w:ind w:left="1550"/>
        <w:rPr>
          <w:rFonts w:hint="eastAsia"/>
        </w:rPr>
      </w:pPr>
      <w:r>
        <w:rPr>
          <w:rFonts w:hint="eastAsia"/>
        </w:rPr>
        <w:t>各公司将达不到利用最能够保护环境的现有技术的要求；</w:t>
      </w:r>
    </w:p>
    <w:p w:rsidR="00000000" w:rsidRDefault="00000000">
      <w:pPr>
        <w:pStyle w:val="a6"/>
        <w:tabs>
          <w:tab w:val="num" w:pos="1550"/>
        </w:tabs>
        <w:ind w:left="1550"/>
        <w:rPr>
          <w:rFonts w:hint="eastAsia"/>
        </w:rPr>
      </w:pPr>
      <w:r>
        <w:rPr>
          <w:rFonts w:hint="eastAsia"/>
        </w:rPr>
        <w:t>各公司将达不到对向河流释放污染物</w:t>
      </w:r>
      <w:r>
        <w:rPr>
          <w:rFonts w:hint="eastAsia"/>
        </w:rPr>
        <w:t>(</w:t>
      </w:r>
      <w:r>
        <w:rPr>
          <w:rFonts w:hint="eastAsia"/>
        </w:rPr>
        <w:t>例如重金属</w:t>
      </w:r>
      <w:r>
        <w:rPr>
          <w:rFonts w:hint="eastAsia"/>
        </w:rPr>
        <w:t>)</w:t>
      </w:r>
      <w:r>
        <w:rPr>
          <w:rFonts w:hint="eastAsia"/>
        </w:rPr>
        <w:t>的限制标准；</w:t>
      </w:r>
    </w:p>
    <w:p w:rsidR="00000000" w:rsidRDefault="00000000">
      <w:pPr>
        <w:pStyle w:val="a6"/>
        <w:tabs>
          <w:tab w:val="num" w:pos="1550"/>
        </w:tabs>
        <w:spacing w:after="320"/>
        <w:ind w:left="1550"/>
        <w:rPr>
          <w:rFonts w:hint="eastAsia"/>
        </w:rPr>
      </w:pPr>
      <w:r>
        <w:rPr>
          <w:rFonts w:hint="eastAsia"/>
        </w:rPr>
        <w:t>有时消费饮用水在两种化学品</w:t>
      </w:r>
      <w:r>
        <w:rPr>
          <w:rFonts w:hint="eastAsia"/>
        </w:rPr>
        <w:t>(</w:t>
      </w:r>
      <w:r>
        <w:rPr>
          <w:rFonts w:hint="eastAsia"/>
        </w:rPr>
        <w:t>铅、</w:t>
      </w:r>
      <w:r>
        <w:rPr>
          <w:rFonts w:hint="eastAsia"/>
        </w:rPr>
        <w:t>1,2-</w:t>
      </w:r>
      <w:r>
        <w:rPr>
          <w:rFonts w:hint="eastAsia"/>
        </w:rPr>
        <w:t>二氯乙烷</w:t>
      </w:r>
      <w:r>
        <w:rPr>
          <w:rFonts w:hint="eastAsia"/>
        </w:rPr>
        <w:t>)</w:t>
      </w:r>
      <w:r>
        <w:rPr>
          <w:rFonts w:hint="eastAsia"/>
        </w:rPr>
        <w:t>方面将达不到较严格的限制标准。</w:t>
      </w:r>
    </w:p>
    <w:p w:rsidR="00000000" w:rsidRDefault="00000000">
      <w:pPr>
        <w:pStyle w:val="Heading3"/>
        <w:rPr>
          <w:rFonts w:hint="eastAsia"/>
          <w:u w:val="none"/>
        </w:rPr>
      </w:pPr>
      <w:r>
        <w:rPr>
          <w:rFonts w:ascii="Time New Roman" w:hAnsi="Time New Roman" w:hint="eastAsia"/>
        </w:rPr>
        <w:t>公共来源的环境开支</w:t>
      </w:r>
      <w:r>
        <w:rPr>
          <w:rFonts w:ascii="Time New Roman" w:hAnsi="Time New Roman"/>
        </w:rPr>
        <w:br/>
      </w:r>
      <w:r>
        <w:rPr>
          <w:rFonts w:hint="eastAsia"/>
          <w:u w:val="none"/>
        </w:rPr>
        <w:t>(</w:t>
      </w:r>
      <w:r>
        <w:rPr>
          <w:rFonts w:hint="eastAsia"/>
          <w:u w:val="none"/>
        </w:rPr>
        <w:t>按现行价格以</w:t>
      </w:r>
      <w:r>
        <w:rPr>
          <w:rFonts w:hint="eastAsia"/>
          <w:u w:val="none"/>
        </w:rPr>
        <w:t>10</w:t>
      </w:r>
      <w:r>
        <w:rPr>
          <w:rFonts w:hint="eastAsia"/>
          <w:u w:val="none"/>
        </w:rPr>
        <w:t>亿捷克克朗计算</w:t>
      </w:r>
      <w:r>
        <w:rPr>
          <w:rFonts w:hint="eastAsia"/>
          <w:u w:val="non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992"/>
        <w:gridCol w:w="815"/>
        <w:gridCol w:w="851"/>
        <w:gridCol w:w="850"/>
        <w:gridCol w:w="851"/>
      </w:tblGrid>
      <w:tr w:rsidR="00000000">
        <w:tblPrEx>
          <w:tblCellMar>
            <w:top w:w="0" w:type="dxa"/>
            <w:bottom w:w="0" w:type="dxa"/>
          </w:tblCellMar>
        </w:tblPrEx>
        <w:tc>
          <w:tcPr>
            <w:tcW w:w="4962" w:type="dxa"/>
          </w:tcPr>
          <w:p w:rsidR="00000000" w:rsidRDefault="00000000">
            <w:pPr>
              <w:spacing w:before="120" w:line="240" w:lineRule="auto"/>
              <w:rPr>
                <w:rFonts w:hint="eastAsia"/>
                <w:sz w:val="22"/>
              </w:rPr>
            </w:pPr>
            <w:r>
              <w:rPr>
                <w:rFonts w:hint="eastAsia"/>
                <w:sz w:val="22"/>
              </w:rPr>
              <w:t>资金来源</w:t>
            </w:r>
          </w:p>
        </w:tc>
        <w:tc>
          <w:tcPr>
            <w:tcW w:w="992" w:type="dxa"/>
          </w:tcPr>
          <w:p w:rsidR="00000000" w:rsidRDefault="00000000">
            <w:pPr>
              <w:spacing w:before="120" w:line="240" w:lineRule="auto"/>
              <w:jc w:val="center"/>
              <w:rPr>
                <w:b/>
                <w:bCs/>
                <w:sz w:val="22"/>
              </w:rPr>
            </w:pPr>
            <w:r>
              <w:rPr>
                <w:b/>
                <w:bCs/>
                <w:sz w:val="22"/>
              </w:rPr>
              <w:t>1994</w:t>
            </w:r>
          </w:p>
        </w:tc>
        <w:tc>
          <w:tcPr>
            <w:tcW w:w="815" w:type="dxa"/>
          </w:tcPr>
          <w:p w:rsidR="00000000" w:rsidRDefault="00000000">
            <w:pPr>
              <w:spacing w:before="120" w:line="240" w:lineRule="auto"/>
              <w:jc w:val="center"/>
              <w:rPr>
                <w:b/>
                <w:bCs/>
                <w:sz w:val="22"/>
              </w:rPr>
            </w:pPr>
            <w:r>
              <w:rPr>
                <w:b/>
                <w:bCs/>
                <w:sz w:val="22"/>
              </w:rPr>
              <w:t>1995</w:t>
            </w:r>
          </w:p>
        </w:tc>
        <w:tc>
          <w:tcPr>
            <w:tcW w:w="851" w:type="dxa"/>
          </w:tcPr>
          <w:p w:rsidR="00000000" w:rsidRDefault="00000000">
            <w:pPr>
              <w:spacing w:before="120" w:line="240" w:lineRule="auto"/>
              <w:jc w:val="center"/>
              <w:rPr>
                <w:b/>
                <w:bCs/>
                <w:sz w:val="22"/>
              </w:rPr>
            </w:pPr>
            <w:r>
              <w:rPr>
                <w:b/>
                <w:bCs/>
                <w:sz w:val="22"/>
              </w:rPr>
              <w:t>1996</w:t>
            </w:r>
          </w:p>
        </w:tc>
        <w:tc>
          <w:tcPr>
            <w:tcW w:w="850" w:type="dxa"/>
          </w:tcPr>
          <w:p w:rsidR="00000000" w:rsidRDefault="00000000">
            <w:pPr>
              <w:spacing w:before="120" w:line="240" w:lineRule="auto"/>
              <w:jc w:val="center"/>
              <w:rPr>
                <w:b/>
                <w:bCs/>
                <w:sz w:val="22"/>
              </w:rPr>
            </w:pPr>
            <w:r>
              <w:rPr>
                <w:b/>
                <w:bCs/>
                <w:sz w:val="22"/>
              </w:rPr>
              <w:t>1997</w:t>
            </w:r>
          </w:p>
        </w:tc>
        <w:tc>
          <w:tcPr>
            <w:tcW w:w="851" w:type="dxa"/>
          </w:tcPr>
          <w:p w:rsidR="00000000" w:rsidRDefault="00000000">
            <w:pPr>
              <w:spacing w:before="120" w:line="240" w:lineRule="auto"/>
              <w:jc w:val="center"/>
              <w:rPr>
                <w:b/>
                <w:bCs/>
                <w:sz w:val="22"/>
              </w:rPr>
            </w:pPr>
            <w:r>
              <w:rPr>
                <w:b/>
                <w:bCs/>
                <w:sz w:val="22"/>
              </w:rPr>
              <w:t>1998</w:t>
            </w:r>
          </w:p>
        </w:tc>
      </w:tr>
      <w:tr w:rsidR="00000000">
        <w:tblPrEx>
          <w:tblCellMar>
            <w:top w:w="0" w:type="dxa"/>
            <w:bottom w:w="0" w:type="dxa"/>
          </w:tblCellMar>
        </w:tblPrEx>
        <w:tc>
          <w:tcPr>
            <w:tcW w:w="4962" w:type="dxa"/>
          </w:tcPr>
          <w:p w:rsidR="00000000" w:rsidRDefault="00000000">
            <w:pPr>
              <w:spacing w:before="120" w:line="240" w:lineRule="auto"/>
              <w:rPr>
                <w:rFonts w:ascii="Time New Roman" w:eastAsia="SimHei" w:hAnsi="Time New Roman" w:hint="eastAsia"/>
                <w:sz w:val="22"/>
              </w:rPr>
            </w:pPr>
            <w:r>
              <w:rPr>
                <w:rFonts w:ascii="Time New Roman" w:eastAsia="SimHei" w:hAnsi="Time New Roman" w:hint="eastAsia"/>
                <w:sz w:val="22"/>
              </w:rPr>
              <w:t>合</w:t>
            </w:r>
            <w:r>
              <w:rPr>
                <w:rFonts w:ascii="Time New Roman" w:eastAsia="SimHei" w:hAnsi="Time New Roman" w:hint="eastAsia"/>
                <w:sz w:val="22"/>
              </w:rPr>
              <w:t xml:space="preserve">  </w:t>
            </w:r>
            <w:r>
              <w:rPr>
                <w:rFonts w:ascii="Time New Roman" w:eastAsia="SimHei" w:hAnsi="Time New Roman" w:hint="eastAsia"/>
                <w:sz w:val="22"/>
              </w:rPr>
              <w:t>计</w:t>
            </w:r>
          </w:p>
        </w:tc>
        <w:tc>
          <w:tcPr>
            <w:tcW w:w="992" w:type="dxa"/>
          </w:tcPr>
          <w:p w:rsidR="00000000" w:rsidRDefault="00000000">
            <w:pPr>
              <w:tabs>
                <w:tab w:val="decimal" w:pos="317"/>
              </w:tabs>
              <w:spacing w:before="120" w:line="240" w:lineRule="auto"/>
              <w:rPr>
                <w:b/>
                <w:bCs/>
                <w:sz w:val="22"/>
              </w:rPr>
            </w:pPr>
            <w:r>
              <w:rPr>
                <w:b/>
                <w:bCs/>
                <w:sz w:val="22"/>
              </w:rPr>
              <w:t>13.7</w:t>
            </w:r>
          </w:p>
        </w:tc>
        <w:tc>
          <w:tcPr>
            <w:tcW w:w="815" w:type="dxa"/>
          </w:tcPr>
          <w:p w:rsidR="00000000" w:rsidRDefault="00000000">
            <w:pPr>
              <w:tabs>
                <w:tab w:val="decimal" w:pos="317"/>
              </w:tabs>
              <w:spacing w:before="120" w:line="240" w:lineRule="auto"/>
              <w:rPr>
                <w:b/>
                <w:bCs/>
                <w:sz w:val="22"/>
              </w:rPr>
            </w:pPr>
            <w:r>
              <w:rPr>
                <w:b/>
                <w:bCs/>
                <w:sz w:val="22"/>
              </w:rPr>
              <w:t>14.9</w:t>
            </w:r>
          </w:p>
        </w:tc>
        <w:tc>
          <w:tcPr>
            <w:tcW w:w="851" w:type="dxa"/>
          </w:tcPr>
          <w:p w:rsidR="00000000" w:rsidRDefault="00000000">
            <w:pPr>
              <w:tabs>
                <w:tab w:val="decimal" w:pos="353"/>
              </w:tabs>
              <w:spacing w:before="120" w:line="240" w:lineRule="auto"/>
              <w:rPr>
                <w:b/>
                <w:bCs/>
                <w:sz w:val="22"/>
              </w:rPr>
            </w:pPr>
            <w:r>
              <w:rPr>
                <w:b/>
                <w:bCs/>
                <w:sz w:val="22"/>
              </w:rPr>
              <w:t>13.9</w:t>
            </w:r>
          </w:p>
        </w:tc>
        <w:tc>
          <w:tcPr>
            <w:tcW w:w="850" w:type="dxa"/>
          </w:tcPr>
          <w:p w:rsidR="00000000" w:rsidRDefault="00000000">
            <w:pPr>
              <w:spacing w:before="120" w:line="240" w:lineRule="auto"/>
              <w:jc w:val="center"/>
              <w:rPr>
                <w:b/>
                <w:bCs/>
                <w:sz w:val="22"/>
              </w:rPr>
            </w:pPr>
            <w:r>
              <w:rPr>
                <w:b/>
                <w:bCs/>
                <w:sz w:val="22"/>
              </w:rPr>
              <w:t>9.2</w:t>
            </w:r>
          </w:p>
        </w:tc>
        <w:tc>
          <w:tcPr>
            <w:tcW w:w="851" w:type="dxa"/>
          </w:tcPr>
          <w:p w:rsidR="00000000" w:rsidRDefault="00000000">
            <w:pPr>
              <w:spacing w:before="120" w:line="240" w:lineRule="auto"/>
              <w:jc w:val="center"/>
              <w:rPr>
                <w:b/>
                <w:bCs/>
                <w:sz w:val="22"/>
              </w:rPr>
            </w:pPr>
            <w:r>
              <w:rPr>
                <w:b/>
                <w:bCs/>
                <w:sz w:val="22"/>
              </w:rPr>
              <w:t>9.2</w:t>
            </w:r>
          </w:p>
        </w:tc>
      </w:tr>
      <w:tr w:rsidR="00000000">
        <w:tblPrEx>
          <w:tblCellMar>
            <w:top w:w="0" w:type="dxa"/>
            <w:bottom w:w="0" w:type="dxa"/>
          </w:tblCellMar>
        </w:tblPrEx>
        <w:tc>
          <w:tcPr>
            <w:tcW w:w="4962" w:type="dxa"/>
          </w:tcPr>
          <w:p w:rsidR="00000000" w:rsidRDefault="00000000">
            <w:pPr>
              <w:spacing w:before="80" w:line="240" w:lineRule="auto"/>
              <w:rPr>
                <w:rFonts w:hint="eastAsia"/>
                <w:sz w:val="22"/>
              </w:rPr>
            </w:pPr>
            <w:r>
              <w:rPr>
                <w:rFonts w:hint="eastAsia"/>
                <w:sz w:val="22"/>
              </w:rPr>
              <w:t>包括：国家环境基金</w:t>
            </w:r>
          </w:p>
        </w:tc>
        <w:tc>
          <w:tcPr>
            <w:tcW w:w="992" w:type="dxa"/>
          </w:tcPr>
          <w:p w:rsidR="00000000" w:rsidRDefault="00000000">
            <w:pPr>
              <w:tabs>
                <w:tab w:val="decimal" w:pos="317"/>
              </w:tabs>
              <w:spacing w:before="80" w:line="240" w:lineRule="auto"/>
              <w:rPr>
                <w:sz w:val="22"/>
              </w:rPr>
            </w:pPr>
            <w:r>
              <w:rPr>
                <w:sz w:val="22"/>
              </w:rPr>
              <w:t>3.6</w:t>
            </w:r>
          </w:p>
        </w:tc>
        <w:tc>
          <w:tcPr>
            <w:tcW w:w="815" w:type="dxa"/>
          </w:tcPr>
          <w:p w:rsidR="00000000" w:rsidRDefault="00000000">
            <w:pPr>
              <w:tabs>
                <w:tab w:val="decimal" w:pos="317"/>
              </w:tabs>
              <w:spacing w:before="80" w:line="240" w:lineRule="auto"/>
              <w:rPr>
                <w:sz w:val="22"/>
              </w:rPr>
            </w:pPr>
            <w:r>
              <w:rPr>
                <w:sz w:val="22"/>
              </w:rPr>
              <w:t>4.9</w:t>
            </w:r>
          </w:p>
        </w:tc>
        <w:tc>
          <w:tcPr>
            <w:tcW w:w="851" w:type="dxa"/>
          </w:tcPr>
          <w:p w:rsidR="00000000" w:rsidRDefault="00000000">
            <w:pPr>
              <w:tabs>
                <w:tab w:val="decimal" w:pos="353"/>
              </w:tabs>
              <w:spacing w:before="80" w:line="240" w:lineRule="auto"/>
              <w:rPr>
                <w:sz w:val="22"/>
              </w:rPr>
            </w:pPr>
            <w:r>
              <w:rPr>
                <w:sz w:val="22"/>
              </w:rPr>
              <w:t>4.7</w:t>
            </w:r>
          </w:p>
        </w:tc>
        <w:tc>
          <w:tcPr>
            <w:tcW w:w="850" w:type="dxa"/>
          </w:tcPr>
          <w:p w:rsidR="00000000" w:rsidRDefault="00000000">
            <w:pPr>
              <w:spacing w:before="80" w:line="240" w:lineRule="auto"/>
              <w:jc w:val="center"/>
              <w:rPr>
                <w:sz w:val="22"/>
              </w:rPr>
            </w:pPr>
            <w:r>
              <w:rPr>
                <w:sz w:val="22"/>
              </w:rPr>
              <w:t>3.4</w:t>
            </w:r>
          </w:p>
        </w:tc>
        <w:tc>
          <w:tcPr>
            <w:tcW w:w="851" w:type="dxa"/>
          </w:tcPr>
          <w:p w:rsidR="00000000" w:rsidRDefault="00000000">
            <w:pPr>
              <w:spacing w:before="80" w:line="240" w:lineRule="auto"/>
              <w:jc w:val="center"/>
              <w:rPr>
                <w:sz w:val="22"/>
              </w:rPr>
            </w:pPr>
            <w:r>
              <w:rPr>
                <w:sz w:val="22"/>
              </w:rPr>
              <w:t>2.3</w:t>
            </w:r>
          </w:p>
        </w:tc>
      </w:tr>
      <w:tr w:rsidR="00000000">
        <w:tblPrEx>
          <w:tblCellMar>
            <w:top w:w="0" w:type="dxa"/>
            <w:bottom w:w="0" w:type="dxa"/>
          </w:tblCellMar>
        </w:tblPrEx>
        <w:tc>
          <w:tcPr>
            <w:tcW w:w="4962" w:type="dxa"/>
          </w:tcPr>
          <w:p w:rsidR="00000000" w:rsidRDefault="00000000">
            <w:pPr>
              <w:spacing w:before="80" w:line="240" w:lineRule="auto"/>
              <w:rPr>
                <w:rFonts w:hint="eastAsia"/>
                <w:sz w:val="22"/>
              </w:rPr>
            </w:pPr>
            <w:r>
              <w:rPr>
                <w:rFonts w:hint="eastAsia"/>
                <w:sz w:val="22"/>
              </w:rPr>
              <w:t xml:space="preserve">  </w:t>
            </w:r>
            <w:r>
              <w:rPr>
                <w:rFonts w:hint="eastAsia"/>
                <w:sz w:val="22"/>
              </w:rPr>
              <w:t>国家预算</w:t>
            </w:r>
          </w:p>
        </w:tc>
        <w:tc>
          <w:tcPr>
            <w:tcW w:w="992" w:type="dxa"/>
          </w:tcPr>
          <w:p w:rsidR="00000000" w:rsidRDefault="00000000">
            <w:pPr>
              <w:tabs>
                <w:tab w:val="decimal" w:pos="317"/>
              </w:tabs>
              <w:spacing w:before="80" w:line="240" w:lineRule="auto"/>
              <w:rPr>
                <w:sz w:val="22"/>
              </w:rPr>
            </w:pPr>
            <w:r>
              <w:rPr>
                <w:sz w:val="22"/>
              </w:rPr>
              <w:t>10.0</w:t>
            </w:r>
          </w:p>
        </w:tc>
        <w:tc>
          <w:tcPr>
            <w:tcW w:w="815" w:type="dxa"/>
          </w:tcPr>
          <w:p w:rsidR="00000000" w:rsidRDefault="00000000">
            <w:pPr>
              <w:tabs>
                <w:tab w:val="decimal" w:pos="317"/>
              </w:tabs>
              <w:spacing w:before="80" w:line="240" w:lineRule="auto"/>
              <w:rPr>
                <w:sz w:val="22"/>
              </w:rPr>
            </w:pPr>
            <w:r>
              <w:rPr>
                <w:sz w:val="22"/>
              </w:rPr>
              <w:t>9.2</w:t>
            </w:r>
          </w:p>
        </w:tc>
        <w:tc>
          <w:tcPr>
            <w:tcW w:w="851" w:type="dxa"/>
          </w:tcPr>
          <w:p w:rsidR="00000000" w:rsidRDefault="00000000">
            <w:pPr>
              <w:tabs>
                <w:tab w:val="decimal" w:pos="353"/>
              </w:tabs>
              <w:spacing w:before="80" w:line="240" w:lineRule="auto"/>
              <w:rPr>
                <w:sz w:val="22"/>
              </w:rPr>
            </w:pPr>
            <w:r>
              <w:rPr>
                <w:sz w:val="22"/>
              </w:rPr>
              <w:t>8.3</w:t>
            </w:r>
          </w:p>
        </w:tc>
        <w:tc>
          <w:tcPr>
            <w:tcW w:w="850" w:type="dxa"/>
          </w:tcPr>
          <w:p w:rsidR="00000000" w:rsidRDefault="00000000">
            <w:pPr>
              <w:spacing w:before="80" w:line="240" w:lineRule="auto"/>
              <w:jc w:val="center"/>
              <w:rPr>
                <w:sz w:val="22"/>
              </w:rPr>
            </w:pPr>
            <w:r>
              <w:rPr>
                <w:sz w:val="22"/>
              </w:rPr>
              <w:t>4.4</w:t>
            </w:r>
          </w:p>
        </w:tc>
        <w:tc>
          <w:tcPr>
            <w:tcW w:w="851" w:type="dxa"/>
          </w:tcPr>
          <w:p w:rsidR="00000000" w:rsidRDefault="00000000">
            <w:pPr>
              <w:spacing w:before="80" w:line="240" w:lineRule="auto"/>
              <w:jc w:val="center"/>
              <w:rPr>
                <w:sz w:val="22"/>
              </w:rPr>
            </w:pPr>
            <w:r>
              <w:rPr>
                <w:sz w:val="22"/>
              </w:rPr>
              <w:t>4.7</w:t>
            </w:r>
          </w:p>
        </w:tc>
      </w:tr>
      <w:tr w:rsidR="00000000">
        <w:tblPrEx>
          <w:tblCellMar>
            <w:top w:w="0" w:type="dxa"/>
            <w:bottom w:w="0" w:type="dxa"/>
          </w:tblCellMar>
        </w:tblPrEx>
        <w:tc>
          <w:tcPr>
            <w:tcW w:w="4962" w:type="dxa"/>
          </w:tcPr>
          <w:p w:rsidR="00000000" w:rsidRDefault="00000000">
            <w:pPr>
              <w:spacing w:before="80" w:line="240" w:lineRule="auto"/>
              <w:rPr>
                <w:rFonts w:hint="eastAsia"/>
                <w:sz w:val="22"/>
              </w:rPr>
            </w:pPr>
            <w:r>
              <w:rPr>
                <w:rFonts w:hint="eastAsia"/>
                <w:sz w:val="22"/>
              </w:rPr>
              <w:t xml:space="preserve">  </w:t>
            </w:r>
            <w:r>
              <w:rPr>
                <w:rFonts w:hint="eastAsia"/>
                <w:sz w:val="22"/>
              </w:rPr>
              <w:t>全国财产基金</w:t>
            </w:r>
          </w:p>
        </w:tc>
        <w:tc>
          <w:tcPr>
            <w:tcW w:w="992" w:type="dxa"/>
          </w:tcPr>
          <w:p w:rsidR="00000000" w:rsidRDefault="00000000">
            <w:pPr>
              <w:tabs>
                <w:tab w:val="decimal" w:pos="317"/>
              </w:tabs>
              <w:spacing w:before="80" w:line="240" w:lineRule="auto"/>
              <w:rPr>
                <w:sz w:val="22"/>
              </w:rPr>
            </w:pPr>
            <w:r>
              <w:rPr>
                <w:sz w:val="22"/>
              </w:rPr>
              <w:t>0.1</w:t>
            </w:r>
          </w:p>
        </w:tc>
        <w:tc>
          <w:tcPr>
            <w:tcW w:w="815" w:type="dxa"/>
          </w:tcPr>
          <w:p w:rsidR="00000000" w:rsidRDefault="00000000">
            <w:pPr>
              <w:tabs>
                <w:tab w:val="decimal" w:pos="317"/>
              </w:tabs>
              <w:spacing w:before="80" w:line="240" w:lineRule="auto"/>
              <w:rPr>
                <w:sz w:val="22"/>
              </w:rPr>
            </w:pPr>
            <w:r>
              <w:rPr>
                <w:sz w:val="22"/>
              </w:rPr>
              <w:t>0.8</w:t>
            </w:r>
          </w:p>
        </w:tc>
        <w:tc>
          <w:tcPr>
            <w:tcW w:w="851" w:type="dxa"/>
          </w:tcPr>
          <w:p w:rsidR="00000000" w:rsidRDefault="00000000">
            <w:pPr>
              <w:tabs>
                <w:tab w:val="decimal" w:pos="353"/>
              </w:tabs>
              <w:spacing w:before="80" w:line="240" w:lineRule="auto"/>
              <w:rPr>
                <w:sz w:val="22"/>
              </w:rPr>
            </w:pPr>
            <w:r>
              <w:rPr>
                <w:sz w:val="22"/>
              </w:rPr>
              <w:t>0.9</w:t>
            </w:r>
          </w:p>
        </w:tc>
        <w:tc>
          <w:tcPr>
            <w:tcW w:w="850" w:type="dxa"/>
          </w:tcPr>
          <w:p w:rsidR="00000000" w:rsidRDefault="00000000">
            <w:pPr>
              <w:spacing w:before="80" w:line="240" w:lineRule="auto"/>
              <w:jc w:val="center"/>
              <w:rPr>
                <w:sz w:val="22"/>
              </w:rPr>
            </w:pPr>
            <w:r>
              <w:rPr>
                <w:sz w:val="22"/>
              </w:rPr>
              <w:t>1.4</w:t>
            </w:r>
          </w:p>
        </w:tc>
        <w:tc>
          <w:tcPr>
            <w:tcW w:w="851" w:type="dxa"/>
          </w:tcPr>
          <w:p w:rsidR="00000000" w:rsidRDefault="00000000">
            <w:pPr>
              <w:spacing w:before="80" w:line="240" w:lineRule="auto"/>
              <w:jc w:val="center"/>
              <w:rPr>
                <w:sz w:val="22"/>
              </w:rPr>
            </w:pPr>
            <w:r>
              <w:rPr>
                <w:sz w:val="22"/>
              </w:rPr>
              <w:t>2.2</w:t>
            </w:r>
          </w:p>
        </w:tc>
      </w:tr>
    </w:tbl>
    <w:p w:rsidR="00000000" w:rsidRDefault="00000000">
      <w:pPr>
        <w:pStyle w:val="FootnoteText"/>
        <w:spacing w:before="160"/>
        <w:rPr>
          <w:rFonts w:hint="eastAsia"/>
        </w:rPr>
      </w:pPr>
      <w:r>
        <w:rPr>
          <w:rFonts w:hint="eastAsia"/>
          <w:u w:val="single"/>
        </w:rPr>
        <w:t>资料来源</w:t>
      </w:r>
      <w:r>
        <w:rPr>
          <w:rFonts w:hint="eastAsia"/>
        </w:rPr>
        <w:t>：捷克统计局，</w:t>
      </w:r>
      <w:r>
        <w:rPr>
          <w:rFonts w:hint="eastAsia"/>
        </w:rPr>
        <w:t>1999</w:t>
      </w:r>
      <w:r>
        <w:rPr>
          <w:rFonts w:hint="eastAsia"/>
        </w:rPr>
        <w:t>年。</w:t>
      </w:r>
    </w:p>
    <w:p w:rsidR="00000000" w:rsidRDefault="00000000">
      <w:pPr>
        <w:rPr>
          <w:snapToGrid/>
        </w:rPr>
      </w:pPr>
      <w:r>
        <w:rPr>
          <w:rFonts w:hint="eastAsia"/>
          <w:snapToGrid/>
        </w:rPr>
        <w:tab/>
        <w:t xml:space="preserve">538.  </w:t>
      </w:r>
      <w:r>
        <w:rPr>
          <w:snapToGrid/>
        </w:rPr>
        <w:t>1997</w:t>
      </w:r>
      <w:r>
        <w:rPr>
          <w:rFonts w:hint="eastAsia"/>
          <w:snapToGrid/>
        </w:rPr>
        <w:t>年，捷克共和国取得了进展，通过了关于和平利用核能和电离子辐射的法令</w:t>
      </w:r>
      <w:r>
        <w:rPr>
          <w:rFonts w:hint="eastAsia"/>
          <w:snapToGrid/>
        </w:rPr>
        <w:t>(</w:t>
      </w:r>
      <w:r>
        <w:rPr>
          <w:rFonts w:hint="eastAsia"/>
          <w:snapToGrid/>
        </w:rPr>
        <w:t>《原子能法令》</w:t>
      </w:r>
      <w:r>
        <w:rPr>
          <w:rFonts w:hint="eastAsia"/>
          <w:snapToGrid/>
        </w:rPr>
        <w:t>)</w:t>
      </w:r>
      <w:r>
        <w:rPr>
          <w:snapToGrid/>
        </w:rPr>
        <w:t xml:space="preserve"> </w:t>
      </w:r>
      <w:r>
        <w:rPr>
          <w:rStyle w:val="EndnoteReference"/>
          <w:snapToGrid/>
        </w:rPr>
        <w:endnoteReference w:id="330"/>
      </w:r>
      <w:r>
        <w:rPr>
          <w:rFonts w:hint="eastAsia"/>
          <w:snapToGrid/>
        </w:rPr>
        <w:t xml:space="preserve"> </w:t>
      </w:r>
      <w:r>
        <w:rPr>
          <w:rFonts w:hint="eastAsia"/>
          <w:snapToGrid/>
        </w:rPr>
        <w:t>该法令是安全操作核设施的法律框架，并规定了负责安全处理放射性废料的行政机构</w:t>
      </w:r>
      <w:r>
        <w:rPr>
          <w:rFonts w:hint="eastAsia"/>
          <w:snapToGrid/>
          <w:spacing w:val="-50"/>
        </w:rPr>
        <w:t>―</w:t>
      </w:r>
      <w:r>
        <w:rPr>
          <w:rFonts w:hint="eastAsia"/>
          <w:snapToGrid/>
        </w:rPr>
        <w:t>―放射性废料储存场地管理局。国家通过工业和贸易部在财政上安排医疗机构、科学机构和工业公司产生的放射性废料</w:t>
      </w:r>
      <w:r>
        <w:rPr>
          <w:rFonts w:hint="eastAsia"/>
          <w:snapToGrid/>
        </w:rPr>
        <w:t>(</w:t>
      </w:r>
      <w:r>
        <w:rPr>
          <w:rFonts w:hint="eastAsia"/>
          <w:snapToGrid/>
        </w:rPr>
        <w:t>机构的放射性废料</w:t>
      </w:r>
      <w:r>
        <w:rPr>
          <w:rFonts w:hint="eastAsia"/>
          <w:snapToGrid/>
        </w:rPr>
        <w:t>)</w:t>
      </w:r>
      <w:r>
        <w:rPr>
          <w:rFonts w:hint="eastAsia"/>
          <w:snapToGrid/>
        </w:rPr>
        <w:t>的收集、销毁和存放。为了提高核电厂的安全性，国家还通过工业和贸易部资助研究任务，并资助在发生核事故情况下的应急工作。国家财政参与的最大部分是修复铀采矿造成的生态损害。国家向国营公司</w:t>
      </w:r>
      <w:r>
        <w:rPr>
          <w:rFonts w:hint="eastAsia"/>
          <w:snapToGrid/>
        </w:rPr>
        <w:t>D</w:t>
      </w:r>
      <w:r>
        <w:rPr>
          <w:snapToGrid/>
        </w:rPr>
        <w:t>iamo</w:t>
      </w:r>
      <w:r>
        <w:rPr>
          <w:rFonts w:hint="eastAsia"/>
          <w:snapToGrid/>
        </w:rPr>
        <w:t>提供了补贴。第</w:t>
      </w:r>
      <w:r>
        <w:rPr>
          <w:rFonts w:hint="eastAsia"/>
          <w:snapToGrid/>
        </w:rPr>
        <w:t>106/1998</w:t>
      </w:r>
      <w:r>
        <w:rPr>
          <w:rFonts w:hint="eastAsia"/>
          <w:snapToGrid/>
        </w:rPr>
        <w:t>号《国家核安全局法令》规定，在核设施投入运行和运行期间确保核安全和辐射保护。</w:t>
      </w:r>
    </w:p>
    <w:p w:rsidR="00000000" w:rsidRDefault="00000000">
      <w:pPr>
        <w:rPr>
          <w:rFonts w:hint="eastAsia"/>
          <w:snapToGrid/>
        </w:rPr>
      </w:pPr>
      <w:r>
        <w:rPr>
          <w:snapToGrid/>
        </w:rPr>
        <w:tab/>
        <w:t xml:space="preserve">539.  </w:t>
      </w:r>
      <w:r>
        <w:rPr>
          <w:rFonts w:hint="eastAsia"/>
          <w:snapToGrid/>
        </w:rPr>
        <w:t>卫生部通过国内拨款局支持对生活条件、流行病和卫生系统的研究，目的是为确保医疗援助和护理创造最佳的条件。从对</w:t>
      </w:r>
      <w:r>
        <w:rPr>
          <w:rFonts w:hint="eastAsia"/>
          <w:snapToGrid/>
        </w:rPr>
        <w:t>1993</w:t>
      </w:r>
      <w:r>
        <w:rPr>
          <w:rFonts w:hint="eastAsia"/>
          <w:snapToGrid/>
        </w:rPr>
        <w:t>年至</w:t>
      </w:r>
      <w:r>
        <w:rPr>
          <w:rFonts w:hint="eastAsia"/>
          <w:snapToGrid/>
        </w:rPr>
        <w:t>1996</w:t>
      </w:r>
      <w:r>
        <w:rPr>
          <w:rFonts w:hint="eastAsia"/>
          <w:snapToGrid/>
        </w:rPr>
        <w:t>年期间所完成项目的结果的分析来看，执行了八个环境项目，耗资</w:t>
      </w:r>
      <w:r>
        <w:rPr>
          <w:rFonts w:hint="eastAsia"/>
          <w:snapToGrid/>
        </w:rPr>
        <w:t>736,000</w:t>
      </w:r>
      <w:r>
        <w:rPr>
          <w:rFonts w:hint="eastAsia"/>
          <w:snapToGrid/>
        </w:rPr>
        <w:t>捷克克朗。然而，环境主题项目也往往兼顾其他优先领域，特别是“有利于健康的城市”的项目</w:t>
      </w:r>
      <w:r>
        <w:rPr>
          <w:rFonts w:hint="eastAsia"/>
          <w:snapToGrid/>
        </w:rPr>
        <w:t>(1998</w:t>
      </w:r>
      <w:r>
        <w:rPr>
          <w:rFonts w:hint="eastAsia"/>
          <w:snapToGrid/>
        </w:rPr>
        <w:t>年为</w:t>
      </w:r>
      <w:r>
        <w:rPr>
          <w:rFonts w:hint="eastAsia"/>
          <w:snapToGrid/>
        </w:rPr>
        <w:t>13</w:t>
      </w:r>
      <w:r>
        <w:rPr>
          <w:rFonts w:hint="eastAsia"/>
          <w:snapToGrid/>
        </w:rPr>
        <w:t>个项目</w:t>
      </w:r>
      <w:r>
        <w:rPr>
          <w:rFonts w:hint="eastAsia"/>
          <w:snapToGrid/>
        </w:rPr>
        <w:t>)</w:t>
      </w:r>
      <w:r>
        <w:rPr>
          <w:rFonts w:hint="eastAsia"/>
          <w:snapToGrid/>
        </w:rPr>
        <w:t>。这些综合性方案通常兼顾环境和卫生，主题是锻炼、压力、有利于健康的学校和防止生病。</w:t>
      </w:r>
    </w:p>
    <w:p w:rsidR="00000000" w:rsidRDefault="00000000">
      <w:pPr>
        <w:rPr>
          <w:rFonts w:hint="eastAsia"/>
          <w:snapToGrid/>
        </w:rPr>
      </w:pPr>
      <w:r>
        <w:rPr>
          <w:rFonts w:hint="eastAsia"/>
          <w:snapToGrid/>
        </w:rPr>
        <w:tab/>
        <w:t xml:space="preserve">540.  </w:t>
      </w:r>
      <w:r>
        <w:rPr>
          <w:rFonts w:hint="eastAsia"/>
          <w:snapToGrid/>
        </w:rPr>
        <w:t>卫生部与其他部合作，特别是与环境部和农业部合作，拟定了“捷克共和国卫生和环境行动计划”这一文件，</w:t>
      </w:r>
      <w:r>
        <w:rPr>
          <w:rFonts w:hint="eastAsia"/>
          <w:snapToGrid/>
        </w:rPr>
        <w:t>1998</w:t>
      </w:r>
      <w:r>
        <w:rPr>
          <w:rFonts w:hint="eastAsia"/>
          <w:snapToGrid/>
        </w:rPr>
        <w:t>年</w:t>
      </w:r>
      <w:r>
        <w:rPr>
          <w:rFonts w:hint="eastAsia"/>
          <w:snapToGrid/>
        </w:rPr>
        <w:t>12</w:t>
      </w:r>
      <w:r>
        <w:rPr>
          <w:rFonts w:hint="eastAsia"/>
          <w:snapToGrid/>
        </w:rPr>
        <w:t>月得到了政府的批准</w:t>
      </w:r>
      <w:r>
        <w:rPr>
          <w:rFonts w:hint="eastAsia"/>
          <w:snapToGrid/>
        </w:rPr>
        <w:t xml:space="preserve"> </w:t>
      </w:r>
      <w:r>
        <w:rPr>
          <w:rStyle w:val="EndnoteReference"/>
          <w:snapToGrid/>
        </w:rPr>
        <w:endnoteReference w:id="331"/>
      </w:r>
      <w:r>
        <w:rPr>
          <w:rFonts w:hint="eastAsia"/>
          <w:snapToGrid/>
        </w:rPr>
        <w:t>。这份文件表明各部委一致同意解决卫生和环境问题，并被视为争取有利于健康的环境和人口健康的卫生政策的一个组成部分。这项文件与政府批准的其他文件密切相关，特别是国家环境政策和全国卫生方案。</w:t>
      </w:r>
    </w:p>
    <w:p w:rsidR="00000000" w:rsidRDefault="00000000">
      <w:pPr>
        <w:rPr>
          <w:rFonts w:hint="eastAsia"/>
          <w:snapToGrid/>
        </w:rPr>
      </w:pPr>
      <w:r>
        <w:rPr>
          <w:rFonts w:hint="eastAsia"/>
          <w:snapToGrid/>
        </w:rPr>
        <w:tab/>
        <w:t>541.  1999</w:t>
      </w:r>
      <w:r>
        <w:rPr>
          <w:rFonts w:hint="eastAsia"/>
          <w:snapToGrid/>
        </w:rPr>
        <w:t>年</w:t>
      </w:r>
      <w:r>
        <w:rPr>
          <w:rFonts w:hint="eastAsia"/>
          <w:snapToGrid/>
        </w:rPr>
        <w:t>4</w:t>
      </w:r>
      <w:r>
        <w:rPr>
          <w:rFonts w:hint="eastAsia"/>
          <w:snapToGrid/>
        </w:rPr>
        <w:t>月，政府设立了卫生和环境理事会</w:t>
      </w:r>
      <w:r>
        <w:rPr>
          <w:rFonts w:hint="eastAsia"/>
          <w:snapToGrid/>
        </w:rPr>
        <w:t xml:space="preserve"> </w:t>
      </w:r>
      <w:r>
        <w:rPr>
          <w:rStyle w:val="EndnoteReference"/>
          <w:snapToGrid/>
        </w:rPr>
        <w:endnoteReference w:id="332"/>
      </w:r>
      <w:r>
        <w:rPr>
          <w:rFonts w:hint="eastAsia"/>
          <w:snapToGrid/>
        </w:rPr>
        <w:t>，所有有关部委都派代表参加了该理事会，该理事会在为改进环境和人口健康创造条件方面提供实质性援助。</w:t>
      </w:r>
    </w:p>
    <w:p w:rsidR="00000000" w:rsidRDefault="00000000">
      <w:pPr>
        <w:rPr>
          <w:rFonts w:hint="eastAsia"/>
          <w:snapToGrid/>
        </w:rPr>
      </w:pPr>
      <w:r>
        <w:rPr>
          <w:rFonts w:hint="eastAsia"/>
          <w:snapToGrid/>
          <w:spacing w:val="4"/>
        </w:rPr>
        <w:tab/>
        <w:t xml:space="preserve">542.  </w:t>
      </w:r>
      <w:r>
        <w:rPr>
          <w:rFonts w:hint="eastAsia"/>
          <w:snapToGrid/>
          <w:spacing w:val="4"/>
        </w:rPr>
        <w:t>卫生部还作出安排，通过长期方案“在环境方面监测人口健康系统”</w:t>
      </w:r>
      <w:r>
        <w:rPr>
          <w:rStyle w:val="EndnoteReference"/>
          <w:snapToGrid/>
        </w:rPr>
        <w:endnoteReference w:id="333"/>
      </w:r>
      <w:r>
        <w:rPr>
          <w:rFonts w:hint="eastAsia"/>
          <w:snapToGrid/>
        </w:rPr>
        <w:t>，在环境方面监测人口的健康。该方案的目的是不断地取得信息，以便制定一种国家卫生政策并促使所有各级国家政府保护环境，为适当的立法措施创造先决条件并对污染环境的物质规定恰当的限制。</w:t>
      </w:r>
    </w:p>
    <w:p w:rsidR="00000000" w:rsidRDefault="00000000">
      <w:pPr>
        <w:rPr>
          <w:rFonts w:hint="eastAsia"/>
          <w:snapToGrid/>
        </w:rPr>
      </w:pPr>
      <w:r>
        <w:rPr>
          <w:rFonts w:hint="eastAsia"/>
          <w:snapToGrid/>
        </w:rPr>
        <w:tab/>
        <w:t xml:space="preserve">543.  </w:t>
      </w:r>
      <w:r>
        <w:rPr>
          <w:rFonts w:hint="eastAsia"/>
          <w:snapToGrid/>
        </w:rPr>
        <w:t>在</w:t>
      </w:r>
      <w:r>
        <w:rPr>
          <w:rFonts w:hint="eastAsia"/>
          <w:snapToGrid/>
        </w:rPr>
        <w:t>30</w:t>
      </w:r>
      <w:r>
        <w:rPr>
          <w:rFonts w:hint="eastAsia"/>
          <w:snapToGrid/>
        </w:rPr>
        <w:t>个选定的城市里，定期评估以下方面</w:t>
      </w:r>
      <w:r>
        <w:rPr>
          <w:rFonts w:hint="eastAsia"/>
          <w:snapToGrid/>
        </w:rPr>
        <w:t>(</w:t>
      </w:r>
      <w:r>
        <w:rPr>
          <w:rFonts w:hint="eastAsia"/>
          <w:snapToGrid/>
        </w:rPr>
        <w:t>在所有</w:t>
      </w:r>
      <w:r>
        <w:rPr>
          <w:rFonts w:hint="eastAsia"/>
          <w:snapToGrid/>
        </w:rPr>
        <w:t>30</w:t>
      </w:r>
      <w:r>
        <w:rPr>
          <w:rFonts w:hint="eastAsia"/>
          <w:snapToGrid/>
        </w:rPr>
        <w:t>个城市里，并非所有次级系统都受到评估</w:t>
      </w:r>
      <w:r>
        <w:rPr>
          <w:rFonts w:hint="eastAsia"/>
          <w:snapToGrid/>
        </w:rPr>
        <w:t>)</w:t>
      </w:r>
      <w:r>
        <w:rPr>
          <w:rFonts w:hint="eastAsia"/>
          <w:snapToGrid/>
        </w:rPr>
        <w:t>：</w:t>
      </w:r>
    </w:p>
    <w:p w:rsidR="00000000" w:rsidRDefault="00000000">
      <w:pPr>
        <w:pStyle w:val="a6"/>
        <w:tabs>
          <w:tab w:val="num" w:pos="1550"/>
        </w:tabs>
        <w:ind w:left="1550"/>
        <w:rPr>
          <w:rFonts w:hint="eastAsia"/>
        </w:rPr>
      </w:pPr>
      <w:r>
        <w:rPr>
          <w:rFonts w:hint="eastAsia"/>
        </w:rPr>
        <w:t>被污染的空气和被污染的饮水对健康的后果和危险以及噪声的干扰影响；</w:t>
      </w:r>
    </w:p>
    <w:p w:rsidR="00000000" w:rsidRDefault="00000000">
      <w:pPr>
        <w:pStyle w:val="a6"/>
        <w:tabs>
          <w:tab w:val="num" w:pos="1550"/>
        </w:tabs>
        <w:ind w:left="1550"/>
        <w:rPr>
          <w:rFonts w:hint="eastAsia"/>
        </w:rPr>
      </w:pPr>
      <w:r>
        <w:rPr>
          <w:rFonts w:hint="eastAsia"/>
        </w:rPr>
        <w:t>食物链中非消化性物质对人体组织的负担产生的健康后果</w:t>
      </w:r>
      <w:r>
        <w:rPr>
          <w:rFonts w:hint="eastAsia"/>
        </w:rPr>
        <w:t>(</w:t>
      </w:r>
      <w:r>
        <w:rPr>
          <w:rFonts w:hint="eastAsia"/>
        </w:rPr>
        <w:t>饮食接触</w:t>
      </w:r>
      <w:r>
        <w:rPr>
          <w:rFonts w:hint="eastAsia"/>
        </w:rPr>
        <w:t>)</w:t>
      </w:r>
      <w:r>
        <w:rPr>
          <w:rFonts w:hint="eastAsia"/>
        </w:rPr>
        <w:t>；</w:t>
      </w:r>
    </w:p>
    <w:p w:rsidR="00000000" w:rsidRDefault="00000000">
      <w:pPr>
        <w:pStyle w:val="a6"/>
        <w:tabs>
          <w:tab w:val="num" w:pos="1550"/>
        </w:tabs>
        <w:ind w:left="1550"/>
        <w:rPr>
          <w:rFonts w:hint="eastAsia"/>
        </w:rPr>
      </w:pPr>
      <w:r>
        <w:rPr>
          <w:rFonts w:hint="eastAsia"/>
        </w:rPr>
        <w:t>人体组织接触外部环境中的有毒物质产生的健康后果</w:t>
      </w:r>
      <w:r>
        <w:rPr>
          <w:rFonts w:hint="eastAsia"/>
        </w:rPr>
        <w:t>(</w:t>
      </w:r>
      <w:r>
        <w:rPr>
          <w:rFonts w:hint="eastAsia"/>
        </w:rPr>
        <w:t>生物监测</w:t>
      </w:r>
      <w:r>
        <w:rPr>
          <w:rFonts w:hint="eastAsia"/>
        </w:rPr>
        <w:t>)</w:t>
      </w:r>
      <w:r>
        <w:rPr>
          <w:rFonts w:hint="eastAsia"/>
        </w:rPr>
        <w:t>；</w:t>
      </w:r>
    </w:p>
    <w:p w:rsidR="00000000" w:rsidRDefault="00000000">
      <w:pPr>
        <w:pStyle w:val="a6"/>
        <w:tabs>
          <w:tab w:val="num" w:pos="1550"/>
        </w:tabs>
        <w:ind w:left="1550"/>
        <w:rPr>
          <w:rFonts w:hint="eastAsia"/>
        </w:rPr>
      </w:pPr>
      <w:r>
        <w:rPr>
          <w:rFonts w:hint="eastAsia"/>
        </w:rPr>
        <w:t>人口健康和人口统计有关指数和健康统计数据。</w:t>
      </w:r>
    </w:p>
    <w:p w:rsidR="00000000" w:rsidRDefault="00000000">
      <w:pPr>
        <w:pStyle w:val="aa"/>
        <w:spacing w:line="480" w:lineRule="auto"/>
        <w:rPr>
          <w:rFonts w:hint="eastAsia"/>
          <w:snapToGrid/>
          <w:spacing w:val="10"/>
          <w:sz w:val="24"/>
        </w:rPr>
      </w:pPr>
      <w:r>
        <w:rPr>
          <w:rFonts w:hint="eastAsia"/>
          <w:snapToGrid/>
          <w:spacing w:val="10"/>
          <w:sz w:val="24"/>
        </w:rPr>
        <w:tab/>
      </w:r>
      <w:r>
        <w:rPr>
          <w:rFonts w:hint="eastAsia"/>
          <w:snapToGrid/>
          <w:spacing w:val="10"/>
          <w:sz w:val="24"/>
        </w:rPr>
        <w:t>监测结果每年在摘要报告和详细的专门报告中公布。</w:t>
      </w:r>
    </w:p>
    <w:p w:rsidR="00000000" w:rsidRDefault="00000000">
      <w:pPr>
        <w:pStyle w:val="Heading4"/>
        <w:rPr>
          <w:rFonts w:hint="eastAsia"/>
        </w:rPr>
      </w:pPr>
      <w:r>
        <w:rPr>
          <w:rFonts w:hint="eastAsia"/>
        </w:rPr>
        <w:t>第</w:t>
      </w:r>
      <w:r>
        <w:rPr>
          <w:rFonts w:hint="eastAsia"/>
        </w:rPr>
        <w:t>2</w:t>
      </w:r>
      <w:r>
        <w:rPr>
          <w:rFonts w:hint="eastAsia"/>
        </w:rPr>
        <w:t>款</w:t>
      </w:r>
      <w:r>
        <w:t>(c)</w:t>
      </w:r>
      <w:r>
        <w:rPr>
          <w:rFonts w:hint="eastAsia"/>
        </w:rPr>
        <w:t>项</w:t>
      </w:r>
    </w:p>
    <w:p w:rsidR="00000000" w:rsidRDefault="00000000">
      <w:pPr>
        <w:rPr>
          <w:rFonts w:hint="eastAsia"/>
        </w:rPr>
      </w:pPr>
      <w:r>
        <w:rPr>
          <w:rFonts w:hint="eastAsia"/>
        </w:rPr>
        <w:tab/>
        <w:t xml:space="preserve">544.  </w:t>
      </w:r>
      <w:r>
        <w:rPr>
          <w:rFonts w:hint="eastAsia"/>
        </w:rPr>
        <w:t>保护健康的权利通常受到已经援引的《宪章》第</w:t>
      </w:r>
      <w:r>
        <w:rPr>
          <w:rFonts w:hint="eastAsia"/>
        </w:rPr>
        <w:t>31</w:t>
      </w:r>
      <w:r>
        <w:rPr>
          <w:rFonts w:hint="eastAsia"/>
        </w:rPr>
        <w:t>条的保障。这项权利还受到《公共卫生法》</w:t>
      </w:r>
      <w:r>
        <w:rPr>
          <w:rStyle w:val="EndnoteReference"/>
        </w:rPr>
        <w:endnoteReference w:id="334"/>
      </w:r>
      <w:r>
        <w:rPr>
          <w:rFonts w:hint="eastAsia"/>
        </w:rPr>
        <w:t xml:space="preserve"> </w:t>
      </w:r>
      <w:r>
        <w:rPr>
          <w:rFonts w:hint="eastAsia"/>
        </w:rPr>
        <w:t>以及其他规章，特别是《公共健康保险法》的保障。关于提供劳动保护避免职业病的基本要求载于《关于创造和保护有利于健康的生活条件的法令》</w:t>
      </w:r>
      <w:r>
        <w:rPr>
          <w:rStyle w:val="EndnoteReference"/>
        </w:rPr>
        <w:endnoteReference w:id="335"/>
      </w:r>
      <w:r>
        <w:rPr>
          <w:rFonts w:hint="eastAsia"/>
        </w:rPr>
        <w:t>。一些特殊规章规定，在存在可能会导致职业病的因素</w:t>
      </w:r>
      <w:r>
        <w:rPr>
          <w:rFonts w:hint="eastAsia"/>
        </w:rPr>
        <w:t>(</w:t>
      </w:r>
      <w:r>
        <w:rPr>
          <w:rFonts w:hint="eastAsia"/>
        </w:rPr>
        <w:t>例如噪音、振动、尘土、化学物质、致癌物质、电离子和非电离子辐射、高温</w:t>
      </w:r>
      <w:r>
        <w:rPr>
          <w:rFonts w:hint="eastAsia"/>
        </w:rPr>
        <w:t>)</w:t>
      </w:r>
      <w:r>
        <w:rPr>
          <w:rFonts w:hint="eastAsia"/>
        </w:rPr>
        <w:t>的工作场所应保护健康。提供劳动保护避免职业病的措施的一个强制性内容是对从事有职业病危险的工作的雇员进行预防性体检。</w:t>
      </w:r>
      <w:r>
        <w:rPr>
          <w:rFonts w:hint="eastAsia"/>
        </w:rPr>
        <w:t>1995</w:t>
      </w:r>
      <w:r>
        <w:rPr>
          <w:rFonts w:hint="eastAsia"/>
        </w:rPr>
        <w:t>年，政府规章</w:t>
      </w:r>
      <w:r>
        <w:rPr>
          <w:rFonts w:hint="eastAsia"/>
        </w:rPr>
        <w:t xml:space="preserve"> </w:t>
      </w:r>
      <w:r>
        <w:rPr>
          <w:rStyle w:val="EndnoteReference"/>
        </w:rPr>
        <w:endnoteReference w:id="336"/>
      </w:r>
      <w:r>
        <w:rPr>
          <w:rFonts w:hint="eastAsia"/>
        </w:rPr>
        <w:t xml:space="preserve"> </w:t>
      </w:r>
      <w:r>
        <w:rPr>
          <w:rFonts w:hint="eastAsia"/>
        </w:rPr>
        <w:t>公布了被定为职业病的疾病清单。这一清单有</w:t>
      </w:r>
      <w:r>
        <w:rPr>
          <w:rFonts w:hint="eastAsia"/>
        </w:rPr>
        <w:t>83</w:t>
      </w:r>
      <w:r>
        <w:rPr>
          <w:rFonts w:hint="eastAsia"/>
        </w:rPr>
        <w:t>个项目。</w:t>
      </w:r>
    </w:p>
    <w:p w:rsidR="00000000" w:rsidRDefault="00000000">
      <w:pPr>
        <w:rPr>
          <w:rFonts w:hint="eastAsia"/>
        </w:rPr>
      </w:pPr>
      <w:r>
        <w:rPr>
          <w:rFonts w:hint="eastAsia"/>
        </w:rPr>
        <w:tab/>
        <w:t xml:space="preserve">545.  </w:t>
      </w:r>
      <w:r>
        <w:rPr>
          <w:rFonts w:hint="eastAsia"/>
        </w:rPr>
        <w:t>预防传染病主要受到《防止传染病接种法》</w:t>
      </w:r>
      <w:r>
        <w:rPr>
          <w:rStyle w:val="EndnoteReference"/>
        </w:rPr>
        <w:endnoteReference w:id="337"/>
      </w:r>
      <w:r>
        <w:rPr>
          <w:rFonts w:hint="eastAsia"/>
        </w:rPr>
        <w:t xml:space="preserve"> </w:t>
      </w:r>
      <w:r>
        <w:rPr>
          <w:rFonts w:hint="eastAsia"/>
        </w:rPr>
        <w:t>和《防治传染病措施法》</w:t>
      </w:r>
      <w:r>
        <w:rPr>
          <w:rStyle w:val="EndnoteReference"/>
        </w:rPr>
        <w:endnoteReference w:id="338"/>
      </w:r>
      <w:r>
        <w:rPr>
          <w:rFonts w:hint="eastAsia"/>
        </w:rPr>
        <w:t xml:space="preserve"> </w:t>
      </w:r>
      <w:r>
        <w:rPr>
          <w:rFonts w:hint="eastAsia"/>
        </w:rPr>
        <w:t>的保障。</w:t>
      </w:r>
    </w:p>
    <w:p w:rsidR="00000000" w:rsidRDefault="00000000">
      <w:pPr>
        <w:rPr>
          <w:rFonts w:hint="eastAsia"/>
        </w:rPr>
      </w:pPr>
      <w:r>
        <w:rPr>
          <w:rFonts w:hint="eastAsia"/>
        </w:rPr>
        <w:tab/>
        <w:t xml:space="preserve">546.  </w:t>
      </w:r>
      <w:r>
        <w:rPr>
          <w:rFonts w:hint="eastAsia"/>
        </w:rPr>
        <w:t>捷克共和国的流行病状况由卫生部领导下的保健服务部门加以监督。上述《防治传染病措施法》规定了报告传染病的义务。保健服务部门根据病情严重程度命令采取某些适当的防治流行病的措施。国家保健学会监督病例的数量。</w:t>
      </w:r>
    </w:p>
    <w:p w:rsidR="00000000" w:rsidRDefault="00000000">
      <w:pPr>
        <w:rPr>
          <w:rFonts w:hint="eastAsia"/>
        </w:rPr>
      </w:pPr>
      <w:r>
        <w:rPr>
          <w:rFonts w:hint="eastAsia"/>
        </w:rPr>
        <w:tab/>
        <w:t xml:space="preserve">547.  </w:t>
      </w:r>
      <w:r>
        <w:rPr>
          <w:rFonts w:hint="eastAsia"/>
        </w:rPr>
        <w:t>必须接受国家提供的强制性接种的传染病的发病率视接种水平而定，而接种率为</w:t>
      </w:r>
      <w:r>
        <w:rPr>
          <w:rFonts w:hint="eastAsia"/>
        </w:rPr>
        <w:t>98%</w:t>
      </w:r>
      <w:r>
        <w:rPr>
          <w:rFonts w:hint="eastAsia"/>
        </w:rPr>
        <w:t>以上。由于接种，捷克共和国基本上消灭了小儿麻痹症和白喉，百日咳、破伤风、麻疹、腮炎和风疹在很大程度上已经成为单独的病例，并且普遍受到治愈。</w:t>
      </w:r>
    </w:p>
    <w:p w:rsidR="00000000" w:rsidRDefault="00000000">
      <w:pPr>
        <w:spacing w:after="240"/>
        <w:rPr>
          <w:rFonts w:hint="eastAsia"/>
          <w:spacing w:val="8"/>
        </w:rPr>
      </w:pPr>
      <w:r>
        <w:rPr>
          <w:rFonts w:hint="eastAsia"/>
        </w:rPr>
        <w:tab/>
        <w:t xml:space="preserve">548.  </w:t>
      </w:r>
      <w:r>
        <w:rPr>
          <w:rFonts w:hint="eastAsia"/>
          <w:spacing w:val="8"/>
        </w:rPr>
        <w:t>人口普遍接种还改善了传染病的状况，但传染病仍然是一种潜在的危险。</w:t>
      </w:r>
      <w:r>
        <w:rPr>
          <w:rFonts w:hint="eastAsia"/>
          <w:spacing w:val="8"/>
        </w:rPr>
        <w:t>1997</w:t>
      </w:r>
      <w:r>
        <w:rPr>
          <w:rFonts w:hint="eastAsia"/>
          <w:spacing w:val="8"/>
        </w:rPr>
        <w:t>年，肺结核病登记册中记录了</w:t>
      </w:r>
      <w:r>
        <w:rPr>
          <w:rFonts w:hint="eastAsia"/>
          <w:spacing w:val="8"/>
        </w:rPr>
        <w:t>1,834</w:t>
      </w:r>
      <w:r>
        <w:rPr>
          <w:rFonts w:hint="eastAsia"/>
          <w:spacing w:val="8"/>
        </w:rPr>
        <w:t>个肺结核病例。因此，这一年恢复了对新生儿的肺结核强制性接种。</w:t>
      </w:r>
      <w:r>
        <w:rPr>
          <w:rFonts w:hint="eastAsia"/>
          <w:spacing w:val="8"/>
        </w:rPr>
        <w:t>1990</w:t>
      </w:r>
      <w:r>
        <w:rPr>
          <w:rFonts w:hint="eastAsia"/>
          <w:spacing w:val="8"/>
        </w:rPr>
        <w:t>年代，沙门氏菌病重新抬头；绝大多数病例的起因似乎是食品制作时违反卫生条例。根据艾滋病参考实验室的登记，截至</w:t>
      </w:r>
      <w:r>
        <w:rPr>
          <w:rFonts w:hint="eastAsia"/>
          <w:spacing w:val="8"/>
        </w:rPr>
        <w:t>1999</w:t>
      </w:r>
      <w:r>
        <w:rPr>
          <w:rFonts w:hint="eastAsia"/>
          <w:spacing w:val="8"/>
        </w:rPr>
        <w:t>年</w:t>
      </w:r>
      <w:r>
        <w:rPr>
          <w:rFonts w:hint="eastAsia"/>
          <w:spacing w:val="8"/>
        </w:rPr>
        <w:t>4</w:t>
      </w:r>
      <w:r>
        <w:rPr>
          <w:rFonts w:hint="eastAsia"/>
          <w:spacing w:val="8"/>
        </w:rPr>
        <w:t>月</w:t>
      </w:r>
      <w:r>
        <w:rPr>
          <w:rFonts w:hint="eastAsia"/>
          <w:spacing w:val="8"/>
        </w:rPr>
        <w:t>30</w:t>
      </w:r>
      <w:r>
        <w:rPr>
          <w:rFonts w:hint="eastAsia"/>
          <w:spacing w:val="8"/>
        </w:rPr>
        <w:t>日，有</w:t>
      </w:r>
      <w:r>
        <w:rPr>
          <w:rFonts w:hint="eastAsia"/>
          <w:spacing w:val="8"/>
        </w:rPr>
        <w:t>402</w:t>
      </w:r>
      <w:r>
        <w:rPr>
          <w:rFonts w:hint="eastAsia"/>
          <w:spacing w:val="8"/>
        </w:rPr>
        <w:t>个艾滋病毒阳性病人。</w:t>
      </w:r>
      <w:r>
        <w:rPr>
          <w:rFonts w:hint="eastAsia"/>
          <w:spacing w:val="8"/>
        </w:rPr>
        <w:t>123</w:t>
      </w:r>
      <w:r>
        <w:rPr>
          <w:rFonts w:hint="eastAsia"/>
          <w:spacing w:val="8"/>
        </w:rPr>
        <w:t>人发展成为艾滋病，其中</w:t>
      </w:r>
      <w:r>
        <w:rPr>
          <w:rFonts w:hint="eastAsia"/>
          <w:spacing w:val="8"/>
        </w:rPr>
        <w:t>79</w:t>
      </w:r>
      <w:r>
        <w:rPr>
          <w:rFonts w:hint="eastAsia"/>
          <w:spacing w:val="8"/>
        </w:rPr>
        <w:t>人死亡。</w:t>
      </w:r>
    </w:p>
    <w:p w:rsidR="00000000" w:rsidRDefault="00000000">
      <w:pPr>
        <w:pStyle w:val="Heading3"/>
        <w:spacing w:after="160"/>
        <w:rPr>
          <w:rFonts w:hint="eastAsia"/>
        </w:rPr>
      </w:pPr>
      <w:r>
        <w:rPr>
          <w:rFonts w:hint="eastAsia"/>
        </w:rPr>
        <w:t>新近报告的职业病病例</w:t>
      </w: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851"/>
        <w:gridCol w:w="1417"/>
        <w:gridCol w:w="851"/>
        <w:gridCol w:w="1276"/>
        <w:gridCol w:w="877"/>
        <w:gridCol w:w="1373"/>
      </w:tblGrid>
      <w:tr w:rsidR="00000000">
        <w:tblPrEx>
          <w:tblCellMar>
            <w:top w:w="0" w:type="dxa"/>
            <w:bottom w:w="0" w:type="dxa"/>
          </w:tblCellMar>
        </w:tblPrEx>
        <w:trPr>
          <w:cantSplit/>
        </w:trPr>
        <w:tc>
          <w:tcPr>
            <w:tcW w:w="2835" w:type="dxa"/>
            <w:vMerge w:val="restart"/>
          </w:tcPr>
          <w:p w:rsidR="00000000" w:rsidRDefault="00000000">
            <w:pPr>
              <w:pStyle w:val="aa"/>
            </w:pPr>
          </w:p>
        </w:tc>
        <w:tc>
          <w:tcPr>
            <w:tcW w:w="2268" w:type="dxa"/>
            <w:gridSpan w:val="2"/>
          </w:tcPr>
          <w:p w:rsidR="00000000" w:rsidRDefault="00000000">
            <w:pPr>
              <w:pStyle w:val="aa"/>
              <w:jc w:val="center"/>
            </w:pPr>
            <w:r>
              <w:t>1993</w:t>
            </w:r>
          </w:p>
        </w:tc>
        <w:tc>
          <w:tcPr>
            <w:tcW w:w="2127" w:type="dxa"/>
            <w:gridSpan w:val="2"/>
          </w:tcPr>
          <w:p w:rsidR="00000000" w:rsidRDefault="00000000">
            <w:pPr>
              <w:pStyle w:val="aa"/>
              <w:jc w:val="center"/>
            </w:pPr>
            <w:r>
              <w:t>1995</w:t>
            </w:r>
          </w:p>
        </w:tc>
        <w:tc>
          <w:tcPr>
            <w:tcW w:w="2250" w:type="dxa"/>
            <w:gridSpan w:val="2"/>
          </w:tcPr>
          <w:p w:rsidR="00000000" w:rsidRDefault="00000000">
            <w:pPr>
              <w:pStyle w:val="aa"/>
              <w:jc w:val="center"/>
            </w:pPr>
            <w:r>
              <w:t>1997</w:t>
            </w:r>
          </w:p>
        </w:tc>
      </w:tr>
      <w:tr w:rsidR="00000000">
        <w:tblPrEx>
          <w:tblCellMar>
            <w:top w:w="0" w:type="dxa"/>
            <w:bottom w:w="0" w:type="dxa"/>
          </w:tblCellMar>
        </w:tblPrEx>
        <w:trPr>
          <w:cantSplit/>
        </w:trPr>
        <w:tc>
          <w:tcPr>
            <w:tcW w:w="2835" w:type="dxa"/>
            <w:vMerge/>
          </w:tcPr>
          <w:p w:rsidR="00000000" w:rsidRDefault="00000000">
            <w:pPr>
              <w:pStyle w:val="aa"/>
            </w:pPr>
          </w:p>
        </w:tc>
        <w:tc>
          <w:tcPr>
            <w:tcW w:w="851" w:type="dxa"/>
          </w:tcPr>
          <w:p w:rsidR="00000000" w:rsidRDefault="00000000">
            <w:pPr>
              <w:pStyle w:val="aa"/>
              <w:jc w:val="center"/>
              <w:rPr>
                <w:rFonts w:hint="eastAsia"/>
              </w:rPr>
            </w:pPr>
            <w:r>
              <w:rPr>
                <w:rFonts w:hint="eastAsia"/>
              </w:rPr>
              <w:t>合</w:t>
            </w:r>
            <w:r>
              <w:rPr>
                <w:rFonts w:hint="eastAsia"/>
              </w:rPr>
              <w:t xml:space="preserve">  </w:t>
            </w:r>
            <w:r>
              <w:rPr>
                <w:rFonts w:hint="eastAsia"/>
              </w:rPr>
              <w:t>计</w:t>
            </w:r>
          </w:p>
        </w:tc>
        <w:tc>
          <w:tcPr>
            <w:tcW w:w="1417" w:type="dxa"/>
          </w:tcPr>
          <w:p w:rsidR="00000000" w:rsidRDefault="00000000">
            <w:pPr>
              <w:pStyle w:val="aa"/>
              <w:jc w:val="center"/>
              <w:rPr>
                <w:rFonts w:hint="eastAsia"/>
              </w:rPr>
            </w:pPr>
            <w:r>
              <w:rPr>
                <w:rFonts w:hint="eastAsia"/>
              </w:rPr>
              <w:t>每</w:t>
            </w:r>
            <w:r>
              <w:rPr>
                <w:rFonts w:hint="eastAsia"/>
              </w:rPr>
              <w:t>100</w:t>
            </w:r>
            <w:r>
              <w:rPr>
                <w:rFonts w:hint="eastAsia"/>
                <w:bCs/>
              </w:rPr>
              <w:t>病例</w:t>
            </w:r>
          </w:p>
        </w:tc>
        <w:tc>
          <w:tcPr>
            <w:tcW w:w="851" w:type="dxa"/>
          </w:tcPr>
          <w:p w:rsidR="00000000" w:rsidRDefault="00000000">
            <w:pPr>
              <w:pStyle w:val="aa"/>
              <w:jc w:val="center"/>
              <w:rPr>
                <w:rFonts w:hint="eastAsia"/>
              </w:rPr>
            </w:pPr>
            <w:r>
              <w:rPr>
                <w:rFonts w:hint="eastAsia"/>
              </w:rPr>
              <w:t>合</w:t>
            </w:r>
            <w:r>
              <w:rPr>
                <w:rFonts w:hint="eastAsia"/>
              </w:rPr>
              <w:t xml:space="preserve">  </w:t>
            </w:r>
            <w:r>
              <w:rPr>
                <w:rFonts w:hint="eastAsia"/>
              </w:rPr>
              <w:t>计</w:t>
            </w:r>
          </w:p>
        </w:tc>
        <w:tc>
          <w:tcPr>
            <w:tcW w:w="1276" w:type="dxa"/>
          </w:tcPr>
          <w:p w:rsidR="00000000" w:rsidRDefault="00000000">
            <w:pPr>
              <w:pStyle w:val="aa"/>
              <w:jc w:val="center"/>
              <w:rPr>
                <w:rFonts w:hint="eastAsia"/>
              </w:rPr>
            </w:pPr>
            <w:r>
              <w:rPr>
                <w:rFonts w:hint="eastAsia"/>
              </w:rPr>
              <w:t>每</w:t>
            </w:r>
            <w:r>
              <w:rPr>
                <w:rFonts w:hint="eastAsia"/>
              </w:rPr>
              <w:t>100</w:t>
            </w:r>
            <w:r>
              <w:rPr>
                <w:rFonts w:hint="eastAsia"/>
                <w:bCs/>
              </w:rPr>
              <w:t>病例</w:t>
            </w:r>
          </w:p>
        </w:tc>
        <w:tc>
          <w:tcPr>
            <w:tcW w:w="877" w:type="dxa"/>
          </w:tcPr>
          <w:p w:rsidR="00000000" w:rsidRDefault="00000000">
            <w:pPr>
              <w:pStyle w:val="aa"/>
              <w:jc w:val="center"/>
              <w:rPr>
                <w:rFonts w:hint="eastAsia"/>
              </w:rPr>
            </w:pPr>
            <w:r>
              <w:rPr>
                <w:rFonts w:hint="eastAsia"/>
              </w:rPr>
              <w:t>合</w:t>
            </w:r>
            <w:r>
              <w:rPr>
                <w:rFonts w:hint="eastAsia"/>
              </w:rPr>
              <w:t xml:space="preserve">  </w:t>
            </w:r>
            <w:r>
              <w:rPr>
                <w:rFonts w:hint="eastAsia"/>
              </w:rPr>
              <w:t>计</w:t>
            </w:r>
          </w:p>
        </w:tc>
        <w:tc>
          <w:tcPr>
            <w:tcW w:w="1373" w:type="dxa"/>
          </w:tcPr>
          <w:p w:rsidR="00000000" w:rsidRDefault="00000000">
            <w:pPr>
              <w:pStyle w:val="aa"/>
              <w:jc w:val="center"/>
              <w:rPr>
                <w:rFonts w:hint="eastAsia"/>
              </w:rPr>
            </w:pPr>
            <w:r>
              <w:rPr>
                <w:rFonts w:hint="eastAsia"/>
              </w:rPr>
              <w:t>每</w:t>
            </w:r>
            <w:r>
              <w:rPr>
                <w:rFonts w:hint="eastAsia"/>
              </w:rPr>
              <w:t>100</w:t>
            </w:r>
            <w:r>
              <w:rPr>
                <w:rFonts w:hint="eastAsia"/>
                <w:bCs/>
              </w:rPr>
              <w:t>病例</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中毒</w:t>
            </w:r>
          </w:p>
        </w:tc>
        <w:tc>
          <w:tcPr>
            <w:tcW w:w="851" w:type="dxa"/>
          </w:tcPr>
          <w:p w:rsidR="00000000" w:rsidRDefault="00000000">
            <w:pPr>
              <w:pStyle w:val="aa"/>
              <w:ind w:right="142"/>
              <w:jc w:val="right"/>
            </w:pPr>
            <w:r>
              <w:t>61</w:t>
            </w:r>
          </w:p>
        </w:tc>
        <w:tc>
          <w:tcPr>
            <w:tcW w:w="1417" w:type="dxa"/>
          </w:tcPr>
          <w:p w:rsidR="00000000" w:rsidRDefault="00000000">
            <w:pPr>
              <w:pStyle w:val="aa"/>
              <w:ind w:right="340"/>
              <w:jc w:val="right"/>
            </w:pPr>
            <w:r>
              <w:t>1.29</w:t>
            </w:r>
          </w:p>
        </w:tc>
        <w:tc>
          <w:tcPr>
            <w:tcW w:w="851" w:type="dxa"/>
          </w:tcPr>
          <w:p w:rsidR="00000000" w:rsidRDefault="00000000">
            <w:pPr>
              <w:pStyle w:val="aa"/>
              <w:ind w:right="142"/>
              <w:jc w:val="right"/>
            </w:pPr>
            <w:r>
              <w:t>60</w:t>
            </w:r>
          </w:p>
        </w:tc>
        <w:tc>
          <w:tcPr>
            <w:tcW w:w="1276" w:type="dxa"/>
          </w:tcPr>
          <w:p w:rsidR="00000000" w:rsidRDefault="00000000">
            <w:pPr>
              <w:pStyle w:val="aa"/>
              <w:ind w:right="340"/>
              <w:jc w:val="right"/>
            </w:pPr>
            <w:r>
              <w:t>1.27</w:t>
            </w:r>
          </w:p>
        </w:tc>
        <w:tc>
          <w:tcPr>
            <w:tcW w:w="877" w:type="dxa"/>
          </w:tcPr>
          <w:p w:rsidR="00000000" w:rsidRDefault="00000000">
            <w:pPr>
              <w:pStyle w:val="aa"/>
              <w:ind w:right="142"/>
              <w:jc w:val="right"/>
            </w:pPr>
            <w:r>
              <w:t>62</w:t>
            </w:r>
          </w:p>
        </w:tc>
        <w:tc>
          <w:tcPr>
            <w:tcW w:w="1373" w:type="dxa"/>
          </w:tcPr>
          <w:p w:rsidR="00000000" w:rsidRDefault="00000000">
            <w:pPr>
              <w:pStyle w:val="aa"/>
              <w:ind w:right="340"/>
              <w:jc w:val="right"/>
            </w:pPr>
            <w:r>
              <w:t>1.28</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皮炎</w:t>
            </w:r>
          </w:p>
        </w:tc>
        <w:tc>
          <w:tcPr>
            <w:tcW w:w="851" w:type="dxa"/>
          </w:tcPr>
          <w:p w:rsidR="00000000" w:rsidRDefault="00000000">
            <w:pPr>
              <w:pStyle w:val="aa"/>
              <w:ind w:right="142"/>
              <w:jc w:val="right"/>
            </w:pPr>
            <w:r>
              <w:t>504</w:t>
            </w:r>
          </w:p>
        </w:tc>
        <w:tc>
          <w:tcPr>
            <w:tcW w:w="1417" w:type="dxa"/>
          </w:tcPr>
          <w:p w:rsidR="00000000" w:rsidRDefault="00000000">
            <w:pPr>
              <w:pStyle w:val="aa"/>
              <w:ind w:right="340"/>
              <w:jc w:val="right"/>
            </w:pPr>
            <w:r>
              <w:t>10.70</w:t>
            </w:r>
          </w:p>
        </w:tc>
        <w:tc>
          <w:tcPr>
            <w:tcW w:w="851" w:type="dxa"/>
          </w:tcPr>
          <w:p w:rsidR="00000000" w:rsidRDefault="00000000">
            <w:pPr>
              <w:pStyle w:val="aa"/>
              <w:ind w:right="142"/>
              <w:jc w:val="right"/>
            </w:pPr>
            <w:r>
              <w:t>552</w:t>
            </w:r>
          </w:p>
        </w:tc>
        <w:tc>
          <w:tcPr>
            <w:tcW w:w="1276" w:type="dxa"/>
          </w:tcPr>
          <w:p w:rsidR="00000000" w:rsidRDefault="00000000">
            <w:pPr>
              <w:pStyle w:val="aa"/>
              <w:ind w:right="340"/>
              <w:jc w:val="right"/>
            </w:pPr>
            <w:r>
              <w:t>11.72</w:t>
            </w:r>
          </w:p>
        </w:tc>
        <w:tc>
          <w:tcPr>
            <w:tcW w:w="877" w:type="dxa"/>
          </w:tcPr>
          <w:p w:rsidR="00000000" w:rsidRDefault="00000000">
            <w:pPr>
              <w:pStyle w:val="aa"/>
              <w:ind w:right="142"/>
              <w:jc w:val="right"/>
            </w:pPr>
            <w:r>
              <w:t>452</w:t>
            </w:r>
          </w:p>
        </w:tc>
        <w:tc>
          <w:tcPr>
            <w:tcW w:w="1373" w:type="dxa"/>
          </w:tcPr>
          <w:p w:rsidR="00000000" w:rsidRDefault="00000000">
            <w:pPr>
              <w:pStyle w:val="aa"/>
              <w:ind w:right="340"/>
              <w:jc w:val="right"/>
            </w:pPr>
            <w:r>
              <w:t>9.35</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辐射物质造成的肺癌</w:t>
            </w:r>
          </w:p>
        </w:tc>
        <w:tc>
          <w:tcPr>
            <w:tcW w:w="851" w:type="dxa"/>
          </w:tcPr>
          <w:p w:rsidR="00000000" w:rsidRDefault="00000000">
            <w:pPr>
              <w:pStyle w:val="aa"/>
              <w:ind w:right="142"/>
              <w:jc w:val="right"/>
            </w:pPr>
            <w:r>
              <w:t>92</w:t>
            </w:r>
          </w:p>
        </w:tc>
        <w:tc>
          <w:tcPr>
            <w:tcW w:w="1417" w:type="dxa"/>
          </w:tcPr>
          <w:p w:rsidR="00000000" w:rsidRDefault="00000000">
            <w:pPr>
              <w:pStyle w:val="aa"/>
              <w:ind w:right="340"/>
              <w:jc w:val="right"/>
            </w:pPr>
            <w:r>
              <w:t>1.95</w:t>
            </w:r>
          </w:p>
        </w:tc>
        <w:tc>
          <w:tcPr>
            <w:tcW w:w="851" w:type="dxa"/>
          </w:tcPr>
          <w:p w:rsidR="00000000" w:rsidRDefault="00000000">
            <w:pPr>
              <w:pStyle w:val="aa"/>
              <w:ind w:right="142"/>
              <w:jc w:val="right"/>
            </w:pPr>
            <w:r>
              <w:t>55</w:t>
            </w:r>
          </w:p>
        </w:tc>
        <w:tc>
          <w:tcPr>
            <w:tcW w:w="1276" w:type="dxa"/>
          </w:tcPr>
          <w:p w:rsidR="00000000" w:rsidRDefault="00000000">
            <w:pPr>
              <w:pStyle w:val="aa"/>
              <w:ind w:right="340"/>
              <w:jc w:val="right"/>
              <w:rPr>
                <w:rFonts w:hint="eastAsia"/>
              </w:rPr>
            </w:pPr>
            <w:r>
              <w:t>1.72</w:t>
            </w:r>
          </w:p>
        </w:tc>
        <w:tc>
          <w:tcPr>
            <w:tcW w:w="877" w:type="dxa"/>
          </w:tcPr>
          <w:p w:rsidR="00000000" w:rsidRDefault="00000000">
            <w:pPr>
              <w:pStyle w:val="aa"/>
              <w:ind w:right="142"/>
              <w:jc w:val="right"/>
            </w:pPr>
            <w:r>
              <w:t>45</w:t>
            </w:r>
          </w:p>
        </w:tc>
        <w:tc>
          <w:tcPr>
            <w:tcW w:w="1373" w:type="dxa"/>
          </w:tcPr>
          <w:p w:rsidR="00000000" w:rsidRDefault="00000000">
            <w:pPr>
              <w:pStyle w:val="aa"/>
              <w:ind w:right="340"/>
              <w:jc w:val="right"/>
            </w:pPr>
            <w:r>
              <w:t>0.93</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传染病和寄生虫病</w:t>
            </w:r>
          </w:p>
        </w:tc>
        <w:tc>
          <w:tcPr>
            <w:tcW w:w="851" w:type="dxa"/>
          </w:tcPr>
          <w:p w:rsidR="00000000" w:rsidRDefault="00000000">
            <w:pPr>
              <w:pStyle w:val="aa"/>
              <w:ind w:right="142"/>
              <w:jc w:val="right"/>
            </w:pPr>
            <w:r>
              <w:t>508</w:t>
            </w:r>
          </w:p>
        </w:tc>
        <w:tc>
          <w:tcPr>
            <w:tcW w:w="1417" w:type="dxa"/>
          </w:tcPr>
          <w:p w:rsidR="00000000" w:rsidRDefault="00000000">
            <w:pPr>
              <w:pStyle w:val="aa"/>
              <w:ind w:right="340"/>
              <w:jc w:val="right"/>
            </w:pPr>
            <w:r>
              <w:t>10.79</w:t>
            </w:r>
          </w:p>
        </w:tc>
        <w:tc>
          <w:tcPr>
            <w:tcW w:w="851" w:type="dxa"/>
          </w:tcPr>
          <w:p w:rsidR="00000000" w:rsidRDefault="00000000">
            <w:pPr>
              <w:pStyle w:val="aa"/>
              <w:ind w:right="142"/>
              <w:jc w:val="right"/>
            </w:pPr>
            <w:r>
              <w:t>506</w:t>
            </w:r>
          </w:p>
        </w:tc>
        <w:tc>
          <w:tcPr>
            <w:tcW w:w="1276" w:type="dxa"/>
          </w:tcPr>
          <w:p w:rsidR="00000000" w:rsidRDefault="00000000">
            <w:pPr>
              <w:pStyle w:val="aa"/>
              <w:ind w:right="340"/>
              <w:jc w:val="right"/>
            </w:pPr>
            <w:r>
              <w:t>10.75</w:t>
            </w:r>
          </w:p>
        </w:tc>
        <w:tc>
          <w:tcPr>
            <w:tcW w:w="877" w:type="dxa"/>
          </w:tcPr>
          <w:p w:rsidR="00000000" w:rsidRDefault="00000000">
            <w:pPr>
              <w:pStyle w:val="aa"/>
              <w:ind w:right="142"/>
              <w:jc w:val="right"/>
            </w:pPr>
            <w:r>
              <w:t>362</w:t>
            </w:r>
          </w:p>
        </w:tc>
        <w:tc>
          <w:tcPr>
            <w:tcW w:w="1373" w:type="dxa"/>
          </w:tcPr>
          <w:p w:rsidR="00000000" w:rsidRDefault="00000000">
            <w:pPr>
              <w:pStyle w:val="aa"/>
              <w:ind w:right="340"/>
              <w:jc w:val="right"/>
            </w:pPr>
            <w:r>
              <w:t>7.49</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振动引起的疾病</w:t>
            </w:r>
          </w:p>
        </w:tc>
        <w:tc>
          <w:tcPr>
            <w:tcW w:w="851" w:type="dxa"/>
          </w:tcPr>
          <w:p w:rsidR="00000000" w:rsidRDefault="00000000">
            <w:pPr>
              <w:pStyle w:val="aa"/>
              <w:ind w:right="142"/>
              <w:jc w:val="right"/>
            </w:pPr>
            <w:r>
              <w:t>658</w:t>
            </w:r>
          </w:p>
        </w:tc>
        <w:tc>
          <w:tcPr>
            <w:tcW w:w="1417" w:type="dxa"/>
          </w:tcPr>
          <w:p w:rsidR="00000000" w:rsidRDefault="00000000">
            <w:pPr>
              <w:pStyle w:val="aa"/>
              <w:ind w:right="340"/>
              <w:jc w:val="right"/>
            </w:pPr>
            <w:r>
              <w:t>13.97</w:t>
            </w:r>
          </w:p>
        </w:tc>
        <w:tc>
          <w:tcPr>
            <w:tcW w:w="851" w:type="dxa"/>
          </w:tcPr>
          <w:p w:rsidR="00000000" w:rsidRDefault="00000000">
            <w:pPr>
              <w:pStyle w:val="aa"/>
              <w:ind w:right="142"/>
              <w:jc w:val="right"/>
            </w:pPr>
            <w:r>
              <w:t>509</w:t>
            </w:r>
          </w:p>
        </w:tc>
        <w:tc>
          <w:tcPr>
            <w:tcW w:w="1276" w:type="dxa"/>
          </w:tcPr>
          <w:p w:rsidR="00000000" w:rsidRDefault="00000000">
            <w:pPr>
              <w:pStyle w:val="aa"/>
              <w:ind w:right="340"/>
              <w:jc w:val="right"/>
            </w:pPr>
            <w:r>
              <w:t>10.81</w:t>
            </w:r>
          </w:p>
        </w:tc>
        <w:tc>
          <w:tcPr>
            <w:tcW w:w="877" w:type="dxa"/>
          </w:tcPr>
          <w:p w:rsidR="00000000" w:rsidRDefault="00000000">
            <w:pPr>
              <w:pStyle w:val="aa"/>
              <w:ind w:right="142"/>
              <w:jc w:val="right"/>
            </w:pPr>
            <w:r>
              <w:t>457</w:t>
            </w:r>
          </w:p>
        </w:tc>
        <w:tc>
          <w:tcPr>
            <w:tcW w:w="1373" w:type="dxa"/>
          </w:tcPr>
          <w:p w:rsidR="00000000" w:rsidRDefault="00000000">
            <w:pPr>
              <w:pStyle w:val="aa"/>
              <w:ind w:right="340"/>
              <w:jc w:val="right"/>
            </w:pPr>
            <w:r>
              <w:t>9.45</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长期超时工作引起的疾病</w:t>
            </w:r>
          </w:p>
        </w:tc>
        <w:tc>
          <w:tcPr>
            <w:tcW w:w="851" w:type="dxa"/>
          </w:tcPr>
          <w:p w:rsidR="00000000" w:rsidRDefault="00000000">
            <w:pPr>
              <w:pStyle w:val="aa"/>
              <w:ind w:right="142"/>
              <w:jc w:val="right"/>
            </w:pPr>
            <w:r>
              <w:t>450</w:t>
            </w:r>
          </w:p>
        </w:tc>
        <w:tc>
          <w:tcPr>
            <w:tcW w:w="1417" w:type="dxa"/>
          </w:tcPr>
          <w:p w:rsidR="00000000" w:rsidRDefault="00000000">
            <w:pPr>
              <w:pStyle w:val="aa"/>
              <w:ind w:right="340"/>
              <w:jc w:val="right"/>
            </w:pPr>
            <w:r>
              <w:t>9.55</w:t>
            </w:r>
          </w:p>
        </w:tc>
        <w:tc>
          <w:tcPr>
            <w:tcW w:w="851" w:type="dxa"/>
          </w:tcPr>
          <w:p w:rsidR="00000000" w:rsidRDefault="00000000">
            <w:pPr>
              <w:pStyle w:val="aa"/>
              <w:ind w:right="142"/>
              <w:jc w:val="right"/>
            </w:pPr>
            <w:r>
              <w:t>460</w:t>
            </w:r>
          </w:p>
        </w:tc>
        <w:tc>
          <w:tcPr>
            <w:tcW w:w="1276" w:type="dxa"/>
          </w:tcPr>
          <w:p w:rsidR="00000000" w:rsidRDefault="00000000">
            <w:pPr>
              <w:pStyle w:val="aa"/>
              <w:ind w:right="340"/>
              <w:jc w:val="right"/>
            </w:pPr>
            <w:r>
              <w:t>9.77</w:t>
            </w:r>
          </w:p>
        </w:tc>
        <w:tc>
          <w:tcPr>
            <w:tcW w:w="877" w:type="dxa"/>
          </w:tcPr>
          <w:p w:rsidR="00000000" w:rsidRDefault="00000000">
            <w:pPr>
              <w:pStyle w:val="aa"/>
              <w:ind w:right="142"/>
              <w:jc w:val="right"/>
            </w:pPr>
            <w:r>
              <w:t>464</w:t>
            </w:r>
          </w:p>
        </w:tc>
        <w:tc>
          <w:tcPr>
            <w:tcW w:w="1373" w:type="dxa"/>
          </w:tcPr>
          <w:p w:rsidR="00000000" w:rsidRDefault="00000000">
            <w:pPr>
              <w:pStyle w:val="aa"/>
              <w:ind w:right="340"/>
              <w:jc w:val="right"/>
            </w:pPr>
            <w:r>
              <w:t>9.6</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矽肺</w:t>
            </w:r>
          </w:p>
        </w:tc>
        <w:tc>
          <w:tcPr>
            <w:tcW w:w="851" w:type="dxa"/>
          </w:tcPr>
          <w:p w:rsidR="00000000" w:rsidRDefault="00000000">
            <w:pPr>
              <w:pStyle w:val="aa"/>
              <w:ind w:right="142"/>
              <w:jc w:val="right"/>
            </w:pPr>
            <w:r>
              <w:t>492</w:t>
            </w:r>
          </w:p>
        </w:tc>
        <w:tc>
          <w:tcPr>
            <w:tcW w:w="1417" w:type="dxa"/>
          </w:tcPr>
          <w:p w:rsidR="00000000" w:rsidRDefault="00000000">
            <w:pPr>
              <w:pStyle w:val="aa"/>
              <w:ind w:right="340"/>
              <w:jc w:val="right"/>
            </w:pPr>
            <w:r>
              <w:t>10.44</w:t>
            </w:r>
          </w:p>
        </w:tc>
        <w:tc>
          <w:tcPr>
            <w:tcW w:w="851" w:type="dxa"/>
          </w:tcPr>
          <w:p w:rsidR="00000000" w:rsidRDefault="00000000">
            <w:pPr>
              <w:pStyle w:val="aa"/>
              <w:ind w:right="142"/>
              <w:jc w:val="right"/>
            </w:pPr>
            <w:r>
              <w:t>466</w:t>
            </w:r>
          </w:p>
        </w:tc>
        <w:tc>
          <w:tcPr>
            <w:tcW w:w="1276" w:type="dxa"/>
          </w:tcPr>
          <w:p w:rsidR="00000000" w:rsidRDefault="00000000">
            <w:pPr>
              <w:pStyle w:val="aa"/>
              <w:ind w:right="340"/>
              <w:jc w:val="right"/>
            </w:pPr>
            <w:r>
              <w:t>9.9</w:t>
            </w:r>
          </w:p>
        </w:tc>
        <w:tc>
          <w:tcPr>
            <w:tcW w:w="877" w:type="dxa"/>
          </w:tcPr>
          <w:p w:rsidR="00000000" w:rsidRDefault="00000000">
            <w:pPr>
              <w:pStyle w:val="aa"/>
              <w:ind w:right="142"/>
              <w:jc w:val="right"/>
            </w:pPr>
            <w:r>
              <w:t>280</w:t>
            </w:r>
          </w:p>
        </w:tc>
        <w:tc>
          <w:tcPr>
            <w:tcW w:w="1373" w:type="dxa"/>
          </w:tcPr>
          <w:p w:rsidR="00000000" w:rsidRDefault="00000000">
            <w:pPr>
              <w:pStyle w:val="aa"/>
              <w:ind w:right="340"/>
              <w:jc w:val="right"/>
            </w:pPr>
            <w:r>
              <w:t>5.79</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气喘病</w:t>
            </w:r>
          </w:p>
        </w:tc>
        <w:tc>
          <w:tcPr>
            <w:tcW w:w="851" w:type="dxa"/>
          </w:tcPr>
          <w:p w:rsidR="00000000" w:rsidRDefault="00000000">
            <w:pPr>
              <w:pStyle w:val="aa"/>
              <w:ind w:right="142"/>
              <w:jc w:val="right"/>
            </w:pPr>
            <w:r>
              <w:t>-</w:t>
            </w:r>
          </w:p>
        </w:tc>
        <w:tc>
          <w:tcPr>
            <w:tcW w:w="1417" w:type="dxa"/>
          </w:tcPr>
          <w:p w:rsidR="00000000" w:rsidRDefault="00000000">
            <w:pPr>
              <w:pStyle w:val="aa"/>
              <w:ind w:right="340"/>
              <w:jc w:val="right"/>
              <w:rPr>
                <w:rFonts w:hint="eastAsia"/>
              </w:rPr>
            </w:pPr>
            <w:r>
              <w:t>-</w:t>
            </w:r>
          </w:p>
        </w:tc>
        <w:tc>
          <w:tcPr>
            <w:tcW w:w="851" w:type="dxa"/>
          </w:tcPr>
          <w:p w:rsidR="00000000" w:rsidRDefault="00000000">
            <w:pPr>
              <w:pStyle w:val="aa"/>
              <w:ind w:right="142"/>
              <w:jc w:val="right"/>
            </w:pPr>
            <w:r>
              <w:t>65</w:t>
            </w:r>
          </w:p>
        </w:tc>
        <w:tc>
          <w:tcPr>
            <w:tcW w:w="1276" w:type="dxa"/>
          </w:tcPr>
          <w:p w:rsidR="00000000" w:rsidRDefault="00000000">
            <w:pPr>
              <w:pStyle w:val="aa"/>
              <w:ind w:right="340"/>
              <w:jc w:val="right"/>
            </w:pPr>
            <w:r>
              <w:t>1.38</w:t>
            </w:r>
          </w:p>
        </w:tc>
        <w:tc>
          <w:tcPr>
            <w:tcW w:w="877" w:type="dxa"/>
          </w:tcPr>
          <w:p w:rsidR="00000000" w:rsidRDefault="00000000">
            <w:pPr>
              <w:pStyle w:val="aa"/>
              <w:ind w:right="142"/>
              <w:jc w:val="right"/>
            </w:pPr>
            <w:r>
              <w:t>104</w:t>
            </w:r>
          </w:p>
        </w:tc>
        <w:tc>
          <w:tcPr>
            <w:tcW w:w="1373" w:type="dxa"/>
          </w:tcPr>
          <w:p w:rsidR="00000000" w:rsidRDefault="00000000">
            <w:pPr>
              <w:pStyle w:val="aa"/>
              <w:ind w:right="340"/>
              <w:jc w:val="right"/>
            </w:pPr>
            <w:r>
              <w:t>2.15</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听力病</w:t>
            </w:r>
          </w:p>
        </w:tc>
        <w:tc>
          <w:tcPr>
            <w:tcW w:w="851" w:type="dxa"/>
          </w:tcPr>
          <w:p w:rsidR="00000000" w:rsidRDefault="00000000">
            <w:pPr>
              <w:pStyle w:val="aa"/>
              <w:ind w:right="142"/>
              <w:jc w:val="right"/>
            </w:pPr>
            <w:r>
              <w:t>114</w:t>
            </w:r>
          </w:p>
        </w:tc>
        <w:tc>
          <w:tcPr>
            <w:tcW w:w="1417" w:type="dxa"/>
          </w:tcPr>
          <w:p w:rsidR="00000000" w:rsidRDefault="00000000">
            <w:pPr>
              <w:pStyle w:val="aa"/>
              <w:ind w:right="340"/>
              <w:jc w:val="right"/>
            </w:pPr>
            <w:r>
              <w:t>2.42</w:t>
            </w:r>
          </w:p>
        </w:tc>
        <w:tc>
          <w:tcPr>
            <w:tcW w:w="851" w:type="dxa"/>
          </w:tcPr>
          <w:p w:rsidR="00000000" w:rsidRDefault="00000000">
            <w:pPr>
              <w:pStyle w:val="aa"/>
              <w:ind w:right="142"/>
              <w:jc w:val="right"/>
            </w:pPr>
            <w:r>
              <w:t>80</w:t>
            </w:r>
          </w:p>
        </w:tc>
        <w:tc>
          <w:tcPr>
            <w:tcW w:w="1276" w:type="dxa"/>
          </w:tcPr>
          <w:p w:rsidR="00000000" w:rsidRDefault="00000000">
            <w:pPr>
              <w:pStyle w:val="aa"/>
              <w:ind w:right="340"/>
              <w:jc w:val="right"/>
            </w:pPr>
            <w:r>
              <w:t>1.7</w:t>
            </w:r>
          </w:p>
        </w:tc>
        <w:tc>
          <w:tcPr>
            <w:tcW w:w="877" w:type="dxa"/>
          </w:tcPr>
          <w:p w:rsidR="00000000" w:rsidRDefault="00000000">
            <w:pPr>
              <w:pStyle w:val="aa"/>
              <w:ind w:right="142"/>
              <w:jc w:val="right"/>
            </w:pPr>
            <w:r>
              <w:t>65</w:t>
            </w:r>
          </w:p>
        </w:tc>
        <w:tc>
          <w:tcPr>
            <w:tcW w:w="1373" w:type="dxa"/>
          </w:tcPr>
          <w:p w:rsidR="00000000" w:rsidRDefault="00000000">
            <w:pPr>
              <w:pStyle w:val="aa"/>
              <w:ind w:right="340"/>
              <w:jc w:val="right"/>
            </w:pPr>
            <w:r>
              <w:t>1.34</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其他疾病</w:t>
            </w:r>
          </w:p>
        </w:tc>
        <w:tc>
          <w:tcPr>
            <w:tcW w:w="851" w:type="dxa"/>
          </w:tcPr>
          <w:p w:rsidR="00000000" w:rsidRDefault="00000000">
            <w:pPr>
              <w:pStyle w:val="aa"/>
              <w:ind w:right="142"/>
              <w:jc w:val="right"/>
            </w:pPr>
            <w:r>
              <w:t>104</w:t>
            </w:r>
          </w:p>
        </w:tc>
        <w:tc>
          <w:tcPr>
            <w:tcW w:w="1417" w:type="dxa"/>
          </w:tcPr>
          <w:p w:rsidR="00000000" w:rsidRDefault="00000000">
            <w:pPr>
              <w:pStyle w:val="aa"/>
              <w:ind w:right="340"/>
              <w:jc w:val="right"/>
            </w:pPr>
            <w:r>
              <w:t>2.21</w:t>
            </w:r>
          </w:p>
        </w:tc>
        <w:tc>
          <w:tcPr>
            <w:tcW w:w="851" w:type="dxa"/>
          </w:tcPr>
          <w:p w:rsidR="00000000" w:rsidRDefault="00000000">
            <w:pPr>
              <w:pStyle w:val="aa"/>
              <w:ind w:right="142"/>
              <w:jc w:val="right"/>
            </w:pPr>
            <w:r>
              <w:t>53</w:t>
            </w:r>
          </w:p>
        </w:tc>
        <w:tc>
          <w:tcPr>
            <w:tcW w:w="1276" w:type="dxa"/>
          </w:tcPr>
          <w:p w:rsidR="00000000" w:rsidRDefault="00000000">
            <w:pPr>
              <w:pStyle w:val="aa"/>
              <w:ind w:right="340"/>
              <w:jc w:val="right"/>
            </w:pPr>
            <w:r>
              <w:t>1.13</w:t>
            </w:r>
          </w:p>
        </w:tc>
        <w:tc>
          <w:tcPr>
            <w:tcW w:w="877" w:type="dxa"/>
          </w:tcPr>
          <w:p w:rsidR="00000000" w:rsidRDefault="00000000">
            <w:pPr>
              <w:pStyle w:val="aa"/>
              <w:ind w:right="142"/>
              <w:jc w:val="right"/>
            </w:pPr>
            <w:r>
              <w:t>59</w:t>
            </w:r>
          </w:p>
        </w:tc>
        <w:tc>
          <w:tcPr>
            <w:tcW w:w="1373" w:type="dxa"/>
          </w:tcPr>
          <w:p w:rsidR="00000000" w:rsidRDefault="00000000">
            <w:pPr>
              <w:pStyle w:val="aa"/>
              <w:ind w:right="340"/>
              <w:jc w:val="right"/>
            </w:pPr>
            <w:r>
              <w:t>1.22</w:t>
            </w:r>
          </w:p>
        </w:tc>
      </w:tr>
      <w:tr w:rsidR="00000000">
        <w:tblPrEx>
          <w:tblCellMar>
            <w:top w:w="0" w:type="dxa"/>
            <w:bottom w:w="0" w:type="dxa"/>
          </w:tblCellMar>
        </w:tblPrEx>
        <w:tc>
          <w:tcPr>
            <w:tcW w:w="2835" w:type="dxa"/>
          </w:tcPr>
          <w:p w:rsidR="00000000" w:rsidRDefault="00000000">
            <w:pPr>
              <w:pStyle w:val="aa"/>
              <w:rPr>
                <w:rFonts w:hint="eastAsia"/>
              </w:rPr>
            </w:pPr>
            <w:r>
              <w:rPr>
                <w:rFonts w:hint="eastAsia"/>
              </w:rPr>
              <w:t>合</w:t>
            </w:r>
            <w:r>
              <w:t xml:space="preserve">  </w:t>
            </w:r>
            <w:r>
              <w:rPr>
                <w:rFonts w:hint="eastAsia"/>
              </w:rPr>
              <w:t>计</w:t>
            </w:r>
          </w:p>
        </w:tc>
        <w:tc>
          <w:tcPr>
            <w:tcW w:w="851" w:type="dxa"/>
          </w:tcPr>
          <w:p w:rsidR="00000000" w:rsidRDefault="00000000">
            <w:pPr>
              <w:pStyle w:val="aa"/>
              <w:ind w:right="142"/>
              <w:jc w:val="right"/>
            </w:pPr>
            <w:r>
              <w:t>2,983</w:t>
            </w:r>
          </w:p>
        </w:tc>
        <w:tc>
          <w:tcPr>
            <w:tcW w:w="1417" w:type="dxa"/>
          </w:tcPr>
          <w:p w:rsidR="00000000" w:rsidRDefault="00000000">
            <w:pPr>
              <w:pStyle w:val="aa"/>
              <w:ind w:right="340"/>
              <w:jc w:val="right"/>
            </w:pPr>
            <w:r>
              <w:t>63.32</w:t>
            </w:r>
          </w:p>
        </w:tc>
        <w:tc>
          <w:tcPr>
            <w:tcW w:w="851" w:type="dxa"/>
          </w:tcPr>
          <w:p w:rsidR="00000000" w:rsidRDefault="00000000">
            <w:pPr>
              <w:pStyle w:val="aa"/>
              <w:ind w:right="142"/>
              <w:jc w:val="right"/>
            </w:pPr>
            <w:r>
              <w:t>2,806</w:t>
            </w:r>
          </w:p>
        </w:tc>
        <w:tc>
          <w:tcPr>
            <w:tcW w:w="1276" w:type="dxa"/>
          </w:tcPr>
          <w:p w:rsidR="00000000" w:rsidRDefault="00000000">
            <w:pPr>
              <w:pStyle w:val="aa"/>
              <w:ind w:right="340"/>
              <w:jc w:val="right"/>
            </w:pPr>
            <w:r>
              <w:t>59.60</w:t>
            </w:r>
          </w:p>
        </w:tc>
        <w:tc>
          <w:tcPr>
            <w:tcW w:w="877" w:type="dxa"/>
          </w:tcPr>
          <w:p w:rsidR="00000000" w:rsidRDefault="00000000">
            <w:pPr>
              <w:pStyle w:val="aa"/>
              <w:ind w:right="142"/>
              <w:jc w:val="right"/>
            </w:pPr>
            <w:r>
              <w:t>2,350</w:t>
            </w:r>
          </w:p>
        </w:tc>
        <w:tc>
          <w:tcPr>
            <w:tcW w:w="1373" w:type="dxa"/>
          </w:tcPr>
          <w:p w:rsidR="00000000" w:rsidRDefault="00000000">
            <w:pPr>
              <w:pStyle w:val="aa"/>
              <w:ind w:right="340"/>
              <w:jc w:val="right"/>
            </w:pPr>
            <w:r>
              <w:t>48.62</w:t>
            </w:r>
          </w:p>
        </w:tc>
      </w:tr>
    </w:tbl>
    <w:p w:rsidR="00000000" w:rsidRDefault="00000000">
      <w:pPr>
        <w:spacing w:before="240" w:after="160"/>
        <w:ind w:left="420"/>
        <w:rPr>
          <w:rFonts w:eastAsia="KaiTi_GB2312"/>
          <w:spacing w:val="0"/>
          <w:sz w:val="21"/>
        </w:rPr>
      </w:pPr>
      <w:r>
        <w:rPr>
          <w:rFonts w:eastAsia="KaiTi_GB2312" w:hint="eastAsia"/>
          <w:spacing w:val="0"/>
          <w:sz w:val="21"/>
          <w:u w:val="single"/>
        </w:rPr>
        <w:t>资料来源</w:t>
      </w:r>
      <w:r>
        <w:rPr>
          <w:rFonts w:eastAsia="KaiTi_GB2312" w:hint="eastAsia"/>
          <w:spacing w:val="0"/>
          <w:sz w:val="21"/>
        </w:rPr>
        <w:t>：《保健年鉴》，布拉格卫生信息和统计学会。</w:t>
      </w:r>
    </w:p>
    <w:p w:rsidR="00000000" w:rsidRDefault="00000000">
      <w:pPr>
        <w:spacing w:after="240"/>
        <w:rPr>
          <w:rFonts w:hint="eastAsia"/>
        </w:rPr>
      </w:pPr>
      <w:r>
        <w:rPr>
          <w:rFonts w:hint="eastAsia"/>
        </w:rPr>
        <w:tab/>
        <w:t>549.  1990</w:t>
      </w:r>
      <w:r>
        <w:rPr>
          <w:rFonts w:hint="eastAsia"/>
        </w:rPr>
        <w:t>年以后，与多数共产主义各国家不同，尽管保健系统的转变过程不完全，但保健的主要统计指数一直朝着积极的方向变化。正如上文所指出，出生时的预期寿命正在提高，总死亡率正在下降，特别是心血管疾病引起的死亡。这些积极的趋势充分表明，照此下去，有可能大约在</w:t>
      </w:r>
      <w:r>
        <w:rPr>
          <w:rFonts w:hint="eastAsia"/>
        </w:rPr>
        <w:t>15</w:t>
      </w:r>
      <w:r>
        <w:rPr>
          <w:rFonts w:hint="eastAsia"/>
        </w:rPr>
        <w:t>年至</w:t>
      </w:r>
      <w:r>
        <w:rPr>
          <w:rFonts w:hint="eastAsia"/>
        </w:rPr>
        <w:t>20</w:t>
      </w:r>
      <w:r>
        <w:rPr>
          <w:rFonts w:hint="eastAsia"/>
        </w:rPr>
        <w:t>年里在这些基本健康参数方面达到欧洲联盟各国的平均数值。</w:t>
      </w:r>
      <w:r>
        <w:rPr>
          <w:rFonts w:hint="eastAsia"/>
        </w:rPr>
        <w:t>1997</w:t>
      </w:r>
      <w:r>
        <w:rPr>
          <w:rFonts w:hint="eastAsia"/>
        </w:rPr>
        <w:t>年已经达到了每</w:t>
      </w:r>
      <w:r>
        <w:rPr>
          <w:rFonts w:hint="eastAsia"/>
        </w:rPr>
        <w:t>1,000</w:t>
      </w:r>
      <w:r>
        <w:rPr>
          <w:rFonts w:hint="eastAsia"/>
        </w:rPr>
        <w:t>婴儿死亡率为</w:t>
      </w:r>
      <w:r>
        <w:rPr>
          <w:rFonts w:hint="eastAsia"/>
        </w:rPr>
        <w:t>5.9</w:t>
      </w:r>
      <w:r>
        <w:rPr>
          <w:rFonts w:hint="eastAsia"/>
        </w:rPr>
        <w:t>人，这已经相当于欧盟发达国家的指标。</w:t>
      </w:r>
    </w:p>
    <w:p w:rsidR="00000000" w:rsidRDefault="00000000">
      <w:pPr>
        <w:pStyle w:val="Heading4"/>
        <w:ind w:left="500"/>
        <w:rPr>
          <w:rFonts w:hint="eastAsia"/>
        </w:rPr>
      </w:pPr>
      <w:r>
        <w:rPr>
          <w:rFonts w:hint="eastAsia"/>
        </w:rPr>
        <w:t>取得医疗</w:t>
      </w:r>
    </w:p>
    <w:p w:rsidR="00000000" w:rsidRDefault="00000000">
      <w:pPr>
        <w:rPr>
          <w:rFonts w:hint="eastAsia"/>
        </w:rPr>
      </w:pPr>
      <w:r>
        <w:rPr>
          <w:rFonts w:hint="eastAsia"/>
        </w:rPr>
        <w:tab/>
        <w:t xml:space="preserve">550.  </w:t>
      </w:r>
      <w:r>
        <w:rPr>
          <w:rFonts w:hint="eastAsia"/>
        </w:rPr>
        <w:t>《捷克共和国宪法》和其他法律规章规定公民有权取得治疗。取得治疗受到保健设施网络的保障。国家政府当局应确保急诊在</w:t>
      </w:r>
      <w:r>
        <w:rPr>
          <w:rFonts w:hint="eastAsia"/>
        </w:rPr>
        <w:t>15</w:t>
      </w:r>
      <w:r>
        <w:rPr>
          <w:rFonts w:hint="eastAsia"/>
        </w:rPr>
        <w:t>分钟取得治疗。此外，《保健法》规定，保健工作者有义务提供急救，而且在保健机构向受保病人提供紧急治疗的情况下，健康保险公司将支付这笔医疗费，即使该保健机构没有与该健康保险公司签定协定。</w:t>
      </w:r>
    </w:p>
    <w:p w:rsidR="00000000" w:rsidRDefault="00000000">
      <w:pPr>
        <w:rPr>
          <w:rFonts w:hint="eastAsia"/>
        </w:rPr>
      </w:pPr>
      <w:r>
        <w:rPr>
          <w:rFonts w:hint="eastAsia"/>
        </w:rPr>
        <w:tab/>
        <w:t xml:space="preserve">551.  </w:t>
      </w:r>
      <w:r>
        <w:rPr>
          <w:rFonts w:hint="eastAsia"/>
        </w:rPr>
        <w:t>保健机构网目前包括医院、专家治疗机构、温泉治疗中心、疗养院和康复中心、综合医院和有关门诊设施、保健中心、独立开业医生诊所、独立的实验室、婴儿院和儿童之家、儿童中心和日间诊所、幼儿园、药房护理所、保健服务和其他保健机构。</w:t>
      </w:r>
    </w:p>
    <w:p w:rsidR="00000000" w:rsidRDefault="00000000">
      <w:pPr>
        <w:spacing w:after="240"/>
        <w:rPr>
          <w:rFonts w:hint="eastAsia"/>
        </w:rPr>
      </w:pPr>
      <w:r>
        <w:rPr>
          <w:rFonts w:hint="eastAsia"/>
        </w:rPr>
        <w:tab/>
        <w:t xml:space="preserve">552.  </w:t>
      </w:r>
      <w:r>
        <w:rPr>
          <w:rFonts w:hint="eastAsia"/>
        </w:rPr>
        <w:t>捷克共和国的保健机构分成国营机构和非国营机构。国营机构是卫生部、其他部委</w:t>
      </w:r>
      <w:r>
        <w:rPr>
          <w:rFonts w:hint="eastAsia"/>
        </w:rPr>
        <w:t>(</w:t>
      </w:r>
      <w:r>
        <w:rPr>
          <w:rFonts w:hint="eastAsia"/>
        </w:rPr>
        <w:t>国防部、内务部、运输部和司法部</w:t>
      </w:r>
      <w:r>
        <w:rPr>
          <w:rFonts w:hint="eastAsia"/>
        </w:rPr>
        <w:t>)</w:t>
      </w:r>
      <w:r>
        <w:rPr>
          <w:rFonts w:hint="eastAsia"/>
        </w:rPr>
        <w:t>或地区办事处设立的，而非国营机构包括城镇保健机构、私营机构、教会机构和非政府组织设立的机构。</w:t>
      </w:r>
      <w:r>
        <w:rPr>
          <w:rFonts w:hint="eastAsia"/>
        </w:rPr>
        <w:t>1998</w:t>
      </w:r>
      <w:r>
        <w:rPr>
          <w:rFonts w:hint="eastAsia"/>
        </w:rPr>
        <w:t>年，保健机构总共大约有</w:t>
      </w:r>
      <w:r>
        <w:rPr>
          <w:rFonts w:hint="eastAsia"/>
        </w:rPr>
        <w:t>24,500</w:t>
      </w:r>
      <w:r>
        <w:rPr>
          <w:rFonts w:hint="eastAsia"/>
        </w:rPr>
        <w:t>个，其中大约</w:t>
      </w:r>
      <w:r>
        <w:rPr>
          <w:rFonts w:hint="eastAsia"/>
        </w:rPr>
        <w:t>20,000</w:t>
      </w:r>
      <w:r>
        <w:rPr>
          <w:rFonts w:hint="eastAsia"/>
        </w:rPr>
        <w:t>个是非国营机构，主要是门诊医生行医。</w:t>
      </w:r>
    </w:p>
    <w:p w:rsidR="00000000" w:rsidRDefault="00000000">
      <w:pPr>
        <w:pStyle w:val="Heading3"/>
        <w:rPr>
          <w:rFonts w:hint="eastAsia"/>
        </w:rPr>
      </w:pPr>
      <w:r>
        <w:rPr>
          <w:u w:val="none"/>
        </w:rPr>
        <w:t>A.</w:t>
      </w:r>
      <w:r>
        <w:rPr>
          <w:rFonts w:hint="eastAsia"/>
          <w:u w:val="none"/>
        </w:rPr>
        <w:t xml:space="preserve">  </w:t>
      </w:r>
      <w:r>
        <w:rPr>
          <w:rFonts w:hint="eastAsia"/>
        </w:rPr>
        <w:t>政府保健机构</w:t>
      </w:r>
      <w:r>
        <w:rPr>
          <w:rFonts w:hint="eastAsia"/>
        </w:rPr>
        <w:t>(</w:t>
      </w:r>
      <w:r>
        <w:rPr>
          <w:rFonts w:hint="eastAsia"/>
        </w:rPr>
        <w:t>每年截至</w:t>
      </w:r>
      <w:r>
        <w:rPr>
          <w:rFonts w:hint="eastAsia"/>
        </w:rPr>
        <w:t>12</w:t>
      </w:r>
      <w:r>
        <w:rPr>
          <w:rFonts w:hint="eastAsia"/>
        </w:rPr>
        <w:t>月</w:t>
      </w:r>
      <w:r>
        <w:rPr>
          <w:rFonts w:hint="eastAsia"/>
        </w:rPr>
        <w:t>31</w:t>
      </w:r>
      <w:r>
        <w:rPr>
          <w:rFonts w:hint="eastAsia"/>
        </w:rPr>
        <w:t>日的数目</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18"/>
        <w:gridCol w:w="1431"/>
        <w:gridCol w:w="1080"/>
        <w:gridCol w:w="1078"/>
        <w:gridCol w:w="1078"/>
        <w:gridCol w:w="1078"/>
      </w:tblGrid>
      <w:tr w:rsidR="00000000">
        <w:tblPrEx>
          <w:tblCellMar>
            <w:top w:w="0" w:type="dxa"/>
            <w:bottom w:w="0" w:type="dxa"/>
          </w:tblCellMar>
        </w:tblPrEx>
        <w:trPr>
          <w:tblHeader/>
        </w:trPr>
        <w:tc>
          <w:tcPr>
            <w:tcW w:w="3840" w:type="dxa"/>
            <w:tcBorders>
              <w:bottom w:val="single" w:sz="4" w:space="0" w:color="auto"/>
            </w:tcBorders>
          </w:tcPr>
          <w:p w:rsidR="00000000" w:rsidRDefault="00000000">
            <w:pPr>
              <w:pStyle w:val="aa"/>
              <w:spacing w:before="120" w:after="60"/>
            </w:pPr>
          </w:p>
        </w:tc>
        <w:tc>
          <w:tcPr>
            <w:tcW w:w="1440" w:type="dxa"/>
            <w:tcBorders>
              <w:bottom w:val="single" w:sz="4" w:space="0" w:color="auto"/>
            </w:tcBorders>
          </w:tcPr>
          <w:p w:rsidR="00000000" w:rsidRDefault="00000000">
            <w:pPr>
              <w:pStyle w:val="aa"/>
              <w:spacing w:before="120" w:after="60"/>
              <w:jc w:val="center"/>
              <w:rPr>
                <w:b/>
                <w:bCs/>
              </w:rPr>
            </w:pPr>
            <w:r>
              <w:rPr>
                <w:b/>
                <w:bCs/>
              </w:rPr>
              <w:t>1994</w:t>
            </w:r>
          </w:p>
        </w:tc>
        <w:tc>
          <w:tcPr>
            <w:tcW w:w="1080" w:type="dxa"/>
            <w:tcBorders>
              <w:bottom w:val="single" w:sz="4" w:space="0" w:color="auto"/>
            </w:tcBorders>
          </w:tcPr>
          <w:p w:rsidR="00000000" w:rsidRDefault="00000000">
            <w:pPr>
              <w:pStyle w:val="aa"/>
              <w:spacing w:before="120" w:after="60"/>
              <w:jc w:val="center"/>
              <w:rPr>
                <w:b/>
                <w:bCs/>
              </w:rPr>
            </w:pPr>
            <w:r>
              <w:rPr>
                <w:b/>
                <w:bCs/>
              </w:rPr>
              <w:t>1995</w:t>
            </w:r>
          </w:p>
        </w:tc>
        <w:tc>
          <w:tcPr>
            <w:tcW w:w="960" w:type="dxa"/>
            <w:tcBorders>
              <w:bottom w:val="single" w:sz="4" w:space="0" w:color="auto"/>
            </w:tcBorders>
          </w:tcPr>
          <w:p w:rsidR="00000000" w:rsidRDefault="00000000">
            <w:pPr>
              <w:pStyle w:val="aa"/>
              <w:spacing w:before="120" w:after="60"/>
              <w:jc w:val="center"/>
              <w:rPr>
                <w:b/>
                <w:bCs/>
              </w:rPr>
            </w:pPr>
            <w:r>
              <w:rPr>
                <w:b/>
                <w:bCs/>
              </w:rPr>
              <w:t>1996</w:t>
            </w:r>
          </w:p>
        </w:tc>
        <w:tc>
          <w:tcPr>
            <w:tcW w:w="960" w:type="dxa"/>
            <w:tcBorders>
              <w:bottom w:val="single" w:sz="4" w:space="0" w:color="auto"/>
            </w:tcBorders>
          </w:tcPr>
          <w:p w:rsidR="00000000" w:rsidRDefault="00000000">
            <w:pPr>
              <w:pStyle w:val="aa"/>
              <w:spacing w:before="120" w:after="60"/>
              <w:jc w:val="center"/>
              <w:rPr>
                <w:b/>
                <w:bCs/>
              </w:rPr>
            </w:pPr>
            <w:r>
              <w:rPr>
                <w:b/>
                <w:bCs/>
              </w:rPr>
              <w:t>1997</w:t>
            </w:r>
          </w:p>
        </w:tc>
        <w:tc>
          <w:tcPr>
            <w:tcW w:w="1076" w:type="dxa"/>
            <w:tcBorders>
              <w:bottom w:val="single" w:sz="4" w:space="0" w:color="auto"/>
            </w:tcBorders>
          </w:tcPr>
          <w:p w:rsidR="00000000" w:rsidRDefault="00000000">
            <w:pPr>
              <w:pStyle w:val="aa"/>
              <w:spacing w:before="120" w:after="60"/>
              <w:jc w:val="center"/>
              <w:rPr>
                <w:b/>
                <w:bCs/>
              </w:rPr>
            </w:pPr>
            <w:r>
              <w:rPr>
                <w:b/>
                <w:bCs/>
              </w:rPr>
              <w:t>1998</w:t>
            </w:r>
          </w:p>
        </w:tc>
      </w:tr>
      <w:tr w:rsidR="00000000">
        <w:tblPrEx>
          <w:tblCellMar>
            <w:top w:w="0" w:type="dxa"/>
            <w:bottom w:w="0" w:type="dxa"/>
          </w:tblCellMar>
        </w:tblPrEx>
        <w:tc>
          <w:tcPr>
            <w:tcW w:w="3840" w:type="dxa"/>
            <w:tcBorders>
              <w:bottom w:val="nil"/>
            </w:tcBorders>
          </w:tcPr>
          <w:p w:rsidR="00000000" w:rsidRDefault="00000000">
            <w:pPr>
              <w:pStyle w:val="aa"/>
              <w:spacing w:before="60"/>
              <w:rPr>
                <w:rFonts w:hint="eastAsia"/>
              </w:rPr>
            </w:pPr>
            <w:r>
              <w:rPr>
                <w:rFonts w:hint="eastAsia"/>
              </w:rPr>
              <w:t>医院</w:t>
            </w:r>
            <w:r>
              <w:rPr>
                <w:rFonts w:hint="eastAsia"/>
              </w:rPr>
              <w:t>(</w:t>
            </w:r>
            <w:r>
              <w:rPr>
                <w:rFonts w:hint="eastAsia"/>
              </w:rPr>
              <w:t>住院部和门诊部</w:t>
            </w:r>
            <w:r>
              <w:rPr>
                <w:rFonts w:hint="eastAsia"/>
              </w:rPr>
              <w:t>)</w:t>
            </w:r>
          </w:p>
        </w:tc>
        <w:tc>
          <w:tcPr>
            <w:tcW w:w="1440" w:type="dxa"/>
            <w:tcBorders>
              <w:bottom w:val="nil"/>
            </w:tcBorders>
          </w:tcPr>
          <w:p w:rsidR="00000000" w:rsidRDefault="00000000">
            <w:pPr>
              <w:pStyle w:val="aa"/>
              <w:spacing w:before="60"/>
              <w:ind w:right="284"/>
              <w:jc w:val="right"/>
            </w:pPr>
            <w:r>
              <w:t>153</w:t>
            </w:r>
          </w:p>
        </w:tc>
        <w:tc>
          <w:tcPr>
            <w:tcW w:w="1080" w:type="dxa"/>
            <w:tcBorders>
              <w:bottom w:val="nil"/>
            </w:tcBorders>
          </w:tcPr>
          <w:p w:rsidR="00000000" w:rsidRDefault="00000000">
            <w:pPr>
              <w:pStyle w:val="aa"/>
              <w:spacing w:before="60"/>
              <w:ind w:right="284"/>
              <w:jc w:val="right"/>
            </w:pPr>
            <w:r>
              <w:t>134</w:t>
            </w:r>
          </w:p>
        </w:tc>
        <w:tc>
          <w:tcPr>
            <w:tcW w:w="960" w:type="dxa"/>
            <w:tcBorders>
              <w:bottom w:val="nil"/>
            </w:tcBorders>
          </w:tcPr>
          <w:p w:rsidR="00000000" w:rsidRDefault="00000000">
            <w:pPr>
              <w:pStyle w:val="aa"/>
              <w:spacing w:before="60"/>
              <w:ind w:right="284"/>
              <w:jc w:val="right"/>
            </w:pPr>
            <w:r>
              <w:t>120</w:t>
            </w:r>
          </w:p>
        </w:tc>
        <w:tc>
          <w:tcPr>
            <w:tcW w:w="960" w:type="dxa"/>
            <w:tcBorders>
              <w:bottom w:val="nil"/>
            </w:tcBorders>
          </w:tcPr>
          <w:p w:rsidR="00000000" w:rsidRDefault="00000000">
            <w:pPr>
              <w:pStyle w:val="aa"/>
              <w:spacing w:before="60"/>
              <w:ind w:right="284"/>
              <w:jc w:val="right"/>
            </w:pPr>
            <w:r>
              <w:t>114</w:t>
            </w:r>
          </w:p>
        </w:tc>
        <w:tc>
          <w:tcPr>
            <w:tcW w:w="1076" w:type="dxa"/>
            <w:tcBorders>
              <w:bottom w:val="nil"/>
            </w:tcBorders>
          </w:tcPr>
          <w:p w:rsidR="00000000" w:rsidRDefault="00000000">
            <w:pPr>
              <w:pStyle w:val="aa"/>
              <w:spacing w:before="60"/>
              <w:ind w:right="284"/>
              <w:jc w:val="right"/>
            </w:pPr>
            <w:r>
              <w:t>109</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肺结核病和呼吸道疾病治疗机构</w:t>
            </w:r>
          </w:p>
        </w:tc>
        <w:tc>
          <w:tcPr>
            <w:tcW w:w="1440" w:type="dxa"/>
            <w:tcBorders>
              <w:top w:val="nil"/>
              <w:bottom w:val="nil"/>
            </w:tcBorders>
          </w:tcPr>
          <w:p w:rsidR="00000000" w:rsidRDefault="00000000">
            <w:pPr>
              <w:pStyle w:val="aa"/>
              <w:spacing w:before="60"/>
              <w:ind w:right="284"/>
              <w:jc w:val="right"/>
            </w:pPr>
            <w:r>
              <w:t>12</w:t>
            </w:r>
          </w:p>
        </w:tc>
        <w:tc>
          <w:tcPr>
            <w:tcW w:w="1080" w:type="dxa"/>
            <w:tcBorders>
              <w:top w:val="nil"/>
              <w:bottom w:val="nil"/>
            </w:tcBorders>
          </w:tcPr>
          <w:p w:rsidR="00000000" w:rsidRDefault="00000000">
            <w:pPr>
              <w:pStyle w:val="aa"/>
              <w:spacing w:before="60"/>
              <w:ind w:right="284"/>
              <w:jc w:val="right"/>
            </w:pPr>
            <w:r>
              <w:t>11</w:t>
            </w:r>
          </w:p>
        </w:tc>
        <w:tc>
          <w:tcPr>
            <w:tcW w:w="960" w:type="dxa"/>
            <w:tcBorders>
              <w:top w:val="nil"/>
              <w:bottom w:val="nil"/>
            </w:tcBorders>
          </w:tcPr>
          <w:p w:rsidR="00000000" w:rsidRDefault="00000000">
            <w:pPr>
              <w:pStyle w:val="aa"/>
              <w:spacing w:before="60"/>
              <w:ind w:right="284"/>
              <w:jc w:val="right"/>
            </w:pPr>
            <w:r>
              <w:t>10</w:t>
            </w:r>
          </w:p>
        </w:tc>
        <w:tc>
          <w:tcPr>
            <w:tcW w:w="960" w:type="dxa"/>
            <w:tcBorders>
              <w:top w:val="nil"/>
              <w:bottom w:val="nil"/>
            </w:tcBorders>
          </w:tcPr>
          <w:p w:rsidR="00000000" w:rsidRDefault="00000000">
            <w:pPr>
              <w:pStyle w:val="aa"/>
              <w:spacing w:before="60"/>
              <w:ind w:right="284"/>
              <w:jc w:val="right"/>
            </w:pPr>
            <w:r>
              <w:t>10</w:t>
            </w:r>
          </w:p>
        </w:tc>
        <w:tc>
          <w:tcPr>
            <w:tcW w:w="1076" w:type="dxa"/>
            <w:tcBorders>
              <w:top w:val="nil"/>
              <w:bottom w:val="nil"/>
            </w:tcBorders>
          </w:tcPr>
          <w:p w:rsidR="00000000" w:rsidRDefault="00000000">
            <w:pPr>
              <w:pStyle w:val="aa"/>
              <w:spacing w:before="60"/>
              <w:ind w:right="284"/>
              <w:jc w:val="right"/>
            </w:pPr>
            <w:r>
              <w:t>10</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精神病诊所</w:t>
            </w:r>
          </w:p>
        </w:tc>
        <w:tc>
          <w:tcPr>
            <w:tcW w:w="1440" w:type="dxa"/>
            <w:tcBorders>
              <w:top w:val="nil"/>
              <w:bottom w:val="nil"/>
            </w:tcBorders>
          </w:tcPr>
          <w:p w:rsidR="00000000" w:rsidRDefault="00000000">
            <w:pPr>
              <w:pStyle w:val="aa"/>
              <w:spacing w:before="60"/>
              <w:ind w:right="284"/>
              <w:jc w:val="right"/>
            </w:pPr>
            <w:r>
              <w:t>20</w:t>
            </w:r>
          </w:p>
        </w:tc>
        <w:tc>
          <w:tcPr>
            <w:tcW w:w="1080" w:type="dxa"/>
            <w:tcBorders>
              <w:top w:val="nil"/>
              <w:bottom w:val="nil"/>
            </w:tcBorders>
          </w:tcPr>
          <w:p w:rsidR="00000000" w:rsidRDefault="00000000">
            <w:pPr>
              <w:pStyle w:val="aa"/>
              <w:spacing w:before="60"/>
              <w:ind w:right="284"/>
              <w:jc w:val="right"/>
            </w:pPr>
            <w:r>
              <w:t>18</w:t>
            </w:r>
          </w:p>
        </w:tc>
        <w:tc>
          <w:tcPr>
            <w:tcW w:w="960" w:type="dxa"/>
            <w:tcBorders>
              <w:top w:val="nil"/>
              <w:bottom w:val="nil"/>
            </w:tcBorders>
          </w:tcPr>
          <w:p w:rsidR="00000000" w:rsidRDefault="00000000">
            <w:pPr>
              <w:pStyle w:val="aa"/>
              <w:spacing w:before="60"/>
              <w:ind w:right="284"/>
              <w:jc w:val="right"/>
            </w:pPr>
            <w:r>
              <w:t>18</w:t>
            </w:r>
          </w:p>
        </w:tc>
        <w:tc>
          <w:tcPr>
            <w:tcW w:w="960" w:type="dxa"/>
            <w:tcBorders>
              <w:top w:val="nil"/>
              <w:bottom w:val="nil"/>
            </w:tcBorders>
          </w:tcPr>
          <w:p w:rsidR="00000000" w:rsidRDefault="00000000">
            <w:pPr>
              <w:pStyle w:val="aa"/>
              <w:spacing w:before="60"/>
              <w:ind w:right="284"/>
              <w:jc w:val="right"/>
            </w:pPr>
            <w:r>
              <w:t>19</w:t>
            </w:r>
          </w:p>
        </w:tc>
        <w:tc>
          <w:tcPr>
            <w:tcW w:w="1076" w:type="dxa"/>
            <w:tcBorders>
              <w:top w:val="nil"/>
              <w:bottom w:val="nil"/>
            </w:tcBorders>
          </w:tcPr>
          <w:p w:rsidR="00000000" w:rsidRDefault="00000000">
            <w:pPr>
              <w:pStyle w:val="aa"/>
              <w:spacing w:before="60"/>
              <w:ind w:right="284"/>
              <w:jc w:val="right"/>
            </w:pPr>
            <w:r>
              <w:t>19</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长期病人治疗机构</w:t>
            </w:r>
          </w:p>
        </w:tc>
        <w:tc>
          <w:tcPr>
            <w:tcW w:w="1440" w:type="dxa"/>
            <w:tcBorders>
              <w:top w:val="nil"/>
              <w:bottom w:val="nil"/>
            </w:tcBorders>
          </w:tcPr>
          <w:p w:rsidR="00000000" w:rsidRDefault="00000000">
            <w:pPr>
              <w:pStyle w:val="aa"/>
              <w:spacing w:before="60"/>
              <w:ind w:right="284"/>
              <w:jc w:val="right"/>
              <w:rPr>
                <w:lang w:val="fr-FR"/>
              </w:rPr>
            </w:pPr>
            <w:r>
              <w:rPr>
                <w:lang w:val="fr-FR"/>
              </w:rPr>
              <w:t>64</w:t>
            </w:r>
          </w:p>
        </w:tc>
        <w:tc>
          <w:tcPr>
            <w:tcW w:w="1080" w:type="dxa"/>
            <w:tcBorders>
              <w:top w:val="nil"/>
              <w:bottom w:val="nil"/>
            </w:tcBorders>
          </w:tcPr>
          <w:p w:rsidR="00000000" w:rsidRDefault="00000000">
            <w:pPr>
              <w:pStyle w:val="aa"/>
              <w:spacing w:before="60"/>
              <w:ind w:right="284"/>
              <w:jc w:val="right"/>
              <w:rPr>
                <w:lang w:val="fr-FR"/>
              </w:rPr>
            </w:pPr>
            <w:r>
              <w:rPr>
                <w:lang w:val="fr-FR"/>
              </w:rPr>
              <w:t>59</w:t>
            </w:r>
          </w:p>
        </w:tc>
        <w:tc>
          <w:tcPr>
            <w:tcW w:w="960" w:type="dxa"/>
            <w:tcBorders>
              <w:top w:val="nil"/>
              <w:bottom w:val="nil"/>
            </w:tcBorders>
          </w:tcPr>
          <w:p w:rsidR="00000000" w:rsidRDefault="00000000">
            <w:pPr>
              <w:pStyle w:val="aa"/>
              <w:spacing w:before="60"/>
              <w:ind w:right="284"/>
              <w:jc w:val="right"/>
              <w:rPr>
                <w:lang w:val="fr-FR"/>
              </w:rPr>
            </w:pPr>
            <w:r>
              <w:rPr>
                <w:lang w:val="fr-FR"/>
              </w:rPr>
              <w:t>52</w:t>
            </w:r>
          </w:p>
        </w:tc>
        <w:tc>
          <w:tcPr>
            <w:tcW w:w="960" w:type="dxa"/>
            <w:tcBorders>
              <w:top w:val="nil"/>
              <w:bottom w:val="nil"/>
            </w:tcBorders>
          </w:tcPr>
          <w:p w:rsidR="00000000" w:rsidRDefault="00000000">
            <w:pPr>
              <w:pStyle w:val="aa"/>
              <w:spacing w:before="60"/>
              <w:ind w:right="284"/>
              <w:jc w:val="right"/>
              <w:rPr>
                <w:lang w:val="fr-FR"/>
              </w:rPr>
            </w:pPr>
            <w:r>
              <w:rPr>
                <w:lang w:val="fr-FR"/>
              </w:rPr>
              <w:t>58</w:t>
            </w:r>
          </w:p>
        </w:tc>
        <w:tc>
          <w:tcPr>
            <w:tcW w:w="1076" w:type="dxa"/>
            <w:tcBorders>
              <w:top w:val="nil"/>
              <w:bottom w:val="nil"/>
            </w:tcBorders>
          </w:tcPr>
          <w:p w:rsidR="00000000" w:rsidRDefault="00000000">
            <w:pPr>
              <w:pStyle w:val="aa"/>
              <w:spacing w:before="60"/>
              <w:ind w:right="284"/>
              <w:jc w:val="right"/>
              <w:rPr>
                <w:lang w:val="fr-FR"/>
              </w:rPr>
            </w:pPr>
            <w:r>
              <w:rPr>
                <w:lang w:val="fr-FR"/>
              </w:rPr>
              <w:t>53</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lang w:val="fr-FR"/>
              </w:rPr>
            </w:pPr>
            <w:r>
              <w:rPr>
                <w:rFonts w:hint="eastAsia"/>
                <w:lang w:val="fr-FR"/>
              </w:rPr>
              <w:t>物理疗法机构</w:t>
            </w:r>
          </w:p>
        </w:tc>
        <w:tc>
          <w:tcPr>
            <w:tcW w:w="1440" w:type="dxa"/>
            <w:tcBorders>
              <w:top w:val="nil"/>
              <w:bottom w:val="nil"/>
            </w:tcBorders>
          </w:tcPr>
          <w:p w:rsidR="00000000" w:rsidRDefault="00000000">
            <w:pPr>
              <w:pStyle w:val="aa"/>
              <w:spacing w:before="60"/>
              <w:ind w:right="284"/>
              <w:jc w:val="right"/>
              <w:rPr>
                <w:lang w:val="fr-FR"/>
              </w:rPr>
            </w:pPr>
            <w:r>
              <w:rPr>
                <w:lang w:val="fr-FR"/>
              </w:rPr>
              <w:t>6</w:t>
            </w:r>
          </w:p>
        </w:tc>
        <w:tc>
          <w:tcPr>
            <w:tcW w:w="1080" w:type="dxa"/>
            <w:tcBorders>
              <w:top w:val="nil"/>
              <w:bottom w:val="nil"/>
            </w:tcBorders>
          </w:tcPr>
          <w:p w:rsidR="00000000" w:rsidRDefault="00000000">
            <w:pPr>
              <w:pStyle w:val="aa"/>
              <w:spacing w:before="60"/>
              <w:ind w:right="284"/>
              <w:jc w:val="right"/>
              <w:rPr>
                <w:lang w:val="fr-FR"/>
              </w:rPr>
            </w:pPr>
            <w:r>
              <w:rPr>
                <w:lang w:val="fr-FR"/>
              </w:rPr>
              <w:t>4</w:t>
            </w:r>
          </w:p>
        </w:tc>
        <w:tc>
          <w:tcPr>
            <w:tcW w:w="960" w:type="dxa"/>
            <w:tcBorders>
              <w:top w:val="nil"/>
              <w:bottom w:val="nil"/>
            </w:tcBorders>
          </w:tcPr>
          <w:p w:rsidR="00000000" w:rsidRDefault="00000000">
            <w:pPr>
              <w:pStyle w:val="aa"/>
              <w:spacing w:before="60"/>
              <w:ind w:right="284"/>
              <w:jc w:val="right"/>
              <w:rPr>
                <w:lang w:val="fr-FR"/>
              </w:rPr>
            </w:pPr>
            <w:r>
              <w:rPr>
                <w:lang w:val="fr-FR"/>
              </w:rPr>
              <w:t>3</w:t>
            </w:r>
          </w:p>
        </w:tc>
        <w:tc>
          <w:tcPr>
            <w:tcW w:w="960" w:type="dxa"/>
            <w:tcBorders>
              <w:top w:val="nil"/>
              <w:bottom w:val="nil"/>
            </w:tcBorders>
          </w:tcPr>
          <w:p w:rsidR="00000000" w:rsidRDefault="00000000">
            <w:pPr>
              <w:pStyle w:val="aa"/>
              <w:spacing w:before="60"/>
              <w:ind w:right="284"/>
              <w:jc w:val="right"/>
              <w:rPr>
                <w:lang w:val="fr-FR"/>
              </w:rPr>
            </w:pPr>
            <w:r>
              <w:rPr>
                <w:lang w:val="fr-FR"/>
              </w:rPr>
              <w:t>3</w:t>
            </w:r>
          </w:p>
        </w:tc>
        <w:tc>
          <w:tcPr>
            <w:tcW w:w="1076" w:type="dxa"/>
            <w:tcBorders>
              <w:top w:val="nil"/>
              <w:bottom w:val="nil"/>
            </w:tcBorders>
          </w:tcPr>
          <w:p w:rsidR="00000000" w:rsidRDefault="00000000">
            <w:pPr>
              <w:pStyle w:val="aa"/>
              <w:spacing w:before="60"/>
              <w:ind w:right="284"/>
              <w:jc w:val="right"/>
              <w:rPr>
                <w:lang w:val="fr-FR"/>
              </w:rPr>
            </w:pPr>
            <w:r>
              <w:rPr>
                <w:lang w:val="fr-FR"/>
              </w:rPr>
              <w:t>3</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lang w:val="fr-FR"/>
              </w:rPr>
            </w:pPr>
            <w:r>
              <w:rPr>
                <w:rFonts w:hint="eastAsia"/>
                <w:lang w:val="fr-FR"/>
              </w:rPr>
              <w:t>疗养中心</w:t>
            </w:r>
          </w:p>
        </w:tc>
        <w:tc>
          <w:tcPr>
            <w:tcW w:w="1440" w:type="dxa"/>
            <w:tcBorders>
              <w:top w:val="nil"/>
              <w:bottom w:val="nil"/>
            </w:tcBorders>
          </w:tcPr>
          <w:p w:rsidR="00000000" w:rsidRDefault="00000000">
            <w:pPr>
              <w:pStyle w:val="aa"/>
              <w:spacing w:before="60"/>
              <w:ind w:right="284"/>
              <w:jc w:val="right"/>
            </w:pPr>
            <w:r>
              <w:t>20</w:t>
            </w:r>
          </w:p>
        </w:tc>
        <w:tc>
          <w:tcPr>
            <w:tcW w:w="1080" w:type="dxa"/>
            <w:tcBorders>
              <w:top w:val="nil"/>
              <w:bottom w:val="nil"/>
            </w:tcBorders>
          </w:tcPr>
          <w:p w:rsidR="00000000" w:rsidRDefault="00000000">
            <w:pPr>
              <w:pStyle w:val="aa"/>
              <w:spacing w:before="60"/>
              <w:ind w:right="284"/>
              <w:jc w:val="right"/>
            </w:pPr>
            <w:r>
              <w:t>18</w:t>
            </w:r>
          </w:p>
        </w:tc>
        <w:tc>
          <w:tcPr>
            <w:tcW w:w="960" w:type="dxa"/>
            <w:tcBorders>
              <w:top w:val="nil"/>
              <w:bottom w:val="nil"/>
            </w:tcBorders>
          </w:tcPr>
          <w:p w:rsidR="00000000" w:rsidRDefault="00000000">
            <w:pPr>
              <w:pStyle w:val="aa"/>
              <w:spacing w:before="60"/>
              <w:ind w:right="284"/>
              <w:jc w:val="right"/>
            </w:pPr>
            <w:r>
              <w:t>14</w:t>
            </w:r>
          </w:p>
        </w:tc>
        <w:tc>
          <w:tcPr>
            <w:tcW w:w="960" w:type="dxa"/>
            <w:tcBorders>
              <w:top w:val="nil"/>
              <w:bottom w:val="nil"/>
            </w:tcBorders>
          </w:tcPr>
          <w:p w:rsidR="00000000" w:rsidRDefault="00000000">
            <w:pPr>
              <w:pStyle w:val="aa"/>
              <w:spacing w:before="60"/>
              <w:ind w:right="284"/>
              <w:jc w:val="right"/>
            </w:pPr>
            <w:r>
              <w:t>12</w:t>
            </w:r>
          </w:p>
        </w:tc>
        <w:tc>
          <w:tcPr>
            <w:tcW w:w="1076" w:type="dxa"/>
            <w:tcBorders>
              <w:top w:val="nil"/>
              <w:bottom w:val="nil"/>
            </w:tcBorders>
          </w:tcPr>
          <w:p w:rsidR="00000000" w:rsidRDefault="00000000">
            <w:pPr>
              <w:pStyle w:val="aa"/>
              <w:spacing w:before="60"/>
              <w:ind w:right="284"/>
              <w:jc w:val="right"/>
            </w:pPr>
            <w:r>
              <w:t>10</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其他专门治疗机构</w:t>
            </w:r>
          </w:p>
        </w:tc>
        <w:tc>
          <w:tcPr>
            <w:tcW w:w="1440" w:type="dxa"/>
            <w:tcBorders>
              <w:top w:val="nil"/>
              <w:bottom w:val="nil"/>
            </w:tcBorders>
          </w:tcPr>
          <w:p w:rsidR="00000000" w:rsidRDefault="00000000">
            <w:pPr>
              <w:pStyle w:val="aa"/>
              <w:spacing w:before="60"/>
              <w:ind w:right="284"/>
              <w:jc w:val="right"/>
            </w:pPr>
            <w:r>
              <w:t>25</w:t>
            </w:r>
          </w:p>
        </w:tc>
        <w:tc>
          <w:tcPr>
            <w:tcW w:w="1080" w:type="dxa"/>
            <w:tcBorders>
              <w:top w:val="nil"/>
              <w:bottom w:val="nil"/>
            </w:tcBorders>
          </w:tcPr>
          <w:p w:rsidR="00000000" w:rsidRDefault="00000000">
            <w:pPr>
              <w:pStyle w:val="aa"/>
              <w:spacing w:before="60"/>
              <w:ind w:right="284"/>
              <w:jc w:val="right"/>
            </w:pPr>
            <w:r>
              <w:t>21</w:t>
            </w:r>
          </w:p>
        </w:tc>
        <w:tc>
          <w:tcPr>
            <w:tcW w:w="960" w:type="dxa"/>
            <w:tcBorders>
              <w:top w:val="nil"/>
              <w:bottom w:val="nil"/>
            </w:tcBorders>
          </w:tcPr>
          <w:p w:rsidR="00000000" w:rsidRDefault="00000000">
            <w:pPr>
              <w:pStyle w:val="aa"/>
              <w:spacing w:before="60"/>
              <w:ind w:right="284"/>
              <w:jc w:val="right"/>
            </w:pPr>
            <w:r>
              <w:t>24</w:t>
            </w:r>
          </w:p>
        </w:tc>
        <w:tc>
          <w:tcPr>
            <w:tcW w:w="960" w:type="dxa"/>
            <w:tcBorders>
              <w:top w:val="nil"/>
              <w:bottom w:val="nil"/>
            </w:tcBorders>
          </w:tcPr>
          <w:p w:rsidR="00000000" w:rsidRDefault="00000000">
            <w:pPr>
              <w:pStyle w:val="aa"/>
              <w:spacing w:before="60"/>
              <w:ind w:right="284"/>
              <w:jc w:val="right"/>
            </w:pPr>
            <w:r>
              <w:t>18</w:t>
            </w:r>
          </w:p>
        </w:tc>
        <w:tc>
          <w:tcPr>
            <w:tcW w:w="1076" w:type="dxa"/>
            <w:tcBorders>
              <w:top w:val="nil"/>
              <w:bottom w:val="nil"/>
            </w:tcBorders>
          </w:tcPr>
          <w:p w:rsidR="00000000" w:rsidRDefault="00000000">
            <w:pPr>
              <w:pStyle w:val="aa"/>
              <w:spacing w:before="60"/>
              <w:ind w:right="284"/>
              <w:jc w:val="right"/>
            </w:pPr>
            <w:r>
              <w:t>16</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矿泉疗养地</w:t>
            </w:r>
          </w:p>
        </w:tc>
        <w:tc>
          <w:tcPr>
            <w:tcW w:w="1440" w:type="dxa"/>
            <w:tcBorders>
              <w:top w:val="nil"/>
              <w:bottom w:val="nil"/>
            </w:tcBorders>
          </w:tcPr>
          <w:p w:rsidR="00000000" w:rsidRDefault="00000000">
            <w:pPr>
              <w:pStyle w:val="aa"/>
              <w:spacing w:before="60"/>
              <w:ind w:right="284"/>
              <w:jc w:val="right"/>
            </w:pPr>
            <w:r>
              <w:t>12</w:t>
            </w:r>
          </w:p>
        </w:tc>
        <w:tc>
          <w:tcPr>
            <w:tcW w:w="1080" w:type="dxa"/>
            <w:tcBorders>
              <w:top w:val="nil"/>
              <w:bottom w:val="nil"/>
            </w:tcBorders>
          </w:tcPr>
          <w:p w:rsidR="00000000" w:rsidRDefault="00000000">
            <w:pPr>
              <w:pStyle w:val="aa"/>
              <w:spacing w:before="60"/>
              <w:ind w:right="284"/>
              <w:jc w:val="right"/>
            </w:pPr>
            <w:r>
              <w:t>13</w:t>
            </w:r>
          </w:p>
        </w:tc>
        <w:tc>
          <w:tcPr>
            <w:tcW w:w="960" w:type="dxa"/>
            <w:tcBorders>
              <w:top w:val="nil"/>
              <w:bottom w:val="nil"/>
            </w:tcBorders>
          </w:tcPr>
          <w:p w:rsidR="00000000" w:rsidRDefault="00000000">
            <w:pPr>
              <w:pStyle w:val="aa"/>
              <w:spacing w:before="60"/>
              <w:ind w:right="284"/>
              <w:jc w:val="right"/>
            </w:pPr>
            <w:r>
              <w:t>11</w:t>
            </w:r>
          </w:p>
        </w:tc>
        <w:tc>
          <w:tcPr>
            <w:tcW w:w="960" w:type="dxa"/>
            <w:tcBorders>
              <w:top w:val="nil"/>
              <w:bottom w:val="nil"/>
            </w:tcBorders>
          </w:tcPr>
          <w:p w:rsidR="00000000" w:rsidRDefault="00000000">
            <w:pPr>
              <w:pStyle w:val="aa"/>
              <w:spacing w:before="60"/>
              <w:ind w:right="284"/>
              <w:jc w:val="right"/>
            </w:pPr>
            <w:r>
              <w:t>10</w:t>
            </w:r>
          </w:p>
        </w:tc>
        <w:tc>
          <w:tcPr>
            <w:tcW w:w="1076" w:type="dxa"/>
            <w:tcBorders>
              <w:top w:val="nil"/>
              <w:bottom w:val="nil"/>
            </w:tcBorders>
          </w:tcPr>
          <w:p w:rsidR="00000000" w:rsidRDefault="00000000">
            <w:pPr>
              <w:pStyle w:val="aa"/>
              <w:spacing w:before="60"/>
              <w:ind w:right="284"/>
              <w:jc w:val="right"/>
            </w:pPr>
            <w:r>
              <w:t>9</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vertAlign w:val="superscript"/>
              </w:rPr>
            </w:pPr>
            <w:r>
              <w:rPr>
                <w:rFonts w:hint="eastAsia"/>
              </w:rPr>
              <w:t>婴儿治疗机构和儿童之家</w:t>
            </w:r>
            <w:r>
              <w:rPr>
                <w:rFonts w:hint="eastAsia"/>
              </w:rPr>
              <w:t xml:space="preserve"> </w:t>
            </w:r>
            <w:r>
              <w:rPr>
                <w:rFonts w:eastAsia="KaiTi_GB2312"/>
                <w:snapToGrid/>
                <w:sz w:val="24"/>
                <w:u w:val="single"/>
              </w:rPr>
              <w:t>a</w:t>
            </w:r>
            <w:r>
              <w:rPr>
                <w:rFonts w:eastAsia="KaiTi_GB2312" w:hint="eastAsia"/>
                <w:snapToGrid/>
                <w:sz w:val="24"/>
              </w:rPr>
              <w:t>/</w:t>
            </w:r>
          </w:p>
        </w:tc>
        <w:tc>
          <w:tcPr>
            <w:tcW w:w="1440" w:type="dxa"/>
            <w:tcBorders>
              <w:top w:val="nil"/>
              <w:bottom w:val="nil"/>
            </w:tcBorders>
          </w:tcPr>
          <w:p w:rsidR="00000000" w:rsidRDefault="00000000">
            <w:pPr>
              <w:pStyle w:val="aa"/>
              <w:spacing w:before="60"/>
              <w:ind w:right="284"/>
              <w:jc w:val="right"/>
            </w:pPr>
            <w:r>
              <w:t>38</w:t>
            </w:r>
          </w:p>
        </w:tc>
        <w:tc>
          <w:tcPr>
            <w:tcW w:w="1080" w:type="dxa"/>
            <w:tcBorders>
              <w:top w:val="nil"/>
              <w:bottom w:val="nil"/>
            </w:tcBorders>
          </w:tcPr>
          <w:p w:rsidR="00000000" w:rsidRDefault="00000000">
            <w:pPr>
              <w:pStyle w:val="aa"/>
              <w:spacing w:before="60"/>
              <w:ind w:right="284"/>
              <w:jc w:val="right"/>
            </w:pPr>
            <w:r>
              <w:t>37</w:t>
            </w:r>
          </w:p>
        </w:tc>
        <w:tc>
          <w:tcPr>
            <w:tcW w:w="960" w:type="dxa"/>
            <w:tcBorders>
              <w:top w:val="nil"/>
              <w:bottom w:val="nil"/>
            </w:tcBorders>
          </w:tcPr>
          <w:p w:rsidR="00000000" w:rsidRDefault="00000000">
            <w:pPr>
              <w:pStyle w:val="aa"/>
              <w:spacing w:before="60"/>
              <w:ind w:right="284"/>
              <w:jc w:val="right"/>
            </w:pPr>
            <w:r>
              <w:t>35</w:t>
            </w:r>
          </w:p>
        </w:tc>
        <w:tc>
          <w:tcPr>
            <w:tcW w:w="960" w:type="dxa"/>
            <w:tcBorders>
              <w:top w:val="nil"/>
              <w:bottom w:val="nil"/>
            </w:tcBorders>
          </w:tcPr>
          <w:p w:rsidR="00000000" w:rsidRDefault="00000000">
            <w:pPr>
              <w:pStyle w:val="aa"/>
              <w:spacing w:before="60"/>
              <w:ind w:right="284"/>
              <w:jc w:val="right"/>
            </w:pPr>
            <w:r>
              <w:t>33</w:t>
            </w:r>
          </w:p>
        </w:tc>
        <w:tc>
          <w:tcPr>
            <w:tcW w:w="1076" w:type="dxa"/>
            <w:tcBorders>
              <w:top w:val="nil"/>
              <w:bottom w:val="nil"/>
            </w:tcBorders>
          </w:tcPr>
          <w:p w:rsidR="00000000" w:rsidRDefault="00000000">
            <w:pPr>
              <w:pStyle w:val="aa"/>
              <w:spacing w:before="60"/>
              <w:ind w:right="284"/>
              <w:jc w:val="right"/>
            </w:pPr>
            <w:r>
              <w:t>34</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儿童日间诊所和中心</w:t>
            </w:r>
          </w:p>
        </w:tc>
        <w:tc>
          <w:tcPr>
            <w:tcW w:w="1440" w:type="dxa"/>
            <w:tcBorders>
              <w:top w:val="nil"/>
              <w:bottom w:val="nil"/>
            </w:tcBorders>
          </w:tcPr>
          <w:p w:rsidR="00000000" w:rsidRDefault="00000000">
            <w:pPr>
              <w:pStyle w:val="aa"/>
              <w:spacing w:before="60"/>
              <w:ind w:right="284"/>
              <w:jc w:val="right"/>
            </w:pPr>
            <w:r>
              <w:t>32</w:t>
            </w:r>
          </w:p>
        </w:tc>
        <w:tc>
          <w:tcPr>
            <w:tcW w:w="1080" w:type="dxa"/>
            <w:tcBorders>
              <w:top w:val="nil"/>
              <w:bottom w:val="nil"/>
            </w:tcBorders>
          </w:tcPr>
          <w:p w:rsidR="00000000" w:rsidRDefault="00000000">
            <w:pPr>
              <w:pStyle w:val="aa"/>
              <w:spacing w:before="60"/>
              <w:ind w:right="284"/>
              <w:jc w:val="right"/>
            </w:pPr>
            <w:r>
              <w:t>23</w:t>
            </w:r>
          </w:p>
        </w:tc>
        <w:tc>
          <w:tcPr>
            <w:tcW w:w="960" w:type="dxa"/>
            <w:tcBorders>
              <w:top w:val="nil"/>
              <w:bottom w:val="nil"/>
            </w:tcBorders>
          </w:tcPr>
          <w:p w:rsidR="00000000" w:rsidRDefault="00000000">
            <w:pPr>
              <w:pStyle w:val="aa"/>
              <w:spacing w:before="60"/>
              <w:ind w:right="284"/>
              <w:jc w:val="right"/>
            </w:pPr>
            <w:r>
              <w:t>17</w:t>
            </w:r>
          </w:p>
        </w:tc>
        <w:tc>
          <w:tcPr>
            <w:tcW w:w="960" w:type="dxa"/>
            <w:tcBorders>
              <w:top w:val="nil"/>
              <w:bottom w:val="nil"/>
            </w:tcBorders>
          </w:tcPr>
          <w:p w:rsidR="00000000" w:rsidRDefault="00000000">
            <w:pPr>
              <w:pStyle w:val="aa"/>
              <w:spacing w:before="60"/>
              <w:ind w:right="284"/>
              <w:jc w:val="right"/>
            </w:pPr>
            <w:r>
              <w:t>14</w:t>
            </w:r>
          </w:p>
        </w:tc>
        <w:tc>
          <w:tcPr>
            <w:tcW w:w="1076" w:type="dxa"/>
            <w:tcBorders>
              <w:top w:val="nil"/>
              <w:bottom w:val="nil"/>
            </w:tcBorders>
          </w:tcPr>
          <w:p w:rsidR="00000000" w:rsidRDefault="00000000">
            <w:pPr>
              <w:pStyle w:val="aa"/>
              <w:spacing w:before="60"/>
              <w:ind w:right="284"/>
              <w:jc w:val="right"/>
            </w:pPr>
            <w:r>
              <w:t>14</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药房和配药处</w:t>
            </w:r>
          </w:p>
        </w:tc>
        <w:tc>
          <w:tcPr>
            <w:tcW w:w="1440" w:type="dxa"/>
            <w:tcBorders>
              <w:top w:val="nil"/>
              <w:bottom w:val="nil"/>
            </w:tcBorders>
          </w:tcPr>
          <w:p w:rsidR="00000000" w:rsidRDefault="00000000">
            <w:pPr>
              <w:pStyle w:val="aa"/>
              <w:spacing w:before="60"/>
              <w:ind w:right="284"/>
              <w:jc w:val="right"/>
            </w:pPr>
            <w:r>
              <w:t>447</w:t>
            </w:r>
          </w:p>
        </w:tc>
        <w:tc>
          <w:tcPr>
            <w:tcW w:w="1080" w:type="dxa"/>
            <w:tcBorders>
              <w:top w:val="nil"/>
              <w:bottom w:val="nil"/>
            </w:tcBorders>
          </w:tcPr>
          <w:p w:rsidR="00000000" w:rsidRDefault="00000000">
            <w:pPr>
              <w:pStyle w:val="aa"/>
              <w:spacing w:before="60"/>
              <w:ind w:right="284"/>
              <w:jc w:val="right"/>
            </w:pPr>
            <w:r>
              <w:t>185</w:t>
            </w:r>
          </w:p>
        </w:tc>
        <w:tc>
          <w:tcPr>
            <w:tcW w:w="960" w:type="dxa"/>
            <w:tcBorders>
              <w:top w:val="nil"/>
              <w:bottom w:val="nil"/>
            </w:tcBorders>
          </w:tcPr>
          <w:p w:rsidR="00000000" w:rsidRDefault="00000000">
            <w:pPr>
              <w:pStyle w:val="aa"/>
              <w:spacing w:before="60"/>
              <w:ind w:right="284"/>
              <w:jc w:val="right"/>
            </w:pPr>
            <w:r>
              <w:t>102</w:t>
            </w:r>
          </w:p>
        </w:tc>
        <w:tc>
          <w:tcPr>
            <w:tcW w:w="960" w:type="dxa"/>
            <w:tcBorders>
              <w:top w:val="nil"/>
              <w:bottom w:val="nil"/>
            </w:tcBorders>
          </w:tcPr>
          <w:p w:rsidR="00000000" w:rsidRDefault="00000000">
            <w:pPr>
              <w:pStyle w:val="aa"/>
              <w:spacing w:before="60"/>
              <w:ind w:right="284"/>
              <w:jc w:val="right"/>
            </w:pPr>
            <w:r>
              <w:t>79</w:t>
            </w:r>
          </w:p>
        </w:tc>
        <w:tc>
          <w:tcPr>
            <w:tcW w:w="1076" w:type="dxa"/>
            <w:tcBorders>
              <w:top w:val="nil"/>
              <w:bottom w:val="nil"/>
            </w:tcBorders>
          </w:tcPr>
          <w:p w:rsidR="00000000" w:rsidRDefault="00000000">
            <w:pPr>
              <w:pStyle w:val="aa"/>
              <w:spacing w:before="60"/>
              <w:ind w:right="284"/>
              <w:jc w:val="right"/>
            </w:pPr>
            <w:r>
              <w:t>73</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卫生服务部门</w:t>
            </w:r>
          </w:p>
        </w:tc>
        <w:tc>
          <w:tcPr>
            <w:tcW w:w="1440" w:type="dxa"/>
            <w:tcBorders>
              <w:top w:val="nil"/>
              <w:bottom w:val="nil"/>
            </w:tcBorders>
          </w:tcPr>
          <w:p w:rsidR="00000000" w:rsidRDefault="00000000">
            <w:pPr>
              <w:pStyle w:val="aa"/>
              <w:spacing w:before="60"/>
              <w:ind w:right="284"/>
              <w:jc w:val="right"/>
            </w:pPr>
            <w:r>
              <w:t>90</w:t>
            </w:r>
          </w:p>
        </w:tc>
        <w:tc>
          <w:tcPr>
            <w:tcW w:w="1080" w:type="dxa"/>
            <w:tcBorders>
              <w:top w:val="nil"/>
              <w:bottom w:val="nil"/>
            </w:tcBorders>
          </w:tcPr>
          <w:p w:rsidR="00000000" w:rsidRDefault="00000000">
            <w:pPr>
              <w:pStyle w:val="aa"/>
              <w:spacing w:before="60"/>
              <w:ind w:right="284"/>
              <w:jc w:val="right"/>
            </w:pPr>
            <w:r>
              <w:t>86</w:t>
            </w:r>
          </w:p>
        </w:tc>
        <w:tc>
          <w:tcPr>
            <w:tcW w:w="960" w:type="dxa"/>
            <w:tcBorders>
              <w:top w:val="nil"/>
              <w:bottom w:val="nil"/>
            </w:tcBorders>
          </w:tcPr>
          <w:p w:rsidR="00000000" w:rsidRDefault="00000000">
            <w:pPr>
              <w:pStyle w:val="aa"/>
              <w:spacing w:before="60"/>
              <w:ind w:right="284"/>
              <w:jc w:val="right"/>
            </w:pPr>
            <w:r>
              <w:t>85</w:t>
            </w:r>
          </w:p>
        </w:tc>
        <w:tc>
          <w:tcPr>
            <w:tcW w:w="960" w:type="dxa"/>
            <w:tcBorders>
              <w:top w:val="nil"/>
              <w:bottom w:val="nil"/>
            </w:tcBorders>
          </w:tcPr>
          <w:p w:rsidR="00000000" w:rsidRDefault="00000000">
            <w:pPr>
              <w:pStyle w:val="aa"/>
              <w:spacing w:before="60"/>
              <w:ind w:right="284"/>
              <w:jc w:val="right"/>
            </w:pPr>
            <w:r>
              <w:t>85</w:t>
            </w:r>
          </w:p>
        </w:tc>
        <w:tc>
          <w:tcPr>
            <w:tcW w:w="1076" w:type="dxa"/>
            <w:tcBorders>
              <w:top w:val="nil"/>
              <w:bottom w:val="nil"/>
            </w:tcBorders>
          </w:tcPr>
          <w:p w:rsidR="00000000" w:rsidRDefault="00000000">
            <w:pPr>
              <w:pStyle w:val="aa"/>
              <w:spacing w:before="60"/>
              <w:ind w:right="284"/>
              <w:jc w:val="right"/>
            </w:pPr>
            <w:r>
              <w:t>85</w:t>
            </w:r>
          </w:p>
        </w:tc>
      </w:tr>
      <w:tr w:rsidR="00000000">
        <w:tblPrEx>
          <w:tblCellMar>
            <w:top w:w="0" w:type="dxa"/>
            <w:bottom w:w="0" w:type="dxa"/>
          </w:tblCellMar>
        </w:tblPrEx>
        <w:tc>
          <w:tcPr>
            <w:tcW w:w="3840" w:type="dxa"/>
            <w:tcBorders>
              <w:top w:val="nil"/>
              <w:bottom w:val="nil"/>
            </w:tcBorders>
          </w:tcPr>
          <w:p w:rsidR="00000000" w:rsidRDefault="00000000">
            <w:pPr>
              <w:pStyle w:val="aa"/>
              <w:spacing w:before="60"/>
              <w:rPr>
                <w:rFonts w:hint="eastAsia"/>
              </w:rPr>
            </w:pPr>
            <w:r>
              <w:rPr>
                <w:rFonts w:hint="eastAsia"/>
              </w:rPr>
              <w:t>总共床位</w:t>
            </w:r>
          </w:p>
        </w:tc>
        <w:tc>
          <w:tcPr>
            <w:tcW w:w="1440" w:type="dxa"/>
            <w:tcBorders>
              <w:top w:val="nil"/>
              <w:bottom w:val="nil"/>
            </w:tcBorders>
          </w:tcPr>
          <w:p w:rsidR="00000000" w:rsidRDefault="00000000">
            <w:pPr>
              <w:pStyle w:val="aa"/>
              <w:spacing w:before="60"/>
              <w:ind w:right="284"/>
              <w:jc w:val="right"/>
            </w:pPr>
            <w:r>
              <w:t>107,039</w:t>
            </w:r>
          </w:p>
        </w:tc>
        <w:tc>
          <w:tcPr>
            <w:tcW w:w="1080" w:type="dxa"/>
            <w:tcBorders>
              <w:top w:val="nil"/>
              <w:bottom w:val="nil"/>
            </w:tcBorders>
          </w:tcPr>
          <w:p w:rsidR="00000000" w:rsidRDefault="00000000">
            <w:pPr>
              <w:pStyle w:val="aa"/>
              <w:spacing w:before="60"/>
              <w:ind w:right="284"/>
              <w:jc w:val="right"/>
            </w:pPr>
            <w:r>
              <w:t>91,921</w:t>
            </w:r>
          </w:p>
        </w:tc>
        <w:tc>
          <w:tcPr>
            <w:tcW w:w="960" w:type="dxa"/>
            <w:tcBorders>
              <w:top w:val="nil"/>
              <w:bottom w:val="nil"/>
            </w:tcBorders>
          </w:tcPr>
          <w:p w:rsidR="00000000" w:rsidRDefault="00000000">
            <w:pPr>
              <w:pStyle w:val="aa"/>
              <w:spacing w:before="60"/>
              <w:ind w:right="284"/>
              <w:jc w:val="right"/>
            </w:pPr>
            <w:r>
              <w:t>86,569</w:t>
            </w:r>
          </w:p>
        </w:tc>
        <w:tc>
          <w:tcPr>
            <w:tcW w:w="960" w:type="dxa"/>
            <w:tcBorders>
              <w:top w:val="nil"/>
              <w:bottom w:val="nil"/>
            </w:tcBorders>
          </w:tcPr>
          <w:p w:rsidR="00000000" w:rsidRDefault="00000000">
            <w:pPr>
              <w:pStyle w:val="aa"/>
              <w:spacing w:before="60"/>
              <w:ind w:right="284"/>
              <w:jc w:val="right"/>
            </w:pPr>
            <w:r>
              <w:t>82,107</w:t>
            </w:r>
          </w:p>
        </w:tc>
        <w:tc>
          <w:tcPr>
            <w:tcW w:w="1076" w:type="dxa"/>
            <w:tcBorders>
              <w:top w:val="nil"/>
              <w:bottom w:val="nil"/>
            </w:tcBorders>
          </w:tcPr>
          <w:p w:rsidR="00000000" w:rsidRDefault="00000000">
            <w:pPr>
              <w:pStyle w:val="aa"/>
              <w:spacing w:before="60"/>
              <w:ind w:right="284"/>
              <w:jc w:val="right"/>
            </w:pPr>
            <w:r>
              <w:t>79,958</w:t>
            </w:r>
          </w:p>
        </w:tc>
      </w:tr>
      <w:tr w:rsidR="00000000">
        <w:tblPrEx>
          <w:tblCellMar>
            <w:top w:w="0" w:type="dxa"/>
            <w:bottom w:w="0" w:type="dxa"/>
          </w:tblCellMar>
        </w:tblPrEx>
        <w:tc>
          <w:tcPr>
            <w:tcW w:w="3840" w:type="dxa"/>
            <w:tcBorders>
              <w:top w:val="nil"/>
            </w:tcBorders>
          </w:tcPr>
          <w:p w:rsidR="00000000" w:rsidRDefault="00000000">
            <w:pPr>
              <w:pStyle w:val="aa"/>
              <w:spacing w:before="60" w:after="120"/>
              <w:rPr>
                <w:rFonts w:hint="eastAsia"/>
              </w:rPr>
            </w:pPr>
            <w:r>
              <w:rPr>
                <w:rFonts w:hint="eastAsia"/>
              </w:rPr>
              <w:t>医生</w:t>
            </w:r>
            <w:r>
              <w:rPr>
                <w:rFonts w:hint="eastAsia"/>
              </w:rPr>
              <w:t>(</w:t>
            </w:r>
            <w:r>
              <w:rPr>
                <w:rFonts w:hint="eastAsia"/>
              </w:rPr>
              <w:t>以千计</w:t>
            </w:r>
            <w:r>
              <w:rPr>
                <w:rFonts w:hint="eastAsia"/>
              </w:rPr>
              <w:t>)</w:t>
            </w:r>
          </w:p>
        </w:tc>
        <w:tc>
          <w:tcPr>
            <w:tcW w:w="1440" w:type="dxa"/>
            <w:tcBorders>
              <w:top w:val="nil"/>
            </w:tcBorders>
          </w:tcPr>
          <w:p w:rsidR="00000000" w:rsidRDefault="00000000">
            <w:pPr>
              <w:pStyle w:val="aa"/>
              <w:spacing w:before="60" w:after="120"/>
              <w:ind w:right="284"/>
              <w:jc w:val="right"/>
            </w:pPr>
            <w:r>
              <w:t>17,552</w:t>
            </w:r>
          </w:p>
        </w:tc>
        <w:tc>
          <w:tcPr>
            <w:tcW w:w="1080" w:type="dxa"/>
            <w:tcBorders>
              <w:top w:val="nil"/>
            </w:tcBorders>
          </w:tcPr>
          <w:p w:rsidR="00000000" w:rsidRDefault="00000000">
            <w:pPr>
              <w:pStyle w:val="aa"/>
              <w:spacing w:before="60" w:after="120"/>
              <w:ind w:right="284"/>
              <w:jc w:val="right"/>
            </w:pPr>
            <w:r>
              <w:t>15,517</w:t>
            </w:r>
          </w:p>
        </w:tc>
        <w:tc>
          <w:tcPr>
            <w:tcW w:w="960" w:type="dxa"/>
            <w:tcBorders>
              <w:top w:val="nil"/>
            </w:tcBorders>
          </w:tcPr>
          <w:p w:rsidR="00000000" w:rsidRDefault="00000000">
            <w:pPr>
              <w:pStyle w:val="aa"/>
              <w:spacing w:before="60" w:after="120"/>
              <w:ind w:right="284"/>
              <w:jc w:val="right"/>
            </w:pPr>
            <w:r>
              <w:t>14,631</w:t>
            </w:r>
          </w:p>
        </w:tc>
        <w:tc>
          <w:tcPr>
            <w:tcW w:w="960" w:type="dxa"/>
            <w:tcBorders>
              <w:top w:val="nil"/>
            </w:tcBorders>
          </w:tcPr>
          <w:p w:rsidR="00000000" w:rsidRDefault="00000000">
            <w:pPr>
              <w:pStyle w:val="aa"/>
              <w:spacing w:before="60" w:after="120"/>
              <w:ind w:right="284"/>
              <w:jc w:val="right"/>
            </w:pPr>
            <w:r>
              <w:t>14,468</w:t>
            </w:r>
          </w:p>
        </w:tc>
        <w:tc>
          <w:tcPr>
            <w:tcW w:w="1076" w:type="dxa"/>
            <w:tcBorders>
              <w:top w:val="nil"/>
            </w:tcBorders>
          </w:tcPr>
          <w:p w:rsidR="00000000" w:rsidRDefault="00000000">
            <w:pPr>
              <w:pStyle w:val="aa"/>
              <w:spacing w:before="60" w:after="120"/>
              <w:ind w:right="284"/>
              <w:jc w:val="right"/>
            </w:pPr>
            <w:r>
              <w:t>14,120</w:t>
            </w:r>
          </w:p>
        </w:tc>
      </w:tr>
    </w:tbl>
    <w:p w:rsidR="00000000" w:rsidRDefault="00000000">
      <w:pPr>
        <w:pStyle w:val="aa"/>
        <w:spacing w:before="240"/>
        <w:rPr>
          <w:rFonts w:eastAsia="KaiTi_GB2312" w:hint="eastAsia"/>
          <w:snapToGrid/>
        </w:rPr>
      </w:pPr>
      <w:r>
        <w:rPr>
          <w:rFonts w:eastAsia="KaiTi_GB2312" w:hint="eastAsia"/>
          <w:b/>
          <w:bCs/>
          <w:snapToGrid/>
          <w:vertAlign w:val="superscript"/>
        </w:rPr>
        <w:tab/>
      </w:r>
      <w:r>
        <w:rPr>
          <w:rFonts w:eastAsia="KaiTi_GB2312"/>
          <w:snapToGrid/>
          <w:u w:val="single"/>
        </w:rPr>
        <w:t>a</w:t>
      </w:r>
      <w:r>
        <w:rPr>
          <w:rFonts w:eastAsia="KaiTi_GB2312" w:hint="eastAsia"/>
          <w:snapToGrid/>
        </w:rPr>
        <w:t>/</w:t>
      </w:r>
      <w:r>
        <w:rPr>
          <w:rFonts w:eastAsia="KaiTi_GB2312"/>
          <w:snapToGrid/>
        </w:rPr>
        <w:tab/>
      </w:r>
      <w:r>
        <w:rPr>
          <w:rFonts w:eastAsia="KaiTi_GB2312" w:hint="eastAsia"/>
          <w:snapToGrid/>
        </w:rPr>
        <w:t>3</w:t>
      </w:r>
      <w:r>
        <w:rPr>
          <w:rFonts w:eastAsia="KaiTi_GB2312" w:hint="eastAsia"/>
          <w:snapToGrid/>
        </w:rPr>
        <w:t>岁以下儿童的儿童之家。</w:t>
      </w:r>
    </w:p>
    <w:p w:rsidR="00000000" w:rsidRDefault="00000000">
      <w:pPr>
        <w:pStyle w:val="aa"/>
        <w:spacing w:before="240"/>
        <w:rPr>
          <w:rFonts w:hint="eastAsia"/>
          <w:sz w:val="24"/>
        </w:rPr>
      </w:pPr>
    </w:p>
    <w:p w:rsidR="00000000" w:rsidRDefault="00000000">
      <w:pPr>
        <w:pStyle w:val="Heading3"/>
        <w:spacing w:after="160"/>
        <w:rPr>
          <w:rFonts w:hint="eastAsia"/>
        </w:rPr>
      </w:pPr>
      <w:r>
        <w:rPr>
          <w:rFonts w:hint="eastAsia"/>
          <w:u w:val="none"/>
        </w:rPr>
        <w:t xml:space="preserve">B.  </w:t>
      </w:r>
      <w:r>
        <w:rPr>
          <w:rFonts w:hint="eastAsia"/>
        </w:rPr>
        <w:t>非政府保健机构</w:t>
      </w:r>
      <w:r>
        <w:rPr>
          <w:rFonts w:hint="eastAsia"/>
        </w:rPr>
        <w:t>(</w:t>
      </w:r>
      <w:r>
        <w:rPr>
          <w:rFonts w:hint="eastAsia"/>
        </w:rPr>
        <w:t>每年截至</w:t>
      </w:r>
      <w:r>
        <w:rPr>
          <w:rFonts w:hint="eastAsia"/>
        </w:rPr>
        <w:t>12</w:t>
      </w:r>
      <w:r>
        <w:rPr>
          <w:rFonts w:hint="eastAsia"/>
        </w:rPr>
        <w:t>月</w:t>
      </w:r>
      <w:r>
        <w:rPr>
          <w:rFonts w:hint="eastAsia"/>
        </w:rPr>
        <w:t>31</w:t>
      </w:r>
      <w:r>
        <w:rPr>
          <w:rFonts w:hint="eastAsia"/>
        </w:rPr>
        <w:t>日的数目</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1134"/>
        <w:gridCol w:w="1134"/>
        <w:gridCol w:w="1134"/>
        <w:gridCol w:w="993"/>
        <w:gridCol w:w="992"/>
      </w:tblGrid>
      <w:tr w:rsidR="00000000">
        <w:tblPrEx>
          <w:tblCellMar>
            <w:top w:w="0" w:type="dxa"/>
            <w:bottom w:w="0" w:type="dxa"/>
          </w:tblCellMar>
        </w:tblPrEx>
        <w:tc>
          <w:tcPr>
            <w:tcW w:w="3969" w:type="dxa"/>
            <w:tcBorders>
              <w:bottom w:val="single" w:sz="4" w:space="0" w:color="auto"/>
            </w:tcBorders>
          </w:tcPr>
          <w:p w:rsidR="00000000" w:rsidRDefault="00000000">
            <w:pPr>
              <w:pStyle w:val="aa"/>
              <w:spacing w:before="120" w:after="60" w:line="240" w:lineRule="auto"/>
              <w:rPr>
                <w:sz w:val="22"/>
              </w:rPr>
            </w:pPr>
          </w:p>
        </w:tc>
        <w:tc>
          <w:tcPr>
            <w:tcW w:w="1134" w:type="dxa"/>
            <w:tcBorders>
              <w:bottom w:val="single" w:sz="4" w:space="0" w:color="auto"/>
            </w:tcBorders>
          </w:tcPr>
          <w:p w:rsidR="00000000" w:rsidRDefault="00000000">
            <w:pPr>
              <w:pStyle w:val="aa"/>
              <w:spacing w:before="120" w:after="60" w:line="240" w:lineRule="auto"/>
              <w:jc w:val="center"/>
              <w:rPr>
                <w:b/>
                <w:bCs/>
                <w:sz w:val="22"/>
              </w:rPr>
            </w:pPr>
            <w:r>
              <w:rPr>
                <w:b/>
                <w:bCs/>
                <w:sz w:val="22"/>
              </w:rPr>
              <w:t>1994</w:t>
            </w:r>
          </w:p>
        </w:tc>
        <w:tc>
          <w:tcPr>
            <w:tcW w:w="1134" w:type="dxa"/>
            <w:tcBorders>
              <w:bottom w:val="single" w:sz="4" w:space="0" w:color="auto"/>
            </w:tcBorders>
          </w:tcPr>
          <w:p w:rsidR="00000000" w:rsidRDefault="00000000">
            <w:pPr>
              <w:pStyle w:val="aa"/>
              <w:spacing w:before="120" w:after="60" w:line="240" w:lineRule="auto"/>
              <w:jc w:val="center"/>
              <w:rPr>
                <w:b/>
                <w:bCs/>
                <w:sz w:val="22"/>
              </w:rPr>
            </w:pPr>
            <w:r>
              <w:rPr>
                <w:b/>
                <w:bCs/>
                <w:sz w:val="22"/>
              </w:rPr>
              <w:t>1995</w:t>
            </w:r>
          </w:p>
        </w:tc>
        <w:tc>
          <w:tcPr>
            <w:tcW w:w="1134" w:type="dxa"/>
            <w:tcBorders>
              <w:bottom w:val="single" w:sz="4" w:space="0" w:color="auto"/>
            </w:tcBorders>
          </w:tcPr>
          <w:p w:rsidR="00000000" w:rsidRDefault="00000000">
            <w:pPr>
              <w:pStyle w:val="aa"/>
              <w:spacing w:before="120" w:after="60" w:line="240" w:lineRule="auto"/>
              <w:jc w:val="center"/>
              <w:rPr>
                <w:b/>
                <w:bCs/>
                <w:sz w:val="22"/>
              </w:rPr>
            </w:pPr>
            <w:r>
              <w:rPr>
                <w:b/>
                <w:bCs/>
                <w:sz w:val="22"/>
              </w:rPr>
              <w:t>1996</w:t>
            </w:r>
          </w:p>
        </w:tc>
        <w:tc>
          <w:tcPr>
            <w:tcW w:w="993" w:type="dxa"/>
            <w:tcBorders>
              <w:bottom w:val="single" w:sz="4" w:space="0" w:color="auto"/>
            </w:tcBorders>
          </w:tcPr>
          <w:p w:rsidR="00000000" w:rsidRDefault="00000000">
            <w:pPr>
              <w:pStyle w:val="aa"/>
              <w:spacing w:before="120" w:after="60" w:line="240" w:lineRule="auto"/>
              <w:jc w:val="center"/>
              <w:rPr>
                <w:b/>
                <w:bCs/>
                <w:sz w:val="22"/>
              </w:rPr>
            </w:pPr>
            <w:r>
              <w:rPr>
                <w:b/>
                <w:bCs/>
                <w:sz w:val="22"/>
              </w:rPr>
              <w:t>1997</w:t>
            </w:r>
          </w:p>
        </w:tc>
        <w:tc>
          <w:tcPr>
            <w:tcW w:w="992" w:type="dxa"/>
            <w:tcBorders>
              <w:bottom w:val="single" w:sz="4" w:space="0" w:color="auto"/>
            </w:tcBorders>
          </w:tcPr>
          <w:p w:rsidR="00000000" w:rsidRDefault="00000000">
            <w:pPr>
              <w:pStyle w:val="aa"/>
              <w:spacing w:before="120" w:after="60" w:line="240" w:lineRule="auto"/>
              <w:jc w:val="center"/>
              <w:rPr>
                <w:b/>
                <w:bCs/>
                <w:sz w:val="22"/>
              </w:rPr>
            </w:pPr>
            <w:r>
              <w:rPr>
                <w:b/>
                <w:bCs/>
                <w:sz w:val="22"/>
              </w:rPr>
              <w:t>1998</w:t>
            </w:r>
          </w:p>
        </w:tc>
      </w:tr>
      <w:tr w:rsidR="00000000">
        <w:tblPrEx>
          <w:tblCellMar>
            <w:top w:w="0" w:type="dxa"/>
            <w:bottom w:w="0" w:type="dxa"/>
          </w:tblCellMar>
        </w:tblPrEx>
        <w:tc>
          <w:tcPr>
            <w:tcW w:w="3969" w:type="dxa"/>
            <w:tcBorders>
              <w:bottom w:val="nil"/>
            </w:tcBorders>
          </w:tcPr>
          <w:p w:rsidR="00000000" w:rsidRDefault="00000000">
            <w:pPr>
              <w:pStyle w:val="aa"/>
              <w:spacing w:before="60" w:line="240" w:lineRule="auto"/>
              <w:rPr>
                <w:rFonts w:hint="eastAsia"/>
                <w:sz w:val="22"/>
              </w:rPr>
            </w:pPr>
            <w:r>
              <w:rPr>
                <w:rFonts w:hint="eastAsia"/>
                <w:sz w:val="22"/>
              </w:rPr>
              <w:t>医院</w:t>
            </w:r>
            <w:r>
              <w:rPr>
                <w:rFonts w:hint="eastAsia"/>
                <w:sz w:val="22"/>
              </w:rPr>
              <w:t>(</w:t>
            </w:r>
            <w:r>
              <w:rPr>
                <w:rFonts w:hint="eastAsia"/>
                <w:sz w:val="22"/>
              </w:rPr>
              <w:t>住房部和门诊部</w:t>
            </w:r>
            <w:r>
              <w:rPr>
                <w:rFonts w:hint="eastAsia"/>
                <w:sz w:val="22"/>
              </w:rPr>
              <w:t>)</w:t>
            </w:r>
          </w:p>
        </w:tc>
        <w:tc>
          <w:tcPr>
            <w:tcW w:w="1134" w:type="dxa"/>
            <w:tcBorders>
              <w:bottom w:val="nil"/>
            </w:tcBorders>
          </w:tcPr>
          <w:p w:rsidR="00000000" w:rsidRDefault="00000000">
            <w:pPr>
              <w:pStyle w:val="aa"/>
              <w:spacing w:before="60" w:line="240" w:lineRule="auto"/>
              <w:ind w:right="170"/>
              <w:jc w:val="right"/>
              <w:rPr>
                <w:sz w:val="22"/>
              </w:rPr>
            </w:pPr>
            <w:r>
              <w:rPr>
                <w:sz w:val="22"/>
              </w:rPr>
              <w:t>56</w:t>
            </w:r>
          </w:p>
        </w:tc>
        <w:tc>
          <w:tcPr>
            <w:tcW w:w="1134" w:type="dxa"/>
            <w:tcBorders>
              <w:bottom w:val="nil"/>
            </w:tcBorders>
          </w:tcPr>
          <w:p w:rsidR="00000000" w:rsidRDefault="00000000">
            <w:pPr>
              <w:pStyle w:val="aa"/>
              <w:spacing w:before="60" w:line="240" w:lineRule="auto"/>
              <w:ind w:right="170"/>
              <w:jc w:val="right"/>
              <w:rPr>
                <w:sz w:val="22"/>
              </w:rPr>
            </w:pPr>
            <w:r>
              <w:rPr>
                <w:sz w:val="22"/>
              </w:rPr>
              <w:t>82</w:t>
            </w:r>
          </w:p>
        </w:tc>
        <w:tc>
          <w:tcPr>
            <w:tcW w:w="1134" w:type="dxa"/>
            <w:tcBorders>
              <w:bottom w:val="nil"/>
            </w:tcBorders>
          </w:tcPr>
          <w:p w:rsidR="00000000" w:rsidRDefault="00000000">
            <w:pPr>
              <w:pStyle w:val="aa"/>
              <w:spacing w:before="60" w:line="240" w:lineRule="auto"/>
              <w:ind w:right="170"/>
              <w:jc w:val="right"/>
              <w:rPr>
                <w:sz w:val="22"/>
              </w:rPr>
            </w:pPr>
            <w:r>
              <w:rPr>
                <w:sz w:val="22"/>
              </w:rPr>
              <w:t>97</w:t>
            </w:r>
          </w:p>
        </w:tc>
        <w:tc>
          <w:tcPr>
            <w:tcW w:w="993" w:type="dxa"/>
            <w:tcBorders>
              <w:bottom w:val="nil"/>
            </w:tcBorders>
          </w:tcPr>
          <w:p w:rsidR="00000000" w:rsidRDefault="00000000">
            <w:pPr>
              <w:pStyle w:val="aa"/>
              <w:spacing w:before="60" w:line="240" w:lineRule="auto"/>
              <w:ind w:right="170"/>
              <w:jc w:val="right"/>
              <w:rPr>
                <w:sz w:val="22"/>
              </w:rPr>
            </w:pPr>
            <w:r>
              <w:rPr>
                <w:sz w:val="22"/>
              </w:rPr>
              <w:t>103</w:t>
            </w:r>
          </w:p>
        </w:tc>
        <w:tc>
          <w:tcPr>
            <w:tcW w:w="992" w:type="dxa"/>
            <w:tcBorders>
              <w:bottom w:val="nil"/>
            </w:tcBorders>
          </w:tcPr>
          <w:p w:rsidR="00000000" w:rsidRDefault="00000000">
            <w:pPr>
              <w:pStyle w:val="aa"/>
              <w:spacing w:before="60" w:line="240" w:lineRule="auto"/>
              <w:ind w:right="170"/>
              <w:jc w:val="right"/>
              <w:rPr>
                <w:sz w:val="22"/>
              </w:rPr>
            </w:pPr>
            <w:r>
              <w:rPr>
                <w:sz w:val="22"/>
              </w:rPr>
              <w:t>107</w:t>
            </w:r>
          </w:p>
        </w:tc>
      </w:tr>
      <w:tr w:rsidR="00000000">
        <w:tblPrEx>
          <w:tblCellMar>
            <w:top w:w="0" w:type="dxa"/>
            <w:bottom w:w="0" w:type="dxa"/>
          </w:tblCellMar>
        </w:tblPrEx>
        <w:tc>
          <w:tcPr>
            <w:tcW w:w="3969" w:type="dxa"/>
            <w:tcBorders>
              <w:top w:val="nil"/>
              <w:bottom w:val="nil"/>
            </w:tcBorders>
          </w:tcPr>
          <w:p w:rsidR="00000000" w:rsidRDefault="00000000">
            <w:pPr>
              <w:pStyle w:val="aa"/>
              <w:spacing w:before="60" w:line="240" w:lineRule="auto"/>
              <w:rPr>
                <w:rFonts w:hint="eastAsia"/>
                <w:sz w:val="22"/>
              </w:rPr>
            </w:pPr>
            <w:r>
              <w:rPr>
                <w:rFonts w:hint="eastAsia"/>
                <w:sz w:val="22"/>
              </w:rPr>
              <w:t>专门治疗机构</w:t>
            </w:r>
            <w:r>
              <w:rPr>
                <w:rFonts w:hint="eastAsia"/>
                <w:spacing w:val="-50"/>
                <w:sz w:val="22"/>
              </w:rPr>
              <w:t>―</w:t>
            </w:r>
            <w:r>
              <w:rPr>
                <w:rFonts w:hint="eastAsia"/>
                <w:sz w:val="22"/>
              </w:rPr>
              <w:t>―总计</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66</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81</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88</w:t>
            </w:r>
          </w:p>
        </w:tc>
        <w:tc>
          <w:tcPr>
            <w:tcW w:w="993" w:type="dxa"/>
            <w:tcBorders>
              <w:top w:val="nil"/>
              <w:bottom w:val="nil"/>
            </w:tcBorders>
          </w:tcPr>
          <w:p w:rsidR="00000000" w:rsidRDefault="00000000">
            <w:pPr>
              <w:pStyle w:val="aa"/>
              <w:spacing w:before="60" w:line="240" w:lineRule="auto"/>
              <w:ind w:right="170"/>
              <w:jc w:val="right"/>
              <w:rPr>
                <w:sz w:val="22"/>
              </w:rPr>
            </w:pPr>
            <w:r>
              <w:rPr>
                <w:sz w:val="22"/>
              </w:rPr>
              <w:t>94</w:t>
            </w:r>
          </w:p>
        </w:tc>
        <w:tc>
          <w:tcPr>
            <w:tcW w:w="992" w:type="dxa"/>
            <w:tcBorders>
              <w:top w:val="nil"/>
              <w:bottom w:val="nil"/>
            </w:tcBorders>
          </w:tcPr>
          <w:p w:rsidR="00000000" w:rsidRDefault="00000000">
            <w:pPr>
              <w:pStyle w:val="aa"/>
              <w:spacing w:before="60" w:line="240" w:lineRule="auto"/>
              <w:ind w:right="170"/>
              <w:jc w:val="right"/>
              <w:rPr>
                <w:sz w:val="22"/>
              </w:rPr>
            </w:pPr>
            <w:r>
              <w:rPr>
                <w:sz w:val="22"/>
              </w:rPr>
              <w:t>98</w:t>
            </w:r>
          </w:p>
        </w:tc>
      </w:tr>
      <w:tr w:rsidR="00000000">
        <w:tblPrEx>
          <w:tblCellMar>
            <w:top w:w="0" w:type="dxa"/>
            <w:bottom w:w="0" w:type="dxa"/>
          </w:tblCellMar>
        </w:tblPrEx>
        <w:tc>
          <w:tcPr>
            <w:tcW w:w="3969" w:type="dxa"/>
            <w:tcBorders>
              <w:top w:val="nil"/>
              <w:bottom w:val="nil"/>
            </w:tcBorders>
          </w:tcPr>
          <w:p w:rsidR="00000000" w:rsidRDefault="00000000">
            <w:pPr>
              <w:pStyle w:val="aa"/>
              <w:spacing w:before="60" w:line="240" w:lineRule="auto"/>
              <w:rPr>
                <w:rFonts w:hint="eastAsia"/>
                <w:sz w:val="22"/>
              </w:rPr>
            </w:pPr>
            <w:r>
              <w:rPr>
                <w:rFonts w:hint="eastAsia"/>
                <w:sz w:val="22"/>
              </w:rPr>
              <w:t>包括：长期病人治疗机构</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7</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15</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19</w:t>
            </w:r>
          </w:p>
        </w:tc>
        <w:tc>
          <w:tcPr>
            <w:tcW w:w="993" w:type="dxa"/>
            <w:tcBorders>
              <w:top w:val="nil"/>
              <w:bottom w:val="nil"/>
            </w:tcBorders>
          </w:tcPr>
          <w:p w:rsidR="00000000" w:rsidRDefault="00000000">
            <w:pPr>
              <w:pStyle w:val="aa"/>
              <w:spacing w:before="60" w:line="240" w:lineRule="auto"/>
              <w:ind w:right="170"/>
              <w:jc w:val="right"/>
              <w:rPr>
                <w:sz w:val="22"/>
              </w:rPr>
            </w:pPr>
            <w:r>
              <w:rPr>
                <w:sz w:val="22"/>
              </w:rPr>
              <w:t>21</w:t>
            </w:r>
          </w:p>
        </w:tc>
        <w:tc>
          <w:tcPr>
            <w:tcW w:w="992" w:type="dxa"/>
            <w:tcBorders>
              <w:top w:val="nil"/>
              <w:bottom w:val="nil"/>
            </w:tcBorders>
          </w:tcPr>
          <w:p w:rsidR="00000000" w:rsidRDefault="00000000">
            <w:pPr>
              <w:pStyle w:val="aa"/>
              <w:spacing w:before="60" w:line="240" w:lineRule="auto"/>
              <w:ind w:right="170"/>
              <w:jc w:val="right"/>
              <w:rPr>
                <w:sz w:val="22"/>
              </w:rPr>
            </w:pPr>
            <w:r>
              <w:rPr>
                <w:sz w:val="22"/>
              </w:rPr>
              <w:t>21</w:t>
            </w:r>
          </w:p>
        </w:tc>
      </w:tr>
      <w:tr w:rsidR="00000000">
        <w:tblPrEx>
          <w:tblCellMar>
            <w:top w:w="0" w:type="dxa"/>
            <w:bottom w:w="0" w:type="dxa"/>
          </w:tblCellMar>
        </w:tblPrEx>
        <w:tc>
          <w:tcPr>
            <w:tcW w:w="3969" w:type="dxa"/>
            <w:tcBorders>
              <w:top w:val="nil"/>
              <w:bottom w:val="nil"/>
            </w:tcBorders>
          </w:tcPr>
          <w:p w:rsidR="00000000" w:rsidRDefault="00000000">
            <w:pPr>
              <w:pStyle w:val="aa"/>
              <w:spacing w:before="60" w:line="240" w:lineRule="auto"/>
              <w:rPr>
                <w:rFonts w:hint="eastAsia"/>
                <w:sz w:val="22"/>
              </w:rPr>
            </w:pPr>
            <w:r>
              <w:rPr>
                <w:rFonts w:hint="eastAsia"/>
                <w:sz w:val="22"/>
              </w:rPr>
              <w:t xml:space="preserve">  </w:t>
            </w:r>
            <w:r>
              <w:rPr>
                <w:rFonts w:hint="eastAsia"/>
                <w:sz w:val="22"/>
              </w:rPr>
              <w:t>矿泉疗养地</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39</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42</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40</w:t>
            </w:r>
          </w:p>
        </w:tc>
        <w:tc>
          <w:tcPr>
            <w:tcW w:w="993" w:type="dxa"/>
            <w:tcBorders>
              <w:top w:val="nil"/>
              <w:bottom w:val="nil"/>
            </w:tcBorders>
          </w:tcPr>
          <w:p w:rsidR="00000000" w:rsidRDefault="00000000">
            <w:pPr>
              <w:pStyle w:val="aa"/>
              <w:spacing w:before="60" w:line="240" w:lineRule="auto"/>
              <w:ind w:right="170"/>
              <w:jc w:val="right"/>
              <w:rPr>
                <w:sz w:val="22"/>
              </w:rPr>
            </w:pPr>
            <w:r>
              <w:rPr>
                <w:sz w:val="22"/>
              </w:rPr>
              <w:t>41</w:t>
            </w:r>
          </w:p>
        </w:tc>
        <w:tc>
          <w:tcPr>
            <w:tcW w:w="992" w:type="dxa"/>
            <w:tcBorders>
              <w:top w:val="nil"/>
              <w:bottom w:val="nil"/>
            </w:tcBorders>
          </w:tcPr>
          <w:p w:rsidR="00000000" w:rsidRDefault="00000000">
            <w:pPr>
              <w:pStyle w:val="aa"/>
              <w:spacing w:before="60" w:line="240" w:lineRule="auto"/>
              <w:ind w:right="170"/>
              <w:jc w:val="right"/>
              <w:rPr>
                <w:sz w:val="22"/>
              </w:rPr>
            </w:pPr>
            <w:r>
              <w:rPr>
                <w:sz w:val="22"/>
              </w:rPr>
              <w:t>47</w:t>
            </w:r>
          </w:p>
        </w:tc>
      </w:tr>
      <w:tr w:rsidR="00000000">
        <w:tblPrEx>
          <w:tblCellMar>
            <w:top w:w="0" w:type="dxa"/>
            <w:bottom w:w="0" w:type="dxa"/>
          </w:tblCellMar>
        </w:tblPrEx>
        <w:tc>
          <w:tcPr>
            <w:tcW w:w="3969" w:type="dxa"/>
            <w:tcBorders>
              <w:top w:val="nil"/>
              <w:bottom w:val="nil"/>
            </w:tcBorders>
          </w:tcPr>
          <w:p w:rsidR="00000000" w:rsidRDefault="00000000">
            <w:pPr>
              <w:pStyle w:val="aa"/>
              <w:spacing w:before="60" w:line="240" w:lineRule="auto"/>
              <w:rPr>
                <w:rFonts w:hint="eastAsia"/>
                <w:sz w:val="22"/>
              </w:rPr>
            </w:pPr>
            <w:r>
              <w:rPr>
                <w:rFonts w:hint="eastAsia"/>
                <w:sz w:val="22"/>
              </w:rPr>
              <w:t>婴儿治疗机构和儿童之家</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5</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6</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6</w:t>
            </w:r>
          </w:p>
        </w:tc>
        <w:tc>
          <w:tcPr>
            <w:tcW w:w="993" w:type="dxa"/>
            <w:tcBorders>
              <w:top w:val="nil"/>
              <w:bottom w:val="nil"/>
            </w:tcBorders>
          </w:tcPr>
          <w:p w:rsidR="00000000" w:rsidRDefault="00000000">
            <w:pPr>
              <w:pStyle w:val="aa"/>
              <w:spacing w:before="60" w:line="240" w:lineRule="auto"/>
              <w:ind w:right="170"/>
              <w:jc w:val="right"/>
              <w:rPr>
                <w:sz w:val="22"/>
              </w:rPr>
            </w:pPr>
            <w:r>
              <w:rPr>
                <w:sz w:val="22"/>
              </w:rPr>
              <w:t>6</w:t>
            </w:r>
          </w:p>
        </w:tc>
        <w:tc>
          <w:tcPr>
            <w:tcW w:w="992" w:type="dxa"/>
            <w:tcBorders>
              <w:top w:val="nil"/>
              <w:bottom w:val="nil"/>
            </w:tcBorders>
          </w:tcPr>
          <w:p w:rsidR="00000000" w:rsidRDefault="00000000">
            <w:pPr>
              <w:pStyle w:val="aa"/>
              <w:spacing w:before="60" w:line="240" w:lineRule="auto"/>
              <w:ind w:right="170"/>
              <w:jc w:val="right"/>
              <w:rPr>
                <w:sz w:val="22"/>
              </w:rPr>
            </w:pPr>
            <w:r>
              <w:rPr>
                <w:sz w:val="22"/>
              </w:rPr>
              <w:t>5</w:t>
            </w:r>
          </w:p>
        </w:tc>
      </w:tr>
      <w:tr w:rsidR="00000000">
        <w:tblPrEx>
          <w:tblCellMar>
            <w:top w:w="0" w:type="dxa"/>
            <w:bottom w:w="0" w:type="dxa"/>
          </w:tblCellMar>
        </w:tblPrEx>
        <w:tc>
          <w:tcPr>
            <w:tcW w:w="3969" w:type="dxa"/>
            <w:tcBorders>
              <w:top w:val="nil"/>
              <w:bottom w:val="nil"/>
            </w:tcBorders>
          </w:tcPr>
          <w:p w:rsidR="00000000" w:rsidRDefault="00000000">
            <w:pPr>
              <w:pStyle w:val="aa"/>
              <w:spacing w:before="60" w:line="240" w:lineRule="auto"/>
              <w:rPr>
                <w:rFonts w:hint="eastAsia"/>
                <w:sz w:val="22"/>
              </w:rPr>
            </w:pPr>
            <w:r>
              <w:rPr>
                <w:rFonts w:hint="eastAsia"/>
                <w:sz w:val="22"/>
              </w:rPr>
              <w:t>儿童日间诊所和中心</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30</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43</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46</w:t>
            </w:r>
          </w:p>
        </w:tc>
        <w:tc>
          <w:tcPr>
            <w:tcW w:w="993" w:type="dxa"/>
            <w:tcBorders>
              <w:top w:val="nil"/>
              <w:bottom w:val="nil"/>
            </w:tcBorders>
          </w:tcPr>
          <w:p w:rsidR="00000000" w:rsidRDefault="00000000">
            <w:pPr>
              <w:pStyle w:val="aa"/>
              <w:spacing w:before="60" w:line="240" w:lineRule="auto"/>
              <w:ind w:right="170"/>
              <w:jc w:val="right"/>
              <w:rPr>
                <w:sz w:val="22"/>
              </w:rPr>
            </w:pPr>
            <w:r>
              <w:rPr>
                <w:sz w:val="22"/>
              </w:rPr>
              <w:t>45</w:t>
            </w:r>
          </w:p>
        </w:tc>
        <w:tc>
          <w:tcPr>
            <w:tcW w:w="992" w:type="dxa"/>
            <w:tcBorders>
              <w:top w:val="nil"/>
              <w:bottom w:val="nil"/>
            </w:tcBorders>
          </w:tcPr>
          <w:p w:rsidR="00000000" w:rsidRDefault="00000000">
            <w:pPr>
              <w:pStyle w:val="aa"/>
              <w:spacing w:before="60" w:line="240" w:lineRule="auto"/>
              <w:ind w:right="170"/>
              <w:jc w:val="right"/>
              <w:rPr>
                <w:sz w:val="22"/>
              </w:rPr>
            </w:pPr>
            <w:r>
              <w:rPr>
                <w:sz w:val="22"/>
              </w:rPr>
              <w:t>44</w:t>
            </w:r>
          </w:p>
        </w:tc>
      </w:tr>
      <w:tr w:rsidR="00000000">
        <w:tblPrEx>
          <w:tblCellMar>
            <w:top w:w="0" w:type="dxa"/>
            <w:bottom w:w="0" w:type="dxa"/>
          </w:tblCellMar>
        </w:tblPrEx>
        <w:tc>
          <w:tcPr>
            <w:tcW w:w="3969" w:type="dxa"/>
            <w:tcBorders>
              <w:top w:val="nil"/>
              <w:bottom w:val="nil"/>
            </w:tcBorders>
          </w:tcPr>
          <w:p w:rsidR="00000000" w:rsidRDefault="00000000">
            <w:pPr>
              <w:pStyle w:val="aa"/>
              <w:spacing w:before="60" w:line="240" w:lineRule="auto"/>
              <w:rPr>
                <w:rFonts w:hint="eastAsia"/>
                <w:sz w:val="22"/>
              </w:rPr>
            </w:pPr>
            <w:r>
              <w:rPr>
                <w:rFonts w:hint="eastAsia"/>
                <w:sz w:val="22"/>
              </w:rPr>
              <w:t>药房和配药处</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949</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1,214</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1,415</w:t>
            </w:r>
          </w:p>
        </w:tc>
        <w:tc>
          <w:tcPr>
            <w:tcW w:w="993" w:type="dxa"/>
            <w:tcBorders>
              <w:top w:val="nil"/>
              <w:bottom w:val="nil"/>
            </w:tcBorders>
          </w:tcPr>
          <w:p w:rsidR="00000000" w:rsidRDefault="00000000">
            <w:pPr>
              <w:pStyle w:val="aa"/>
              <w:spacing w:before="60" w:line="240" w:lineRule="auto"/>
              <w:ind w:right="170"/>
              <w:jc w:val="right"/>
              <w:rPr>
                <w:sz w:val="22"/>
              </w:rPr>
            </w:pPr>
            <w:r>
              <w:rPr>
                <w:sz w:val="22"/>
              </w:rPr>
              <w:t>1,547</w:t>
            </w:r>
          </w:p>
        </w:tc>
        <w:tc>
          <w:tcPr>
            <w:tcW w:w="992" w:type="dxa"/>
            <w:tcBorders>
              <w:top w:val="nil"/>
              <w:bottom w:val="nil"/>
            </w:tcBorders>
          </w:tcPr>
          <w:p w:rsidR="00000000" w:rsidRDefault="00000000">
            <w:pPr>
              <w:pStyle w:val="aa"/>
              <w:spacing w:before="60" w:line="240" w:lineRule="auto"/>
              <w:ind w:right="170"/>
              <w:jc w:val="right"/>
              <w:rPr>
                <w:sz w:val="22"/>
              </w:rPr>
            </w:pPr>
            <w:r>
              <w:rPr>
                <w:sz w:val="22"/>
              </w:rPr>
              <w:t>1,637</w:t>
            </w:r>
          </w:p>
        </w:tc>
      </w:tr>
      <w:tr w:rsidR="00000000">
        <w:tblPrEx>
          <w:tblCellMar>
            <w:top w:w="0" w:type="dxa"/>
            <w:bottom w:w="0" w:type="dxa"/>
          </w:tblCellMar>
        </w:tblPrEx>
        <w:tc>
          <w:tcPr>
            <w:tcW w:w="3969" w:type="dxa"/>
            <w:tcBorders>
              <w:top w:val="nil"/>
              <w:bottom w:val="nil"/>
            </w:tcBorders>
          </w:tcPr>
          <w:p w:rsidR="00000000" w:rsidRDefault="00000000">
            <w:pPr>
              <w:pStyle w:val="aa"/>
              <w:spacing w:before="60" w:line="240" w:lineRule="auto"/>
              <w:rPr>
                <w:rFonts w:hint="eastAsia"/>
                <w:sz w:val="22"/>
              </w:rPr>
            </w:pPr>
            <w:r>
              <w:rPr>
                <w:rFonts w:hint="eastAsia"/>
                <w:sz w:val="22"/>
              </w:rPr>
              <w:t>床位总数</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31,576</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38,328</w:t>
            </w:r>
          </w:p>
        </w:tc>
        <w:tc>
          <w:tcPr>
            <w:tcW w:w="1134" w:type="dxa"/>
            <w:tcBorders>
              <w:top w:val="nil"/>
              <w:bottom w:val="nil"/>
            </w:tcBorders>
          </w:tcPr>
          <w:p w:rsidR="00000000" w:rsidRDefault="00000000">
            <w:pPr>
              <w:pStyle w:val="aa"/>
              <w:spacing w:before="60" w:line="240" w:lineRule="auto"/>
              <w:ind w:right="170"/>
              <w:jc w:val="right"/>
              <w:rPr>
                <w:sz w:val="22"/>
              </w:rPr>
            </w:pPr>
            <w:r>
              <w:rPr>
                <w:sz w:val="22"/>
              </w:rPr>
              <w:t>38,725</w:t>
            </w:r>
          </w:p>
        </w:tc>
        <w:tc>
          <w:tcPr>
            <w:tcW w:w="993" w:type="dxa"/>
            <w:tcBorders>
              <w:top w:val="nil"/>
              <w:bottom w:val="nil"/>
            </w:tcBorders>
          </w:tcPr>
          <w:p w:rsidR="00000000" w:rsidRDefault="00000000">
            <w:pPr>
              <w:pStyle w:val="aa"/>
              <w:spacing w:before="60" w:line="240" w:lineRule="auto"/>
              <w:ind w:right="170"/>
              <w:jc w:val="right"/>
              <w:rPr>
                <w:sz w:val="22"/>
              </w:rPr>
            </w:pPr>
            <w:r>
              <w:rPr>
                <w:sz w:val="22"/>
              </w:rPr>
              <w:t>38,890</w:t>
            </w:r>
          </w:p>
        </w:tc>
        <w:tc>
          <w:tcPr>
            <w:tcW w:w="992" w:type="dxa"/>
            <w:tcBorders>
              <w:top w:val="nil"/>
              <w:bottom w:val="nil"/>
            </w:tcBorders>
          </w:tcPr>
          <w:p w:rsidR="00000000" w:rsidRDefault="00000000">
            <w:pPr>
              <w:pStyle w:val="aa"/>
              <w:spacing w:before="60" w:line="240" w:lineRule="auto"/>
              <w:ind w:right="170"/>
              <w:jc w:val="right"/>
              <w:rPr>
                <w:sz w:val="22"/>
              </w:rPr>
            </w:pPr>
            <w:r>
              <w:rPr>
                <w:sz w:val="22"/>
              </w:rPr>
              <w:t>38,840</w:t>
            </w:r>
          </w:p>
        </w:tc>
      </w:tr>
      <w:tr w:rsidR="00000000">
        <w:tblPrEx>
          <w:tblCellMar>
            <w:top w:w="0" w:type="dxa"/>
            <w:bottom w:w="0" w:type="dxa"/>
          </w:tblCellMar>
        </w:tblPrEx>
        <w:tc>
          <w:tcPr>
            <w:tcW w:w="3969" w:type="dxa"/>
            <w:tcBorders>
              <w:top w:val="nil"/>
            </w:tcBorders>
          </w:tcPr>
          <w:p w:rsidR="00000000" w:rsidRDefault="00000000">
            <w:pPr>
              <w:pStyle w:val="aa"/>
              <w:spacing w:before="60" w:after="120" w:line="240" w:lineRule="auto"/>
              <w:rPr>
                <w:rFonts w:hint="eastAsia"/>
                <w:sz w:val="22"/>
              </w:rPr>
            </w:pPr>
            <w:r>
              <w:rPr>
                <w:rFonts w:hint="eastAsia"/>
                <w:sz w:val="22"/>
              </w:rPr>
              <w:t>医生</w:t>
            </w:r>
            <w:r>
              <w:rPr>
                <w:rFonts w:hint="eastAsia"/>
                <w:sz w:val="22"/>
              </w:rPr>
              <w:t>(</w:t>
            </w:r>
            <w:r>
              <w:rPr>
                <w:rFonts w:hint="eastAsia"/>
                <w:sz w:val="22"/>
              </w:rPr>
              <w:t>以千计</w:t>
            </w:r>
            <w:r>
              <w:rPr>
                <w:rFonts w:hint="eastAsia"/>
                <w:sz w:val="22"/>
              </w:rPr>
              <w:t>)</w:t>
            </w:r>
          </w:p>
        </w:tc>
        <w:tc>
          <w:tcPr>
            <w:tcW w:w="1134" w:type="dxa"/>
            <w:tcBorders>
              <w:top w:val="nil"/>
            </w:tcBorders>
          </w:tcPr>
          <w:p w:rsidR="00000000" w:rsidRDefault="00000000">
            <w:pPr>
              <w:pStyle w:val="aa"/>
              <w:spacing w:before="60" w:after="120" w:line="240" w:lineRule="auto"/>
              <w:ind w:right="170"/>
              <w:jc w:val="right"/>
              <w:rPr>
                <w:sz w:val="22"/>
              </w:rPr>
            </w:pPr>
            <w:r>
              <w:rPr>
                <w:sz w:val="22"/>
              </w:rPr>
              <w:t>18,049</w:t>
            </w:r>
          </w:p>
        </w:tc>
        <w:tc>
          <w:tcPr>
            <w:tcW w:w="1134" w:type="dxa"/>
            <w:tcBorders>
              <w:top w:val="nil"/>
            </w:tcBorders>
          </w:tcPr>
          <w:p w:rsidR="00000000" w:rsidRDefault="00000000">
            <w:pPr>
              <w:pStyle w:val="aa"/>
              <w:spacing w:before="60" w:after="120" w:line="240" w:lineRule="auto"/>
              <w:ind w:right="170"/>
              <w:jc w:val="right"/>
              <w:rPr>
                <w:sz w:val="22"/>
              </w:rPr>
            </w:pPr>
            <w:r>
              <w:rPr>
                <w:sz w:val="22"/>
              </w:rPr>
              <w:t>20,831</w:t>
            </w:r>
          </w:p>
        </w:tc>
        <w:tc>
          <w:tcPr>
            <w:tcW w:w="1134" w:type="dxa"/>
            <w:tcBorders>
              <w:top w:val="nil"/>
            </w:tcBorders>
          </w:tcPr>
          <w:p w:rsidR="00000000" w:rsidRDefault="00000000">
            <w:pPr>
              <w:pStyle w:val="aa"/>
              <w:spacing w:before="60" w:after="120" w:line="240" w:lineRule="auto"/>
              <w:ind w:right="170"/>
              <w:jc w:val="right"/>
              <w:rPr>
                <w:sz w:val="22"/>
              </w:rPr>
            </w:pPr>
            <w:r>
              <w:rPr>
                <w:sz w:val="22"/>
              </w:rPr>
              <w:t>21,823</w:t>
            </w:r>
          </w:p>
        </w:tc>
        <w:tc>
          <w:tcPr>
            <w:tcW w:w="993" w:type="dxa"/>
            <w:tcBorders>
              <w:top w:val="nil"/>
            </w:tcBorders>
          </w:tcPr>
          <w:p w:rsidR="00000000" w:rsidRDefault="00000000">
            <w:pPr>
              <w:pStyle w:val="aa"/>
              <w:spacing w:before="60" w:after="120" w:line="240" w:lineRule="auto"/>
              <w:ind w:right="170"/>
              <w:jc w:val="right"/>
              <w:rPr>
                <w:sz w:val="22"/>
              </w:rPr>
            </w:pPr>
            <w:r>
              <w:rPr>
                <w:sz w:val="22"/>
              </w:rPr>
              <w:t>22,207</w:t>
            </w:r>
          </w:p>
        </w:tc>
        <w:tc>
          <w:tcPr>
            <w:tcW w:w="992" w:type="dxa"/>
            <w:tcBorders>
              <w:top w:val="nil"/>
            </w:tcBorders>
          </w:tcPr>
          <w:p w:rsidR="00000000" w:rsidRDefault="00000000">
            <w:pPr>
              <w:pStyle w:val="aa"/>
              <w:spacing w:before="60" w:after="120" w:line="240" w:lineRule="auto"/>
              <w:ind w:right="170"/>
              <w:jc w:val="right"/>
              <w:rPr>
                <w:sz w:val="22"/>
              </w:rPr>
            </w:pPr>
            <w:r>
              <w:rPr>
                <w:sz w:val="22"/>
              </w:rPr>
              <w:t>22,566</w:t>
            </w:r>
          </w:p>
        </w:tc>
      </w:tr>
    </w:tbl>
    <w:p w:rsidR="00000000" w:rsidRDefault="00000000">
      <w:pPr>
        <w:pStyle w:val="FootnoteText"/>
        <w:spacing w:before="160" w:after="320"/>
        <w:rPr>
          <w:rFonts w:hint="eastAsia"/>
        </w:rPr>
      </w:pPr>
      <w:r>
        <w:rPr>
          <w:rFonts w:hint="eastAsia"/>
          <w:u w:val="single"/>
        </w:rPr>
        <w:t>资料来源</w:t>
      </w:r>
      <w:r>
        <w:rPr>
          <w:rFonts w:hint="eastAsia"/>
        </w:rPr>
        <w:t>：《</w:t>
      </w:r>
      <w:r>
        <w:rPr>
          <w:rFonts w:hint="eastAsia"/>
        </w:rPr>
        <w:t>1999</w:t>
      </w:r>
      <w:r>
        <w:rPr>
          <w:rFonts w:hint="eastAsia"/>
        </w:rPr>
        <w:t>年捷克共和国统计年鉴》。</w:t>
      </w:r>
    </w:p>
    <w:p w:rsidR="00000000" w:rsidRDefault="00000000">
      <w:pPr>
        <w:rPr>
          <w:rFonts w:hint="eastAsia"/>
        </w:rPr>
      </w:pPr>
      <w:r>
        <w:rPr>
          <w:rFonts w:hint="eastAsia"/>
        </w:rPr>
        <w:tab/>
        <w:t>553.  1998</w:t>
      </w:r>
      <w:r>
        <w:rPr>
          <w:rFonts w:hint="eastAsia"/>
        </w:rPr>
        <w:t>年，在捷克共和国，向住院病人提供治疗的总共有</w:t>
      </w:r>
      <w:r>
        <w:rPr>
          <w:rFonts w:hint="eastAsia"/>
        </w:rPr>
        <w:t>216</w:t>
      </w:r>
      <w:r>
        <w:rPr>
          <w:rFonts w:hint="eastAsia"/>
        </w:rPr>
        <w:t>家医院</w:t>
      </w:r>
      <w:r>
        <w:rPr>
          <w:rFonts w:hint="eastAsia"/>
        </w:rPr>
        <w:t>(69,900</w:t>
      </w:r>
      <w:r>
        <w:rPr>
          <w:rFonts w:hint="eastAsia"/>
        </w:rPr>
        <w:t>张床位</w:t>
      </w:r>
      <w:r>
        <w:rPr>
          <w:rFonts w:hint="eastAsia"/>
        </w:rPr>
        <w:t>)</w:t>
      </w:r>
      <w:r>
        <w:rPr>
          <w:rFonts w:hint="eastAsia"/>
        </w:rPr>
        <w:t>、</w:t>
      </w:r>
      <w:r>
        <w:rPr>
          <w:rFonts w:hint="eastAsia"/>
        </w:rPr>
        <w:t>167</w:t>
      </w:r>
      <w:r>
        <w:rPr>
          <w:rFonts w:hint="eastAsia"/>
        </w:rPr>
        <w:t>个专门治疗机构</w:t>
      </w:r>
      <w:r>
        <w:rPr>
          <w:rFonts w:hint="eastAsia"/>
        </w:rPr>
        <w:t>(</w:t>
      </w:r>
      <w:r>
        <w:rPr>
          <w:rFonts w:hint="eastAsia"/>
        </w:rPr>
        <w:t>总共有</w:t>
      </w:r>
      <w:r>
        <w:rPr>
          <w:rFonts w:hint="eastAsia"/>
        </w:rPr>
        <w:t>22,000</w:t>
      </w:r>
      <w:r>
        <w:rPr>
          <w:rFonts w:hint="eastAsia"/>
        </w:rPr>
        <w:t>张床位</w:t>
      </w:r>
      <w:r>
        <w:rPr>
          <w:rFonts w:hint="eastAsia"/>
        </w:rPr>
        <w:t>)</w:t>
      </w:r>
      <w:r>
        <w:rPr>
          <w:rFonts w:hint="eastAsia"/>
        </w:rPr>
        <w:t>和</w:t>
      </w:r>
      <w:r>
        <w:rPr>
          <w:rFonts w:hint="eastAsia"/>
        </w:rPr>
        <w:t>53</w:t>
      </w:r>
      <w:r>
        <w:rPr>
          <w:rFonts w:hint="eastAsia"/>
        </w:rPr>
        <w:t>个矿泉治疗中心</w:t>
      </w:r>
      <w:r>
        <w:rPr>
          <w:rFonts w:hint="eastAsia"/>
        </w:rPr>
        <w:t>(</w:t>
      </w:r>
      <w:r>
        <w:rPr>
          <w:rFonts w:hint="eastAsia"/>
        </w:rPr>
        <w:t>总共有</w:t>
      </w:r>
      <w:r>
        <w:rPr>
          <w:rFonts w:hint="eastAsia"/>
        </w:rPr>
        <w:t>19,950</w:t>
      </w:r>
      <w:r>
        <w:rPr>
          <w:rFonts w:hint="eastAsia"/>
        </w:rPr>
        <w:t>张床位</w:t>
      </w:r>
      <w:r>
        <w:rPr>
          <w:rFonts w:hint="eastAsia"/>
        </w:rPr>
        <w:t>)</w:t>
      </w:r>
      <w:r>
        <w:rPr>
          <w:rFonts w:hint="eastAsia"/>
        </w:rPr>
        <w:t>。同</w:t>
      </w:r>
      <w:r>
        <w:rPr>
          <w:rFonts w:hint="eastAsia"/>
        </w:rPr>
        <w:t>1994</w:t>
      </w:r>
      <w:r>
        <w:rPr>
          <w:rFonts w:hint="eastAsia"/>
        </w:rPr>
        <w:t>年相比，床位减少了</w:t>
      </w:r>
      <w:r>
        <w:rPr>
          <w:rFonts w:hint="eastAsia"/>
        </w:rPr>
        <w:t>14%</w:t>
      </w:r>
      <w:r>
        <w:rPr>
          <w:rFonts w:hint="eastAsia"/>
        </w:rPr>
        <w:t>。总的来说，每</w:t>
      </w:r>
      <w:r>
        <w:rPr>
          <w:rFonts w:hint="eastAsia"/>
        </w:rPr>
        <w:t>10,000</w:t>
      </w:r>
      <w:r>
        <w:rPr>
          <w:rFonts w:hint="eastAsia"/>
        </w:rPr>
        <w:t>人有</w:t>
      </w:r>
      <w:r>
        <w:rPr>
          <w:rFonts w:hint="eastAsia"/>
        </w:rPr>
        <w:t>109</w:t>
      </w:r>
      <w:r>
        <w:rPr>
          <w:rFonts w:hint="eastAsia"/>
        </w:rPr>
        <w:t>张床位。在所有住院病人机构里，每</w:t>
      </w:r>
      <w:r>
        <w:rPr>
          <w:rFonts w:hint="eastAsia"/>
        </w:rPr>
        <w:t>10</w:t>
      </w:r>
      <w:r>
        <w:rPr>
          <w:rFonts w:hint="eastAsia"/>
        </w:rPr>
        <w:t>张床位有一位医生。</w:t>
      </w:r>
    </w:p>
    <w:p w:rsidR="00000000" w:rsidRDefault="00000000">
      <w:pPr>
        <w:rPr>
          <w:rFonts w:hint="eastAsia"/>
        </w:rPr>
      </w:pPr>
      <w:r>
        <w:rPr>
          <w:rFonts w:hint="eastAsia"/>
        </w:rPr>
        <w:tab/>
        <w:t xml:space="preserve">554.  </w:t>
      </w:r>
      <w:r>
        <w:rPr>
          <w:rFonts w:hint="eastAsia"/>
        </w:rPr>
        <w:t>专科门诊治疗由两个保健设施网组成。第一个网络包括</w:t>
      </w:r>
      <w:r>
        <w:rPr>
          <w:rFonts w:hint="eastAsia"/>
        </w:rPr>
        <w:t>4,910</w:t>
      </w:r>
      <w:r>
        <w:rPr>
          <w:rFonts w:hint="eastAsia"/>
        </w:rPr>
        <w:t>个独立但基本上是私立的诊所，拥有将近</w:t>
      </w:r>
      <w:r>
        <w:rPr>
          <w:rFonts w:hint="eastAsia"/>
        </w:rPr>
        <w:t>6,000</w:t>
      </w:r>
      <w:r>
        <w:rPr>
          <w:rFonts w:hint="eastAsia"/>
        </w:rPr>
        <w:t>名专科门诊医生和</w:t>
      </w:r>
      <w:r>
        <w:rPr>
          <w:rFonts w:hint="eastAsia"/>
        </w:rPr>
        <w:t>13,000</w:t>
      </w:r>
      <w:r>
        <w:rPr>
          <w:rFonts w:hint="eastAsia"/>
        </w:rPr>
        <w:t>多名护士。第二个网络包括</w:t>
      </w:r>
      <w:r>
        <w:rPr>
          <w:rFonts w:hint="eastAsia"/>
        </w:rPr>
        <w:t>215</w:t>
      </w:r>
      <w:r>
        <w:rPr>
          <w:rFonts w:hint="eastAsia"/>
        </w:rPr>
        <w:t>个医院里的门诊部，拥有</w:t>
      </w:r>
      <w:r>
        <w:rPr>
          <w:rFonts w:hint="eastAsia"/>
        </w:rPr>
        <w:t>5,600</w:t>
      </w:r>
      <w:r>
        <w:rPr>
          <w:rFonts w:hint="eastAsia"/>
        </w:rPr>
        <w:t>位医生和</w:t>
      </w:r>
      <w:r>
        <w:rPr>
          <w:rFonts w:hint="eastAsia"/>
        </w:rPr>
        <w:t>26,300</w:t>
      </w:r>
      <w:r>
        <w:rPr>
          <w:rFonts w:hint="eastAsia"/>
        </w:rPr>
        <w:t>多名护士和中级保健护理人员。</w:t>
      </w:r>
    </w:p>
    <w:p w:rsidR="00000000" w:rsidRDefault="00000000">
      <w:pPr>
        <w:rPr>
          <w:rFonts w:hint="eastAsia"/>
        </w:rPr>
      </w:pPr>
      <w:r>
        <w:rPr>
          <w:rFonts w:hint="eastAsia"/>
        </w:rPr>
        <w:tab/>
        <w:t xml:space="preserve">555.  </w:t>
      </w:r>
      <w:r>
        <w:rPr>
          <w:rFonts w:hint="eastAsia"/>
        </w:rPr>
        <w:t>基础保健系统包括一个由治疗成人疾病的普通开业医生、治疗儿童和少年疾病的普通开业医生、门诊妇科医生和牙科医生组成的网络。</w:t>
      </w:r>
      <w:r>
        <w:rPr>
          <w:rFonts w:hint="eastAsia"/>
        </w:rPr>
        <w:t>1998</w:t>
      </w:r>
      <w:r>
        <w:rPr>
          <w:rFonts w:hint="eastAsia"/>
        </w:rPr>
        <w:t>年，捷克共和国有</w:t>
      </w:r>
      <w:r>
        <w:rPr>
          <w:rFonts w:hint="eastAsia"/>
        </w:rPr>
        <w:t>4,800</w:t>
      </w:r>
      <w:r>
        <w:rPr>
          <w:rFonts w:hint="eastAsia"/>
        </w:rPr>
        <w:t>名治疗成人疾病的普通开业医生，因此，每</w:t>
      </w:r>
      <w:r>
        <w:rPr>
          <w:rFonts w:hint="eastAsia"/>
        </w:rPr>
        <w:t>1,800</w:t>
      </w:r>
      <w:r>
        <w:rPr>
          <w:rFonts w:hint="eastAsia"/>
        </w:rPr>
        <w:t>名</w:t>
      </w:r>
      <w:r>
        <w:rPr>
          <w:rFonts w:hint="eastAsia"/>
        </w:rPr>
        <w:t>15</w:t>
      </w:r>
      <w:r>
        <w:rPr>
          <w:rFonts w:hint="eastAsia"/>
        </w:rPr>
        <w:t>岁以上的人有一名医生；</w:t>
      </w:r>
      <w:r>
        <w:rPr>
          <w:rFonts w:hint="eastAsia"/>
        </w:rPr>
        <w:t>95%</w:t>
      </w:r>
      <w:r>
        <w:rPr>
          <w:rFonts w:hint="eastAsia"/>
        </w:rPr>
        <w:t>治疗成人疾病的普通开业医生在非国家部门工作。同一时期，注册的治疗儿童和少年疾病的普通开业医生总共有</w:t>
      </w:r>
      <w:r>
        <w:rPr>
          <w:rFonts w:hint="eastAsia"/>
        </w:rPr>
        <w:t>2,200</w:t>
      </w:r>
      <w:r>
        <w:rPr>
          <w:rFonts w:hint="eastAsia"/>
        </w:rPr>
        <w:t>名</w:t>
      </w:r>
      <w:r>
        <w:rPr>
          <w:rFonts w:hint="eastAsia"/>
        </w:rPr>
        <w:t>(96%</w:t>
      </w:r>
      <w:r>
        <w:rPr>
          <w:rFonts w:hint="eastAsia"/>
        </w:rPr>
        <w:t>在非政府部门工作</w:t>
      </w:r>
      <w:r>
        <w:rPr>
          <w:rFonts w:hint="eastAsia"/>
        </w:rPr>
        <w:t>)</w:t>
      </w:r>
      <w:r>
        <w:rPr>
          <w:rFonts w:hint="eastAsia"/>
        </w:rPr>
        <w:t>，即每</w:t>
      </w:r>
      <w:r>
        <w:rPr>
          <w:rFonts w:hint="eastAsia"/>
        </w:rPr>
        <w:t>1,100</w:t>
      </w:r>
      <w:r>
        <w:rPr>
          <w:rFonts w:hint="eastAsia"/>
        </w:rPr>
        <w:t>名至</w:t>
      </w:r>
      <w:r>
        <w:rPr>
          <w:rFonts w:hint="eastAsia"/>
        </w:rPr>
        <w:t>1,200</w:t>
      </w:r>
      <w:r>
        <w:rPr>
          <w:rFonts w:hint="eastAsia"/>
        </w:rPr>
        <w:t>名儿童有一名医生。</w:t>
      </w:r>
      <w:r>
        <w:rPr>
          <w:rFonts w:hint="eastAsia"/>
        </w:rPr>
        <w:t>1998</w:t>
      </w:r>
      <w:r>
        <w:rPr>
          <w:rFonts w:hint="eastAsia"/>
        </w:rPr>
        <w:t>年中期，总共有</w:t>
      </w:r>
      <w:r>
        <w:rPr>
          <w:rFonts w:hint="eastAsia"/>
        </w:rPr>
        <w:t>1,060</w:t>
      </w:r>
      <w:r>
        <w:rPr>
          <w:rFonts w:hint="eastAsia"/>
        </w:rPr>
        <w:t>名门诊妇科医生</w:t>
      </w:r>
      <w:r>
        <w:rPr>
          <w:rFonts w:hint="eastAsia"/>
        </w:rPr>
        <w:t>(97%</w:t>
      </w:r>
      <w:r>
        <w:rPr>
          <w:rFonts w:hint="eastAsia"/>
        </w:rPr>
        <w:t>在非国家部门工作</w:t>
      </w:r>
      <w:r>
        <w:rPr>
          <w:rFonts w:hint="eastAsia"/>
        </w:rPr>
        <w:t>)</w:t>
      </w:r>
      <w:r>
        <w:rPr>
          <w:rFonts w:hint="eastAsia"/>
        </w:rPr>
        <w:t>，即每</w:t>
      </w:r>
      <w:r>
        <w:rPr>
          <w:rFonts w:hint="eastAsia"/>
        </w:rPr>
        <w:t>5,100</w:t>
      </w:r>
      <w:r>
        <w:rPr>
          <w:rFonts w:hint="eastAsia"/>
        </w:rPr>
        <w:t>至</w:t>
      </w:r>
      <w:r>
        <w:rPr>
          <w:rFonts w:hint="eastAsia"/>
        </w:rPr>
        <w:t>5,200</w:t>
      </w:r>
      <w:r>
        <w:rPr>
          <w:rFonts w:hint="eastAsia"/>
        </w:rPr>
        <w:t>名妇女有一名医生。有</w:t>
      </w:r>
      <w:r>
        <w:rPr>
          <w:rFonts w:hint="eastAsia"/>
        </w:rPr>
        <w:t>4,840</w:t>
      </w:r>
      <w:r>
        <w:rPr>
          <w:rFonts w:hint="eastAsia"/>
        </w:rPr>
        <w:t>名牙科医生</w:t>
      </w:r>
      <w:r>
        <w:rPr>
          <w:rFonts w:hint="eastAsia"/>
        </w:rPr>
        <w:t>(98%</w:t>
      </w:r>
      <w:r>
        <w:rPr>
          <w:rFonts w:hint="eastAsia"/>
        </w:rPr>
        <w:t>在非国家部门工作</w:t>
      </w:r>
      <w:r>
        <w:rPr>
          <w:rFonts w:hint="eastAsia"/>
        </w:rPr>
        <w:t>)</w:t>
      </w:r>
      <w:r>
        <w:rPr>
          <w:rFonts w:hint="eastAsia"/>
        </w:rPr>
        <w:t>，即每</w:t>
      </w:r>
      <w:r>
        <w:rPr>
          <w:rFonts w:hint="eastAsia"/>
        </w:rPr>
        <w:t>1,800</w:t>
      </w:r>
      <w:r>
        <w:rPr>
          <w:rFonts w:hint="eastAsia"/>
        </w:rPr>
        <w:t>人有一名牙科医生。</w:t>
      </w:r>
    </w:p>
    <w:p w:rsidR="00000000" w:rsidRDefault="00000000">
      <w:pPr>
        <w:rPr>
          <w:rFonts w:hint="eastAsia"/>
        </w:rPr>
      </w:pPr>
      <w:r>
        <w:rPr>
          <w:rFonts w:hint="eastAsia"/>
        </w:rPr>
        <w:tab/>
        <w:t>556.  1997</w:t>
      </w:r>
      <w:r>
        <w:rPr>
          <w:rFonts w:hint="eastAsia"/>
        </w:rPr>
        <w:t>年，每</w:t>
      </w:r>
      <w:r>
        <w:rPr>
          <w:rFonts w:hint="eastAsia"/>
        </w:rPr>
        <w:t>1,000</w:t>
      </w:r>
      <w:r>
        <w:rPr>
          <w:rFonts w:hint="eastAsia"/>
        </w:rPr>
        <w:t>人有</w:t>
      </w:r>
      <w:r>
        <w:rPr>
          <w:rFonts w:hint="eastAsia"/>
        </w:rPr>
        <w:t>3.5</w:t>
      </w:r>
      <w:r>
        <w:rPr>
          <w:rFonts w:hint="eastAsia"/>
        </w:rPr>
        <w:t>名医生，包括牙科医生。同一些欧洲联盟国家相比，捷克共和国的这一数量指数值较高。床位数量大致相当于欧洲联盟的指数，但其结构不同。在捷克共和国，用于一般目的的床位较多，但用于康复和慢性病的床位较少。所有保健机构中的床位总数是每</w:t>
      </w:r>
      <w:r>
        <w:rPr>
          <w:rFonts w:hint="eastAsia"/>
        </w:rPr>
        <w:t>1,000</w:t>
      </w:r>
      <w:r>
        <w:rPr>
          <w:rFonts w:hint="eastAsia"/>
        </w:rPr>
        <w:t>名居民</w:t>
      </w:r>
      <w:r>
        <w:rPr>
          <w:rFonts w:hint="eastAsia"/>
        </w:rPr>
        <w:t>12.1</w:t>
      </w:r>
      <w:r>
        <w:rPr>
          <w:rFonts w:hint="eastAsia"/>
        </w:rPr>
        <w:t>张床。急诊床位大约是每</w:t>
      </w:r>
      <w:r>
        <w:rPr>
          <w:rFonts w:hint="eastAsia"/>
        </w:rPr>
        <w:t>1,000</w:t>
      </w:r>
      <w:r>
        <w:rPr>
          <w:rFonts w:hint="eastAsia"/>
        </w:rPr>
        <w:t>人</w:t>
      </w:r>
      <w:r>
        <w:rPr>
          <w:rFonts w:hint="eastAsia"/>
        </w:rPr>
        <w:t>6.9</w:t>
      </w:r>
      <w:r>
        <w:rPr>
          <w:rFonts w:hint="eastAsia"/>
        </w:rPr>
        <w:t>张床；德国是每</w:t>
      </w:r>
      <w:r>
        <w:rPr>
          <w:rFonts w:hint="eastAsia"/>
        </w:rPr>
        <w:t>1,000</w:t>
      </w:r>
      <w:r>
        <w:rPr>
          <w:rFonts w:hint="eastAsia"/>
        </w:rPr>
        <w:t>人</w:t>
      </w:r>
      <w:r>
        <w:rPr>
          <w:rFonts w:hint="eastAsia"/>
        </w:rPr>
        <w:t>6.9</w:t>
      </w:r>
      <w:r>
        <w:rPr>
          <w:rFonts w:hint="eastAsia"/>
        </w:rPr>
        <w:t>张床，法国是</w:t>
      </w:r>
      <w:r>
        <w:rPr>
          <w:rFonts w:hint="eastAsia"/>
        </w:rPr>
        <w:t>4.7</w:t>
      </w:r>
      <w:r>
        <w:rPr>
          <w:rFonts w:hint="eastAsia"/>
        </w:rPr>
        <w:t>张床，而英国只有</w:t>
      </w:r>
      <w:r>
        <w:rPr>
          <w:rFonts w:hint="eastAsia"/>
        </w:rPr>
        <w:t>2.0</w:t>
      </w:r>
      <w:r>
        <w:rPr>
          <w:rFonts w:hint="eastAsia"/>
        </w:rPr>
        <w:t>张床，挪威只有</w:t>
      </w:r>
      <w:r>
        <w:rPr>
          <w:rFonts w:hint="eastAsia"/>
        </w:rPr>
        <w:t>3.1</w:t>
      </w:r>
      <w:r>
        <w:rPr>
          <w:rFonts w:hint="eastAsia"/>
        </w:rPr>
        <w:t>张床。然而，捷克共和国保健护理一个典型特点是住院时间较长，在基础保健和专科门诊中与病人接触人数很多。</w:t>
      </w:r>
    </w:p>
    <w:p w:rsidR="00000000" w:rsidRDefault="00000000">
      <w:pPr>
        <w:spacing w:after="240"/>
        <w:rPr>
          <w:rFonts w:hint="eastAsia"/>
          <w:spacing w:val="6"/>
        </w:rPr>
      </w:pPr>
      <w:r>
        <w:rPr>
          <w:rFonts w:hint="eastAsia"/>
        </w:rPr>
        <w:tab/>
        <w:t xml:space="preserve">557.  </w:t>
      </w:r>
      <w:r>
        <w:rPr>
          <w:rFonts w:hint="eastAsia"/>
          <w:spacing w:val="6"/>
        </w:rPr>
        <w:t>公民比较容易取得保健和保障服务，在捷克共和国任何地方都可以免费拨缩短的求救号码</w:t>
      </w:r>
      <w:r>
        <w:rPr>
          <w:rFonts w:hint="eastAsia"/>
          <w:spacing w:val="6"/>
        </w:rPr>
        <w:t>(</w:t>
      </w:r>
      <w:r>
        <w:rPr>
          <w:rFonts w:hint="eastAsia"/>
          <w:spacing w:val="6"/>
        </w:rPr>
        <w:t>包括从公共付费电话</w:t>
      </w:r>
      <w:r>
        <w:rPr>
          <w:rFonts w:hint="eastAsia"/>
          <w:spacing w:val="6"/>
        </w:rPr>
        <w:t>)</w:t>
      </w:r>
      <w:r>
        <w:rPr>
          <w:rFonts w:hint="eastAsia"/>
          <w:spacing w:val="6"/>
        </w:rPr>
        <w:t>。为了使残疾人更易于同其周围人联系，他们可以享受一种较低的特别电话费率。但至今为止，在电信服务的价格正在并将继续上涨的背景下，调整有利的电话费率的问题没有得到解决。另外，向具有特殊社会需要的人口群体</w:t>
      </w:r>
      <w:r>
        <w:rPr>
          <w:rFonts w:hint="eastAsia"/>
          <w:spacing w:val="6"/>
        </w:rPr>
        <w:t>(</w:t>
      </w:r>
      <w:r>
        <w:rPr>
          <w:rFonts w:hint="eastAsia"/>
          <w:spacing w:val="6"/>
        </w:rPr>
        <w:t>单身老年人、长期失业者等</w:t>
      </w:r>
      <w:r>
        <w:rPr>
          <w:rFonts w:hint="eastAsia"/>
          <w:spacing w:val="6"/>
        </w:rPr>
        <w:t>)</w:t>
      </w:r>
      <w:r>
        <w:rPr>
          <w:rFonts w:hint="eastAsia"/>
          <w:spacing w:val="6"/>
        </w:rPr>
        <w:t>提供电讯的问题也尚未得到解决。</w:t>
      </w:r>
    </w:p>
    <w:p w:rsidR="00000000" w:rsidRDefault="00000000">
      <w:pPr>
        <w:pStyle w:val="Heading4"/>
        <w:spacing w:after="160"/>
        <w:ind w:left="500"/>
        <w:rPr>
          <w:rFonts w:hint="eastAsia"/>
        </w:rPr>
      </w:pPr>
      <w:r>
        <w:rPr>
          <w:rFonts w:hint="eastAsia"/>
        </w:rPr>
        <w:t>旨在提高现有保健服务水平的保健政策</w:t>
      </w:r>
    </w:p>
    <w:p w:rsidR="00000000" w:rsidRDefault="00000000">
      <w:pPr>
        <w:rPr>
          <w:rFonts w:hint="eastAsia"/>
        </w:rPr>
      </w:pPr>
      <w:r>
        <w:rPr>
          <w:rFonts w:hint="eastAsia"/>
        </w:rPr>
        <w:tab/>
        <w:t xml:space="preserve">558.  </w:t>
      </w:r>
      <w:r>
        <w:rPr>
          <w:rFonts w:hint="eastAsia"/>
        </w:rPr>
        <w:t>为了改进人口的保健和取得保健的机会，必须：</w:t>
      </w:r>
    </w:p>
    <w:p w:rsidR="00000000" w:rsidRDefault="00000000">
      <w:pPr>
        <w:pStyle w:val="a6"/>
        <w:ind w:left="1550"/>
        <w:rPr>
          <w:rFonts w:hint="eastAsia"/>
        </w:rPr>
      </w:pPr>
      <w:r>
        <w:rPr>
          <w:rFonts w:hint="eastAsia"/>
        </w:rPr>
        <w:t>解决捷克保健方面的财政赤字，这反映在保健机构和保险公司的活动和保健工作人员的工资方面；</w:t>
      </w:r>
    </w:p>
    <w:p w:rsidR="00000000" w:rsidRDefault="00000000">
      <w:pPr>
        <w:pStyle w:val="a6"/>
        <w:ind w:left="1550"/>
        <w:rPr>
          <w:rFonts w:hint="eastAsia"/>
        </w:rPr>
      </w:pPr>
      <w:r>
        <w:rPr>
          <w:rFonts w:hint="eastAsia"/>
        </w:rPr>
        <w:t>创建保健设施网络，特别是创建较高的地域行政单位和财政资源利用量</w:t>
      </w:r>
      <w:r>
        <w:rPr>
          <w:rFonts w:hint="eastAsia"/>
        </w:rPr>
        <w:t>(</w:t>
      </w:r>
      <w:r>
        <w:rPr>
          <w:rFonts w:hint="eastAsia"/>
        </w:rPr>
        <w:t>通过各级保健取得就医并联结起来，各领域和相对标准人数的聘约医生的人数之间的平衡，按照各医科领域的概念稳定门诊和专门保健设施的网络，实现各种保健设施的设备标准化等</w:t>
      </w:r>
      <w:r>
        <w:rPr>
          <w:rFonts w:hint="eastAsia"/>
        </w:rPr>
        <w:t>)</w:t>
      </w:r>
      <w:r>
        <w:rPr>
          <w:rFonts w:hint="eastAsia"/>
        </w:rPr>
        <w:t>；</w:t>
      </w:r>
    </w:p>
    <w:p w:rsidR="00000000" w:rsidRDefault="00000000">
      <w:pPr>
        <w:pStyle w:val="a6"/>
        <w:ind w:left="1550"/>
        <w:rPr>
          <w:rFonts w:hint="eastAsia"/>
        </w:rPr>
      </w:pPr>
      <w:r>
        <w:rPr>
          <w:rFonts w:hint="eastAsia"/>
        </w:rPr>
        <w:t>使公民健康的保健立法与欧洲联盟的法律统一起来</w:t>
      </w:r>
      <w:r>
        <w:rPr>
          <w:rFonts w:hint="eastAsia"/>
        </w:rPr>
        <w:t>(</w:t>
      </w:r>
      <w:r>
        <w:rPr>
          <w:rFonts w:hint="eastAsia"/>
        </w:rPr>
        <w:t>包括公民有权查阅和复印医生为他们保存的医疗文件</w:t>
      </w:r>
      <w:r>
        <w:rPr>
          <w:rFonts w:hint="eastAsia"/>
        </w:rPr>
        <w:t>)</w:t>
      </w:r>
      <w:r>
        <w:rPr>
          <w:rFonts w:hint="eastAsia"/>
        </w:rPr>
        <w:t>；</w:t>
      </w:r>
    </w:p>
    <w:p w:rsidR="00000000" w:rsidRDefault="00000000">
      <w:pPr>
        <w:pStyle w:val="a6"/>
        <w:ind w:left="1550"/>
        <w:rPr>
          <w:rFonts w:hint="eastAsia"/>
        </w:rPr>
      </w:pPr>
      <w:r>
        <w:rPr>
          <w:rFonts w:hint="eastAsia"/>
        </w:rPr>
        <w:t>将医疗的重点转向预防和基础保健，同时加强整个保健系统的效率；</w:t>
      </w:r>
    </w:p>
    <w:p w:rsidR="00000000" w:rsidRDefault="00000000">
      <w:pPr>
        <w:pStyle w:val="a6"/>
        <w:ind w:left="1550"/>
        <w:rPr>
          <w:rFonts w:hint="eastAsia"/>
        </w:rPr>
      </w:pPr>
      <w:r>
        <w:rPr>
          <w:rFonts w:hint="eastAsia"/>
        </w:rPr>
        <w:t>改进政府、代表机构、卫生部、病人代表和公民协会之间的沟通，以及保健工作者和公民</w:t>
      </w:r>
      <w:r>
        <w:rPr>
          <w:rFonts w:hint="eastAsia"/>
        </w:rPr>
        <w:t>/</w:t>
      </w:r>
      <w:r>
        <w:rPr>
          <w:rFonts w:hint="eastAsia"/>
        </w:rPr>
        <w:t>病人各利益集团和专业团体之间的沟通；</w:t>
      </w:r>
    </w:p>
    <w:p w:rsidR="00000000" w:rsidRDefault="00000000">
      <w:pPr>
        <w:pStyle w:val="a6"/>
        <w:ind w:left="1550"/>
        <w:rPr>
          <w:rFonts w:hint="eastAsia"/>
        </w:rPr>
      </w:pPr>
      <w:r>
        <w:rPr>
          <w:rFonts w:hint="eastAsia"/>
        </w:rPr>
        <w:t>完成全国和地方行政机构相对较高的地域行政部门的管辖结构；</w:t>
      </w:r>
    </w:p>
    <w:p w:rsidR="00000000" w:rsidRDefault="00000000">
      <w:pPr>
        <w:pStyle w:val="a6"/>
        <w:ind w:left="1550"/>
        <w:rPr>
          <w:rFonts w:hint="eastAsia"/>
        </w:rPr>
      </w:pPr>
      <w:r>
        <w:rPr>
          <w:rFonts w:hint="eastAsia"/>
        </w:rPr>
        <w:t>实行监督和评估保健质量的制度；</w:t>
      </w:r>
    </w:p>
    <w:p w:rsidR="00000000" w:rsidRDefault="00000000">
      <w:pPr>
        <w:pStyle w:val="a6"/>
        <w:ind w:left="1550"/>
        <w:rPr>
          <w:rFonts w:hint="eastAsia"/>
        </w:rPr>
      </w:pPr>
      <w:r>
        <w:rPr>
          <w:rFonts w:hint="eastAsia"/>
        </w:rPr>
        <w:t>准备并实行保健机构水准鉴定制度；</w:t>
      </w:r>
    </w:p>
    <w:p w:rsidR="00000000" w:rsidRDefault="00000000">
      <w:pPr>
        <w:pStyle w:val="a6"/>
        <w:ind w:left="1550"/>
        <w:rPr>
          <w:rFonts w:hint="eastAsia"/>
        </w:rPr>
      </w:pPr>
      <w:r>
        <w:rPr>
          <w:rFonts w:hint="eastAsia"/>
        </w:rPr>
        <w:t>建立一个相应的信息系统；</w:t>
      </w:r>
    </w:p>
    <w:p w:rsidR="00000000" w:rsidRDefault="00000000">
      <w:pPr>
        <w:pStyle w:val="a6"/>
        <w:ind w:left="1550"/>
        <w:rPr>
          <w:rFonts w:hint="eastAsia"/>
        </w:rPr>
      </w:pPr>
      <w:r>
        <w:rPr>
          <w:rFonts w:hint="eastAsia"/>
        </w:rPr>
        <w:t>修复被忽视的建筑物，并使网络中各设施的技术设备达到相称的水平，包括达到《原子能法》关于保健设施条件的要求。</w:t>
      </w:r>
    </w:p>
    <w:p w:rsidR="00000000" w:rsidRDefault="00000000">
      <w:pPr>
        <w:pStyle w:val="Heading3"/>
        <w:spacing w:before="320" w:after="0"/>
        <w:rPr>
          <w:rFonts w:hint="eastAsia"/>
        </w:rPr>
      </w:pPr>
      <w:r>
        <w:rPr>
          <w:rFonts w:hint="eastAsia"/>
        </w:rPr>
        <w:t>第</w:t>
      </w:r>
      <w:r>
        <w:rPr>
          <w:rFonts w:hint="eastAsia"/>
        </w:rPr>
        <w:t xml:space="preserve"> 13 </w:t>
      </w:r>
      <w:r>
        <w:rPr>
          <w:rFonts w:hint="eastAsia"/>
        </w:rPr>
        <w:t>条</w:t>
      </w:r>
    </w:p>
    <w:p w:rsidR="00000000" w:rsidRDefault="00000000">
      <w:pPr>
        <w:pStyle w:val="Heading4"/>
        <w:spacing w:after="160"/>
        <w:rPr>
          <w:rFonts w:hint="eastAsia"/>
        </w:rPr>
      </w:pPr>
      <w:r>
        <w:rPr>
          <w:rFonts w:hint="eastAsia"/>
        </w:rPr>
        <w:t>第</w:t>
      </w:r>
      <w:r>
        <w:rPr>
          <w:rFonts w:hint="eastAsia"/>
        </w:rPr>
        <w:t>1</w:t>
      </w:r>
      <w:r>
        <w:rPr>
          <w:rFonts w:hint="eastAsia"/>
        </w:rPr>
        <w:t>款</w:t>
      </w:r>
    </w:p>
    <w:p w:rsidR="00000000" w:rsidRDefault="00000000">
      <w:pPr>
        <w:rPr>
          <w:rFonts w:hint="eastAsia"/>
        </w:rPr>
      </w:pPr>
      <w:r>
        <w:rPr>
          <w:rFonts w:hint="eastAsia"/>
        </w:rPr>
        <w:tab/>
        <w:t xml:space="preserve">559.  </w:t>
      </w:r>
      <w:r>
        <w:rPr>
          <w:rFonts w:hint="eastAsia"/>
        </w:rPr>
        <w:t>人人享有的接受教育的权利受到《宪章》第</w:t>
      </w:r>
      <w:r>
        <w:rPr>
          <w:rFonts w:hint="eastAsia"/>
        </w:rPr>
        <w:t>33</w:t>
      </w:r>
      <w:r>
        <w:rPr>
          <w:rFonts w:hint="eastAsia"/>
        </w:rPr>
        <w:t>条的保障：“人人享有接受教育的权利。在法律规定期间，上学应是义务性的。公民有权接受免费的初等和中等教育，根据各位公民的能力和社会的能力，并有权接受大学教育。只有按照法律规定的条件，才能建立私立学校并提供教育；这种学校可以提供教育，以收取学费。公民在学习期间有权取得援助，其条件由法律加以规定。”</w:t>
      </w:r>
    </w:p>
    <w:p w:rsidR="00000000" w:rsidRDefault="00000000">
      <w:pPr>
        <w:spacing w:after="160"/>
        <w:rPr>
          <w:rFonts w:hint="eastAsia"/>
        </w:rPr>
      </w:pPr>
      <w:r>
        <w:rPr>
          <w:rFonts w:hint="eastAsia"/>
        </w:rPr>
        <w:tab/>
        <w:t xml:space="preserve">560.  </w:t>
      </w:r>
      <w:r>
        <w:rPr>
          <w:rFonts w:hint="eastAsia"/>
        </w:rPr>
        <w:t>中小学提供的培养教育也制约于《学校法》</w:t>
      </w:r>
      <w:r>
        <w:rPr>
          <w:rFonts w:hint="eastAsia"/>
        </w:rPr>
        <w:t>(</w:t>
      </w:r>
      <w:r>
        <w:rPr>
          <w:rFonts w:hint="eastAsia"/>
        </w:rPr>
        <w:t>该法令第</w:t>
      </w:r>
      <w:r>
        <w:rPr>
          <w:rFonts w:hint="eastAsia"/>
        </w:rPr>
        <w:t>1</w:t>
      </w:r>
      <w:r>
        <w:rPr>
          <w:rFonts w:hint="eastAsia"/>
        </w:rPr>
        <w:t>条至第</w:t>
      </w:r>
      <w:r>
        <w:rPr>
          <w:rFonts w:hint="eastAsia"/>
        </w:rPr>
        <w:t>4</w:t>
      </w:r>
      <w:r>
        <w:rPr>
          <w:rFonts w:hint="eastAsia"/>
        </w:rPr>
        <w:t>条规定了接受教育的权利和适用这项权利的学校</w:t>
      </w:r>
      <w:r>
        <w:rPr>
          <w:rFonts w:hint="eastAsia"/>
        </w:rPr>
        <w:t>)</w:t>
      </w:r>
      <w:r>
        <w:rPr>
          <w:rFonts w:hint="eastAsia"/>
        </w:rPr>
        <w:t>和有关法令。</w:t>
      </w:r>
      <w:r>
        <w:rPr>
          <w:rStyle w:val="EndnoteReference"/>
        </w:rPr>
        <w:endnoteReference w:id="339"/>
      </w:r>
      <w:r>
        <w:rPr>
          <w:rFonts w:hint="eastAsia"/>
        </w:rPr>
        <w:t xml:space="preserve"> </w:t>
      </w:r>
      <w:r>
        <w:rPr>
          <w:rFonts w:hint="eastAsia"/>
        </w:rPr>
        <w:t>培养教育系统的构成部分是小学、中学、专门学校和高等职业学校</w:t>
      </w:r>
      <w:r>
        <w:rPr>
          <w:rFonts w:hint="eastAsia"/>
        </w:rPr>
        <w:t>(</w:t>
      </w:r>
      <w:r>
        <w:rPr>
          <w:rFonts w:hint="eastAsia"/>
        </w:rPr>
        <w:t>如果包括在学校网络里</w:t>
      </w:r>
      <w:r>
        <w:rPr>
          <w:rFonts w:hint="eastAsia"/>
        </w:rPr>
        <w:t>)</w:t>
      </w:r>
      <w:r>
        <w:rPr>
          <w:rFonts w:hint="eastAsia"/>
        </w:rPr>
        <w:t>。</w:t>
      </w:r>
    </w:p>
    <w:p w:rsidR="00000000" w:rsidRDefault="00000000">
      <w:pPr>
        <w:pStyle w:val="Heading4"/>
        <w:spacing w:after="160"/>
        <w:ind w:left="500"/>
        <w:rPr>
          <w:rFonts w:hint="eastAsia"/>
        </w:rPr>
      </w:pPr>
      <w:r>
        <w:rPr>
          <w:rFonts w:hint="eastAsia"/>
        </w:rPr>
        <w:t>幼儿园</w:t>
      </w:r>
    </w:p>
    <w:p w:rsidR="00000000" w:rsidRDefault="00000000">
      <w:pPr>
        <w:rPr>
          <w:rFonts w:hint="eastAsia"/>
        </w:rPr>
      </w:pPr>
      <w:r>
        <w:rPr>
          <w:rFonts w:hint="eastAsia"/>
        </w:rPr>
        <w:tab/>
        <w:t xml:space="preserve">561.  </w:t>
      </w:r>
      <w:r>
        <w:rPr>
          <w:rFonts w:hint="eastAsia"/>
        </w:rPr>
        <w:t>幼儿园是家庭培养的一种补充，确保通常在</w:t>
      </w:r>
      <w:r>
        <w:rPr>
          <w:rFonts w:hint="eastAsia"/>
        </w:rPr>
        <w:t>3</w:t>
      </w:r>
      <w:r>
        <w:rPr>
          <w:rFonts w:hint="eastAsia"/>
        </w:rPr>
        <w:t>岁至</w:t>
      </w:r>
      <w:r>
        <w:rPr>
          <w:rFonts w:hint="eastAsia"/>
        </w:rPr>
        <w:t>6</w:t>
      </w:r>
      <w:r>
        <w:rPr>
          <w:rFonts w:hint="eastAsia"/>
        </w:rPr>
        <w:t>岁之间的儿童的学前培养。上幼儿园不是义务性的，可以由儿童的家长决定。幼儿园可大大有助于弥补家庭的文化和社会背景不同造成儿童之间的差异。</w:t>
      </w:r>
    </w:p>
    <w:p w:rsidR="00000000" w:rsidRDefault="00000000">
      <w:pPr>
        <w:spacing w:after="160"/>
        <w:rPr>
          <w:rFonts w:hint="eastAsia"/>
        </w:rPr>
      </w:pPr>
      <w:r>
        <w:rPr>
          <w:rFonts w:hint="eastAsia"/>
        </w:rPr>
        <w:tab/>
        <w:t xml:space="preserve">562.  </w:t>
      </w:r>
      <w:r>
        <w:rPr>
          <w:rFonts w:hint="eastAsia"/>
        </w:rPr>
        <w:t>通常</w:t>
      </w:r>
      <w:r>
        <w:rPr>
          <w:rFonts w:hint="eastAsia"/>
        </w:rPr>
        <w:t>3</w:t>
      </w:r>
      <w:r>
        <w:rPr>
          <w:rFonts w:hint="eastAsia"/>
        </w:rPr>
        <w:t>岁至</w:t>
      </w:r>
      <w:r>
        <w:rPr>
          <w:rFonts w:hint="eastAsia"/>
        </w:rPr>
        <w:t>6</w:t>
      </w:r>
      <w:r>
        <w:rPr>
          <w:rFonts w:hint="eastAsia"/>
        </w:rPr>
        <w:t>岁的儿童上幼儿园。在合理的情况下，幼儿园也可以接收年龄较小的儿童。义务上学被推迟的年龄较大的儿童也可以留在幼儿园里；推迟义务上学越来越普遍：从</w:t>
      </w:r>
      <w:r>
        <w:rPr>
          <w:rFonts w:hint="eastAsia"/>
        </w:rPr>
        <w:t>1993</w:t>
      </w:r>
      <w:r>
        <w:rPr>
          <w:rFonts w:hint="eastAsia"/>
        </w:rPr>
        <w:t>年到</w:t>
      </w:r>
      <w:r>
        <w:rPr>
          <w:rFonts w:hint="eastAsia"/>
        </w:rPr>
        <w:t>1999</w:t>
      </w:r>
      <w:r>
        <w:rPr>
          <w:rFonts w:hint="eastAsia"/>
        </w:rPr>
        <w:t>年，</w:t>
      </w:r>
      <w:r>
        <w:rPr>
          <w:rFonts w:hint="eastAsia"/>
        </w:rPr>
        <w:t>7</w:t>
      </w:r>
      <w:r>
        <w:rPr>
          <w:rFonts w:hint="eastAsia"/>
        </w:rPr>
        <w:t>岁上小学的儿童的比例大约</w:t>
      </w:r>
      <w:r>
        <w:rPr>
          <w:rFonts w:hint="eastAsia"/>
        </w:rPr>
        <w:t>20%</w:t>
      </w:r>
      <w:r>
        <w:rPr>
          <w:rFonts w:hint="eastAsia"/>
        </w:rPr>
        <w:t>。上幼儿园不是义务性的，但有时考虑对接收义务性教育前一年的儿童实行义务性学前教育。然而，上幼儿园的比例很高，特别是在</w:t>
      </w:r>
      <w:r>
        <w:rPr>
          <w:rFonts w:hint="eastAsia"/>
        </w:rPr>
        <w:t>5</w:t>
      </w:r>
      <w:r>
        <w:rPr>
          <w:rFonts w:hint="eastAsia"/>
        </w:rPr>
        <w:t>岁和</w:t>
      </w:r>
      <w:r>
        <w:rPr>
          <w:rFonts w:hint="eastAsia"/>
        </w:rPr>
        <w:t>5</w:t>
      </w:r>
      <w:r>
        <w:rPr>
          <w:rFonts w:hint="eastAsia"/>
        </w:rPr>
        <w:t>岁以上的儿童中间。学前教育使他们比较容易过渡到小学。</w:t>
      </w:r>
    </w:p>
    <w:p w:rsidR="00000000" w:rsidRDefault="00000000">
      <w:pPr>
        <w:pStyle w:val="Heading3"/>
        <w:pageBreakBefore/>
        <w:spacing w:after="160"/>
        <w:rPr>
          <w:rFonts w:hint="eastAsia"/>
        </w:rPr>
      </w:pPr>
      <w:r>
        <w:rPr>
          <w:rFonts w:hint="eastAsia"/>
        </w:rPr>
        <w:t>幼儿园的数目和上幼儿园的儿童的人数</w:t>
      </w:r>
      <w:r>
        <w:rPr>
          <w:rFonts w:hint="eastAsia"/>
        </w:rPr>
        <w:t>(</w:t>
      </w:r>
      <w:r>
        <w:rPr>
          <w:rFonts w:hint="eastAsia"/>
        </w:rPr>
        <w:t>以千计</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05"/>
        <w:gridCol w:w="939"/>
        <w:gridCol w:w="934"/>
        <w:gridCol w:w="934"/>
        <w:gridCol w:w="934"/>
        <w:gridCol w:w="934"/>
        <w:gridCol w:w="934"/>
        <w:gridCol w:w="934"/>
        <w:gridCol w:w="828"/>
      </w:tblGrid>
      <w:tr w:rsidR="00000000">
        <w:tblPrEx>
          <w:tblCellMar>
            <w:top w:w="0" w:type="dxa"/>
            <w:bottom w:w="0" w:type="dxa"/>
          </w:tblCellMar>
        </w:tblPrEx>
        <w:tc>
          <w:tcPr>
            <w:tcW w:w="1080" w:type="dxa"/>
            <w:tcBorders>
              <w:bottom w:val="single" w:sz="4" w:space="0" w:color="auto"/>
            </w:tcBorders>
          </w:tcPr>
          <w:p w:rsidR="00000000" w:rsidRDefault="00000000">
            <w:pPr>
              <w:spacing w:before="120"/>
              <w:jc w:val="center"/>
              <w:rPr>
                <w:sz w:val="21"/>
              </w:rPr>
            </w:pPr>
          </w:p>
        </w:tc>
        <w:tc>
          <w:tcPr>
            <w:tcW w:w="905" w:type="dxa"/>
            <w:tcBorders>
              <w:bottom w:val="single" w:sz="4" w:space="0" w:color="auto"/>
            </w:tcBorders>
          </w:tcPr>
          <w:p w:rsidR="00000000" w:rsidRDefault="00000000">
            <w:pPr>
              <w:spacing w:before="120"/>
              <w:jc w:val="center"/>
              <w:rPr>
                <w:b/>
                <w:bCs/>
                <w:sz w:val="21"/>
              </w:rPr>
            </w:pPr>
            <w:r>
              <w:rPr>
                <w:b/>
                <w:bCs/>
                <w:sz w:val="21"/>
              </w:rPr>
              <w:t>89/90</w:t>
            </w:r>
          </w:p>
        </w:tc>
        <w:tc>
          <w:tcPr>
            <w:tcW w:w="939" w:type="dxa"/>
            <w:tcBorders>
              <w:bottom w:val="single" w:sz="4" w:space="0" w:color="auto"/>
            </w:tcBorders>
          </w:tcPr>
          <w:p w:rsidR="00000000" w:rsidRDefault="00000000">
            <w:pPr>
              <w:spacing w:before="120"/>
              <w:jc w:val="center"/>
              <w:rPr>
                <w:b/>
                <w:bCs/>
                <w:sz w:val="21"/>
              </w:rPr>
            </w:pPr>
            <w:r>
              <w:rPr>
                <w:b/>
                <w:bCs/>
                <w:sz w:val="21"/>
              </w:rPr>
              <w:t>90/91</w:t>
            </w:r>
          </w:p>
        </w:tc>
        <w:tc>
          <w:tcPr>
            <w:tcW w:w="934" w:type="dxa"/>
            <w:tcBorders>
              <w:bottom w:val="single" w:sz="4" w:space="0" w:color="auto"/>
            </w:tcBorders>
          </w:tcPr>
          <w:p w:rsidR="00000000" w:rsidRDefault="00000000">
            <w:pPr>
              <w:spacing w:before="120"/>
              <w:jc w:val="center"/>
              <w:rPr>
                <w:b/>
                <w:bCs/>
                <w:sz w:val="21"/>
              </w:rPr>
            </w:pPr>
            <w:r>
              <w:rPr>
                <w:b/>
                <w:bCs/>
                <w:sz w:val="21"/>
              </w:rPr>
              <w:t>91/92</w:t>
            </w:r>
          </w:p>
        </w:tc>
        <w:tc>
          <w:tcPr>
            <w:tcW w:w="934" w:type="dxa"/>
            <w:tcBorders>
              <w:bottom w:val="single" w:sz="4" w:space="0" w:color="auto"/>
            </w:tcBorders>
          </w:tcPr>
          <w:p w:rsidR="00000000" w:rsidRDefault="00000000">
            <w:pPr>
              <w:spacing w:before="120"/>
              <w:jc w:val="center"/>
              <w:rPr>
                <w:b/>
                <w:bCs/>
                <w:sz w:val="21"/>
              </w:rPr>
            </w:pPr>
            <w:r>
              <w:rPr>
                <w:b/>
                <w:bCs/>
                <w:sz w:val="21"/>
              </w:rPr>
              <w:t>92/93</w:t>
            </w:r>
          </w:p>
        </w:tc>
        <w:tc>
          <w:tcPr>
            <w:tcW w:w="934" w:type="dxa"/>
            <w:tcBorders>
              <w:bottom w:val="single" w:sz="4" w:space="0" w:color="auto"/>
            </w:tcBorders>
          </w:tcPr>
          <w:p w:rsidR="00000000" w:rsidRDefault="00000000">
            <w:pPr>
              <w:spacing w:before="120"/>
              <w:jc w:val="center"/>
              <w:rPr>
                <w:b/>
                <w:bCs/>
                <w:sz w:val="21"/>
              </w:rPr>
            </w:pPr>
            <w:r>
              <w:rPr>
                <w:b/>
                <w:bCs/>
                <w:sz w:val="21"/>
              </w:rPr>
              <w:t>93/94</w:t>
            </w:r>
          </w:p>
        </w:tc>
        <w:tc>
          <w:tcPr>
            <w:tcW w:w="934" w:type="dxa"/>
            <w:tcBorders>
              <w:bottom w:val="single" w:sz="4" w:space="0" w:color="auto"/>
            </w:tcBorders>
          </w:tcPr>
          <w:p w:rsidR="00000000" w:rsidRDefault="00000000">
            <w:pPr>
              <w:spacing w:before="120"/>
              <w:jc w:val="center"/>
              <w:rPr>
                <w:b/>
                <w:bCs/>
                <w:sz w:val="21"/>
              </w:rPr>
            </w:pPr>
            <w:r>
              <w:rPr>
                <w:b/>
                <w:bCs/>
                <w:sz w:val="21"/>
              </w:rPr>
              <w:t>94/95</w:t>
            </w:r>
          </w:p>
        </w:tc>
        <w:tc>
          <w:tcPr>
            <w:tcW w:w="934" w:type="dxa"/>
            <w:tcBorders>
              <w:bottom w:val="single" w:sz="4" w:space="0" w:color="auto"/>
            </w:tcBorders>
          </w:tcPr>
          <w:p w:rsidR="00000000" w:rsidRDefault="00000000">
            <w:pPr>
              <w:spacing w:before="120"/>
              <w:jc w:val="center"/>
              <w:rPr>
                <w:b/>
                <w:bCs/>
                <w:sz w:val="21"/>
              </w:rPr>
            </w:pPr>
            <w:r>
              <w:rPr>
                <w:b/>
                <w:bCs/>
                <w:sz w:val="21"/>
              </w:rPr>
              <w:t>95/96</w:t>
            </w:r>
          </w:p>
        </w:tc>
        <w:tc>
          <w:tcPr>
            <w:tcW w:w="934" w:type="dxa"/>
            <w:tcBorders>
              <w:bottom w:val="single" w:sz="4" w:space="0" w:color="auto"/>
            </w:tcBorders>
          </w:tcPr>
          <w:p w:rsidR="00000000" w:rsidRDefault="00000000">
            <w:pPr>
              <w:spacing w:before="120"/>
              <w:jc w:val="center"/>
              <w:rPr>
                <w:b/>
                <w:bCs/>
                <w:sz w:val="21"/>
              </w:rPr>
            </w:pPr>
            <w:r>
              <w:rPr>
                <w:b/>
                <w:bCs/>
                <w:sz w:val="21"/>
              </w:rPr>
              <w:t>96/97</w:t>
            </w:r>
          </w:p>
        </w:tc>
        <w:tc>
          <w:tcPr>
            <w:tcW w:w="828" w:type="dxa"/>
            <w:tcBorders>
              <w:bottom w:val="single" w:sz="4" w:space="0" w:color="auto"/>
            </w:tcBorders>
          </w:tcPr>
          <w:p w:rsidR="00000000" w:rsidRDefault="00000000">
            <w:pPr>
              <w:spacing w:before="120"/>
              <w:jc w:val="center"/>
              <w:rPr>
                <w:b/>
                <w:bCs/>
                <w:sz w:val="21"/>
              </w:rPr>
            </w:pPr>
            <w:r>
              <w:rPr>
                <w:b/>
                <w:bCs/>
                <w:sz w:val="21"/>
              </w:rPr>
              <w:t>97/98</w:t>
            </w:r>
          </w:p>
        </w:tc>
      </w:tr>
      <w:tr w:rsidR="00000000">
        <w:tblPrEx>
          <w:tblCellMar>
            <w:top w:w="0" w:type="dxa"/>
            <w:bottom w:w="0" w:type="dxa"/>
          </w:tblCellMar>
        </w:tblPrEx>
        <w:tc>
          <w:tcPr>
            <w:tcW w:w="1080" w:type="dxa"/>
            <w:tcBorders>
              <w:bottom w:val="nil"/>
            </w:tcBorders>
          </w:tcPr>
          <w:p w:rsidR="00000000" w:rsidRDefault="00000000">
            <w:pPr>
              <w:spacing w:before="120"/>
              <w:rPr>
                <w:rFonts w:hint="eastAsia"/>
                <w:sz w:val="21"/>
              </w:rPr>
            </w:pPr>
            <w:r>
              <w:rPr>
                <w:rFonts w:hint="eastAsia"/>
                <w:sz w:val="21"/>
              </w:rPr>
              <w:t>学校</w:t>
            </w:r>
          </w:p>
        </w:tc>
        <w:tc>
          <w:tcPr>
            <w:tcW w:w="905" w:type="dxa"/>
            <w:tcBorders>
              <w:bottom w:val="nil"/>
            </w:tcBorders>
          </w:tcPr>
          <w:p w:rsidR="00000000" w:rsidRDefault="00000000">
            <w:pPr>
              <w:spacing w:before="120"/>
              <w:jc w:val="center"/>
              <w:rPr>
                <w:sz w:val="21"/>
              </w:rPr>
            </w:pPr>
            <w:r>
              <w:rPr>
                <w:sz w:val="21"/>
              </w:rPr>
              <w:t>7,328</w:t>
            </w:r>
          </w:p>
        </w:tc>
        <w:tc>
          <w:tcPr>
            <w:tcW w:w="939" w:type="dxa"/>
            <w:tcBorders>
              <w:bottom w:val="nil"/>
            </w:tcBorders>
          </w:tcPr>
          <w:p w:rsidR="00000000" w:rsidRDefault="00000000">
            <w:pPr>
              <w:spacing w:before="120"/>
              <w:jc w:val="center"/>
              <w:rPr>
                <w:sz w:val="21"/>
              </w:rPr>
            </w:pPr>
            <w:r>
              <w:rPr>
                <w:sz w:val="21"/>
              </w:rPr>
              <w:t>7,335</w:t>
            </w:r>
          </w:p>
        </w:tc>
        <w:tc>
          <w:tcPr>
            <w:tcW w:w="934" w:type="dxa"/>
            <w:tcBorders>
              <w:bottom w:val="nil"/>
            </w:tcBorders>
          </w:tcPr>
          <w:p w:rsidR="00000000" w:rsidRDefault="00000000">
            <w:pPr>
              <w:spacing w:before="120"/>
              <w:jc w:val="center"/>
              <w:rPr>
                <w:sz w:val="21"/>
              </w:rPr>
            </w:pPr>
            <w:r>
              <w:rPr>
                <w:sz w:val="21"/>
              </w:rPr>
              <w:t>6,972</w:t>
            </w:r>
          </w:p>
        </w:tc>
        <w:tc>
          <w:tcPr>
            <w:tcW w:w="934" w:type="dxa"/>
            <w:tcBorders>
              <w:bottom w:val="nil"/>
            </w:tcBorders>
          </w:tcPr>
          <w:p w:rsidR="00000000" w:rsidRDefault="00000000">
            <w:pPr>
              <w:spacing w:before="120"/>
              <w:jc w:val="center"/>
              <w:rPr>
                <w:sz w:val="21"/>
              </w:rPr>
            </w:pPr>
            <w:r>
              <w:rPr>
                <w:sz w:val="21"/>
              </w:rPr>
              <w:t>6,827</w:t>
            </w:r>
          </w:p>
        </w:tc>
        <w:tc>
          <w:tcPr>
            <w:tcW w:w="934" w:type="dxa"/>
            <w:tcBorders>
              <w:bottom w:val="nil"/>
            </w:tcBorders>
          </w:tcPr>
          <w:p w:rsidR="00000000" w:rsidRDefault="00000000">
            <w:pPr>
              <w:spacing w:before="120"/>
              <w:jc w:val="center"/>
              <w:rPr>
                <w:sz w:val="21"/>
              </w:rPr>
            </w:pPr>
            <w:r>
              <w:rPr>
                <w:sz w:val="21"/>
              </w:rPr>
              <w:t>6,599</w:t>
            </w:r>
          </w:p>
        </w:tc>
        <w:tc>
          <w:tcPr>
            <w:tcW w:w="934" w:type="dxa"/>
            <w:tcBorders>
              <w:bottom w:val="nil"/>
            </w:tcBorders>
          </w:tcPr>
          <w:p w:rsidR="00000000" w:rsidRDefault="00000000">
            <w:pPr>
              <w:spacing w:before="120"/>
              <w:jc w:val="center"/>
              <w:rPr>
                <w:sz w:val="21"/>
              </w:rPr>
            </w:pPr>
            <w:r>
              <w:rPr>
                <w:sz w:val="21"/>
              </w:rPr>
              <w:t>6,526</w:t>
            </w:r>
          </w:p>
        </w:tc>
        <w:tc>
          <w:tcPr>
            <w:tcW w:w="934" w:type="dxa"/>
            <w:tcBorders>
              <w:bottom w:val="nil"/>
            </w:tcBorders>
          </w:tcPr>
          <w:p w:rsidR="00000000" w:rsidRDefault="00000000">
            <w:pPr>
              <w:spacing w:before="120"/>
              <w:jc w:val="center"/>
              <w:rPr>
                <w:sz w:val="21"/>
              </w:rPr>
            </w:pPr>
            <w:r>
              <w:rPr>
                <w:sz w:val="21"/>
              </w:rPr>
              <w:t>6,474</w:t>
            </w:r>
          </w:p>
        </w:tc>
        <w:tc>
          <w:tcPr>
            <w:tcW w:w="934" w:type="dxa"/>
            <w:tcBorders>
              <w:bottom w:val="nil"/>
            </w:tcBorders>
          </w:tcPr>
          <w:p w:rsidR="00000000" w:rsidRDefault="00000000">
            <w:pPr>
              <w:spacing w:before="120"/>
              <w:jc w:val="center"/>
              <w:rPr>
                <w:sz w:val="21"/>
              </w:rPr>
            </w:pPr>
            <w:r>
              <w:rPr>
                <w:sz w:val="21"/>
              </w:rPr>
              <w:t>6,344</w:t>
            </w:r>
          </w:p>
        </w:tc>
        <w:tc>
          <w:tcPr>
            <w:tcW w:w="828" w:type="dxa"/>
            <w:tcBorders>
              <w:bottom w:val="nil"/>
            </w:tcBorders>
          </w:tcPr>
          <w:p w:rsidR="00000000" w:rsidRDefault="00000000">
            <w:pPr>
              <w:spacing w:before="120"/>
              <w:jc w:val="center"/>
              <w:rPr>
                <w:sz w:val="21"/>
              </w:rPr>
            </w:pPr>
            <w:r>
              <w:rPr>
                <w:sz w:val="21"/>
              </w:rPr>
              <w:t>6,152</w:t>
            </w:r>
          </w:p>
        </w:tc>
      </w:tr>
      <w:tr w:rsidR="00000000">
        <w:tblPrEx>
          <w:tblCellMar>
            <w:top w:w="0" w:type="dxa"/>
            <w:bottom w:w="0" w:type="dxa"/>
          </w:tblCellMar>
        </w:tblPrEx>
        <w:tc>
          <w:tcPr>
            <w:tcW w:w="1080" w:type="dxa"/>
            <w:tcBorders>
              <w:top w:val="nil"/>
            </w:tcBorders>
          </w:tcPr>
          <w:p w:rsidR="00000000" w:rsidRDefault="00000000">
            <w:pPr>
              <w:rPr>
                <w:rFonts w:hint="eastAsia"/>
                <w:sz w:val="21"/>
              </w:rPr>
            </w:pPr>
            <w:r>
              <w:rPr>
                <w:rFonts w:hint="eastAsia"/>
                <w:sz w:val="21"/>
              </w:rPr>
              <w:t>儿童</w:t>
            </w:r>
          </w:p>
        </w:tc>
        <w:tc>
          <w:tcPr>
            <w:tcW w:w="905" w:type="dxa"/>
            <w:tcBorders>
              <w:top w:val="nil"/>
            </w:tcBorders>
          </w:tcPr>
          <w:p w:rsidR="00000000" w:rsidRDefault="00000000">
            <w:pPr>
              <w:jc w:val="center"/>
              <w:rPr>
                <w:sz w:val="21"/>
              </w:rPr>
            </w:pPr>
            <w:r>
              <w:rPr>
                <w:sz w:val="21"/>
              </w:rPr>
              <w:t>395.2</w:t>
            </w:r>
          </w:p>
        </w:tc>
        <w:tc>
          <w:tcPr>
            <w:tcW w:w="939" w:type="dxa"/>
            <w:tcBorders>
              <w:top w:val="nil"/>
            </w:tcBorders>
          </w:tcPr>
          <w:p w:rsidR="00000000" w:rsidRDefault="00000000">
            <w:pPr>
              <w:jc w:val="center"/>
              <w:rPr>
                <w:sz w:val="21"/>
              </w:rPr>
            </w:pPr>
            <w:r>
              <w:rPr>
                <w:sz w:val="21"/>
              </w:rPr>
              <w:t>352.1</w:t>
            </w:r>
          </w:p>
        </w:tc>
        <w:tc>
          <w:tcPr>
            <w:tcW w:w="934" w:type="dxa"/>
            <w:tcBorders>
              <w:top w:val="nil"/>
            </w:tcBorders>
          </w:tcPr>
          <w:p w:rsidR="00000000" w:rsidRDefault="00000000">
            <w:pPr>
              <w:jc w:val="center"/>
              <w:rPr>
                <w:sz w:val="21"/>
              </w:rPr>
            </w:pPr>
            <w:r>
              <w:rPr>
                <w:sz w:val="21"/>
              </w:rPr>
              <w:t>323.3</w:t>
            </w:r>
          </w:p>
        </w:tc>
        <w:tc>
          <w:tcPr>
            <w:tcW w:w="934" w:type="dxa"/>
            <w:tcBorders>
              <w:top w:val="nil"/>
            </w:tcBorders>
          </w:tcPr>
          <w:p w:rsidR="00000000" w:rsidRDefault="00000000">
            <w:pPr>
              <w:jc w:val="center"/>
              <w:rPr>
                <w:sz w:val="21"/>
              </w:rPr>
            </w:pPr>
            <w:r>
              <w:rPr>
                <w:sz w:val="21"/>
              </w:rPr>
              <w:t>325.7</w:t>
            </w:r>
          </w:p>
        </w:tc>
        <w:tc>
          <w:tcPr>
            <w:tcW w:w="934" w:type="dxa"/>
            <w:tcBorders>
              <w:top w:val="nil"/>
            </w:tcBorders>
          </w:tcPr>
          <w:p w:rsidR="00000000" w:rsidRDefault="00000000">
            <w:pPr>
              <w:jc w:val="center"/>
              <w:rPr>
                <w:sz w:val="21"/>
              </w:rPr>
            </w:pPr>
            <w:r>
              <w:rPr>
                <w:sz w:val="21"/>
              </w:rPr>
              <w:t>331.5</w:t>
            </w:r>
          </w:p>
        </w:tc>
        <w:tc>
          <w:tcPr>
            <w:tcW w:w="934" w:type="dxa"/>
            <w:tcBorders>
              <w:top w:val="nil"/>
            </w:tcBorders>
          </w:tcPr>
          <w:p w:rsidR="00000000" w:rsidRDefault="00000000">
            <w:pPr>
              <w:jc w:val="center"/>
              <w:rPr>
                <w:sz w:val="21"/>
              </w:rPr>
            </w:pPr>
            <w:r>
              <w:rPr>
                <w:sz w:val="21"/>
              </w:rPr>
              <w:t>338.1</w:t>
            </w:r>
          </w:p>
        </w:tc>
        <w:tc>
          <w:tcPr>
            <w:tcW w:w="934" w:type="dxa"/>
            <w:tcBorders>
              <w:top w:val="nil"/>
            </w:tcBorders>
          </w:tcPr>
          <w:p w:rsidR="00000000" w:rsidRDefault="00000000">
            <w:pPr>
              <w:jc w:val="center"/>
              <w:rPr>
                <w:sz w:val="21"/>
              </w:rPr>
            </w:pPr>
            <w:r>
              <w:rPr>
                <w:sz w:val="21"/>
              </w:rPr>
              <w:t>333.4</w:t>
            </w:r>
          </w:p>
        </w:tc>
        <w:tc>
          <w:tcPr>
            <w:tcW w:w="934" w:type="dxa"/>
            <w:tcBorders>
              <w:top w:val="nil"/>
            </w:tcBorders>
          </w:tcPr>
          <w:p w:rsidR="00000000" w:rsidRDefault="00000000">
            <w:pPr>
              <w:jc w:val="center"/>
              <w:rPr>
                <w:sz w:val="21"/>
              </w:rPr>
            </w:pPr>
            <w:r>
              <w:rPr>
                <w:sz w:val="21"/>
              </w:rPr>
              <w:t>317.2</w:t>
            </w:r>
          </w:p>
        </w:tc>
        <w:tc>
          <w:tcPr>
            <w:tcW w:w="828" w:type="dxa"/>
            <w:tcBorders>
              <w:top w:val="nil"/>
            </w:tcBorders>
          </w:tcPr>
          <w:p w:rsidR="00000000" w:rsidRDefault="00000000">
            <w:pPr>
              <w:jc w:val="center"/>
              <w:rPr>
                <w:sz w:val="21"/>
              </w:rPr>
            </w:pPr>
            <w:r>
              <w:rPr>
                <w:sz w:val="21"/>
              </w:rPr>
              <w:t>307.5</w:t>
            </w:r>
          </w:p>
        </w:tc>
      </w:tr>
    </w:tbl>
    <w:p w:rsidR="00000000" w:rsidRDefault="00000000">
      <w:pPr>
        <w:pStyle w:val="FootnoteText"/>
        <w:spacing w:before="160" w:after="320"/>
        <w:rPr>
          <w:rFonts w:hint="eastAsia"/>
        </w:rPr>
      </w:pPr>
      <w:r>
        <w:rPr>
          <w:rFonts w:hint="eastAsia"/>
          <w:u w:val="single"/>
        </w:rPr>
        <w:t>资料来源</w:t>
      </w:r>
      <w:r>
        <w:rPr>
          <w:rFonts w:hint="eastAsia"/>
        </w:rPr>
        <w:t>：教育信息学会。</w:t>
      </w:r>
    </w:p>
    <w:p w:rsidR="00000000" w:rsidRDefault="00000000">
      <w:pPr>
        <w:rPr>
          <w:rFonts w:hint="eastAsia"/>
        </w:rPr>
      </w:pPr>
      <w:r>
        <w:rPr>
          <w:rFonts w:hint="eastAsia"/>
        </w:rPr>
        <w:tab/>
        <w:t xml:space="preserve">563.  </w:t>
      </w:r>
      <w:r>
        <w:rPr>
          <w:rFonts w:hint="eastAsia"/>
        </w:rPr>
        <w:t>到</w:t>
      </w:r>
      <w:r>
        <w:rPr>
          <w:rFonts w:hint="eastAsia"/>
        </w:rPr>
        <w:t>1991</w:t>
      </w:r>
      <w:r>
        <w:rPr>
          <w:rFonts w:hint="eastAsia"/>
        </w:rPr>
        <w:t>年为止，上幼儿园的儿童人数有所下降，因为当时人们改变了对幼儿园的态度，其原因是，产假延长和逐步改变家庭模式，母亲们即使在产假以后也留在家里，继续自己抚养儿童。人口下降趋势也发挥了作用，而且是最近上幼儿园儿童人数下降的一个主要原因。同</w:t>
      </w:r>
      <w:r>
        <w:rPr>
          <w:rFonts w:hint="eastAsia"/>
        </w:rPr>
        <w:t>1989</w:t>
      </w:r>
      <w:r>
        <w:rPr>
          <w:rFonts w:hint="eastAsia"/>
        </w:rPr>
        <w:t>年相比，上幼儿园的儿童人数下降了</w:t>
      </w:r>
      <w:r>
        <w:rPr>
          <w:rFonts w:hint="eastAsia"/>
        </w:rPr>
        <w:t>22%</w:t>
      </w:r>
      <w:r>
        <w:rPr>
          <w:rFonts w:hint="eastAsia"/>
        </w:rPr>
        <w:t>。然而，尽管上幼儿园的儿童人数有所下降，但</w:t>
      </w:r>
      <w:r>
        <w:rPr>
          <w:rFonts w:hint="eastAsia"/>
        </w:rPr>
        <w:t>88%</w:t>
      </w:r>
      <w:r>
        <w:rPr>
          <w:rFonts w:hint="eastAsia"/>
        </w:rPr>
        <w:t>的所有学龄前儿童仍然上幼儿园，幼儿园在抚养儿童方面的作用是不可替代的。与</w:t>
      </w:r>
      <w:r>
        <w:rPr>
          <w:rFonts w:hint="eastAsia"/>
        </w:rPr>
        <w:t>1989/1990</w:t>
      </w:r>
      <w:r>
        <w:rPr>
          <w:rFonts w:hint="eastAsia"/>
        </w:rPr>
        <w:t>学年相比，</w:t>
      </w:r>
      <w:r>
        <w:rPr>
          <w:rFonts w:hint="eastAsia"/>
        </w:rPr>
        <w:t>1999/2000</w:t>
      </w:r>
      <w:r>
        <w:rPr>
          <w:rFonts w:hint="eastAsia"/>
        </w:rPr>
        <w:t>年上幼儿园的人数下降了</w:t>
      </w:r>
      <w:r>
        <w:rPr>
          <w:rFonts w:hint="eastAsia"/>
        </w:rPr>
        <w:t>1,176</w:t>
      </w:r>
      <w:r>
        <w:rPr>
          <w:rFonts w:hint="eastAsia"/>
        </w:rPr>
        <w:t>人，即下降了</w:t>
      </w:r>
      <w:r>
        <w:rPr>
          <w:rFonts w:hint="eastAsia"/>
        </w:rPr>
        <w:t>16%</w:t>
      </w:r>
      <w:r>
        <w:rPr>
          <w:rFonts w:hint="eastAsia"/>
        </w:rPr>
        <w:t>。</w:t>
      </w:r>
    </w:p>
    <w:p w:rsidR="00000000" w:rsidRDefault="00000000">
      <w:pPr>
        <w:spacing w:before="320"/>
        <w:jc w:val="center"/>
        <w:rPr>
          <w:rFonts w:hint="eastAsia"/>
        </w:rPr>
      </w:pPr>
      <w:r>
        <w:rPr>
          <w:rFonts w:hint="eastAsia"/>
          <w:snapToGrid/>
          <w:color w:val="000000"/>
          <w:kern w:val="28"/>
          <w:u w:val="single"/>
        </w:rPr>
        <w:t>上幼儿园和特殊幼儿园的儿童人数与</w:t>
      </w:r>
      <w:r>
        <w:rPr>
          <w:rFonts w:hint="eastAsia"/>
          <w:b/>
          <w:snapToGrid/>
          <w:color w:val="000000"/>
          <w:kern w:val="28"/>
          <w:u w:val="single"/>
        </w:rPr>
        <w:t>3</w:t>
      </w:r>
      <w:r>
        <w:rPr>
          <w:rFonts w:hint="eastAsia"/>
          <w:snapToGrid/>
          <w:color w:val="000000"/>
          <w:kern w:val="28"/>
          <w:u w:val="single"/>
        </w:rPr>
        <w:t>-</w:t>
      </w:r>
      <w:r>
        <w:rPr>
          <w:rFonts w:hint="eastAsia"/>
          <w:b/>
          <w:snapToGrid/>
          <w:color w:val="000000"/>
          <w:kern w:val="28"/>
          <w:u w:val="single"/>
        </w:rPr>
        <w:t>5</w:t>
      </w:r>
      <w:r>
        <w:rPr>
          <w:rFonts w:hint="eastAsia"/>
          <w:snapToGrid/>
          <w:color w:val="000000"/>
          <w:kern w:val="28"/>
          <w:u w:val="single"/>
        </w:rPr>
        <w:t>岁人口动态的比较</w:t>
      </w:r>
      <w:r>
        <w:rPr>
          <w:snapToGrid/>
          <w:color w:val="000000"/>
          <w:kern w:val="28"/>
          <w:u w:val="single"/>
        </w:rPr>
        <w:br/>
      </w:r>
      <w:r>
        <w:rPr>
          <w:rFonts w:hint="eastAsia"/>
          <w:sz w:val="22"/>
        </w:rPr>
        <w:t>(</w:t>
      </w:r>
      <w:r>
        <w:rPr>
          <w:rFonts w:hint="eastAsia"/>
          <w:sz w:val="22"/>
        </w:rPr>
        <w:t>以千计</w:t>
      </w:r>
      <w:r>
        <w:rPr>
          <w:rFonts w:hint="eastAsia"/>
          <w:sz w:val="22"/>
        </w:rPr>
        <w:t>)</w:t>
      </w:r>
    </w:p>
    <w:p w:rsidR="00000000" w:rsidRDefault="00000000">
      <w:pPr>
        <w:rPr>
          <w:rFonts w:hint="eastAsia"/>
        </w:rPr>
      </w:pPr>
      <w:r>
        <w:rPr>
          <w:noProof/>
          <w:snapToGrid/>
          <w:sz w:val="20"/>
        </w:rPr>
        <w:pict>
          <v:group id="_x0000_s3867" style="position:absolute;left:0;text-align:left;margin-left:66pt;margin-top:4.55pt;width:336pt;height:157.55pt;z-index:3" coordorigin="1760,2834" coordsize="6706,3151">
            <v:rect id="_x0000_s3868" style="position:absolute;left:1760;top:2834;width:6705;height:3151" o:allowincell="f" strokeweight="0">
              <v:fill color2="black"/>
              <v:stroke color2="black"/>
            </v:rect>
            <v:shape id="_x0000_s3869" style="position:absolute;left:3096;top:3319;width:4772;height:1978;mso-position-horizontal-relative:text;mso-position-vertical-relative:text" coordsize="4772,1978" o:allowincell="f" path="m,1978l,,1184,,2392,29,3588,78,4772,184r,1794l3588,1978r-1196,l1184,1978,,1978xe" fillcolor="silver" stroked="f">
              <v:path arrowok="t"/>
            </v:shape>
            <v:shape id="_x0000_s3870" style="position:absolute;left:3096;top:3319;width:4772;height:1978;mso-position-horizontal-relative:text;mso-position-vertical-relative:text" coordsize="4772,1978" o:allowincell="f" path="m,1978l,,1184,,2392,29,3588,78,4772,184r,1794l3588,1978r-1196,l1184,1978,,1978e" filled="f" strokeweight=".6pt">
              <v:path arrowok="t"/>
            </v:shape>
            <v:rect id="_x0000_s3871" style="position:absolute;left:2838;top:3814;width:504;height:1483" o:allowincell="f" fillcolor="black" stroked="f">
              <v:fill r:id="rId7" o:title="" color2="#99f" type="tile"/>
            </v:rect>
            <v:rect id="_x0000_s3872" style="position:absolute;left:2838;top:3814;width:504;height:1483" o:allowincell="f" filled="f" strokeweight=".6pt"/>
            <v:rect id="_x0000_s3873" style="position:absolute;left:4046;top:3775;width:480;height:1522" o:allowincell="f" fillcolor="black" stroked="f">
              <v:fill r:id="rId7" o:title="" color2="#99f" type="tile"/>
            </v:rect>
            <v:rect id="_x0000_s3874" style="position:absolute;left:4046;top:3775;width:480;height:1522" o:allowincell="f" filled="f" strokeweight=".6pt"/>
            <v:rect id="_x0000_s3875" style="position:absolute;left:5230;top:4384;width:492;height:1503" fillcolor="black" stroked="f">
              <v:fill r:id="rId8" o:title="" color2="#99f" type="tile"/>
            </v:rect>
            <v:rect id="_x0000_s3876" style="position:absolute;left:5230;top:3794;width:492;height:1503" o:allowincell="f" filled="f" strokeweight=".6pt"/>
            <v:rect id="_x0000_s3877" style="position:absolute;left:6426;top:3843;width:480;height:1454" o:allowincell="f" fillcolor="black" stroked="f">
              <v:fill r:id="rId8" o:title="" color2="#99f" type="tile"/>
            </v:rect>
            <v:rect id="_x0000_s3878" style="position:absolute;left:6426;top:3843;width:480;height:1454" o:allowincell="f" filled="f" strokeweight=".6pt"/>
            <v:rect id="_x0000_s3879" style="position:absolute;left:7610;top:3891;width:504;height:1406" o:allowincell="f" fillcolor="black" stroked="f">
              <v:fill r:id="rId7" o:title="" color2="#99f" type="tile"/>
            </v:rect>
            <v:rect id="_x0000_s3880" style="position:absolute;left:7610;top:3891;width:504;height:1406" o:allowincell="f" filled="f" strokeweight=".6pt"/>
            <v:rect id="_x0000_s3881" style="position:absolute;left:2838;top:3794;width:504;height:20" o:allowincell="f" fillcolor="black" stroked="f">
              <v:fill r:id="rId9" o:title="" color2="#936" type="tile"/>
            </v:rect>
            <v:rect id="_x0000_s3882" style="position:absolute;left:2838;top:3794;width:504;height:20" o:allowincell="f" filled="f" strokeweight=".6pt"/>
            <v:rect id="_x0000_s3883" style="position:absolute;left:4046;top:3746;width:480;height:29" o:allowincell="f" fillcolor="black" stroked="f">
              <v:fill r:id="rId9" o:title="" color2="#936" type="tile"/>
            </v:rect>
            <v:rect id="_x0000_s3884" style="position:absolute;left:4046;top:3746;width:480;height:29" o:allowincell="f" filled="f" strokeweight=".6pt"/>
            <v:rect id="_x0000_s3885" style="position:absolute;left:5230;top:3756;width:492;height:38" o:allowincell="f" fillcolor="black" stroked="f">
              <v:fill r:id="rId10" o:title="" color2="#936" type="tile"/>
            </v:rect>
            <v:rect id="_x0000_s3886" style="position:absolute;left:5230;top:3756;width:492;height:38" o:allowincell="f" filled="f" strokeweight=".6pt"/>
            <v:rect id="_x0000_s3887" style="position:absolute;left:6426;top:3804;width:480;height:39" o:allowincell="f" fillcolor="black" stroked="f">
              <v:fill r:id="rId10" o:title="" color2="#936" type="tile"/>
            </v:rect>
            <v:rect id="_x0000_s3888" style="position:absolute;left:6426;top:3804;width:480;height:39" o:allowincell="f" filled="f" strokeweight=".6pt"/>
            <v:rect id="_x0000_s3889" style="position:absolute;left:7610;top:3852;width:504;height:39" o:allowincell="f" fillcolor="black" stroked="f">
              <v:fill r:id="rId11" o:title="" color2="#936" type="tile"/>
            </v:rect>
            <v:rect id="_x0000_s3890" style="position:absolute;left:7610;top:3852;width:504;height:39" o:allowincell="f" filled="f" strokeweight=".6pt"/>
            <v:line id="_x0000_s3891" style="position:absolute" from="2498,2970" to="2499,5297" o:allowincell="f" strokeweight="0"/>
            <v:line id="_x0000_s3892" style="position:absolute" from="2451,5297" to="2545,5298" o:allowincell="f" strokeweight="0"/>
            <v:line id="_x0000_s3893" style="position:absolute" from="2451,5035" to="2545,5036" o:allowincell="f" strokeweight="0"/>
            <v:line id="_x0000_s3894" style="position:absolute" from="2451,4774" to="2545,4775" o:allowincell="f" strokeweight="0"/>
            <v:line id="_x0000_s3895" style="position:absolute" from="2451,4521" to="2545,4522" o:allowincell="f" strokeweight="0"/>
            <v:line id="_x0000_s3896" style="position:absolute" from="2451,4260" to="2545,4261" o:allowincell="f" strokeweight="0"/>
            <v:line id="_x0000_s3897" style="position:absolute" from="2451,3998" to="2545,3999" o:allowincell="f" strokeweight="0"/>
            <v:line id="_x0000_s3898" style="position:absolute" from="2451,3746" to="2545,3747" o:allowincell="f" strokeweight="0"/>
            <v:line id="_x0000_s3899" style="position:absolute" from="2451,3494" to="2545,3495" o:allowincell="f" strokeweight="0"/>
            <v:line id="_x0000_s3900" style="position:absolute" from="2451,3232" to="2545,3233" o:allowincell="f" strokeweight="0"/>
            <v:line id="_x0000_s3901" style="position:absolute" from="2451,2970" to="2545,2971" o:allowincell="f" strokeweight="0"/>
            <v:line id="_x0000_s3902" style="position:absolute" from="2498,5297" to="8465,5298" o:allowincell="f" strokeweight="0"/>
            <v:line id="_x0000_s3903" style="position:absolute;flip:y" from="2498,5258" to="2499,5326" o:allowincell="f" strokeweight="0"/>
            <v:line id="_x0000_s3904" style="position:absolute;flip:y" from="3694,5258" to="3695,5326" o:allowincell="f" strokeweight="0"/>
            <v:line id="_x0000_s3905" style="position:absolute;flip:y" from="4878,5258" to="4879,5326" o:allowincell="f" strokeweight="0"/>
            <v:line id="_x0000_s3906" style="position:absolute;flip:y" from="6086,5258" to="6087,5326" o:allowincell="f" strokeweight="0"/>
            <v:line id="_x0000_s3907" style="position:absolute;flip:y" from="7270,5258" to="7271,5326" o:allowincell="f" strokeweight="0"/>
            <v:line id="_x0000_s3908" style="position:absolute;flip:y" from="8465,5258" to="8466,5326" o:allowincell="f" strokeweight="0"/>
            <v:rect id="_x0000_s3909" style="position:absolute;left:3295;top:4415;width:59;height:300" o:allowincell="f" fillcolor="black" stroked="f">
              <v:fill color2="black"/>
            </v:rect>
            <v:rect id="_x0000_s3910" style="position:absolute;left:2838;top:4677;width:516;height:38" o:allowincell="f" fillcolor="black" stroked="f">
              <v:fill color2="black"/>
            </v:rect>
            <v:rect id="_x0000_s3911" style="position:absolute;left:2815;top:4386;width:492;height:300" o:allowincell="f" strokeweight="0">
              <v:fill color2="black"/>
              <v:stroke color2="black"/>
            </v:rect>
            <v:rect id="_x0000_s3912" style="position:absolute;left:2873;top:4454;width:492;height:184;mso-wrap-style:none" o:allowincell="f" filled="f" stroked="f">
              <v:textbox style="mso-next-textbox:#_x0000_s3912;mso-rotate-with-shape:t" inset="0,0,0,0">
                <w:txbxContent>
                  <w:p w:rsidR="00000000" w:rsidRDefault="00000000">
                    <w:r>
                      <w:rPr>
                        <w:rFonts w:ascii="Arial" w:hAnsi="Arial"/>
                        <w:color w:val="000000"/>
                        <w:sz w:val="14"/>
                      </w:rPr>
                      <w:t>285,3</w:t>
                    </w:r>
                  </w:p>
                </w:txbxContent>
              </v:textbox>
            </v:rect>
            <v:rect id="_x0000_s3913" style="position:absolute;left:4491;top:4395;width:59;height:311" o:allowincell="f" fillcolor="black" stroked="f">
              <v:fill color2="black"/>
            </v:rect>
            <v:rect id="_x0000_s3914" style="position:absolute;left:4046;top:4657;width:504;height:49" o:allowincell="f" fillcolor="black" stroked="f">
              <v:fill color2="black"/>
            </v:rect>
            <v:rect id="_x0000_s3915" style="position:absolute;left:4011;top:4376;width:492;height:291" o:allowincell="f" strokeweight="0">
              <v:fill color2="black"/>
              <v:stroke color2="black"/>
            </v:rect>
            <v:rect id="_x0000_s3916" style="position:absolute;left:4069;top:4434;width:492;height:184;mso-wrap-style:none" o:allowincell="f" filled="f" stroked="f">
              <v:textbox style="mso-next-textbox:#_x0000_s3916;mso-rotate-with-shape:t" inset="0,0,0,0">
                <w:txbxContent>
                  <w:p w:rsidR="00000000" w:rsidRDefault="00000000">
                    <w:r>
                      <w:rPr>
                        <w:rFonts w:ascii="Arial" w:hAnsi="Arial"/>
                        <w:color w:val="000000"/>
                        <w:sz w:val="14"/>
                      </w:rPr>
                      <w:t>292,6</w:t>
                    </w:r>
                  </w:p>
                </w:txbxContent>
              </v:textbox>
            </v:rect>
            <v:rect id="_x0000_s3917" style="position:absolute;left:5675;top:4395;width:59;height:311" o:allowincell="f" fillcolor="black" stroked="f">
              <v:fill color2="black"/>
            </v:rect>
            <v:rect id="_x0000_s3918" style="position:absolute;left:5230;top:4657;width:504;height:49" o:allowincell="f" fillcolor="black" stroked="f">
              <v:fill color2="black"/>
            </v:rect>
            <v:rect id="_x0000_s3919" style="position:absolute;left:5195;top:4376;width:492;height:291" o:allowincell="f" strokeweight="0">
              <v:fill color2="black"/>
              <v:stroke color2="black"/>
            </v:rect>
            <v:rect id="_x0000_s3920" style="position:absolute;left:5253;top:4434;width:492;height:184;mso-wrap-style:none" o:allowincell="f" filled="f" stroked="f">
              <v:textbox style="mso-next-textbox:#_x0000_s3920;mso-rotate-with-shape:t" inset="0,0,0,0">
                <w:txbxContent>
                  <w:p w:rsidR="00000000" w:rsidRDefault="00000000">
                    <w:r>
                      <w:rPr>
                        <w:rFonts w:ascii="Arial" w:hAnsi="Arial"/>
                        <w:color w:val="000000"/>
                        <w:sz w:val="14"/>
                      </w:rPr>
                      <w:t>292,0</w:t>
                    </w:r>
                  </w:p>
                </w:txbxContent>
              </v:textbox>
            </v:rect>
            <v:rect id="_x0000_s3921" style="position:absolute;left:6859;top:4425;width:59;height:310" o:allowincell="f" fillcolor="black" stroked="f">
              <v:fill color2="black"/>
            </v:rect>
            <v:rect id="_x0000_s3922" style="position:absolute;left:6414;top:4686;width:504;height:49" o:allowincell="f" fillcolor="black" stroked="f">
              <v:fill color2="black"/>
            </v:rect>
            <v:rect id="_x0000_s3923" style="position:absolute;left:6379;top:4395;width:492;height:301" o:allowincell="f" strokeweight="0">
              <v:fill color2="black"/>
              <v:stroke color2="black"/>
            </v:rect>
            <v:rect id="_x0000_s3924" style="position:absolute;left:6437;top:4463;width:492;height:184;mso-wrap-style:none" o:allowincell="f" filled="f" stroked="f">
              <v:textbox style="mso-next-textbox:#_x0000_s3924;mso-rotate-with-shape:t" inset="0,0,0,0">
                <w:txbxContent>
                  <w:p w:rsidR="00000000" w:rsidRDefault="00000000">
                    <w:r>
                      <w:rPr>
                        <w:rFonts w:ascii="Arial" w:hAnsi="Arial"/>
                        <w:color w:val="000000"/>
                        <w:sz w:val="14"/>
                      </w:rPr>
                      <w:t>280,8</w:t>
                    </w:r>
                  </w:p>
                </w:txbxContent>
              </v:textbox>
            </v:rect>
            <v:rect id="_x0000_s3925" style="position:absolute;left:8067;top:4454;width:59;height:300" o:allowincell="f" fillcolor="black" stroked="f">
              <v:fill color2="black"/>
            </v:rect>
            <v:rect id="_x0000_s3926" style="position:absolute;left:7610;top:4706;width:516;height:48" o:allowincell="f" fillcolor="black" stroked="f">
              <v:fill color2="black"/>
            </v:rect>
            <v:rect id="_x0000_s3927" style="position:absolute;left:7586;top:4425;width:493;height:290" o:allowincell="f" strokeweight="0">
              <v:fill color2="black"/>
              <v:stroke color2="black"/>
            </v:rect>
            <v:rect id="_x0000_s3928" style="position:absolute;left:7645;top:4483;width:492;height:184;mso-wrap-style:none" o:allowincell="f" filled="f" stroked="f">
              <v:textbox style="mso-next-textbox:#_x0000_s3928;mso-rotate-with-shape:t" inset="0,0,0,0">
                <w:txbxContent>
                  <w:p w:rsidR="00000000" w:rsidRDefault="00000000">
                    <w:r>
                      <w:rPr>
                        <w:rFonts w:ascii="Arial" w:hAnsi="Arial"/>
                        <w:color w:val="000000"/>
                        <w:sz w:val="14"/>
                      </w:rPr>
                      <w:t>272,1</w:t>
                    </w:r>
                  </w:p>
                </w:txbxContent>
              </v:textbox>
            </v:rect>
            <v:rect id="_x0000_s3929" style="position:absolute;left:3213;top:3406;width:59;height:311" o:allowincell="f" fillcolor="black" stroked="f">
              <v:fill color2="black"/>
            </v:rect>
            <v:rect id="_x0000_s3930" style="position:absolute;left:2944;top:3668;width:328;height:49" o:allowincell="f" fillcolor="black" stroked="f">
              <v:fill color2="black"/>
            </v:rect>
            <v:rect id="_x0000_s3931" style="position:absolute;left:2920;top:3377;width:305;height:301" o:allowincell="f" strokeweight="0">
              <v:fill color2="black"/>
              <v:stroke color2="black"/>
            </v:rect>
            <v:rect id="_x0000_s3932" style="position:absolute;left:2979;top:3445;width:305;height:184;mso-wrap-style:none" o:allowincell="f" filled="f" stroked="f">
              <v:textbox style="mso-next-textbox:#_x0000_s3932;mso-rotate-with-shape:t" inset="0,0,0,0">
                <w:txbxContent>
                  <w:p w:rsidR="00000000" w:rsidRDefault="00000000">
                    <w:r>
                      <w:rPr>
                        <w:rFonts w:ascii="Arial" w:hAnsi="Arial"/>
                        <w:color w:val="000000"/>
                        <w:sz w:val="14"/>
                      </w:rPr>
                      <w:t>7,0</w:t>
                    </w:r>
                  </w:p>
                </w:txbxContent>
              </v:textbox>
            </v:rect>
            <v:rect id="_x0000_s3933" style="position:absolute;left:4421;top:3368;width:58;height:310" o:allowincell="f" fillcolor="black" stroked="f">
              <v:fill color2="black"/>
            </v:rect>
            <v:rect id="_x0000_s3934" style="position:absolute;left:4151;top:3629;width:328;height:49" o:allowincell="f" fillcolor="black" stroked="f">
              <v:fill color2="black"/>
            </v:rect>
            <v:rect id="_x0000_s3935" style="position:absolute;left:4116;top:3348;width:317;height:291" o:allowincell="f" strokeweight="0">
              <v:fill color2="black"/>
              <v:stroke color2="black"/>
            </v:rect>
            <v:rect id="_x0000_s3936" style="position:absolute;left:4175;top:3406;width:305;height:184;mso-wrap-style:none" o:allowincell="f" filled="f" stroked="f">
              <v:textbox style="mso-next-textbox:#_x0000_s3936;mso-rotate-with-shape:t" inset="0,0,0,0">
                <w:txbxContent>
                  <w:p w:rsidR="00000000" w:rsidRDefault="00000000">
                    <w:r>
                      <w:rPr>
                        <w:rFonts w:ascii="Arial" w:hAnsi="Arial"/>
                        <w:color w:val="000000"/>
                        <w:sz w:val="14"/>
                      </w:rPr>
                      <w:t>7,4</w:t>
                    </w:r>
                  </w:p>
                </w:txbxContent>
              </v:textbox>
            </v:rect>
            <v:rect id="_x0000_s3937" style="position:absolute;left:5570;top:3368;width:58;height:310" o:allowincell="f" fillcolor="black" stroked="f">
              <v:fill color2="black"/>
            </v:rect>
            <v:rect id="_x0000_s3938" style="position:absolute;left:5300;top:3629;width:328;height:49" o:allowincell="f" fillcolor="black" stroked="f">
              <v:fill color2="black"/>
            </v:rect>
            <v:rect id="_x0000_s3939" style="position:absolute;left:5277;top:3348;width:304;height:291" o:allowincell="f" strokeweight="0">
              <v:fill color2="black"/>
              <v:stroke color2="black"/>
            </v:rect>
            <v:rect id="_x0000_s3940" style="position:absolute;left:5335;top:3406;width:305;height:184;mso-wrap-style:none" o:allowincell="f" filled="f" stroked="f">
              <v:textbox style="mso-next-textbox:#_x0000_s3940;mso-rotate-with-shape:t" inset="0,0,0,0">
                <w:txbxContent>
                  <w:p w:rsidR="00000000" w:rsidRDefault="00000000">
                    <w:r>
                      <w:rPr>
                        <w:rFonts w:ascii="Arial" w:hAnsi="Arial"/>
                        <w:color w:val="000000"/>
                        <w:sz w:val="14"/>
                      </w:rPr>
                      <w:t>7,5</w:t>
                    </w:r>
                  </w:p>
                </w:txbxContent>
              </v:textbox>
            </v:rect>
            <v:rect id="_x0000_s3941" style="position:absolute;left:6777;top:3445;width:47;height:311" o:allowincell="f" fillcolor="black" stroked="f">
              <v:fill color2="black"/>
            </v:rect>
            <v:rect id="_x0000_s3942" style="position:absolute;left:6508;top:3707;width:316;height:49" o:allowincell="f" fillcolor="black" stroked="f">
              <v:fill color2="black"/>
            </v:rect>
            <v:rect id="_x0000_s3943" style="position:absolute;left:6472;top:3416;width:317;height:301" o:allowincell="f" strokeweight="0">
              <v:fill color2="black"/>
              <v:stroke color2="black"/>
            </v:rect>
            <v:rect id="_x0000_s3944" style="position:absolute;left:6531;top:3484;width:305;height:184;mso-wrap-style:none" o:allowincell="f" filled="f" stroked="f">
              <v:textbox style="mso-next-textbox:#_x0000_s3944;mso-rotate-with-shape:t" inset="0,0,0,0">
                <w:txbxContent>
                  <w:p w:rsidR="00000000" w:rsidRDefault="00000000">
                    <w:r>
                      <w:rPr>
                        <w:rFonts w:ascii="Arial" w:hAnsi="Arial"/>
                        <w:color w:val="000000"/>
                        <w:sz w:val="14"/>
                      </w:rPr>
                      <w:t>7,2</w:t>
                    </w:r>
                  </w:p>
                </w:txbxContent>
              </v:textbox>
            </v:rect>
            <v:rect id="_x0000_s3945" style="position:absolute;left:7973;top:3494;width:59;height:310" o:allowincell="f" fillcolor="black" stroked="f">
              <v:fill color2="black"/>
            </v:rect>
            <v:rect id="_x0000_s3946" style="position:absolute;left:7703;top:3756;width:329;height:48" o:allowincell="f" fillcolor="black" stroked="f">
              <v:fill color2="black"/>
            </v:rect>
            <v:rect id="_x0000_s3947" style="position:absolute;left:7668;top:3465;width:317;height:300" o:allowincell="f" strokeweight="0">
              <v:fill color2="black"/>
              <v:stroke color2="black"/>
            </v:rect>
            <v:rect id="_x0000_s3948" style="position:absolute;left:7739;top:3533;width:305;height:184;mso-wrap-style:none" o:allowincell="f" filled="f" stroked="f">
              <v:textbox style="mso-next-textbox:#_x0000_s3948;mso-rotate-with-shape:t" inset="0,0,0,0">
                <w:txbxContent>
                  <w:p w:rsidR="00000000" w:rsidRDefault="00000000">
                    <w:r>
                      <w:rPr>
                        <w:rFonts w:ascii="Arial" w:hAnsi="Arial"/>
                        <w:color w:val="000000"/>
                        <w:sz w:val="14"/>
                      </w:rPr>
                      <w:t>6,8</w:t>
                    </w:r>
                  </w:p>
                </w:txbxContent>
              </v:textbox>
            </v:rect>
            <v:rect id="_x0000_s3949" style="position:absolute;left:2287;top:5210;width:164;height:184;mso-wrap-style:none" o:allowincell="f" filled="f" stroked="f">
              <v:textbox style="mso-next-textbox:#_x0000_s3949;mso-rotate-with-shape:t" inset="0,0,0,0">
                <w:txbxContent>
                  <w:p w:rsidR="00000000" w:rsidRDefault="00000000">
                    <w:r>
                      <w:rPr>
                        <w:rFonts w:ascii="Arial" w:hAnsi="Arial"/>
                        <w:color w:val="000000"/>
                        <w:sz w:val="14"/>
                      </w:rPr>
                      <w:t>0</w:t>
                    </w:r>
                  </w:p>
                </w:txbxContent>
              </v:textbox>
            </v:rect>
            <v:rect id="_x0000_s3950" style="position:absolute;left:2193;top:4948;width:258;height:184;mso-wrap-style:none" o:allowincell="f" filled="f" stroked="f">
              <v:textbox style="mso-next-textbox:#_x0000_s3950;mso-rotate-with-shape:t" inset="0,0,0,0">
                <w:txbxContent>
                  <w:p w:rsidR="00000000" w:rsidRDefault="00000000">
                    <w:r>
                      <w:rPr>
                        <w:rFonts w:ascii="Arial" w:hAnsi="Arial"/>
                        <w:color w:val="000000"/>
                        <w:sz w:val="14"/>
                      </w:rPr>
                      <w:t>50</w:t>
                    </w:r>
                  </w:p>
                </w:txbxContent>
              </v:textbox>
            </v:rect>
            <v:rect id="_x0000_s3951" style="position:absolute;left:2111;top:4686;width:352;height:184;mso-wrap-style:none" o:allowincell="f" filled="f" stroked="f">
              <v:textbox style="mso-next-textbox:#_x0000_s3951;mso-rotate-with-shape:t" inset="0,0,0,0">
                <w:txbxContent>
                  <w:p w:rsidR="00000000" w:rsidRDefault="00000000">
                    <w:r>
                      <w:rPr>
                        <w:rFonts w:ascii="Arial" w:hAnsi="Arial"/>
                        <w:color w:val="000000"/>
                        <w:sz w:val="14"/>
                      </w:rPr>
                      <w:t>100</w:t>
                    </w:r>
                  </w:p>
                </w:txbxContent>
              </v:textbox>
            </v:rect>
            <v:rect id="_x0000_s3952" style="position:absolute;left:2111;top:4434;width:352;height:184;mso-wrap-style:none" o:allowincell="f" filled="f" stroked="f">
              <v:textbox style="mso-next-textbox:#_x0000_s3952;mso-rotate-with-shape:t" inset="0,0,0,0">
                <w:txbxContent>
                  <w:p w:rsidR="00000000" w:rsidRDefault="00000000">
                    <w:r>
                      <w:rPr>
                        <w:rFonts w:ascii="Arial" w:hAnsi="Arial"/>
                        <w:color w:val="000000"/>
                        <w:sz w:val="14"/>
                      </w:rPr>
                      <w:t>150</w:t>
                    </w:r>
                  </w:p>
                </w:txbxContent>
              </v:textbox>
            </v:rect>
            <v:rect id="_x0000_s3953" style="position:absolute;left:2111;top:4172;width:352;height:184;mso-wrap-style:none" o:allowincell="f" filled="f" stroked="f">
              <v:textbox style="mso-next-textbox:#_x0000_s3953;mso-rotate-with-shape:t" inset="0,0,0,0">
                <w:txbxContent>
                  <w:p w:rsidR="00000000" w:rsidRDefault="00000000">
                    <w:r>
                      <w:rPr>
                        <w:rFonts w:ascii="Arial" w:hAnsi="Arial"/>
                        <w:color w:val="000000"/>
                        <w:sz w:val="14"/>
                      </w:rPr>
                      <w:t>200</w:t>
                    </w:r>
                  </w:p>
                </w:txbxContent>
              </v:textbox>
            </v:rect>
            <v:rect id="_x0000_s3954" style="position:absolute;left:2111;top:3911;width:352;height:184;mso-wrap-style:none" o:allowincell="f" filled="f" stroked="f">
              <v:textbox style="mso-next-textbox:#_x0000_s3954;mso-rotate-with-shape:t" inset="0,0,0,0">
                <w:txbxContent>
                  <w:p w:rsidR="00000000" w:rsidRDefault="00000000">
                    <w:r>
                      <w:rPr>
                        <w:rFonts w:ascii="Arial" w:hAnsi="Arial"/>
                        <w:color w:val="000000"/>
                        <w:sz w:val="14"/>
                      </w:rPr>
                      <w:t>250</w:t>
                    </w:r>
                  </w:p>
                </w:txbxContent>
              </v:textbox>
            </v:rect>
            <v:rect id="_x0000_s3955" style="position:absolute;left:2111;top:3659;width:352;height:184;mso-wrap-style:none" o:allowincell="f" filled="f" stroked="f">
              <v:textbox style="mso-next-textbox:#_x0000_s3955;mso-rotate-with-shape:t" inset="0,0,0,0">
                <w:txbxContent>
                  <w:p w:rsidR="00000000" w:rsidRDefault="00000000">
                    <w:r>
                      <w:rPr>
                        <w:rFonts w:ascii="Arial" w:hAnsi="Arial"/>
                        <w:color w:val="000000"/>
                        <w:sz w:val="14"/>
                      </w:rPr>
                      <w:t>300</w:t>
                    </w:r>
                  </w:p>
                </w:txbxContent>
              </v:textbox>
            </v:rect>
            <v:rect id="_x0000_s3956" style="position:absolute;left:2111;top:3406;width:352;height:184;mso-wrap-style:none" o:allowincell="f" filled="f" stroked="f">
              <v:textbox style="mso-next-textbox:#_x0000_s3956;mso-rotate-with-shape:t" inset="0,0,0,0">
                <w:txbxContent>
                  <w:p w:rsidR="00000000" w:rsidRDefault="00000000">
                    <w:r>
                      <w:rPr>
                        <w:rFonts w:ascii="Arial" w:hAnsi="Arial"/>
                        <w:color w:val="000000"/>
                        <w:sz w:val="14"/>
                      </w:rPr>
                      <w:t>350</w:t>
                    </w:r>
                  </w:p>
                </w:txbxContent>
              </v:textbox>
            </v:rect>
            <v:rect id="_x0000_s3957" style="position:absolute;left:2111;top:3145;width:352;height:184;mso-wrap-style:none" o:allowincell="f" filled="f" stroked="f">
              <v:textbox style="mso-next-textbox:#_x0000_s3957;mso-rotate-with-shape:t" inset="0,0,0,0">
                <w:txbxContent>
                  <w:p w:rsidR="00000000" w:rsidRDefault="00000000">
                    <w:r>
                      <w:rPr>
                        <w:rFonts w:ascii="Arial" w:hAnsi="Arial"/>
                        <w:color w:val="000000"/>
                        <w:sz w:val="14"/>
                      </w:rPr>
                      <w:t>400</w:t>
                    </w:r>
                  </w:p>
                </w:txbxContent>
              </v:textbox>
            </v:rect>
            <v:rect id="_x0000_s3958" style="position:absolute;left:2111;top:2883;width:352;height:184;mso-wrap-style:none" o:allowincell="f" filled="f" stroked="f">
              <v:textbox style="mso-next-textbox:#_x0000_s3958;mso-rotate-with-shape:t" inset="0,0,0,0">
                <w:txbxContent>
                  <w:p w:rsidR="00000000" w:rsidRDefault="00000000">
                    <w:r>
                      <w:rPr>
                        <w:rFonts w:ascii="Arial" w:hAnsi="Arial"/>
                        <w:color w:val="000000"/>
                        <w:sz w:val="14"/>
                      </w:rPr>
                      <w:t>450</w:t>
                    </w:r>
                  </w:p>
                </w:txbxContent>
              </v:textbox>
            </v:rect>
            <v:rect id="_x0000_s3959" style="position:absolute;left:2815;top:5404;width:680;height:184;mso-wrap-style:none" o:allowincell="f" filled="f" stroked="f">
              <v:textbox style="mso-next-textbox:#_x0000_s3959;mso-rotate-with-shape:t" inset="0,0,0,0">
                <w:txbxContent>
                  <w:p w:rsidR="00000000" w:rsidRDefault="00000000">
                    <w:r>
                      <w:rPr>
                        <w:rFonts w:ascii="Arial" w:hAnsi="Arial"/>
                        <w:color w:val="000000"/>
                        <w:sz w:val="14"/>
                      </w:rPr>
                      <w:t>1993/94</w:t>
                    </w:r>
                  </w:p>
                </w:txbxContent>
              </v:textbox>
            </v:rect>
            <v:rect id="_x0000_s3960" style="position:absolute;left:3999;top:5404;width:680;height:184;mso-wrap-style:none" o:allowincell="f" filled="f" stroked="f">
              <v:textbox style="mso-next-textbox:#_x0000_s3960;mso-rotate-with-shape:t" inset="0,0,0,0">
                <w:txbxContent>
                  <w:p w:rsidR="00000000" w:rsidRDefault="00000000">
                    <w:r>
                      <w:rPr>
                        <w:rFonts w:ascii="Arial" w:hAnsi="Arial"/>
                        <w:color w:val="000000"/>
                        <w:sz w:val="14"/>
                      </w:rPr>
                      <w:t>1994/95</w:t>
                    </w:r>
                  </w:p>
                </w:txbxContent>
              </v:textbox>
            </v:rect>
            <v:rect id="_x0000_s3961" style="position:absolute;left:5195;top:5404;width:680;height:184;mso-wrap-style:none" o:allowincell="f" filled="f" stroked="f">
              <v:textbox style="mso-next-textbox:#_x0000_s3961;mso-rotate-with-shape:t" inset="0,0,0,0">
                <w:txbxContent>
                  <w:p w:rsidR="00000000" w:rsidRDefault="00000000">
                    <w:r>
                      <w:rPr>
                        <w:rFonts w:ascii="Arial" w:hAnsi="Arial"/>
                        <w:color w:val="000000"/>
                        <w:sz w:val="14"/>
                      </w:rPr>
                      <w:t>1995/96</w:t>
                    </w:r>
                  </w:p>
                </w:txbxContent>
              </v:textbox>
            </v:rect>
            <v:rect id="_x0000_s3962" style="position:absolute;left:6402;top:5404;width:680;height:184;mso-wrap-style:none" o:allowincell="f" filled="f" stroked="f">
              <v:textbox style="mso-next-textbox:#_x0000_s3962;mso-rotate-with-shape:t" inset="0,0,0,0">
                <w:txbxContent>
                  <w:p w:rsidR="00000000" w:rsidRDefault="00000000">
                    <w:r>
                      <w:rPr>
                        <w:rFonts w:ascii="Arial" w:hAnsi="Arial"/>
                        <w:color w:val="000000"/>
                        <w:sz w:val="14"/>
                      </w:rPr>
                      <w:t>1996/97</w:t>
                    </w:r>
                  </w:p>
                </w:txbxContent>
              </v:textbox>
            </v:rect>
            <v:rect id="_x0000_s3963" style="position:absolute;left:7586;top:5404;width:680;height:184;mso-wrap-style:none" o:allowincell="f" filled="f" stroked="f">
              <v:textbox style="mso-next-textbox:#_x0000_s3963;mso-rotate-with-shape:t" inset="0,0,0,0">
                <w:txbxContent>
                  <w:p w:rsidR="00000000" w:rsidRDefault="00000000">
                    <w:r>
                      <w:rPr>
                        <w:rFonts w:ascii="Arial" w:hAnsi="Arial"/>
                        <w:color w:val="000000"/>
                        <w:sz w:val="14"/>
                      </w:rPr>
                      <w:t>1997/98</w:t>
                    </w:r>
                  </w:p>
                </w:txbxContent>
              </v:textbox>
            </v:rect>
            <v:rect id="_x0000_s3964" style="position:absolute;left:2651;top:5665;width:5170;height:272" o:allowincell="f" strokeweight="0">
              <v:fill color2="black"/>
              <v:stroke color2="black"/>
            </v:rect>
            <v:rect id="_x0000_s3965" style="position:absolute;left:3084;top:5753;width:94;height:87" o:allowincell="f" fillcolor="silver" strokeweight=".6pt"/>
            <v:rect id="_x0000_s3966" style="position:absolute;left:3249;top:5714;width:762;height:184;mso-wrap-style:none" o:allowincell="f" filled="f" stroked="f">
              <v:textbox style="mso-next-textbox:#_x0000_s3966;mso-rotate-with-shape:t" inset="0,0,0,0">
                <w:txbxContent>
                  <w:p w:rsidR="00000000" w:rsidRDefault="00000000">
                    <w:r>
                      <w:rPr>
                        <w:rFonts w:ascii="Arial" w:hAnsi="Arial"/>
                        <w:color w:val="000000"/>
                        <w:sz w:val="14"/>
                      </w:rPr>
                      <w:t>Population</w:t>
                    </w:r>
                  </w:p>
                </w:txbxContent>
              </v:textbox>
            </v:rect>
            <v:rect id="_x0000_s3967" style="position:absolute;left:4737;top:5762;width:82;height:78" o:allowincell="f" fillcolor="black" stroked="f">
              <v:fill r:id="rId7" o:title="" color2="#99f" type="tile"/>
            </v:rect>
            <v:rect id="_x0000_s3968" style="position:absolute;left:4714;top:5753;width:105;height:87" o:allowincell="f" filled="f" strokeweight=".6pt">
              <v:stroke color2="black"/>
            </v:rect>
            <v:rect id="_x0000_s3969" style="position:absolute;left:4878;top:5714;width:985;height:184;mso-wrap-style:none" o:allowincell="f" filled="f" stroked="f">
              <v:textbox style="mso-next-textbox:#_x0000_s3969;mso-rotate-with-shape:t" inset="0,0,0,0">
                <w:txbxContent>
                  <w:p w:rsidR="00000000" w:rsidRDefault="00000000">
                    <w:r>
                      <w:rPr>
                        <w:rFonts w:ascii="Arial" w:hAnsi="Arial"/>
                        <w:color w:val="000000"/>
                        <w:sz w:val="14"/>
                      </w:rPr>
                      <w:t xml:space="preserve"> KG (3-5 years)</w:t>
                    </w:r>
                  </w:p>
                </w:txbxContent>
              </v:textbox>
            </v:rect>
            <v:rect id="_x0000_s3970" style="position:absolute;left:6590;top:5762;width:94;height:78" o:allowincell="f" fillcolor="black" stroked="f">
              <v:fill r:id="rId11" o:title="" color2="#936" type="tile"/>
            </v:rect>
            <v:rect id="_x0000_s3971" style="position:absolute;left:6578;top:5753;width:106;height:87" o:allowincell="f" filled="f" strokeweight=".6pt">
              <v:stroke color2="black"/>
            </v:rect>
            <v:rect id="_x0000_s3972" style="position:absolute;left:6742;top:5714;width:774;height:184;mso-wrap-style:none" o:allowincell="f" filled="f" stroked="f">
              <v:textbox style="mso-next-textbox:#_x0000_s3972;mso-rotate-with-shape:t" inset="0,0,0,0">
                <w:txbxContent>
                  <w:p w:rsidR="00000000" w:rsidRDefault="00000000">
                    <w:r>
                      <w:rPr>
                        <w:rFonts w:ascii="Arial" w:hAnsi="Arial"/>
                        <w:color w:val="000000"/>
                        <w:sz w:val="14"/>
                      </w:rPr>
                      <w:t>Spec. KG</w:t>
                    </w:r>
                  </w:p>
                </w:txbxContent>
              </v:textbox>
            </v:rect>
            <v:rect id="_x0000_s3973" style="position:absolute;left:1760;top:2834;width:6705;height:3151" o:allowincell="f" filled="f" strokeweight="0">
              <v:stroke color2="black"/>
            </v:rect>
          </v:group>
        </w:pic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spacing w:after="160"/>
        <w:rPr>
          <w:rFonts w:hint="eastAsia"/>
        </w:rPr>
      </w:pPr>
    </w:p>
    <w:p w:rsidR="00000000" w:rsidRDefault="00000000">
      <w:pPr>
        <w:rPr>
          <w:rFonts w:hint="eastAsia"/>
        </w:rPr>
      </w:pPr>
      <w:r>
        <w:rPr>
          <w:rFonts w:hint="eastAsia"/>
        </w:rPr>
        <w:tab/>
        <w:t xml:space="preserve">564. </w:t>
      </w:r>
      <w:r>
        <w:rPr>
          <w:rFonts w:hint="eastAsia"/>
          <w:spacing w:val="2"/>
        </w:rPr>
        <w:t xml:space="preserve"> </w:t>
      </w:r>
      <w:r>
        <w:rPr>
          <w:rFonts w:hint="eastAsia"/>
          <w:spacing w:val="2"/>
        </w:rPr>
        <w:t>自</w:t>
      </w:r>
      <w:r>
        <w:rPr>
          <w:rFonts w:hint="eastAsia"/>
          <w:spacing w:val="2"/>
        </w:rPr>
        <w:t>1990/1991</w:t>
      </w:r>
      <w:r>
        <w:rPr>
          <w:rFonts w:hint="eastAsia"/>
          <w:spacing w:val="2"/>
        </w:rPr>
        <w:t>年以来，幼儿园也招收残疾儿童。这些儿童可以融入健康儿童，或者选择特别班和专门班。</w:t>
      </w:r>
      <w:r>
        <w:rPr>
          <w:rStyle w:val="EndnoteReference"/>
          <w:spacing w:val="2"/>
        </w:rPr>
        <w:endnoteReference w:id="340"/>
      </w:r>
      <w:r>
        <w:rPr>
          <w:rFonts w:hint="eastAsia"/>
          <w:spacing w:val="2"/>
        </w:rPr>
        <w:t xml:space="preserve"> </w:t>
      </w:r>
      <w:r>
        <w:rPr>
          <w:rFonts w:hint="eastAsia"/>
          <w:spacing w:val="2"/>
        </w:rPr>
        <w:t>在</w:t>
      </w:r>
      <w:r>
        <w:rPr>
          <w:rFonts w:hint="eastAsia"/>
          <w:spacing w:val="2"/>
        </w:rPr>
        <w:t>1997/1998</w:t>
      </w:r>
      <w:r>
        <w:rPr>
          <w:rFonts w:hint="eastAsia"/>
          <w:spacing w:val="2"/>
        </w:rPr>
        <w:t>学年里，如此招生的儿童人数超过</w:t>
      </w:r>
      <w:r>
        <w:rPr>
          <w:rFonts w:hint="eastAsia"/>
          <w:spacing w:val="2"/>
        </w:rPr>
        <w:t>7,200</w:t>
      </w:r>
      <w:r>
        <w:rPr>
          <w:rFonts w:hint="eastAsia"/>
          <w:spacing w:val="2"/>
        </w:rPr>
        <w:t>人，其中</w:t>
      </w:r>
      <w:r>
        <w:rPr>
          <w:rFonts w:hint="eastAsia"/>
          <w:spacing w:val="2"/>
        </w:rPr>
        <w:t>3,000</w:t>
      </w:r>
      <w:r>
        <w:rPr>
          <w:rFonts w:hint="eastAsia"/>
          <w:spacing w:val="2"/>
        </w:rPr>
        <w:t>人直接编入正常班。最常见的残疾是讲话困难和几种残疾的综合。</w:t>
      </w:r>
    </w:p>
    <w:p w:rsidR="00000000" w:rsidRDefault="00000000">
      <w:pPr>
        <w:pStyle w:val="Heading4"/>
        <w:spacing w:before="160" w:after="160"/>
        <w:ind w:left="500"/>
        <w:rPr>
          <w:rFonts w:hint="eastAsia"/>
        </w:rPr>
      </w:pPr>
      <w:r>
        <w:rPr>
          <w:rFonts w:hint="eastAsia"/>
        </w:rPr>
        <w:t>小</w:t>
      </w:r>
      <w:r>
        <w:rPr>
          <w:rFonts w:hint="eastAsia"/>
        </w:rPr>
        <w:t xml:space="preserve">  </w:t>
      </w:r>
      <w:r>
        <w:rPr>
          <w:rFonts w:hint="eastAsia"/>
        </w:rPr>
        <w:t>学</w:t>
      </w:r>
    </w:p>
    <w:p w:rsidR="00000000" w:rsidRDefault="00000000">
      <w:pPr>
        <w:spacing w:after="60"/>
      </w:pPr>
      <w:r>
        <w:rPr>
          <w:rFonts w:hint="eastAsia"/>
        </w:rPr>
        <w:tab/>
        <w:t xml:space="preserve">565.  </w:t>
      </w:r>
      <w:r>
        <w:rPr>
          <w:rFonts w:hint="eastAsia"/>
        </w:rPr>
        <w:t>小学向通常</w:t>
      </w:r>
      <w:r>
        <w:rPr>
          <w:rFonts w:hint="eastAsia"/>
        </w:rPr>
        <w:t>6-15</w:t>
      </w:r>
      <w:r>
        <w:rPr>
          <w:rFonts w:hint="eastAsia"/>
        </w:rPr>
        <w:t>岁的儿童提供教育。九年学校学习是法律规定的义务教育。成绩好的学生可以从小学的低年级升入多年制文法中学，</w:t>
      </w:r>
      <w:r>
        <w:rPr>
          <w:rStyle w:val="EndnoteReference"/>
        </w:rPr>
        <w:endnoteReference w:id="341"/>
      </w:r>
      <w:r>
        <w:rPr>
          <w:rFonts w:hint="eastAsia"/>
        </w:rPr>
        <w:t xml:space="preserve"> </w:t>
      </w:r>
      <w:r>
        <w:rPr>
          <w:rFonts w:hint="eastAsia"/>
        </w:rPr>
        <w:t>可进入舞蹈学校，并在那些完成最后四年义务教育。</w:t>
      </w:r>
    </w:p>
    <w:p w:rsidR="00000000" w:rsidRDefault="00000000">
      <w:pPr>
        <w:pStyle w:val="Heading3"/>
        <w:spacing w:before="160" w:after="0"/>
        <w:rPr>
          <w:rFonts w:hint="eastAsia"/>
          <w:sz w:val="21"/>
        </w:rPr>
      </w:pPr>
      <w:r>
        <w:rPr>
          <w:rFonts w:hint="eastAsia"/>
          <w:sz w:val="21"/>
        </w:rPr>
        <w:t>在小学和特殊学校完成义务教育的</w:t>
      </w:r>
      <w:r>
        <w:rPr>
          <w:rFonts w:hint="eastAsia"/>
          <w:b/>
          <w:sz w:val="21"/>
        </w:rPr>
        <w:t>6</w:t>
      </w:r>
      <w:r>
        <w:rPr>
          <w:rFonts w:hint="eastAsia"/>
          <w:sz w:val="21"/>
        </w:rPr>
        <w:t>-</w:t>
      </w:r>
      <w:r>
        <w:rPr>
          <w:rFonts w:hint="eastAsia"/>
          <w:b/>
          <w:sz w:val="21"/>
        </w:rPr>
        <w:t>15</w:t>
      </w:r>
      <w:r>
        <w:rPr>
          <w:rFonts w:hint="eastAsia"/>
          <w:sz w:val="21"/>
        </w:rPr>
        <w:t>岁学生人数</w:t>
      </w:r>
      <w:r>
        <w:rPr>
          <w:rFonts w:hint="eastAsia"/>
          <w:sz w:val="21"/>
        </w:rPr>
        <w:t>(</w:t>
      </w:r>
      <w:r>
        <w:rPr>
          <w:rFonts w:hint="eastAsia"/>
          <w:sz w:val="21"/>
        </w:rPr>
        <w:t>以千计</w:t>
      </w:r>
      <w:r>
        <w:rPr>
          <w:rFonts w:hint="eastAsia"/>
          <w:sz w:val="21"/>
        </w:rPr>
        <w:t>)</w: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pt;margin-top:5.6pt;width:468pt;height:177.85pt;z-index:2;visibility:visible;mso-wrap-edited:f">
            <v:imagedata r:id="rId12" o:title=""/>
          </v:shape>
          <o:OLEObject Type="Embed" ProgID="Word.Picture.8" ShapeID="_x0000_s2051" DrawAspect="Content" ObjectID="_1394876848" r:id="rId13"/>
        </w:pict>
      </w:r>
    </w:p>
    <w:p w:rsidR="00000000" w:rsidRDefault="00000000"/>
    <w:p w:rsidR="00000000" w:rsidRDefault="00000000"/>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FootnoteText"/>
        <w:spacing w:after="160"/>
        <w:rPr>
          <w:rFonts w:hint="eastAsia"/>
          <w:sz w:val="21"/>
        </w:rPr>
      </w:pPr>
      <w:r>
        <w:rPr>
          <w:rFonts w:hint="eastAsia"/>
          <w:sz w:val="21"/>
          <w:u w:val="single"/>
        </w:rPr>
        <w:t>资料来源</w:t>
      </w:r>
      <w:r>
        <w:rPr>
          <w:rFonts w:hint="eastAsia"/>
          <w:sz w:val="21"/>
        </w:rPr>
        <w:t>：教育信息学会。</w:t>
      </w:r>
    </w:p>
    <w:p w:rsidR="00000000" w:rsidRDefault="00000000">
      <w:pPr>
        <w:rPr>
          <w:rFonts w:hint="eastAsia"/>
        </w:rPr>
      </w:pPr>
      <w:r>
        <w:rPr>
          <w:rFonts w:hint="eastAsia"/>
        </w:rPr>
        <w:tab/>
        <w:t xml:space="preserve">566.  </w:t>
      </w:r>
      <w:r>
        <w:rPr>
          <w:rFonts w:hint="eastAsia"/>
        </w:rPr>
        <w:t>小学生总人数比较迅速地下降反映了人口发展动态。此外，导致初等教育第二层次</w:t>
      </w:r>
      <w:r>
        <w:rPr>
          <w:rFonts w:hint="eastAsia"/>
        </w:rPr>
        <w:t>(6</w:t>
      </w:r>
      <w:r>
        <w:rPr>
          <w:rFonts w:hint="eastAsia"/>
        </w:rPr>
        <w:t>至</w:t>
      </w:r>
      <w:r>
        <w:rPr>
          <w:rFonts w:hint="eastAsia"/>
        </w:rPr>
        <w:t>9</w:t>
      </w:r>
      <w:r>
        <w:rPr>
          <w:rFonts w:hint="eastAsia"/>
        </w:rPr>
        <w:t>年级</w:t>
      </w:r>
      <w:r>
        <w:rPr>
          <w:rFonts w:hint="eastAsia"/>
        </w:rPr>
        <w:t>)</w:t>
      </w:r>
      <w:r>
        <w:rPr>
          <w:rFonts w:hint="eastAsia"/>
        </w:rPr>
        <w:t>人数下降的一个重要因素是学生们对多年制文法中学学习日益感兴趣。</w:t>
      </w:r>
    </w:p>
    <w:p w:rsidR="00000000" w:rsidRDefault="00000000">
      <w:pPr>
        <w:pStyle w:val="Heading3"/>
        <w:rPr>
          <w:rFonts w:hint="eastAsia"/>
          <w:sz w:val="21"/>
        </w:rPr>
      </w:pPr>
      <w:r>
        <w:rPr>
          <w:noProof/>
          <w:sz w:val="21"/>
        </w:rPr>
        <w:pict>
          <v:shape id="_x0000_s2050" type="#_x0000_t75" style="position:absolute;left:0;text-align:left;margin-left:24pt;margin-top:46.45pt;width:439.5pt;height:151.2pt;z-index:1;visibility:visible;mso-wrap-edited:f">
            <v:imagedata r:id="rId14" o:title=""/>
          </v:shape>
          <o:OLEObject Type="Embed" ProgID="Word.Picture.8" ShapeID="_x0000_s2050" DrawAspect="Content" ObjectID="_1394876849" r:id="rId15"/>
        </w:pict>
      </w:r>
      <w:r>
        <w:rPr>
          <w:rFonts w:hint="eastAsia"/>
          <w:sz w:val="21"/>
        </w:rPr>
        <w:t>在多年制文法中学完成义务教育的学生人数</w:t>
      </w:r>
      <w:r>
        <w:rPr>
          <w:rFonts w:hint="eastAsia"/>
          <w:sz w:val="21"/>
        </w:rPr>
        <w:t>(</w:t>
      </w:r>
      <w:r>
        <w:rPr>
          <w:rFonts w:hint="eastAsia"/>
          <w:sz w:val="21"/>
        </w:rPr>
        <w:t>以千计</w:t>
      </w:r>
      <w:r>
        <w:rPr>
          <w:rFonts w:hint="eastAsia"/>
          <w:sz w:val="21"/>
        </w:rPr>
        <w:t>)</w:t>
      </w:r>
      <w:r>
        <w:rPr>
          <w:rFonts w:hint="eastAsia"/>
          <w:sz w:val="21"/>
        </w:rPr>
        <w:t>及其</w:t>
      </w:r>
      <w:r>
        <w:rPr>
          <w:sz w:val="21"/>
        </w:rPr>
        <w:br/>
      </w:r>
      <w:r>
        <w:rPr>
          <w:rFonts w:hint="eastAsia"/>
          <w:sz w:val="21"/>
        </w:rPr>
        <w:t>占完成义务教育的学生总人数的百分比</w:t>
      </w:r>
    </w:p>
    <w:p w:rsidR="00000000" w:rsidRDefault="00000000">
      <w:pPr>
        <w:spacing w:before="120" w:after="120"/>
        <w:rPr>
          <w:b/>
          <w:sz w:val="22"/>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spacing w:before="160"/>
        <w:rPr>
          <w:rFonts w:hint="eastAsia"/>
          <w:sz w:val="21"/>
        </w:rPr>
      </w:pPr>
      <w:r>
        <w:rPr>
          <w:rFonts w:hint="eastAsia"/>
          <w:sz w:val="21"/>
          <w:u w:val="single"/>
        </w:rPr>
        <w:t>资料来源</w:t>
      </w:r>
      <w:r>
        <w:rPr>
          <w:rFonts w:hint="eastAsia"/>
          <w:sz w:val="21"/>
        </w:rPr>
        <w:t>：教育信息学会。</w:t>
      </w:r>
    </w:p>
    <w:p w:rsidR="00000000" w:rsidRDefault="00000000">
      <w:pPr>
        <w:spacing w:after="320"/>
      </w:pPr>
      <w:r>
        <w:rPr>
          <w:rFonts w:hint="eastAsia"/>
        </w:rPr>
        <w:tab/>
        <w:t xml:space="preserve">567.  </w:t>
      </w:r>
      <w:r>
        <w:rPr>
          <w:rFonts w:hint="eastAsia"/>
        </w:rPr>
        <w:t>小学的数量在</w:t>
      </w:r>
      <w:r>
        <w:rPr>
          <w:rFonts w:hint="eastAsia"/>
        </w:rPr>
        <w:t>1989</w:t>
      </w:r>
      <w:r>
        <w:rPr>
          <w:rFonts w:hint="eastAsia"/>
        </w:rPr>
        <w:t>年以后一直到</w:t>
      </w:r>
      <w:r>
        <w:rPr>
          <w:rFonts w:hint="eastAsia"/>
        </w:rPr>
        <w:t>1993/1994</w:t>
      </w:r>
      <w:r>
        <w:rPr>
          <w:rFonts w:hint="eastAsia"/>
        </w:rPr>
        <w:t>年一直增加</w:t>
      </w:r>
      <w:r>
        <w:rPr>
          <w:rFonts w:hint="eastAsia"/>
        </w:rPr>
        <w:t>(</w:t>
      </w:r>
      <w:r>
        <w:rPr>
          <w:rFonts w:hint="eastAsia"/>
        </w:rPr>
        <w:t>这一时期开设了</w:t>
      </w:r>
      <w:r>
        <w:rPr>
          <w:rFonts w:hint="eastAsia"/>
        </w:rPr>
        <w:t>29</w:t>
      </w:r>
      <w:r>
        <w:rPr>
          <w:rFonts w:hint="eastAsia"/>
        </w:rPr>
        <w:t>所新的学校</w:t>
      </w:r>
      <w:r>
        <w:rPr>
          <w:rFonts w:hint="eastAsia"/>
        </w:rPr>
        <w:t>)</w:t>
      </w:r>
      <w:r>
        <w:rPr>
          <w:rFonts w:hint="eastAsia"/>
        </w:rPr>
        <w:t>，然后在两年里保持不变，在最近两年里，学校的数量有所下降。学校数量增加的原因是非完全学校和少年级学校</w:t>
      </w:r>
      <w:r>
        <w:rPr>
          <w:rFonts w:hint="eastAsia"/>
        </w:rPr>
        <w:t xml:space="preserve"> </w:t>
      </w:r>
      <w:r>
        <w:rPr>
          <w:rStyle w:val="EndnoteReference"/>
        </w:rPr>
        <w:endnoteReference w:id="342"/>
      </w:r>
      <w:r>
        <w:rPr>
          <w:rFonts w:hint="eastAsia"/>
        </w:rPr>
        <w:t xml:space="preserve"> </w:t>
      </w:r>
      <w:r>
        <w:rPr>
          <w:rFonts w:hint="eastAsia"/>
        </w:rPr>
        <w:t>迅速恢复</w:t>
      </w:r>
      <w:r>
        <w:rPr>
          <w:rFonts w:hint="eastAsia"/>
        </w:rPr>
        <w:t>(80%</w:t>
      </w:r>
      <w:r>
        <w:rPr>
          <w:rFonts w:hint="eastAsia"/>
        </w:rPr>
        <w:t>以上的新学校是这种学校</w:t>
      </w:r>
      <w:r>
        <w:rPr>
          <w:rFonts w:hint="eastAsia"/>
        </w:rPr>
        <w:t>)</w:t>
      </w:r>
      <w:r>
        <w:rPr>
          <w:rFonts w:hint="eastAsia"/>
        </w:rPr>
        <w:t>。目前，非完全学校占所有小学的</w:t>
      </w:r>
      <w:r>
        <w:rPr>
          <w:rFonts w:hint="eastAsia"/>
        </w:rPr>
        <w:t>40%</w:t>
      </w:r>
      <w:r>
        <w:rPr>
          <w:rFonts w:hint="eastAsia"/>
        </w:rPr>
        <w:t>，其学生占所有小学生的</w:t>
      </w:r>
      <w:r>
        <w:rPr>
          <w:rFonts w:hint="eastAsia"/>
        </w:rPr>
        <w:t>8.5%</w:t>
      </w:r>
      <w:r>
        <w:rPr>
          <w:rFonts w:hint="eastAsia"/>
        </w:rPr>
        <w:t>。这些学校便利边缘小城镇儿童上学，并有助于恢复学校作为社区生活一个自然中心的传统。人们对于非完全学校的教学质量褒贬不一；同其他学校相比，它更取决于教师的能力。</w:t>
      </w:r>
    </w:p>
    <w:p w:rsidR="00000000" w:rsidRDefault="00000000">
      <w:pPr>
        <w:pStyle w:val="Heading3"/>
        <w:rPr>
          <w:rFonts w:hint="eastAsia"/>
        </w:rPr>
      </w:pPr>
      <w:r>
        <w:rPr>
          <w:rFonts w:hint="eastAsia"/>
        </w:rPr>
        <w:t>1989/1990-1997/1998</w:t>
      </w:r>
      <w:r>
        <w:rPr>
          <w:rFonts w:hint="eastAsia"/>
        </w:rPr>
        <w:t>学年小学的数目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807"/>
        <w:gridCol w:w="880"/>
        <w:gridCol w:w="879"/>
        <w:gridCol w:w="880"/>
        <w:gridCol w:w="879"/>
        <w:gridCol w:w="880"/>
        <w:gridCol w:w="879"/>
        <w:gridCol w:w="880"/>
        <w:gridCol w:w="880"/>
      </w:tblGrid>
      <w:tr w:rsidR="00000000">
        <w:tblPrEx>
          <w:tblCellMar>
            <w:top w:w="0" w:type="dxa"/>
            <w:bottom w:w="0" w:type="dxa"/>
          </w:tblCellMar>
        </w:tblPrEx>
        <w:trPr>
          <w:tblHeader/>
        </w:trPr>
        <w:tc>
          <w:tcPr>
            <w:tcW w:w="1512" w:type="dxa"/>
            <w:tcBorders>
              <w:bottom w:val="single" w:sz="4" w:space="0" w:color="auto"/>
            </w:tcBorders>
          </w:tcPr>
          <w:p w:rsidR="00000000" w:rsidRDefault="00000000">
            <w:pPr>
              <w:jc w:val="center"/>
              <w:rPr>
                <w:sz w:val="20"/>
              </w:rPr>
            </w:pPr>
          </w:p>
        </w:tc>
        <w:tc>
          <w:tcPr>
            <w:tcW w:w="807" w:type="dxa"/>
            <w:tcBorders>
              <w:bottom w:val="single" w:sz="4" w:space="0" w:color="auto"/>
            </w:tcBorders>
          </w:tcPr>
          <w:p w:rsidR="00000000" w:rsidRDefault="00000000">
            <w:pPr>
              <w:spacing w:before="120"/>
              <w:jc w:val="center"/>
              <w:rPr>
                <w:b/>
                <w:bCs/>
                <w:sz w:val="20"/>
              </w:rPr>
            </w:pPr>
            <w:r>
              <w:rPr>
                <w:b/>
                <w:bCs/>
                <w:sz w:val="20"/>
              </w:rPr>
              <w:t>89/90</w:t>
            </w:r>
          </w:p>
        </w:tc>
        <w:tc>
          <w:tcPr>
            <w:tcW w:w="880" w:type="dxa"/>
            <w:tcBorders>
              <w:bottom w:val="single" w:sz="4" w:space="0" w:color="auto"/>
            </w:tcBorders>
          </w:tcPr>
          <w:p w:rsidR="00000000" w:rsidRDefault="00000000">
            <w:pPr>
              <w:spacing w:before="120"/>
              <w:jc w:val="center"/>
              <w:rPr>
                <w:b/>
                <w:bCs/>
                <w:sz w:val="20"/>
              </w:rPr>
            </w:pPr>
            <w:r>
              <w:rPr>
                <w:b/>
                <w:bCs/>
                <w:sz w:val="20"/>
              </w:rPr>
              <w:t>90/91</w:t>
            </w:r>
          </w:p>
        </w:tc>
        <w:tc>
          <w:tcPr>
            <w:tcW w:w="879" w:type="dxa"/>
            <w:tcBorders>
              <w:bottom w:val="single" w:sz="4" w:space="0" w:color="auto"/>
            </w:tcBorders>
          </w:tcPr>
          <w:p w:rsidR="00000000" w:rsidRDefault="00000000">
            <w:pPr>
              <w:spacing w:before="120"/>
              <w:jc w:val="center"/>
              <w:rPr>
                <w:b/>
                <w:bCs/>
                <w:sz w:val="20"/>
              </w:rPr>
            </w:pPr>
            <w:r>
              <w:rPr>
                <w:b/>
                <w:bCs/>
                <w:sz w:val="20"/>
              </w:rPr>
              <w:t>91/92</w:t>
            </w:r>
          </w:p>
        </w:tc>
        <w:tc>
          <w:tcPr>
            <w:tcW w:w="880" w:type="dxa"/>
            <w:tcBorders>
              <w:bottom w:val="single" w:sz="4" w:space="0" w:color="auto"/>
            </w:tcBorders>
          </w:tcPr>
          <w:p w:rsidR="00000000" w:rsidRDefault="00000000">
            <w:pPr>
              <w:spacing w:before="120"/>
              <w:jc w:val="center"/>
              <w:rPr>
                <w:b/>
                <w:bCs/>
                <w:sz w:val="20"/>
              </w:rPr>
            </w:pPr>
            <w:r>
              <w:rPr>
                <w:b/>
                <w:bCs/>
                <w:sz w:val="20"/>
              </w:rPr>
              <w:t>92/93</w:t>
            </w:r>
          </w:p>
        </w:tc>
        <w:tc>
          <w:tcPr>
            <w:tcW w:w="879" w:type="dxa"/>
            <w:tcBorders>
              <w:bottom w:val="single" w:sz="4" w:space="0" w:color="auto"/>
            </w:tcBorders>
          </w:tcPr>
          <w:p w:rsidR="00000000" w:rsidRDefault="00000000">
            <w:pPr>
              <w:spacing w:before="120"/>
              <w:jc w:val="center"/>
              <w:rPr>
                <w:b/>
                <w:bCs/>
                <w:sz w:val="20"/>
              </w:rPr>
            </w:pPr>
            <w:r>
              <w:rPr>
                <w:b/>
                <w:bCs/>
                <w:sz w:val="20"/>
              </w:rPr>
              <w:t>93/94</w:t>
            </w:r>
          </w:p>
        </w:tc>
        <w:tc>
          <w:tcPr>
            <w:tcW w:w="880" w:type="dxa"/>
            <w:tcBorders>
              <w:bottom w:val="single" w:sz="4" w:space="0" w:color="auto"/>
            </w:tcBorders>
          </w:tcPr>
          <w:p w:rsidR="00000000" w:rsidRDefault="00000000">
            <w:pPr>
              <w:spacing w:before="120"/>
              <w:jc w:val="center"/>
              <w:rPr>
                <w:b/>
                <w:bCs/>
                <w:sz w:val="20"/>
              </w:rPr>
            </w:pPr>
            <w:r>
              <w:rPr>
                <w:b/>
                <w:bCs/>
                <w:sz w:val="20"/>
              </w:rPr>
              <w:t>94/95</w:t>
            </w:r>
          </w:p>
        </w:tc>
        <w:tc>
          <w:tcPr>
            <w:tcW w:w="879" w:type="dxa"/>
            <w:tcBorders>
              <w:bottom w:val="single" w:sz="4" w:space="0" w:color="auto"/>
            </w:tcBorders>
          </w:tcPr>
          <w:p w:rsidR="00000000" w:rsidRDefault="00000000">
            <w:pPr>
              <w:spacing w:before="120"/>
              <w:jc w:val="center"/>
              <w:rPr>
                <w:b/>
                <w:bCs/>
                <w:sz w:val="20"/>
              </w:rPr>
            </w:pPr>
            <w:r>
              <w:rPr>
                <w:b/>
                <w:bCs/>
                <w:sz w:val="20"/>
              </w:rPr>
              <w:t>95/96</w:t>
            </w:r>
          </w:p>
        </w:tc>
        <w:tc>
          <w:tcPr>
            <w:tcW w:w="880" w:type="dxa"/>
            <w:tcBorders>
              <w:bottom w:val="single" w:sz="4" w:space="0" w:color="auto"/>
            </w:tcBorders>
          </w:tcPr>
          <w:p w:rsidR="00000000" w:rsidRDefault="00000000">
            <w:pPr>
              <w:spacing w:before="120"/>
              <w:jc w:val="center"/>
              <w:rPr>
                <w:b/>
                <w:bCs/>
                <w:sz w:val="20"/>
              </w:rPr>
            </w:pPr>
            <w:r>
              <w:rPr>
                <w:b/>
                <w:bCs/>
                <w:sz w:val="20"/>
              </w:rPr>
              <w:t>96/97</w:t>
            </w:r>
          </w:p>
        </w:tc>
        <w:tc>
          <w:tcPr>
            <w:tcW w:w="880" w:type="dxa"/>
            <w:tcBorders>
              <w:bottom w:val="single" w:sz="4" w:space="0" w:color="auto"/>
            </w:tcBorders>
          </w:tcPr>
          <w:p w:rsidR="00000000" w:rsidRDefault="00000000">
            <w:pPr>
              <w:spacing w:before="120"/>
              <w:jc w:val="center"/>
              <w:rPr>
                <w:b/>
                <w:bCs/>
                <w:sz w:val="20"/>
              </w:rPr>
            </w:pPr>
            <w:r>
              <w:rPr>
                <w:b/>
                <w:bCs/>
                <w:sz w:val="20"/>
              </w:rPr>
              <w:t>97/98</w:t>
            </w:r>
          </w:p>
        </w:tc>
      </w:tr>
      <w:tr w:rsidR="00000000">
        <w:tblPrEx>
          <w:tblCellMar>
            <w:top w:w="0" w:type="dxa"/>
            <w:bottom w:w="0" w:type="dxa"/>
          </w:tblCellMar>
        </w:tblPrEx>
        <w:tc>
          <w:tcPr>
            <w:tcW w:w="1512" w:type="dxa"/>
            <w:tcBorders>
              <w:bottom w:val="nil"/>
            </w:tcBorders>
          </w:tcPr>
          <w:p w:rsidR="00000000" w:rsidRDefault="00000000">
            <w:pPr>
              <w:spacing w:before="120"/>
              <w:rPr>
                <w:rFonts w:ascii="Time New Roman" w:eastAsia="SimHei" w:hAnsi="Time New Roman" w:hint="eastAsia"/>
                <w:sz w:val="20"/>
              </w:rPr>
            </w:pPr>
            <w:r>
              <w:rPr>
                <w:rFonts w:ascii="Time New Roman" w:eastAsia="SimHei" w:hAnsi="Time New Roman" w:hint="eastAsia"/>
                <w:sz w:val="20"/>
              </w:rPr>
              <w:t>小学总数</w:t>
            </w:r>
          </w:p>
        </w:tc>
        <w:tc>
          <w:tcPr>
            <w:tcW w:w="807" w:type="dxa"/>
            <w:tcBorders>
              <w:bottom w:val="nil"/>
            </w:tcBorders>
          </w:tcPr>
          <w:p w:rsidR="00000000" w:rsidRDefault="00000000">
            <w:pPr>
              <w:spacing w:before="120"/>
              <w:ind w:right="57"/>
              <w:jc w:val="right"/>
              <w:rPr>
                <w:sz w:val="20"/>
              </w:rPr>
            </w:pPr>
            <w:r>
              <w:rPr>
                <w:sz w:val="20"/>
              </w:rPr>
              <w:t>3,904</w:t>
            </w:r>
          </w:p>
        </w:tc>
        <w:tc>
          <w:tcPr>
            <w:tcW w:w="880" w:type="dxa"/>
            <w:tcBorders>
              <w:bottom w:val="nil"/>
            </w:tcBorders>
          </w:tcPr>
          <w:p w:rsidR="00000000" w:rsidRDefault="00000000">
            <w:pPr>
              <w:spacing w:before="120"/>
              <w:ind w:right="57"/>
              <w:jc w:val="right"/>
              <w:rPr>
                <w:sz w:val="20"/>
              </w:rPr>
            </w:pPr>
            <w:r>
              <w:rPr>
                <w:sz w:val="20"/>
              </w:rPr>
              <w:t>3,958</w:t>
            </w:r>
          </w:p>
        </w:tc>
        <w:tc>
          <w:tcPr>
            <w:tcW w:w="879" w:type="dxa"/>
            <w:tcBorders>
              <w:bottom w:val="nil"/>
            </w:tcBorders>
          </w:tcPr>
          <w:p w:rsidR="00000000" w:rsidRDefault="00000000">
            <w:pPr>
              <w:spacing w:before="120"/>
              <w:ind w:right="57"/>
              <w:jc w:val="right"/>
              <w:rPr>
                <w:sz w:val="20"/>
              </w:rPr>
            </w:pPr>
            <w:r>
              <w:rPr>
                <w:sz w:val="20"/>
              </w:rPr>
              <w:t>4,064</w:t>
            </w:r>
          </w:p>
        </w:tc>
        <w:tc>
          <w:tcPr>
            <w:tcW w:w="880" w:type="dxa"/>
            <w:tcBorders>
              <w:bottom w:val="nil"/>
            </w:tcBorders>
          </w:tcPr>
          <w:p w:rsidR="00000000" w:rsidRDefault="00000000">
            <w:pPr>
              <w:spacing w:before="120"/>
              <w:ind w:right="57"/>
              <w:jc w:val="right"/>
              <w:rPr>
                <w:sz w:val="20"/>
              </w:rPr>
            </w:pPr>
            <w:r>
              <w:rPr>
                <w:sz w:val="20"/>
              </w:rPr>
              <w:t>4,142</w:t>
            </w:r>
          </w:p>
        </w:tc>
        <w:tc>
          <w:tcPr>
            <w:tcW w:w="879" w:type="dxa"/>
            <w:tcBorders>
              <w:bottom w:val="nil"/>
            </w:tcBorders>
          </w:tcPr>
          <w:p w:rsidR="00000000" w:rsidRDefault="00000000">
            <w:pPr>
              <w:spacing w:before="120"/>
              <w:ind w:right="57"/>
              <w:jc w:val="right"/>
              <w:rPr>
                <w:sz w:val="20"/>
              </w:rPr>
            </w:pPr>
            <w:r>
              <w:rPr>
                <w:sz w:val="20"/>
              </w:rPr>
              <w:t>4,199</w:t>
            </w:r>
          </w:p>
        </w:tc>
        <w:tc>
          <w:tcPr>
            <w:tcW w:w="880" w:type="dxa"/>
            <w:tcBorders>
              <w:bottom w:val="nil"/>
            </w:tcBorders>
          </w:tcPr>
          <w:p w:rsidR="00000000" w:rsidRDefault="00000000">
            <w:pPr>
              <w:spacing w:before="120"/>
              <w:ind w:right="57"/>
              <w:jc w:val="right"/>
              <w:rPr>
                <w:sz w:val="20"/>
              </w:rPr>
            </w:pPr>
            <w:r>
              <w:rPr>
                <w:sz w:val="20"/>
              </w:rPr>
              <w:t>4,216</w:t>
            </w:r>
          </w:p>
        </w:tc>
        <w:tc>
          <w:tcPr>
            <w:tcW w:w="879" w:type="dxa"/>
            <w:tcBorders>
              <w:bottom w:val="nil"/>
            </w:tcBorders>
          </w:tcPr>
          <w:p w:rsidR="00000000" w:rsidRDefault="00000000">
            <w:pPr>
              <w:spacing w:before="120"/>
              <w:ind w:right="57"/>
              <w:jc w:val="right"/>
              <w:rPr>
                <w:sz w:val="20"/>
              </w:rPr>
            </w:pPr>
            <w:r>
              <w:rPr>
                <w:sz w:val="20"/>
              </w:rPr>
              <w:t>4,212</w:t>
            </w:r>
          </w:p>
        </w:tc>
        <w:tc>
          <w:tcPr>
            <w:tcW w:w="880" w:type="dxa"/>
            <w:tcBorders>
              <w:bottom w:val="nil"/>
            </w:tcBorders>
          </w:tcPr>
          <w:p w:rsidR="00000000" w:rsidRDefault="00000000">
            <w:pPr>
              <w:spacing w:before="120"/>
              <w:ind w:right="57"/>
              <w:jc w:val="right"/>
              <w:rPr>
                <w:sz w:val="20"/>
              </w:rPr>
            </w:pPr>
            <w:r>
              <w:rPr>
                <w:sz w:val="20"/>
              </w:rPr>
              <w:t>4,166</w:t>
            </w:r>
          </w:p>
        </w:tc>
        <w:tc>
          <w:tcPr>
            <w:tcW w:w="880" w:type="dxa"/>
            <w:tcBorders>
              <w:bottom w:val="nil"/>
            </w:tcBorders>
          </w:tcPr>
          <w:p w:rsidR="00000000" w:rsidRDefault="00000000">
            <w:pPr>
              <w:spacing w:before="120"/>
              <w:ind w:right="57"/>
              <w:jc w:val="right"/>
              <w:rPr>
                <w:sz w:val="20"/>
              </w:rPr>
            </w:pPr>
            <w:r>
              <w:rPr>
                <w:sz w:val="20"/>
              </w:rPr>
              <w:t>4,132</w:t>
            </w:r>
          </w:p>
        </w:tc>
      </w:tr>
      <w:tr w:rsidR="00000000">
        <w:tblPrEx>
          <w:tblCellMar>
            <w:top w:w="0" w:type="dxa"/>
            <w:bottom w:w="0" w:type="dxa"/>
          </w:tblCellMar>
        </w:tblPrEx>
        <w:tc>
          <w:tcPr>
            <w:tcW w:w="1512" w:type="dxa"/>
            <w:tcBorders>
              <w:top w:val="nil"/>
              <w:bottom w:val="nil"/>
            </w:tcBorders>
          </w:tcPr>
          <w:p w:rsidR="00000000" w:rsidRDefault="00000000">
            <w:pPr>
              <w:rPr>
                <w:rFonts w:hint="eastAsia"/>
                <w:sz w:val="20"/>
              </w:rPr>
            </w:pPr>
            <w:r>
              <w:rPr>
                <w:rFonts w:hint="eastAsia"/>
                <w:sz w:val="20"/>
              </w:rPr>
              <w:t>其中：</w:t>
            </w:r>
          </w:p>
        </w:tc>
        <w:tc>
          <w:tcPr>
            <w:tcW w:w="807" w:type="dxa"/>
            <w:tcBorders>
              <w:top w:val="nil"/>
              <w:bottom w:val="nil"/>
            </w:tcBorders>
          </w:tcPr>
          <w:p w:rsidR="00000000" w:rsidRDefault="00000000">
            <w:pPr>
              <w:ind w:right="57"/>
              <w:jc w:val="right"/>
              <w:rPr>
                <w:sz w:val="20"/>
              </w:rPr>
            </w:pPr>
          </w:p>
        </w:tc>
        <w:tc>
          <w:tcPr>
            <w:tcW w:w="880" w:type="dxa"/>
            <w:tcBorders>
              <w:top w:val="nil"/>
              <w:bottom w:val="nil"/>
            </w:tcBorders>
          </w:tcPr>
          <w:p w:rsidR="00000000" w:rsidRDefault="00000000">
            <w:pPr>
              <w:ind w:right="57"/>
              <w:jc w:val="right"/>
              <w:rPr>
                <w:sz w:val="20"/>
              </w:rPr>
            </w:pPr>
          </w:p>
        </w:tc>
        <w:tc>
          <w:tcPr>
            <w:tcW w:w="879" w:type="dxa"/>
            <w:tcBorders>
              <w:top w:val="nil"/>
              <w:bottom w:val="nil"/>
            </w:tcBorders>
          </w:tcPr>
          <w:p w:rsidR="00000000" w:rsidRDefault="00000000">
            <w:pPr>
              <w:ind w:right="57"/>
              <w:jc w:val="right"/>
              <w:rPr>
                <w:sz w:val="20"/>
              </w:rPr>
            </w:pPr>
          </w:p>
        </w:tc>
        <w:tc>
          <w:tcPr>
            <w:tcW w:w="880" w:type="dxa"/>
            <w:tcBorders>
              <w:top w:val="nil"/>
              <w:bottom w:val="nil"/>
            </w:tcBorders>
          </w:tcPr>
          <w:p w:rsidR="00000000" w:rsidRDefault="00000000">
            <w:pPr>
              <w:ind w:right="57"/>
              <w:jc w:val="right"/>
              <w:rPr>
                <w:sz w:val="20"/>
              </w:rPr>
            </w:pPr>
          </w:p>
        </w:tc>
        <w:tc>
          <w:tcPr>
            <w:tcW w:w="879" w:type="dxa"/>
            <w:tcBorders>
              <w:top w:val="nil"/>
              <w:bottom w:val="nil"/>
            </w:tcBorders>
          </w:tcPr>
          <w:p w:rsidR="00000000" w:rsidRDefault="00000000">
            <w:pPr>
              <w:ind w:right="57"/>
              <w:jc w:val="right"/>
              <w:rPr>
                <w:sz w:val="20"/>
              </w:rPr>
            </w:pPr>
          </w:p>
        </w:tc>
        <w:tc>
          <w:tcPr>
            <w:tcW w:w="880" w:type="dxa"/>
            <w:tcBorders>
              <w:top w:val="nil"/>
              <w:bottom w:val="nil"/>
            </w:tcBorders>
          </w:tcPr>
          <w:p w:rsidR="00000000" w:rsidRDefault="00000000">
            <w:pPr>
              <w:ind w:right="57"/>
              <w:jc w:val="right"/>
              <w:rPr>
                <w:sz w:val="20"/>
              </w:rPr>
            </w:pPr>
          </w:p>
        </w:tc>
        <w:tc>
          <w:tcPr>
            <w:tcW w:w="879" w:type="dxa"/>
            <w:tcBorders>
              <w:top w:val="nil"/>
              <w:bottom w:val="nil"/>
            </w:tcBorders>
          </w:tcPr>
          <w:p w:rsidR="00000000" w:rsidRDefault="00000000">
            <w:pPr>
              <w:ind w:right="57"/>
              <w:jc w:val="right"/>
              <w:rPr>
                <w:sz w:val="20"/>
              </w:rPr>
            </w:pPr>
          </w:p>
        </w:tc>
        <w:tc>
          <w:tcPr>
            <w:tcW w:w="880" w:type="dxa"/>
            <w:tcBorders>
              <w:top w:val="nil"/>
              <w:bottom w:val="nil"/>
            </w:tcBorders>
          </w:tcPr>
          <w:p w:rsidR="00000000" w:rsidRDefault="00000000">
            <w:pPr>
              <w:ind w:right="57"/>
              <w:jc w:val="right"/>
              <w:rPr>
                <w:sz w:val="20"/>
              </w:rPr>
            </w:pPr>
          </w:p>
        </w:tc>
        <w:tc>
          <w:tcPr>
            <w:tcW w:w="880" w:type="dxa"/>
            <w:tcBorders>
              <w:top w:val="nil"/>
              <w:bottom w:val="nil"/>
            </w:tcBorders>
          </w:tcPr>
          <w:p w:rsidR="00000000" w:rsidRDefault="00000000">
            <w:pPr>
              <w:ind w:right="57"/>
              <w:jc w:val="right"/>
              <w:rPr>
                <w:sz w:val="20"/>
              </w:rPr>
            </w:pPr>
          </w:p>
        </w:tc>
      </w:tr>
      <w:tr w:rsidR="00000000">
        <w:tblPrEx>
          <w:tblCellMar>
            <w:top w:w="0" w:type="dxa"/>
            <w:bottom w:w="0" w:type="dxa"/>
          </w:tblCellMar>
        </w:tblPrEx>
        <w:tc>
          <w:tcPr>
            <w:tcW w:w="1512" w:type="dxa"/>
            <w:tcBorders>
              <w:top w:val="nil"/>
              <w:bottom w:val="nil"/>
            </w:tcBorders>
          </w:tcPr>
          <w:p w:rsidR="00000000" w:rsidRDefault="00000000">
            <w:pPr>
              <w:spacing w:after="120" w:line="264" w:lineRule="auto"/>
              <w:rPr>
                <w:rFonts w:hint="eastAsia"/>
                <w:sz w:val="20"/>
              </w:rPr>
            </w:pPr>
            <w:r>
              <w:rPr>
                <w:rFonts w:hint="eastAsia"/>
                <w:sz w:val="20"/>
              </w:rPr>
              <w:t>只有第一层次的学校</w:t>
            </w:r>
          </w:p>
        </w:tc>
        <w:tc>
          <w:tcPr>
            <w:tcW w:w="807" w:type="dxa"/>
            <w:tcBorders>
              <w:top w:val="nil"/>
              <w:bottom w:val="nil"/>
            </w:tcBorders>
          </w:tcPr>
          <w:p w:rsidR="00000000" w:rsidRDefault="00000000">
            <w:pPr>
              <w:ind w:right="57"/>
              <w:jc w:val="right"/>
              <w:rPr>
                <w:sz w:val="20"/>
              </w:rPr>
            </w:pPr>
            <w:r>
              <w:rPr>
                <w:sz w:val="20"/>
              </w:rPr>
              <w:t>1,455</w:t>
            </w:r>
          </w:p>
        </w:tc>
        <w:tc>
          <w:tcPr>
            <w:tcW w:w="880" w:type="dxa"/>
            <w:tcBorders>
              <w:top w:val="nil"/>
              <w:bottom w:val="nil"/>
            </w:tcBorders>
          </w:tcPr>
          <w:p w:rsidR="00000000" w:rsidRDefault="00000000">
            <w:pPr>
              <w:ind w:right="57"/>
              <w:jc w:val="right"/>
              <w:rPr>
                <w:sz w:val="20"/>
              </w:rPr>
            </w:pPr>
            <w:r>
              <w:rPr>
                <w:sz w:val="20"/>
              </w:rPr>
              <w:t>1,496</w:t>
            </w:r>
          </w:p>
        </w:tc>
        <w:tc>
          <w:tcPr>
            <w:tcW w:w="879" w:type="dxa"/>
            <w:tcBorders>
              <w:top w:val="nil"/>
              <w:bottom w:val="nil"/>
            </w:tcBorders>
          </w:tcPr>
          <w:p w:rsidR="00000000" w:rsidRDefault="00000000">
            <w:pPr>
              <w:ind w:right="57"/>
              <w:jc w:val="right"/>
              <w:rPr>
                <w:sz w:val="20"/>
              </w:rPr>
            </w:pPr>
            <w:r>
              <w:rPr>
                <w:sz w:val="20"/>
              </w:rPr>
              <w:t>1,560</w:t>
            </w:r>
          </w:p>
        </w:tc>
        <w:tc>
          <w:tcPr>
            <w:tcW w:w="880" w:type="dxa"/>
            <w:tcBorders>
              <w:top w:val="nil"/>
              <w:bottom w:val="nil"/>
            </w:tcBorders>
          </w:tcPr>
          <w:p w:rsidR="00000000" w:rsidRDefault="00000000">
            <w:pPr>
              <w:ind w:right="57"/>
              <w:jc w:val="right"/>
              <w:rPr>
                <w:sz w:val="20"/>
              </w:rPr>
            </w:pPr>
            <w:r>
              <w:rPr>
                <w:sz w:val="20"/>
              </w:rPr>
              <w:t>1,647</w:t>
            </w:r>
          </w:p>
        </w:tc>
        <w:tc>
          <w:tcPr>
            <w:tcW w:w="879" w:type="dxa"/>
            <w:tcBorders>
              <w:top w:val="nil"/>
              <w:bottom w:val="nil"/>
            </w:tcBorders>
          </w:tcPr>
          <w:p w:rsidR="00000000" w:rsidRDefault="00000000">
            <w:pPr>
              <w:ind w:right="57"/>
              <w:jc w:val="right"/>
              <w:rPr>
                <w:sz w:val="20"/>
              </w:rPr>
            </w:pPr>
            <w:r>
              <w:rPr>
                <w:sz w:val="20"/>
              </w:rPr>
              <w:t>1,677</w:t>
            </w:r>
          </w:p>
        </w:tc>
        <w:tc>
          <w:tcPr>
            <w:tcW w:w="880" w:type="dxa"/>
            <w:tcBorders>
              <w:top w:val="nil"/>
              <w:bottom w:val="nil"/>
            </w:tcBorders>
          </w:tcPr>
          <w:p w:rsidR="00000000" w:rsidRDefault="00000000">
            <w:pPr>
              <w:ind w:right="57"/>
              <w:jc w:val="right"/>
              <w:rPr>
                <w:sz w:val="20"/>
              </w:rPr>
            </w:pPr>
            <w:r>
              <w:rPr>
                <w:sz w:val="20"/>
              </w:rPr>
              <w:t>1,710</w:t>
            </w:r>
          </w:p>
        </w:tc>
        <w:tc>
          <w:tcPr>
            <w:tcW w:w="879" w:type="dxa"/>
            <w:tcBorders>
              <w:top w:val="nil"/>
              <w:bottom w:val="nil"/>
            </w:tcBorders>
          </w:tcPr>
          <w:p w:rsidR="00000000" w:rsidRDefault="00000000">
            <w:pPr>
              <w:ind w:right="57"/>
              <w:jc w:val="right"/>
              <w:rPr>
                <w:sz w:val="20"/>
              </w:rPr>
            </w:pPr>
            <w:r>
              <w:rPr>
                <w:sz w:val="20"/>
              </w:rPr>
              <w:t>1,712</w:t>
            </w:r>
          </w:p>
        </w:tc>
        <w:tc>
          <w:tcPr>
            <w:tcW w:w="880" w:type="dxa"/>
            <w:tcBorders>
              <w:top w:val="nil"/>
              <w:bottom w:val="nil"/>
            </w:tcBorders>
          </w:tcPr>
          <w:p w:rsidR="00000000" w:rsidRDefault="00000000">
            <w:pPr>
              <w:ind w:right="57"/>
              <w:jc w:val="right"/>
              <w:rPr>
                <w:sz w:val="20"/>
              </w:rPr>
            </w:pPr>
            <w:r>
              <w:rPr>
                <w:sz w:val="20"/>
              </w:rPr>
              <w:t>1,672</w:t>
            </w:r>
          </w:p>
        </w:tc>
        <w:tc>
          <w:tcPr>
            <w:tcW w:w="880" w:type="dxa"/>
            <w:tcBorders>
              <w:top w:val="nil"/>
              <w:bottom w:val="nil"/>
            </w:tcBorders>
          </w:tcPr>
          <w:p w:rsidR="00000000" w:rsidRDefault="00000000">
            <w:pPr>
              <w:ind w:right="57"/>
              <w:jc w:val="right"/>
              <w:rPr>
                <w:sz w:val="20"/>
              </w:rPr>
            </w:pPr>
            <w:r>
              <w:rPr>
                <w:sz w:val="20"/>
              </w:rPr>
              <w:t>1,638</w:t>
            </w:r>
          </w:p>
        </w:tc>
      </w:tr>
      <w:tr w:rsidR="00000000">
        <w:tblPrEx>
          <w:tblCellMar>
            <w:top w:w="0" w:type="dxa"/>
            <w:bottom w:w="0" w:type="dxa"/>
          </w:tblCellMar>
        </w:tblPrEx>
        <w:tc>
          <w:tcPr>
            <w:tcW w:w="1512" w:type="dxa"/>
            <w:tcBorders>
              <w:top w:val="nil"/>
              <w:bottom w:val="nil"/>
            </w:tcBorders>
          </w:tcPr>
          <w:p w:rsidR="00000000" w:rsidRDefault="00000000">
            <w:pPr>
              <w:spacing w:after="120" w:line="264" w:lineRule="auto"/>
              <w:rPr>
                <w:rFonts w:hint="eastAsia"/>
                <w:sz w:val="20"/>
              </w:rPr>
            </w:pPr>
            <w:r>
              <w:rPr>
                <w:rFonts w:hint="eastAsia"/>
                <w:sz w:val="20"/>
              </w:rPr>
              <w:t>只有第二层次的学校</w:t>
            </w:r>
          </w:p>
        </w:tc>
        <w:tc>
          <w:tcPr>
            <w:tcW w:w="807" w:type="dxa"/>
            <w:tcBorders>
              <w:top w:val="nil"/>
              <w:bottom w:val="nil"/>
            </w:tcBorders>
          </w:tcPr>
          <w:p w:rsidR="00000000" w:rsidRDefault="00000000">
            <w:pPr>
              <w:ind w:right="57"/>
              <w:jc w:val="right"/>
              <w:rPr>
                <w:sz w:val="20"/>
              </w:rPr>
            </w:pPr>
            <w:r>
              <w:rPr>
                <w:sz w:val="20"/>
              </w:rPr>
              <w:t>3</w:t>
            </w:r>
          </w:p>
        </w:tc>
        <w:tc>
          <w:tcPr>
            <w:tcW w:w="880" w:type="dxa"/>
            <w:tcBorders>
              <w:top w:val="nil"/>
              <w:bottom w:val="nil"/>
            </w:tcBorders>
          </w:tcPr>
          <w:p w:rsidR="00000000" w:rsidRDefault="00000000">
            <w:pPr>
              <w:ind w:right="57"/>
              <w:jc w:val="right"/>
              <w:rPr>
                <w:sz w:val="20"/>
              </w:rPr>
            </w:pPr>
            <w:r>
              <w:rPr>
                <w:sz w:val="20"/>
              </w:rPr>
              <w:t>5</w:t>
            </w:r>
          </w:p>
        </w:tc>
        <w:tc>
          <w:tcPr>
            <w:tcW w:w="879" w:type="dxa"/>
            <w:tcBorders>
              <w:top w:val="nil"/>
              <w:bottom w:val="nil"/>
            </w:tcBorders>
          </w:tcPr>
          <w:p w:rsidR="00000000" w:rsidRDefault="00000000">
            <w:pPr>
              <w:ind w:right="57"/>
              <w:jc w:val="right"/>
              <w:rPr>
                <w:sz w:val="20"/>
              </w:rPr>
            </w:pPr>
            <w:r>
              <w:rPr>
                <w:sz w:val="20"/>
              </w:rPr>
              <w:t>7</w:t>
            </w:r>
          </w:p>
        </w:tc>
        <w:tc>
          <w:tcPr>
            <w:tcW w:w="880" w:type="dxa"/>
            <w:tcBorders>
              <w:top w:val="nil"/>
              <w:bottom w:val="nil"/>
            </w:tcBorders>
          </w:tcPr>
          <w:p w:rsidR="00000000" w:rsidRDefault="00000000">
            <w:pPr>
              <w:ind w:right="57"/>
              <w:jc w:val="right"/>
              <w:rPr>
                <w:sz w:val="20"/>
              </w:rPr>
            </w:pPr>
            <w:r>
              <w:rPr>
                <w:sz w:val="20"/>
              </w:rPr>
              <w:t>5</w:t>
            </w:r>
          </w:p>
        </w:tc>
        <w:tc>
          <w:tcPr>
            <w:tcW w:w="879" w:type="dxa"/>
            <w:tcBorders>
              <w:top w:val="nil"/>
              <w:bottom w:val="nil"/>
            </w:tcBorders>
          </w:tcPr>
          <w:p w:rsidR="00000000" w:rsidRDefault="00000000">
            <w:pPr>
              <w:ind w:right="57"/>
              <w:jc w:val="right"/>
              <w:rPr>
                <w:sz w:val="20"/>
              </w:rPr>
            </w:pPr>
            <w:r>
              <w:rPr>
                <w:sz w:val="20"/>
              </w:rPr>
              <w:t>9</w:t>
            </w:r>
          </w:p>
        </w:tc>
        <w:tc>
          <w:tcPr>
            <w:tcW w:w="880" w:type="dxa"/>
            <w:tcBorders>
              <w:top w:val="nil"/>
              <w:bottom w:val="nil"/>
            </w:tcBorders>
          </w:tcPr>
          <w:p w:rsidR="00000000" w:rsidRDefault="00000000">
            <w:pPr>
              <w:ind w:right="57"/>
              <w:jc w:val="right"/>
              <w:rPr>
                <w:sz w:val="20"/>
              </w:rPr>
            </w:pPr>
            <w:r>
              <w:rPr>
                <w:sz w:val="20"/>
              </w:rPr>
              <w:t>8</w:t>
            </w:r>
          </w:p>
        </w:tc>
        <w:tc>
          <w:tcPr>
            <w:tcW w:w="879" w:type="dxa"/>
            <w:tcBorders>
              <w:top w:val="nil"/>
              <w:bottom w:val="nil"/>
            </w:tcBorders>
          </w:tcPr>
          <w:p w:rsidR="00000000" w:rsidRDefault="00000000">
            <w:pPr>
              <w:ind w:right="57"/>
              <w:jc w:val="right"/>
              <w:rPr>
                <w:sz w:val="20"/>
              </w:rPr>
            </w:pPr>
            <w:r>
              <w:rPr>
                <w:sz w:val="20"/>
              </w:rPr>
              <w:t>9</w:t>
            </w:r>
          </w:p>
        </w:tc>
        <w:tc>
          <w:tcPr>
            <w:tcW w:w="880" w:type="dxa"/>
            <w:tcBorders>
              <w:top w:val="nil"/>
              <w:bottom w:val="nil"/>
            </w:tcBorders>
          </w:tcPr>
          <w:p w:rsidR="00000000" w:rsidRDefault="00000000">
            <w:pPr>
              <w:ind w:right="57"/>
              <w:jc w:val="right"/>
              <w:rPr>
                <w:sz w:val="20"/>
              </w:rPr>
            </w:pPr>
            <w:r>
              <w:rPr>
                <w:sz w:val="20"/>
              </w:rPr>
              <w:t>4</w:t>
            </w:r>
          </w:p>
        </w:tc>
        <w:tc>
          <w:tcPr>
            <w:tcW w:w="880" w:type="dxa"/>
            <w:tcBorders>
              <w:top w:val="nil"/>
              <w:bottom w:val="nil"/>
            </w:tcBorders>
          </w:tcPr>
          <w:p w:rsidR="00000000" w:rsidRDefault="00000000">
            <w:pPr>
              <w:ind w:right="57"/>
              <w:jc w:val="right"/>
              <w:rPr>
                <w:sz w:val="20"/>
              </w:rPr>
            </w:pPr>
            <w:r>
              <w:rPr>
                <w:sz w:val="20"/>
              </w:rPr>
              <w:t>5</w:t>
            </w:r>
          </w:p>
        </w:tc>
      </w:tr>
      <w:tr w:rsidR="00000000">
        <w:tblPrEx>
          <w:tblCellMar>
            <w:top w:w="0" w:type="dxa"/>
            <w:bottom w:w="0" w:type="dxa"/>
          </w:tblCellMar>
        </w:tblPrEx>
        <w:tc>
          <w:tcPr>
            <w:tcW w:w="1512" w:type="dxa"/>
            <w:tcBorders>
              <w:top w:val="nil"/>
              <w:bottom w:val="nil"/>
            </w:tcBorders>
          </w:tcPr>
          <w:p w:rsidR="00000000" w:rsidRDefault="00000000">
            <w:pPr>
              <w:spacing w:after="120" w:line="264" w:lineRule="auto"/>
              <w:rPr>
                <w:rFonts w:hint="eastAsia"/>
                <w:sz w:val="20"/>
              </w:rPr>
            </w:pPr>
            <w:r>
              <w:rPr>
                <w:rFonts w:hint="eastAsia"/>
                <w:sz w:val="20"/>
              </w:rPr>
              <w:t>有两个层次的学校</w:t>
            </w:r>
          </w:p>
        </w:tc>
        <w:tc>
          <w:tcPr>
            <w:tcW w:w="807" w:type="dxa"/>
            <w:tcBorders>
              <w:top w:val="nil"/>
              <w:bottom w:val="nil"/>
            </w:tcBorders>
          </w:tcPr>
          <w:p w:rsidR="00000000" w:rsidRDefault="00000000">
            <w:pPr>
              <w:ind w:right="57"/>
              <w:jc w:val="right"/>
              <w:rPr>
                <w:sz w:val="20"/>
              </w:rPr>
            </w:pPr>
            <w:r>
              <w:rPr>
                <w:sz w:val="20"/>
              </w:rPr>
              <w:t>2,446</w:t>
            </w:r>
          </w:p>
        </w:tc>
        <w:tc>
          <w:tcPr>
            <w:tcW w:w="880" w:type="dxa"/>
            <w:tcBorders>
              <w:top w:val="nil"/>
              <w:bottom w:val="nil"/>
            </w:tcBorders>
          </w:tcPr>
          <w:p w:rsidR="00000000" w:rsidRDefault="00000000">
            <w:pPr>
              <w:ind w:right="57"/>
              <w:jc w:val="right"/>
              <w:rPr>
                <w:sz w:val="20"/>
              </w:rPr>
            </w:pPr>
            <w:r>
              <w:rPr>
                <w:sz w:val="20"/>
              </w:rPr>
              <w:t>2,497</w:t>
            </w:r>
          </w:p>
        </w:tc>
        <w:tc>
          <w:tcPr>
            <w:tcW w:w="879" w:type="dxa"/>
            <w:tcBorders>
              <w:top w:val="nil"/>
              <w:bottom w:val="nil"/>
            </w:tcBorders>
          </w:tcPr>
          <w:p w:rsidR="00000000" w:rsidRDefault="00000000">
            <w:pPr>
              <w:ind w:right="57"/>
              <w:jc w:val="right"/>
              <w:rPr>
                <w:sz w:val="20"/>
              </w:rPr>
            </w:pPr>
            <w:r>
              <w:rPr>
                <w:sz w:val="20"/>
              </w:rPr>
              <w:t>2,497</w:t>
            </w:r>
          </w:p>
        </w:tc>
        <w:tc>
          <w:tcPr>
            <w:tcW w:w="880" w:type="dxa"/>
            <w:tcBorders>
              <w:top w:val="nil"/>
              <w:bottom w:val="nil"/>
            </w:tcBorders>
          </w:tcPr>
          <w:p w:rsidR="00000000" w:rsidRDefault="00000000">
            <w:pPr>
              <w:ind w:right="57"/>
              <w:jc w:val="right"/>
              <w:rPr>
                <w:sz w:val="20"/>
              </w:rPr>
            </w:pPr>
            <w:r>
              <w:rPr>
                <w:sz w:val="20"/>
              </w:rPr>
              <w:t>2,490</w:t>
            </w:r>
          </w:p>
        </w:tc>
        <w:tc>
          <w:tcPr>
            <w:tcW w:w="879" w:type="dxa"/>
            <w:tcBorders>
              <w:top w:val="nil"/>
              <w:bottom w:val="nil"/>
            </w:tcBorders>
          </w:tcPr>
          <w:p w:rsidR="00000000" w:rsidRDefault="00000000">
            <w:pPr>
              <w:ind w:right="57"/>
              <w:jc w:val="right"/>
              <w:rPr>
                <w:sz w:val="20"/>
              </w:rPr>
            </w:pPr>
            <w:r>
              <w:rPr>
                <w:sz w:val="20"/>
              </w:rPr>
              <w:t>2,513</w:t>
            </w:r>
          </w:p>
        </w:tc>
        <w:tc>
          <w:tcPr>
            <w:tcW w:w="880" w:type="dxa"/>
            <w:tcBorders>
              <w:top w:val="nil"/>
              <w:bottom w:val="nil"/>
            </w:tcBorders>
          </w:tcPr>
          <w:p w:rsidR="00000000" w:rsidRDefault="00000000">
            <w:pPr>
              <w:ind w:right="57"/>
              <w:jc w:val="right"/>
              <w:rPr>
                <w:sz w:val="20"/>
              </w:rPr>
            </w:pPr>
            <w:r>
              <w:rPr>
                <w:sz w:val="20"/>
              </w:rPr>
              <w:t>2,498</w:t>
            </w:r>
          </w:p>
        </w:tc>
        <w:tc>
          <w:tcPr>
            <w:tcW w:w="879" w:type="dxa"/>
            <w:tcBorders>
              <w:top w:val="nil"/>
              <w:bottom w:val="nil"/>
            </w:tcBorders>
          </w:tcPr>
          <w:p w:rsidR="00000000" w:rsidRDefault="00000000">
            <w:pPr>
              <w:ind w:right="57"/>
              <w:jc w:val="right"/>
              <w:rPr>
                <w:sz w:val="20"/>
              </w:rPr>
            </w:pPr>
            <w:r>
              <w:rPr>
                <w:sz w:val="20"/>
              </w:rPr>
              <w:t>2,491</w:t>
            </w:r>
          </w:p>
        </w:tc>
        <w:tc>
          <w:tcPr>
            <w:tcW w:w="880" w:type="dxa"/>
            <w:tcBorders>
              <w:top w:val="nil"/>
              <w:bottom w:val="nil"/>
            </w:tcBorders>
          </w:tcPr>
          <w:p w:rsidR="00000000" w:rsidRDefault="00000000">
            <w:pPr>
              <w:ind w:right="57"/>
              <w:jc w:val="right"/>
              <w:rPr>
                <w:sz w:val="20"/>
              </w:rPr>
            </w:pPr>
            <w:r>
              <w:rPr>
                <w:sz w:val="20"/>
              </w:rPr>
              <w:t>2,490</w:t>
            </w:r>
          </w:p>
        </w:tc>
        <w:tc>
          <w:tcPr>
            <w:tcW w:w="880" w:type="dxa"/>
            <w:tcBorders>
              <w:top w:val="nil"/>
              <w:bottom w:val="nil"/>
            </w:tcBorders>
          </w:tcPr>
          <w:p w:rsidR="00000000" w:rsidRDefault="00000000">
            <w:pPr>
              <w:ind w:right="57"/>
              <w:jc w:val="right"/>
              <w:rPr>
                <w:sz w:val="20"/>
              </w:rPr>
            </w:pPr>
            <w:r>
              <w:rPr>
                <w:sz w:val="20"/>
              </w:rPr>
              <w:t>2,489</w:t>
            </w:r>
          </w:p>
        </w:tc>
      </w:tr>
      <w:tr w:rsidR="00000000">
        <w:tblPrEx>
          <w:tblCellMar>
            <w:top w:w="0" w:type="dxa"/>
            <w:bottom w:w="0" w:type="dxa"/>
          </w:tblCellMar>
        </w:tblPrEx>
        <w:tc>
          <w:tcPr>
            <w:tcW w:w="1512" w:type="dxa"/>
            <w:tcBorders>
              <w:top w:val="nil"/>
            </w:tcBorders>
          </w:tcPr>
          <w:p w:rsidR="00000000" w:rsidRDefault="00000000">
            <w:pPr>
              <w:spacing w:after="120" w:line="264" w:lineRule="auto"/>
              <w:rPr>
                <w:rFonts w:hint="eastAsia"/>
                <w:sz w:val="20"/>
              </w:rPr>
            </w:pPr>
            <w:r>
              <w:rPr>
                <w:rFonts w:hint="eastAsia"/>
                <w:sz w:val="20"/>
              </w:rPr>
              <w:t>其中，年级较少的学校</w:t>
            </w:r>
          </w:p>
        </w:tc>
        <w:tc>
          <w:tcPr>
            <w:tcW w:w="807" w:type="dxa"/>
            <w:tcBorders>
              <w:top w:val="nil"/>
            </w:tcBorders>
          </w:tcPr>
          <w:p w:rsidR="00000000" w:rsidRDefault="00000000">
            <w:pPr>
              <w:ind w:right="57"/>
              <w:jc w:val="right"/>
              <w:rPr>
                <w:sz w:val="20"/>
              </w:rPr>
            </w:pPr>
            <w:r>
              <w:rPr>
                <w:sz w:val="20"/>
              </w:rPr>
              <w:t>1,118</w:t>
            </w:r>
          </w:p>
        </w:tc>
        <w:tc>
          <w:tcPr>
            <w:tcW w:w="880" w:type="dxa"/>
            <w:tcBorders>
              <w:top w:val="nil"/>
            </w:tcBorders>
          </w:tcPr>
          <w:p w:rsidR="00000000" w:rsidRDefault="00000000">
            <w:pPr>
              <w:ind w:right="57"/>
              <w:jc w:val="right"/>
              <w:rPr>
                <w:sz w:val="20"/>
              </w:rPr>
            </w:pPr>
            <w:r>
              <w:rPr>
                <w:sz w:val="20"/>
              </w:rPr>
              <w:t>1,118</w:t>
            </w:r>
          </w:p>
        </w:tc>
        <w:tc>
          <w:tcPr>
            <w:tcW w:w="879" w:type="dxa"/>
            <w:tcBorders>
              <w:top w:val="nil"/>
            </w:tcBorders>
          </w:tcPr>
          <w:p w:rsidR="00000000" w:rsidRDefault="00000000">
            <w:pPr>
              <w:ind w:right="57"/>
              <w:jc w:val="right"/>
              <w:rPr>
                <w:sz w:val="20"/>
              </w:rPr>
            </w:pPr>
            <w:r>
              <w:rPr>
                <w:sz w:val="20"/>
              </w:rPr>
              <w:t>1,242</w:t>
            </w:r>
          </w:p>
        </w:tc>
        <w:tc>
          <w:tcPr>
            <w:tcW w:w="880" w:type="dxa"/>
            <w:tcBorders>
              <w:top w:val="nil"/>
            </w:tcBorders>
          </w:tcPr>
          <w:p w:rsidR="00000000" w:rsidRDefault="00000000">
            <w:pPr>
              <w:ind w:right="57"/>
              <w:jc w:val="right"/>
              <w:rPr>
                <w:sz w:val="20"/>
              </w:rPr>
            </w:pPr>
            <w:r>
              <w:rPr>
                <w:sz w:val="20"/>
              </w:rPr>
              <w:t>1,378</w:t>
            </w:r>
          </w:p>
        </w:tc>
        <w:tc>
          <w:tcPr>
            <w:tcW w:w="879" w:type="dxa"/>
            <w:tcBorders>
              <w:top w:val="nil"/>
            </w:tcBorders>
          </w:tcPr>
          <w:p w:rsidR="00000000" w:rsidRDefault="00000000">
            <w:pPr>
              <w:ind w:right="57"/>
              <w:jc w:val="right"/>
              <w:rPr>
                <w:sz w:val="20"/>
              </w:rPr>
            </w:pPr>
            <w:r>
              <w:rPr>
                <w:sz w:val="20"/>
              </w:rPr>
              <w:t>1,300</w:t>
            </w:r>
          </w:p>
        </w:tc>
        <w:tc>
          <w:tcPr>
            <w:tcW w:w="880" w:type="dxa"/>
            <w:tcBorders>
              <w:top w:val="nil"/>
            </w:tcBorders>
          </w:tcPr>
          <w:p w:rsidR="00000000" w:rsidRDefault="00000000">
            <w:pPr>
              <w:ind w:right="57"/>
              <w:jc w:val="right"/>
              <w:rPr>
                <w:sz w:val="20"/>
              </w:rPr>
            </w:pPr>
            <w:r>
              <w:rPr>
                <w:sz w:val="20"/>
              </w:rPr>
              <w:t>1,349</w:t>
            </w:r>
          </w:p>
        </w:tc>
        <w:tc>
          <w:tcPr>
            <w:tcW w:w="879" w:type="dxa"/>
            <w:tcBorders>
              <w:top w:val="nil"/>
            </w:tcBorders>
          </w:tcPr>
          <w:p w:rsidR="00000000" w:rsidRDefault="00000000">
            <w:pPr>
              <w:ind w:right="57"/>
              <w:jc w:val="right"/>
              <w:rPr>
                <w:sz w:val="20"/>
              </w:rPr>
            </w:pPr>
            <w:r>
              <w:rPr>
                <w:sz w:val="20"/>
              </w:rPr>
              <w:t>1,399</w:t>
            </w:r>
          </w:p>
        </w:tc>
        <w:tc>
          <w:tcPr>
            <w:tcW w:w="880" w:type="dxa"/>
            <w:tcBorders>
              <w:top w:val="nil"/>
            </w:tcBorders>
          </w:tcPr>
          <w:p w:rsidR="00000000" w:rsidRDefault="00000000">
            <w:pPr>
              <w:ind w:right="57"/>
              <w:jc w:val="right"/>
              <w:rPr>
                <w:sz w:val="20"/>
              </w:rPr>
            </w:pPr>
            <w:r>
              <w:rPr>
                <w:sz w:val="20"/>
              </w:rPr>
              <w:t>1,463</w:t>
            </w:r>
          </w:p>
        </w:tc>
        <w:tc>
          <w:tcPr>
            <w:tcW w:w="880" w:type="dxa"/>
            <w:tcBorders>
              <w:top w:val="nil"/>
            </w:tcBorders>
          </w:tcPr>
          <w:p w:rsidR="00000000" w:rsidRDefault="00000000">
            <w:pPr>
              <w:ind w:right="57"/>
              <w:jc w:val="right"/>
              <w:rPr>
                <w:sz w:val="20"/>
              </w:rPr>
            </w:pPr>
            <w:r>
              <w:rPr>
                <w:sz w:val="20"/>
              </w:rPr>
              <w:t>1,482</w:t>
            </w:r>
          </w:p>
        </w:tc>
      </w:tr>
    </w:tbl>
    <w:p w:rsidR="00000000" w:rsidRDefault="00000000">
      <w:pPr>
        <w:pStyle w:val="FootnoteText"/>
        <w:spacing w:before="160" w:after="160"/>
        <w:rPr>
          <w:rFonts w:hint="eastAsia"/>
          <w:sz w:val="21"/>
        </w:rPr>
      </w:pPr>
      <w:r>
        <w:rPr>
          <w:rFonts w:hint="eastAsia"/>
          <w:sz w:val="21"/>
          <w:u w:val="single"/>
        </w:rPr>
        <w:t>资料来源</w:t>
      </w:r>
      <w:r>
        <w:rPr>
          <w:rFonts w:hint="eastAsia"/>
          <w:sz w:val="21"/>
        </w:rPr>
        <w:t>：教育信息学会。</w:t>
      </w:r>
    </w:p>
    <w:p w:rsidR="00000000" w:rsidRDefault="00000000">
      <w:pPr>
        <w:rPr>
          <w:rFonts w:hint="eastAsia"/>
        </w:rPr>
      </w:pPr>
      <w:r>
        <w:rPr>
          <w:rFonts w:hint="eastAsia"/>
        </w:rPr>
        <w:tab/>
        <w:t xml:space="preserve">568.  </w:t>
      </w:r>
      <w:r>
        <w:rPr>
          <w:rFonts w:hint="eastAsia"/>
        </w:rPr>
        <w:t>小学一级的非政府学校，即私立和教区附属学校的百分比较低。在</w:t>
      </w:r>
      <w:r>
        <w:rPr>
          <w:rFonts w:hint="eastAsia"/>
        </w:rPr>
        <w:t>1997/1998</w:t>
      </w:r>
      <w:r>
        <w:rPr>
          <w:rFonts w:hint="eastAsia"/>
        </w:rPr>
        <w:t>学年里，只有</w:t>
      </w:r>
      <w:r>
        <w:rPr>
          <w:rFonts w:hint="eastAsia"/>
        </w:rPr>
        <w:t>32</w:t>
      </w:r>
      <w:r>
        <w:rPr>
          <w:rFonts w:hint="eastAsia"/>
        </w:rPr>
        <w:t>所私立小学和</w:t>
      </w:r>
      <w:r>
        <w:rPr>
          <w:rFonts w:hint="eastAsia"/>
        </w:rPr>
        <w:t>19</w:t>
      </w:r>
      <w:r>
        <w:rPr>
          <w:rFonts w:hint="eastAsia"/>
        </w:rPr>
        <w:t>所教区附属小学，占所有小学的</w:t>
      </w:r>
      <w:r>
        <w:rPr>
          <w:rFonts w:hint="eastAsia"/>
        </w:rPr>
        <w:t>1.2%</w:t>
      </w:r>
      <w:r>
        <w:rPr>
          <w:rFonts w:hint="eastAsia"/>
        </w:rPr>
        <w:t>；几年来，这一比例保持不变。上非政府学校的学生的百分比也很稳定</w:t>
      </w:r>
      <w:r>
        <w:rPr>
          <w:rFonts w:hint="eastAsia"/>
          <w:spacing w:val="-50"/>
        </w:rPr>
        <w:t>―</w:t>
      </w:r>
      <w:r>
        <w:rPr>
          <w:rFonts w:hint="eastAsia"/>
        </w:rPr>
        <w:t>―占</w:t>
      </w:r>
      <w:r>
        <w:rPr>
          <w:rFonts w:hint="eastAsia"/>
        </w:rPr>
        <w:t>0.5%</w:t>
      </w:r>
      <w:r>
        <w:rPr>
          <w:rFonts w:hint="eastAsia"/>
        </w:rPr>
        <w:t>以下。公共小学星罗棋布而且具有其本身的传统，这是限制非政府小学发展的一个重大因素。此外，人口减少和学生转向多年制文法中学，这也缩小了非政府学校发起人的活动余地。他们基本上瞄准在某些方面独特的领域：例如脑功能轻微障碍的残疾儿童，来自与普通家庭类型不同的环境的儿童、或者由于心理或社会原因而无法适应普通小学条件的儿童。例如俄斯特拉发的</w:t>
      </w:r>
      <w:r>
        <w:t>Poemysl Pitter</w:t>
      </w:r>
      <w:r>
        <w:rPr>
          <w:rFonts w:hint="eastAsia"/>
        </w:rPr>
        <w:t>教区附属小学，其重点是罗姆人儿童。</w:t>
      </w:r>
    </w:p>
    <w:p w:rsidR="00000000" w:rsidRDefault="00000000">
      <w:pPr>
        <w:spacing w:after="240"/>
        <w:rPr>
          <w:rFonts w:hint="eastAsia"/>
        </w:rPr>
      </w:pPr>
      <w:r>
        <w:rPr>
          <w:rFonts w:hint="eastAsia"/>
        </w:rPr>
        <w:tab/>
        <w:t xml:space="preserve">569.  </w:t>
      </w:r>
      <w:r>
        <w:rPr>
          <w:rFonts w:hint="eastAsia"/>
        </w:rPr>
        <w:t>在九年级以下完成义务小学教育或没有上完九年级的学生可以在中等职业学校接受某一职业的专门培训，这些学校提供要求不高的领域里的手工技能方面的培训。这种培训结束时须通过一场最后考试。从理论上来说，可以通过一所地区学校始终有权提供的课程来补充未完成的小学教育</w:t>
      </w:r>
      <w:r>
        <w:rPr>
          <w:rFonts w:hint="eastAsia"/>
        </w:rPr>
        <w:t>(</w:t>
      </w:r>
      <w:r>
        <w:rPr>
          <w:rFonts w:hint="eastAsia"/>
        </w:rPr>
        <w:t>包括特殊教育</w:t>
      </w:r>
      <w:r>
        <w:rPr>
          <w:rFonts w:hint="eastAsia"/>
        </w:rPr>
        <w:t>)</w:t>
      </w:r>
      <w:r>
        <w:rPr>
          <w:rFonts w:hint="eastAsia"/>
        </w:rPr>
        <w:t>。然而，参加这些课程的条件是顺利完成一项申请过程。没有完成小学教育的人仍然在完成重新取得资格的课程的机会方面并通常在劳力市场方面处于不利地位。</w:t>
      </w:r>
    </w:p>
    <w:p w:rsidR="00000000" w:rsidRDefault="00000000">
      <w:pPr>
        <w:pStyle w:val="Heading4"/>
        <w:ind w:left="500"/>
        <w:rPr>
          <w:rFonts w:hint="eastAsia"/>
        </w:rPr>
      </w:pPr>
      <w:r>
        <w:rPr>
          <w:rFonts w:hint="eastAsia"/>
        </w:rPr>
        <w:t>中</w:t>
      </w:r>
      <w:r>
        <w:rPr>
          <w:rFonts w:hint="eastAsia"/>
        </w:rPr>
        <w:t xml:space="preserve">  </w:t>
      </w:r>
      <w:r>
        <w:rPr>
          <w:rFonts w:hint="eastAsia"/>
        </w:rPr>
        <w:t>学</w:t>
      </w:r>
    </w:p>
    <w:p w:rsidR="00000000" w:rsidRDefault="00000000">
      <w:pPr>
        <w:rPr>
          <w:rFonts w:hint="eastAsia"/>
        </w:rPr>
      </w:pPr>
      <w:r>
        <w:rPr>
          <w:rFonts w:hint="eastAsia"/>
        </w:rPr>
        <w:tab/>
        <w:t xml:space="preserve">570.  </w:t>
      </w:r>
      <w:r>
        <w:rPr>
          <w:rFonts w:hint="eastAsia"/>
        </w:rPr>
        <w:t>完成义务教育的人多数升入中学；直接参加工作往往属于例外情况。教育水平较低的青年群组在劳力市场上面临的风险最大。中学提供申请某一专业或升学所需要的知识和技能。中等教育一般从</w:t>
      </w:r>
      <w:r>
        <w:rPr>
          <w:rFonts w:hint="eastAsia"/>
        </w:rPr>
        <w:t>15</w:t>
      </w:r>
      <w:r>
        <w:rPr>
          <w:rFonts w:hint="eastAsia"/>
        </w:rPr>
        <w:t>岁开始，根据学习类型，继续二至六年。中学分成中等职业学校、文法中学和中等专业学校。</w:t>
      </w:r>
    </w:p>
    <w:p w:rsidR="00000000" w:rsidRDefault="00000000">
      <w:pPr>
        <w:spacing w:after="240"/>
        <w:rPr>
          <w:rFonts w:hint="eastAsia"/>
        </w:rPr>
      </w:pPr>
      <w:r>
        <w:rPr>
          <w:rFonts w:hint="eastAsia"/>
        </w:rPr>
        <w:tab/>
        <w:t xml:space="preserve">571.  </w:t>
      </w:r>
      <w:r>
        <w:rPr>
          <w:rFonts w:hint="eastAsia"/>
        </w:rPr>
        <w:t>中等职业学校在体力劳动专业和专门活动方面培训学生。学习结束时须通过一场最后考试。文法学校是普遍教育学校，基本上是学生准备参加中学后职业学校或大学的学习。学习时间为四年、六年或八年，学习结束时通常发给毕业证书</w:t>
      </w:r>
      <w:r>
        <w:rPr>
          <w:rFonts w:hint="eastAsia"/>
        </w:rPr>
        <w:t>(</w:t>
      </w:r>
      <w:r>
        <w:rPr>
          <w:rFonts w:hint="eastAsia"/>
        </w:rPr>
        <w:t>通常在</w:t>
      </w:r>
      <w:r>
        <w:rPr>
          <w:rFonts w:hint="eastAsia"/>
        </w:rPr>
        <w:t>19</w:t>
      </w:r>
      <w:r>
        <w:rPr>
          <w:rFonts w:hint="eastAsia"/>
        </w:rPr>
        <w:t>岁</w:t>
      </w:r>
      <w:r>
        <w:rPr>
          <w:rFonts w:hint="eastAsia"/>
        </w:rPr>
        <w:t>)</w:t>
      </w:r>
      <w:r>
        <w:rPr>
          <w:rFonts w:hint="eastAsia"/>
        </w:rPr>
        <w:t>。中等专业学校是学生准备参加专门活动。日间学习最多四年，结束时发给证书。艺术学校是一种特殊的中等专业学校，是学生准备参加唱歌、跳舞、音乐或戏剧艺术方面的工作。学习时间六至八年，结束时发给证书。</w:t>
      </w:r>
    </w:p>
    <w:p w:rsidR="00000000" w:rsidRDefault="00000000">
      <w:pPr>
        <w:pStyle w:val="Heading3"/>
        <w:rPr>
          <w:rFonts w:hint="eastAsia"/>
        </w:rPr>
      </w:pPr>
      <w:r>
        <w:rPr>
          <w:rFonts w:hint="eastAsia"/>
          <w:b/>
        </w:rPr>
        <w:t>1993</w:t>
      </w:r>
      <w:r>
        <w:rPr>
          <w:rFonts w:hint="eastAsia"/>
        </w:rPr>
        <w:t>年至</w:t>
      </w:r>
      <w:r>
        <w:rPr>
          <w:rFonts w:hint="eastAsia"/>
          <w:b/>
        </w:rPr>
        <w:t>1998</w:t>
      </w:r>
      <w:r>
        <w:rPr>
          <w:rFonts w:hint="eastAsia"/>
        </w:rPr>
        <w:t>年中学的数目和中学生人数</w:t>
      </w:r>
      <w:r>
        <w:rPr>
          <w:rFonts w:hint="eastAsia"/>
        </w:rPr>
        <w:t>(</w:t>
      </w:r>
      <w:r>
        <w:rPr>
          <w:rFonts w:hint="eastAsia"/>
        </w:rPr>
        <w:t>以千计</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736"/>
        <w:gridCol w:w="854"/>
        <w:gridCol w:w="715"/>
        <w:gridCol w:w="784"/>
        <w:gridCol w:w="4"/>
        <w:gridCol w:w="781"/>
        <w:gridCol w:w="866"/>
        <w:gridCol w:w="702"/>
        <w:gridCol w:w="873"/>
        <w:gridCol w:w="696"/>
        <w:gridCol w:w="785"/>
      </w:tblGrid>
      <w:tr w:rsidR="00000000">
        <w:tblPrEx>
          <w:tblCellMar>
            <w:top w:w="0" w:type="dxa"/>
            <w:bottom w:w="0" w:type="dxa"/>
          </w:tblCellMar>
        </w:tblPrEx>
        <w:trPr>
          <w:cantSplit/>
        </w:trPr>
        <w:tc>
          <w:tcPr>
            <w:tcW w:w="1560" w:type="dxa"/>
            <w:vMerge w:val="restart"/>
          </w:tcPr>
          <w:p w:rsidR="00000000" w:rsidRDefault="00000000">
            <w:pPr>
              <w:pStyle w:val="aa"/>
            </w:pPr>
          </w:p>
        </w:tc>
        <w:tc>
          <w:tcPr>
            <w:tcW w:w="1590" w:type="dxa"/>
            <w:gridSpan w:val="2"/>
          </w:tcPr>
          <w:p w:rsidR="00000000" w:rsidRDefault="00000000">
            <w:pPr>
              <w:pStyle w:val="aa"/>
              <w:jc w:val="center"/>
              <w:rPr>
                <w:b/>
                <w:bCs/>
              </w:rPr>
            </w:pPr>
            <w:r>
              <w:rPr>
                <w:b/>
                <w:bCs/>
              </w:rPr>
              <w:t>1993/94</w:t>
            </w:r>
          </w:p>
        </w:tc>
        <w:tc>
          <w:tcPr>
            <w:tcW w:w="1503" w:type="dxa"/>
            <w:gridSpan w:val="3"/>
          </w:tcPr>
          <w:p w:rsidR="00000000" w:rsidRDefault="00000000">
            <w:pPr>
              <w:pStyle w:val="aa"/>
              <w:jc w:val="center"/>
              <w:rPr>
                <w:b/>
                <w:bCs/>
              </w:rPr>
            </w:pPr>
            <w:r>
              <w:rPr>
                <w:b/>
                <w:bCs/>
              </w:rPr>
              <w:t>1994/95</w:t>
            </w:r>
          </w:p>
        </w:tc>
        <w:tc>
          <w:tcPr>
            <w:tcW w:w="1647" w:type="dxa"/>
            <w:gridSpan w:val="2"/>
          </w:tcPr>
          <w:p w:rsidR="00000000" w:rsidRDefault="00000000">
            <w:pPr>
              <w:pStyle w:val="aa"/>
              <w:jc w:val="center"/>
              <w:rPr>
                <w:b/>
                <w:bCs/>
              </w:rPr>
            </w:pPr>
            <w:r>
              <w:rPr>
                <w:b/>
                <w:bCs/>
              </w:rPr>
              <w:t>1995/96</w:t>
            </w:r>
          </w:p>
        </w:tc>
        <w:tc>
          <w:tcPr>
            <w:tcW w:w="1575" w:type="dxa"/>
            <w:gridSpan w:val="2"/>
          </w:tcPr>
          <w:p w:rsidR="00000000" w:rsidRDefault="00000000">
            <w:pPr>
              <w:pStyle w:val="aa"/>
              <w:jc w:val="center"/>
              <w:rPr>
                <w:b/>
                <w:bCs/>
              </w:rPr>
            </w:pPr>
            <w:r>
              <w:rPr>
                <w:b/>
                <w:bCs/>
              </w:rPr>
              <w:t>1996/97</w:t>
            </w:r>
          </w:p>
        </w:tc>
        <w:tc>
          <w:tcPr>
            <w:tcW w:w="1481" w:type="dxa"/>
            <w:gridSpan w:val="2"/>
          </w:tcPr>
          <w:p w:rsidR="00000000" w:rsidRDefault="00000000">
            <w:pPr>
              <w:pStyle w:val="aa"/>
              <w:jc w:val="center"/>
              <w:rPr>
                <w:b/>
                <w:bCs/>
              </w:rPr>
            </w:pPr>
            <w:r>
              <w:rPr>
                <w:b/>
                <w:bCs/>
              </w:rPr>
              <w:t>1997/98</w:t>
            </w:r>
          </w:p>
        </w:tc>
      </w:tr>
      <w:tr w:rsidR="00000000">
        <w:tblPrEx>
          <w:tblCellMar>
            <w:top w:w="0" w:type="dxa"/>
            <w:bottom w:w="0" w:type="dxa"/>
          </w:tblCellMar>
        </w:tblPrEx>
        <w:trPr>
          <w:cantSplit/>
        </w:trPr>
        <w:tc>
          <w:tcPr>
            <w:tcW w:w="1560" w:type="dxa"/>
            <w:vMerge/>
          </w:tcPr>
          <w:p w:rsidR="00000000" w:rsidRDefault="00000000">
            <w:pPr>
              <w:pStyle w:val="aa"/>
            </w:pPr>
          </w:p>
        </w:tc>
        <w:tc>
          <w:tcPr>
            <w:tcW w:w="736" w:type="dxa"/>
          </w:tcPr>
          <w:p w:rsidR="00000000" w:rsidRDefault="00000000">
            <w:pPr>
              <w:pStyle w:val="aa"/>
              <w:jc w:val="center"/>
            </w:pPr>
            <w:r>
              <w:rPr>
                <w:rFonts w:hint="eastAsia"/>
              </w:rPr>
              <w:t>学校</w:t>
            </w:r>
          </w:p>
        </w:tc>
        <w:tc>
          <w:tcPr>
            <w:tcW w:w="854" w:type="dxa"/>
          </w:tcPr>
          <w:p w:rsidR="00000000" w:rsidRDefault="00000000">
            <w:pPr>
              <w:pStyle w:val="aa"/>
              <w:jc w:val="center"/>
              <w:rPr>
                <w:rFonts w:hint="eastAsia"/>
              </w:rPr>
            </w:pPr>
            <w:r>
              <w:rPr>
                <w:rFonts w:hint="eastAsia"/>
              </w:rPr>
              <w:t>学生</w:t>
            </w:r>
          </w:p>
        </w:tc>
        <w:tc>
          <w:tcPr>
            <w:tcW w:w="715" w:type="dxa"/>
          </w:tcPr>
          <w:p w:rsidR="00000000" w:rsidRDefault="00000000">
            <w:pPr>
              <w:pStyle w:val="aa"/>
              <w:jc w:val="center"/>
              <w:rPr>
                <w:rFonts w:hint="eastAsia"/>
              </w:rPr>
            </w:pPr>
            <w:r>
              <w:rPr>
                <w:rFonts w:hint="eastAsia"/>
              </w:rPr>
              <w:t>学校</w:t>
            </w:r>
          </w:p>
        </w:tc>
        <w:tc>
          <w:tcPr>
            <w:tcW w:w="784" w:type="dxa"/>
          </w:tcPr>
          <w:p w:rsidR="00000000" w:rsidRDefault="00000000">
            <w:pPr>
              <w:pStyle w:val="aa"/>
              <w:jc w:val="center"/>
              <w:rPr>
                <w:rFonts w:hint="eastAsia"/>
              </w:rPr>
            </w:pPr>
            <w:r>
              <w:rPr>
                <w:rFonts w:hint="eastAsia"/>
              </w:rPr>
              <w:t>学生</w:t>
            </w:r>
          </w:p>
        </w:tc>
        <w:tc>
          <w:tcPr>
            <w:tcW w:w="785" w:type="dxa"/>
            <w:gridSpan w:val="2"/>
          </w:tcPr>
          <w:p w:rsidR="00000000" w:rsidRDefault="00000000">
            <w:pPr>
              <w:pStyle w:val="aa"/>
              <w:jc w:val="center"/>
              <w:rPr>
                <w:rFonts w:hint="eastAsia"/>
              </w:rPr>
            </w:pPr>
            <w:r>
              <w:rPr>
                <w:rFonts w:hint="eastAsia"/>
              </w:rPr>
              <w:t>学校</w:t>
            </w:r>
          </w:p>
        </w:tc>
        <w:tc>
          <w:tcPr>
            <w:tcW w:w="866" w:type="dxa"/>
          </w:tcPr>
          <w:p w:rsidR="00000000" w:rsidRDefault="00000000">
            <w:pPr>
              <w:pStyle w:val="aa"/>
              <w:jc w:val="center"/>
              <w:rPr>
                <w:rFonts w:hint="eastAsia"/>
              </w:rPr>
            </w:pPr>
            <w:r>
              <w:rPr>
                <w:rFonts w:hint="eastAsia"/>
              </w:rPr>
              <w:t>学生</w:t>
            </w:r>
          </w:p>
        </w:tc>
        <w:tc>
          <w:tcPr>
            <w:tcW w:w="702" w:type="dxa"/>
          </w:tcPr>
          <w:p w:rsidR="00000000" w:rsidRDefault="00000000">
            <w:pPr>
              <w:pStyle w:val="aa"/>
              <w:jc w:val="center"/>
              <w:rPr>
                <w:rFonts w:hint="eastAsia"/>
              </w:rPr>
            </w:pPr>
            <w:r>
              <w:rPr>
                <w:rFonts w:hint="eastAsia"/>
              </w:rPr>
              <w:t>学校</w:t>
            </w:r>
          </w:p>
        </w:tc>
        <w:tc>
          <w:tcPr>
            <w:tcW w:w="873" w:type="dxa"/>
          </w:tcPr>
          <w:p w:rsidR="00000000" w:rsidRDefault="00000000">
            <w:pPr>
              <w:pStyle w:val="aa"/>
              <w:jc w:val="center"/>
              <w:rPr>
                <w:rFonts w:hint="eastAsia"/>
              </w:rPr>
            </w:pPr>
            <w:r>
              <w:rPr>
                <w:rFonts w:hint="eastAsia"/>
              </w:rPr>
              <w:t>学生</w:t>
            </w:r>
          </w:p>
        </w:tc>
        <w:tc>
          <w:tcPr>
            <w:tcW w:w="696" w:type="dxa"/>
          </w:tcPr>
          <w:p w:rsidR="00000000" w:rsidRDefault="00000000">
            <w:pPr>
              <w:pStyle w:val="aa"/>
              <w:jc w:val="center"/>
              <w:rPr>
                <w:rFonts w:hint="eastAsia"/>
              </w:rPr>
            </w:pPr>
            <w:r>
              <w:rPr>
                <w:rFonts w:hint="eastAsia"/>
              </w:rPr>
              <w:t>学校</w:t>
            </w:r>
          </w:p>
        </w:tc>
        <w:tc>
          <w:tcPr>
            <w:tcW w:w="785" w:type="dxa"/>
          </w:tcPr>
          <w:p w:rsidR="00000000" w:rsidRDefault="00000000">
            <w:pPr>
              <w:pStyle w:val="aa"/>
              <w:jc w:val="center"/>
              <w:rPr>
                <w:rFonts w:hint="eastAsia"/>
              </w:rPr>
            </w:pPr>
            <w:r>
              <w:rPr>
                <w:rFonts w:hint="eastAsia"/>
              </w:rPr>
              <w:t>学生</w:t>
            </w:r>
          </w:p>
        </w:tc>
      </w:tr>
      <w:tr w:rsidR="00000000">
        <w:tblPrEx>
          <w:tblCellMar>
            <w:top w:w="0" w:type="dxa"/>
            <w:bottom w:w="0" w:type="dxa"/>
          </w:tblCellMar>
        </w:tblPrEx>
        <w:tc>
          <w:tcPr>
            <w:tcW w:w="1560" w:type="dxa"/>
            <w:tcBorders>
              <w:bottom w:val="nil"/>
            </w:tcBorders>
          </w:tcPr>
          <w:p w:rsidR="00000000" w:rsidRDefault="00000000">
            <w:pPr>
              <w:pStyle w:val="aa"/>
              <w:rPr>
                <w:spacing w:val="10"/>
              </w:rPr>
            </w:pPr>
            <w:r>
              <w:rPr>
                <w:rFonts w:hint="eastAsia"/>
              </w:rPr>
              <w:t>文法学校</w:t>
            </w:r>
            <w:r>
              <w:rPr>
                <w:u w:val="single"/>
              </w:rPr>
              <w:t>a</w:t>
            </w:r>
            <w:r>
              <w:t>/</w:t>
            </w:r>
          </w:p>
        </w:tc>
        <w:tc>
          <w:tcPr>
            <w:tcW w:w="736" w:type="dxa"/>
            <w:tcBorders>
              <w:bottom w:val="nil"/>
            </w:tcBorders>
          </w:tcPr>
          <w:p w:rsidR="00000000" w:rsidRDefault="00000000">
            <w:pPr>
              <w:pStyle w:val="aa"/>
              <w:jc w:val="center"/>
            </w:pPr>
            <w:r>
              <w:t>324</w:t>
            </w:r>
          </w:p>
        </w:tc>
        <w:tc>
          <w:tcPr>
            <w:tcW w:w="854" w:type="dxa"/>
            <w:tcBorders>
              <w:bottom w:val="nil"/>
            </w:tcBorders>
          </w:tcPr>
          <w:p w:rsidR="00000000" w:rsidRDefault="00000000">
            <w:pPr>
              <w:pStyle w:val="aa"/>
              <w:jc w:val="center"/>
            </w:pPr>
            <w:r>
              <w:t>122</w:t>
            </w:r>
          </w:p>
        </w:tc>
        <w:tc>
          <w:tcPr>
            <w:tcW w:w="715" w:type="dxa"/>
            <w:tcBorders>
              <w:bottom w:val="nil"/>
            </w:tcBorders>
          </w:tcPr>
          <w:p w:rsidR="00000000" w:rsidRDefault="00000000">
            <w:pPr>
              <w:pStyle w:val="aa"/>
              <w:jc w:val="center"/>
            </w:pPr>
            <w:r>
              <w:t>349</w:t>
            </w:r>
          </w:p>
        </w:tc>
        <w:tc>
          <w:tcPr>
            <w:tcW w:w="784" w:type="dxa"/>
            <w:tcBorders>
              <w:bottom w:val="nil"/>
            </w:tcBorders>
          </w:tcPr>
          <w:p w:rsidR="00000000" w:rsidRDefault="00000000">
            <w:pPr>
              <w:pStyle w:val="aa"/>
              <w:jc w:val="center"/>
            </w:pPr>
            <w:r>
              <w:t>128</w:t>
            </w:r>
          </w:p>
        </w:tc>
        <w:tc>
          <w:tcPr>
            <w:tcW w:w="785" w:type="dxa"/>
            <w:gridSpan w:val="2"/>
            <w:tcBorders>
              <w:bottom w:val="nil"/>
            </w:tcBorders>
          </w:tcPr>
          <w:p w:rsidR="00000000" w:rsidRDefault="00000000">
            <w:pPr>
              <w:pStyle w:val="aa"/>
              <w:jc w:val="center"/>
            </w:pPr>
            <w:r>
              <w:t>361</w:t>
            </w:r>
          </w:p>
        </w:tc>
        <w:tc>
          <w:tcPr>
            <w:tcW w:w="866" w:type="dxa"/>
            <w:tcBorders>
              <w:bottom w:val="nil"/>
            </w:tcBorders>
          </w:tcPr>
          <w:p w:rsidR="00000000" w:rsidRDefault="00000000">
            <w:pPr>
              <w:pStyle w:val="aa"/>
              <w:jc w:val="center"/>
            </w:pPr>
            <w:r>
              <w:t>133</w:t>
            </w:r>
          </w:p>
        </w:tc>
        <w:tc>
          <w:tcPr>
            <w:tcW w:w="702" w:type="dxa"/>
            <w:tcBorders>
              <w:bottom w:val="nil"/>
            </w:tcBorders>
          </w:tcPr>
          <w:p w:rsidR="00000000" w:rsidRDefault="00000000">
            <w:pPr>
              <w:pStyle w:val="aa"/>
              <w:jc w:val="center"/>
            </w:pPr>
            <w:r>
              <w:t>367</w:t>
            </w:r>
          </w:p>
        </w:tc>
        <w:tc>
          <w:tcPr>
            <w:tcW w:w="873" w:type="dxa"/>
            <w:tcBorders>
              <w:bottom w:val="nil"/>
            </w:tcBorders>
          </w:tcPr>
          <w:p w:rsidR="00000000" w:rsidRDefault="00000000">
            <w:pPr>
              <w:pStyle w:val="aa"/>
              <w:jc w:val="center"/>
            </w:pPr>
            <w:r>
              <w:t>126</w:t>
            </w:r>
          </w:p>
        </w:tc>
        <w:tc>
          <w:tcPr>
            <w:tcW w:w="696" w:type="dxa"/>
            <w:tcBorders>
              <w:bottom w:val="nil"/>
            </w:tcBorders>
          </w:tcPr>
          <w:p w:rsidR="00000000" w:rsidRDefault="00000000">
            <w:pPr>
              <w:pStyle w:val="aa"/>
              <w:jc w:val="center"/>
            </w:pPr>
            <w:r>
              <w:t>364</w:t>
            </w:r>
          </w:p>
        </w:tc>
        <w:tc>
          <w:tcPr>
            <w:tcW w:w="785" w:type="dxa"/>
            <w:tcBorders>
              <w:bottom w:val="nil"/>
            </w:tcBorders>
          </w:tcPr>
          <w:p w:rsidR="00000000" w:rsidRDefault="00000000">
            <w:pPr>
              <w:pStyle w:val="aa"/>
              <w:jc w:val="center"/>
            </w:pPr>
            <w:r>
              <w:t>126</w:t>
            </w:r>
          </w:p>
        </w:tc>
      </w:tr>
      <w:tr w:rsidR="00000000">
        <w:tblPrEx>
          <w:tblCellMar>
            <w:top w:w="0" w:type="dxa"/>
            <w:bottom w:w="0" w:type="dxa"/>
          </w:tblCellMar>
        </w:tblPrEx>
        <w:tc>
          <w:tcPr>
            <w:tcW w:w="1560" w:type="dxa"/>
            <w:tcBorders>
              <w:top w:val="nil"/>
              <w:bottom w:val="nil"/>
            </w:tcBorders>
          </w:tcPr>
          <w:p w:rsidR="00000000" w:rsidRDefault="00000000">
            <w:pPr>
              <w:pStyle w:val="aa"/>
              <w:rPr>
                <w:rFonts w:hint="eastAsia"/>
              </w:rPr>
            </w:pPr>
            <w:r>
              <w:rPr>
                <w:rFonts w:hint="eastAsia"/>
              </w:rPr>
              <w:t>中等专业</w:t>
            </w:r>
            <w:r>
              <w:rPr>
                <w:rFonts w:hint="eastAsia"/>
              </w:rPr>
              <w:t>(</w:t>
            </w:r>
            <w:r>
              <w:rPr>
                <w:rFonts w:hint="eastAsia"/>
              </w:rPr>
              <w:t>技术</w:t>
            </w:r>
            <w:r>
              <w:rPr>
                <w:rFonts w:hint="eastAsia"/>
              </w:rPr>
              <w:t>)</w:t>
            </w:r>
            <w:r>
              <w:rPr>
                <w:rFonts w:hint="eastAsia"/>
              </w:rPr>
              <w:t>学校</w:t>
            </w:r>
          </w:p>
        </w:tc>
        <w:tc>
          <w:tcPr>
            <w:tcW w:w="736" w:type="dxa"/>
            <w:tcBorders>
              <w:top w:val="nil"/>
              <w:bottom w:val="nil"/>
            </w:tcBorders>
          </w:tcPr>
          <w:p w:rsidR="00000000" w:rsidRDefault="00000000">
            <w:pPr>
              <w:pStyle w:val="aa"/>
              <w:jc w:val="center"/>
            </w:pPr>
            <w:r>
              <w:t>821</w:t>
            </w:r>
          </w:p>
        </w:tc>
        <w:tc>
          <w:tcPr>
            <w:tcW w:w="854" w:type="dxa"/>
            <w:tcBorders>
              <w:top w:val="nil"/>
              <w:bottom w:val="nil"/>
            </w:tcBorders>
          </w:tcPr>
          <w:p w:rsidR="00000000" w:rsidRDefault="00000000">
            <w:pPr>
              <w:pStyle w:val="aa"/>
              <w:jc w:val="center"/>
            </w:pPr>
            <w:r>
              <w:t>219</w:t>
            </w:r>
          </w:p>
        </w:tc>
        <w:tc>
          <w:tcPr>
            <w:tcW w:w="715" w:type="dxa"/>
            <w:tcBorders>
              <w:top w:val="nil"/>
              <w:bottom w:val="nil"/>
            </w:tcBorders>
          </w:tcPr>
          <w:p w:rsidR="00000000" w:rsidRDefault="00000000">
            <w:pPr>
              <w:pStyle w:val="aa"/>
              <w:jc w:val="center"/>
            </w:pPr>
            <w:r>
              <w:t>800</w:t>
            </w:r>
          </w:p>
        </w:tc>
        <w:tc>
          <w:tcPr>
            <w:tcW w:w="784" w:type="dxa"/>
            <w:tcBorders>
              <w:top w:val="nil"/>
              <w:bottom w:val="nil"/>
            </w:tcBorders>
          </w:tcPr>
          <w:p w:rsidR="00000000" w:rsidRDefault="00000000">
            <w:pPr>
              <w:pStyle w:val="aa"/>
              <w:jc w:val="center"/>
            </w:pPr>
            <w:r>
              <w:t>222</w:t>
            </w:r>
          </w:p>
        </w:tc>
        <w:tc>
          <w:tcPr>
            <w:tcW w:w="785" w:type="dxa"/>
            <w:gridSpan w:val="2"/>
            <w:tcBorders>
              <w:top w:val="nil"/>
              <w:bottom w:val="nil"/>
            </w:tcBorders>
          </w:tcPr>
          <w:p w:rsidR="00000000" w:rsidRDefault="00000000">
            <w:pPr>
              <w:pStyle w:val="aa"/>
              <w:jc w:val="center"/>
            </w:pPr>
            <w:r>
              <w:t>832</w:t>
            </w:r>
          </w:p>
        </w:tc>
        <w:tc>
          <w:tcPr>
            <w:tcW w:w="866" w:type="dxa"/>
            <w:tcBorders>
              <w:top w:val="nil"/>
              <w:bottom w:val="nil"/>
            </w:tcBorders>
          </w:tcPr>
          <w:p w:rsidR="00000000" w:rsidRDefault="00000000">
            <w:pPr>
              <w:pStyle w:val="aa"/>
              <w:jc w:val="center"/>
            </w:pPr>
            <w:r>
              <w:t>230</w:t>
            </w:r>
          </w:p>
        </w:tc>
        <w:tc>
          <w:tcPr>
            <w:tcW w:w="702" w:type="dxa"/>
            <w:tcBorders>
              <w:top w:val="nil"/>
              <w:bottom w:val="nil"/>
            </w:tcBorders>
          </w:tcPr>
          <w:p w:rsidR="00000000" w:rsidRDefault="00000000">
            <w:pPr>
              <w:pStyle w:val="aa"/>
              <w:jc w:val="center"/>
            </w:pPr>
            <w:r>
              <w:t>809</w:t>
            </w:r>
          </w:p>
        </w:tc>
        <w:tc>
          <w:tcPr>
            <w:tcW w:w="873" w:type="dxa"/>
            <w:tcBorders>
              <w:top w:val="nil"/>
              <w:bottom w:val="nil"/>
            </w:tcBorders>
          </w:tcPr>
          <w:p w:rsidR="00000000" w:rsidRDefault="00000000">
            <w:pPr>
              <w:pStyle w:val="aa"/>
              <w:jc w:val="center"/>
            </w:pPr>
            <w:r>
              <w:t>179</w:t>
            </w:r>
          </w:p>
        </w:tc>
        <w:tc>
          <w:tcPr>
            <w:tcW w:w="696" w:type="dxa"/>
            <w:tcBorders>
              <w:top w:val="nil"/>
              <w:bottom w:val="nil"/>
            </w:tcBorders>
          </w:tcPr>
          <w:p w:rsidR="00000000" w:rsidRDefault="00000000">
            <w:pPr>
              <w:pStyle w:val="aa"/>
              <w:jc w:val="center"/>
            </w:pPr>
            <w:r>
              <w:t>756</w:t>
            </w:r>
          </w:p>
        </w:tc>
        <w:tc>
          <w:tcPr>
            <w:tcW w:w="785" w:type="dxa"/>
            <w:tcBorders>
              <w:top w:val="nil"/>
              <w:bottom w:val="nil"/>
            </w:tcBorders>
          </w:tcPr>
          <w:p w:rsidR="00000000" w:rsidRDefault="00000000">
            <w:pPr>
              <w:pStyle w:val="aa"/>
              <w:jc w:val="center"/>
            </w:pPr>
            <w:r>
              <w:t>174</w:t>
            </w:r>
          </w:p>
        </w:tc>
      </w:tr>
      <w:tr w:rsidR="00000000">
        <w:tblPrEx>
          <w:tblCellMar>
            <w:top w:w="0" w:type="dxa"/>
            <w:bottom w:w="0" w:type="dxa"/>
          </w:tblCellMar>
        </w:tblPrEx>
        <w:tc>
          <w:tcPr>
            <w:tcW w:w="1560" w:type="dxa"/>
            <w:tcBorders>
              <w:top w:val="nil"/>
            </w:tcBorders>
          </w:tcPr>
          <w:p w:rsidR="00000000" w:rsidRDefault="00000000">
            <w:pPr>
              <w:pStyle w:val="aa"/>
              <w:spacing w:after="120"/>
              <w:rPr>
                <w:rFonts w:hint="eastAsia"/>
              </w:rPr>
            </w:pPr>
            <w:r>
              <w:rPr>
                <w:rFonts w:hint="eastAsia"/>
              </w:rPr>
              <w:t>综合中等学校</w:t>
            </w:r>
          </w:p>
        </w:tc>
        <w:tc>
          <w:tcPr>
            <w:tcW w:w="736" w:type="dxa"/>
            <w:tcBorders>
              <w:top w:val="nil"/>
            </w:tcBorders>
          </w:tcPr>
          <w:p w:rsidR="00000000" w:rsidRDefault="00000000">
            <w:pPr>
              <w:pStyle w:val="aa"/>
              <w:spacing w:after="120"/>
              <w:jc w:val="center"/>
            </w:pPr>
            <w:r>
              <w:t>x</w:t>
            </w:r>
          </w:p>
        </w:tc>
        <w:tc>
          <w:tcPr>
            <w:tcW w:w="854" w:type="dxa"/>
            <w:tcBorders>
              <w:top w:val="nil"/>
            </w:tcBorders>
          </w:tcPr>
          <w:p w:rsidR="00000000" w:rsidRDefault="00000000">
            <w:pPr>
              <w:pStyle w:val="aa"/>
              <w:spacing w:after="120"/>
              <w:jc w:val="center"/>
            </w:pPr>
            <w:r>
              <w:t>x</w:t>
            </w:r>
          </w:p>
        </w:tc>
        <w:tc>
          <w:tcPr>
            <w:tcW w:w="715" w:type="dxa"/>
            <w:tcBorders>
              <w:top w:val="nil"/>
            </w:tcBorders>
          </w:tcPr>
          <w:p w:rsidR="00000000" w:rsidRDefault="00000000">
            <w:pPr>
              <w:pStyle w:val="aa"/>
              <w:spacing w:after="120"/>
              <w:jc w:val="center"/>
            </w:pPr>
            <w:r>
              <w:t>x</w:t>
            </w:r>
          </w:p>
        </w:tc>
        <w:tc>
          <w:tcPr>
            <w:tcW w:w="784" w:type="dxa"/>
            <w:tcBorders>
              <w:top w:val="nil"/>
            </w:tcBorders>
          </w:tcPr>
          <w:p w:rsidR="00000000" w:rsidRDefault="00000000">
            <w:pPr>
              <w:pStyle w:val="aa"/>
              <w:spacing w:after="120"/>
              <w:jc w:val="center"/>
            </w:pPr>
            <w:r>
              <w:t>x</w:t>
            </w:r>
          </w:p>
        </w:tc>
        <w:tc>
          <w:tcPr>
            <w:tcW w:w="785" w:type="dxa"/>
            <w:gridSpan w:val="2"/>
            <w:tcBorders>
              <w:top w:val="nil"/>
            </w:tcBorders>
          </w:tcPr>
          <w:p w:rsidR="00000000" w:rsidRDefault="00000000">
            <w:pPr>
              <w:pStyle w:val="aa"/>
              <w:spacing w:after="120"/>
              <w:jc w:val="center"/>
            </w:pPr>
            <w:r>
              <w:t>201</w:t>
            </w:r>
          </w:p>
        </w:tc>
        <w:tc>
          <w:tcPr>
            <w:tcW w:w="866" w:type="dxa"/>
            <w:tcBorders>
              <w:top w:val="nil"/>
            </w:tcBorders>
          </w:tcPr>
          <w:p w:rsidR="00000000" w:rsidRDefault="00000000">
            <w:pPr>
              <w:pStyle w:val="aa"/>
              <w:spacing w:after="120"/>
              <w:jc w:val="center"/>
            </w:pPr>
            <w:r>
              <w:t>107</w:t>
            </w:r>
          </w:p>
        </w:tc>
        <w:tc>
          <w:tcPr>
            <w:tcW w:w="702" w:type="dxa"/>
            <w:tcBorders>
              <w:top w:val="nil"/>
            </w:tcBorders>
          </w:tcPr>
          <w:p w:rsidR="00000000" w:rsidRDefault="00000000">
            <w:pPr>
              <w:pStyle w:val="aa"/>
              <w:spacing w:after="120"/>
              <w:jc w:val="center"/>
            </w:pPr>
            <w:r>
              <w:t>202</w:t>
            </w:r>
          </w:p>
        </w:tc>
        <w:tc>
          <w:tcPr>
            <w:tcW w:w="873" w:type="dxa"/>
            <w:tcBorders>
              <w:top w:val="nil"/>
            </w:tcBorders>
          </w:tcPr>
          <w:p w:rsidR="00000000" w:rsidRDefault="00000000">
            <w:pPr>
              <w:pStyle w:val="aa"/>
              <w:spacing w:after="120"/>
              <w:jc w:val="center"/>
            </w:pPr>
            <w:r>
              <w:rPr>
                <w:rFonts w:hint="eastAsia"/>
              </w:rPr>
              <w:t xml:space="preserve"> </w:t>
            </w:r>
            <w:r>
              <w:t>87</w:t>
            </w:r>
          </w:p>
        </w:tc>
        <w:tc>
          <w:tcPr>
            <w:tcW w:w="696" w:type="dxa"/>
            <w:tcBorders>
              <w:top w:val="nil"/>
            </w:tcBorders>
          </w:tcPr>
          <w:p w:rsidR="00000000" w:rsidRDefault="00000000">
            <w:pPr>
              <w:pStyle w:val="aa"/>
              <w:spacing w:after="120"/>
              <w:jc w:val="center"/>
            </w:pPr>
            <w:r>
              <w:t>177</w:t>
            </w:r>
          </w:p>
        </w:tc>
        <w:tc>
          <w:tcPr>
            <w:tcW w:w="785" w:type="dxa"/>
            <w:tcBorders>
              <w:top w:val="nil"/>
            </w:tcBorders>
          </w:tcPr>
          <w:p w:rsidR="00000000" w:rsidRDefault="00000000">
            <w:pPr>
              <w:pStyle w:val="aa"/>
              <w:spacing w:after="120"/>
              <w:jc w:val="center"/>
            </w:pPr>
            <w:r>
              <w:rPr>
                <w:rFonts w:hint="eastAsia"/>
              </w:rPr>
              <w:t xml:space="preserve"> </w:t>
            </w:r>
            <w:r>
              <w:t>73</w:t>
            </w:r>
          </w:p>
        </w:tc>
      </w:tr>
    </w:tbl>
    <w:p w:rsidR="00000000" w:rsidRDefault="00000000">
      <w:pPr>
        <w:pStyle w:val="FootnoteText"/>
        <w:spacing w:before="160" w:after="160"/>
        <w:rPr>
          <w:rFonts w:hint="eastAsia"/>
        </w:rPr>
      </w:pPr>
      <w:r>
        <w:tab/>
      </w:r>
      <w:r>
        <w:rPr>
          <w:u w:val="single"/>
        </w:rPr>
        <w:t>a</w:t>
      </w:r>
      <w:r>
        <w:rPr>
          <w:rFonts w:hint="eastAsia"/>
        </w:rPr>
        <w:t>/</w:t>
      </w:r>
      <w:r>
        <w:tab/>
      </w:r>
      <w:r>
        <w:rPr>
          <w:rFonts w:hint="eastAsia"/>
        </w:rPr>
        <w:t>包括八年制和六年制。</w:t>
      </w:r>
    </w:p>
    <w:p w:rsidR="00000000" w:rsidRDefault="00000000">
      <w:pPr>
        <w:rPr>
          <w:rFonts w:eastAsia="KaiTi_GB2312" w:hint="eastAsia"/>
          <w:spacing w:val="0"/>
        </w:rPr>
      </w:pPr>
    </w:p>
    <w:p w:rsidR="00000000" w:rsidRDefault="00000000">
      <w:pPr>
        <w:spacing w:after="240"/>
        <w:rPr>
          <w:rFonts w:hint="eastAsia"/>
        </w:rPr>
      </w:pPr>
      <w:r>
        <w:rPr>
          <w:rFonts w:hint="eastAsia"/>
        </w:rPr>
        <w:tab/>
        <w:t xml:space="preserve">572.  </w:t>
      </w:r>
      <w:r>
        <w:rPr>
          <w:rFonts w:hint="eastAsia"/>
        </w:rPr>
        <w:t>在</w:t>
      </w:r>
      <w:r>
        <w:rPr>
          <w:rFonts w:hint="eastAsia"/>
        </w:rPr>
        <w:t>1997/1998</w:t>
      </w:r>
      <w:r>
        <w:rPr>
          <w:rFonts w:hint="eastAsia"/>
        </w:rPr>
        <w:t>学年里，捷克共和国有</w:t>
      </w:r>
      <w:r>
        <w:rPr>
          <w:rFonts w:hint="eastAsia"/>
        </w:rPr>
        <w:t>499</w:t>
      </w:r>
      <w:r>
        <w:rPr>
          <w:rFonts w:hint="eastAsia"/>
        </w:rPr>
        <w:t>所中等职业学校，</w:t>
      </w:r>
      <w:r>
        <w:rPr>
          <w:rFonts w:hint="eastAsia"/>
        </w:rPr>
        <w:t>122,000</w:t>
      </w:r>
      <w:r>
        <w:rPr>
          <w:rFonts w:hint="eastAsia"/>
        </w:rPr>
        <w:t>名学生在这些学校中接受职业培训。在</w:t>
      </w:r>
      <w:r>
        <w:rPr>
          <w:rFonts w:hint="eastAsia"/>
        </w:rPr>
        <w:t>1998/1999</w:t>
      </w:r>
      <w:r>
        <w:rPr>
          <w:rFonts w:hint="eastAsia"/>
        </w:rPr>
        <w:t>学年里，有</w:t>
      </w:r>
      <w:r>
        <w:rPr>
          <w:rFonts w:hint="eastAsia"/>
        </w:rPr>
        <w:t>614</w:t>
      </w:r>
      <w:r>
        <w:rPr>
          <w:rFonts w:hint="eastAsia"/>
        </w:rPr>
        <w:t>所中等职业学校，学生有</w:t>
      </w:r>
      <w:r>
        <w:rPr>
          <w:rFonts w:hint="eastAsia"/>
        </w:rPr>
        <w:t>150,000</w:t>
      </w:r>
      <w:r>
        <w:rPr>
          <w:rFonts w:hint="eastAsia"/>
        </w:rPr>
        <w:t>人。大约其中</w:t>
      </w:r>
      <w:r>
        <w:rPr>
          <w:rFonts w:hint="eastAsia"/>
        </w:rPr>
        <w:t>40%</w:t>
      </w:r>
      <w:r>
        <w:rPr>
          <w:rFonts w:hint="eastAsia"/>
        </w:rPr>
        <w:t>是女生。</w:t>
      </w:r>
    </w:p>
    <w:p w:rsidR="00000000" w:rsidRDefault="00000000">
      <w:pPr>
        <w:pStyle w:val="Heading4"/>
        <w:ind w:left="500"/>
        <w:rPr>
          <w:rFonts w:hint="eastAsia"/>
        </w:rPr>
      </w:pPr>
      <w:r>
        <w:rPr>
          <w:rFonts w:hint="eastAsia"/>
        </w:rPr>
        <w:t>中学后职业学校</w:t>
      </w:r>
    </w:p>
    <w:p w:rsidR="00000000" w:rsidRDefault="00000000">
      <w:pPr>
        <w:rPr>
          <w:rFonts w:hint="eastAsia"/>
        </w:rPr>
      </w:pPr>
      <w:r>
        <w:rPr>
          <w:rFonts w:hint="eastAsia"/>
        </w:rPr>
        <w:tab/>
        <w:t xml:space="preserve">573.  </w:t>
      </w:r>
      <w:r>
        <w:rPr>
          <w:rFonts w:hint="eastAsia"/>
        </w:rPr>
        <w:t>中学后专业学校提供集中深入的中学后专业教育和培训。学习时间至少两年，最多三年半，结束时发给毕业证书。这些学校的教育可以收费，如果学校是国家设立的，学费的金额和支付方式由政府根据法令加以规定，如果学校是由市政府设立的，则由市政府通过具有普遍拘束力的指示加以规定。</w:t>
      </w:r>
    </w:p>
    <w:p w:rsidR="00000000" w:rsidRDefault="00000000">
      <w:pPr>
        <w:spacing w:after="240"/>
        <w:rPr>
          <w:rFonts w:hint="eastAsia"/>
        </w:rPr>
      </w:pPr>
      <w:r>
        <w:rPr>
          <w:rFonts w:hint="eastAsia"/>
        </w:rPr>
        <w:tab/>
        <w:t xml:space="preserve">574.  </w:t>
      </w:r>
      <w:r>
        <w:rPr>
          <w:rFonts w:hint="eastAsia"/>
        </w:rPr>
        <w:t>在</w:t>
      </w:r>
      <w:r>
        <w:rPr>
          <w:rFonts w:hint="eastAsia"/>
        </w:rPr>
        <w:t>1996/1997</w:t>
      </w:r>
      <w:r>
        <w:rPr>
          <w:rFonts w:hint="eastAsia"/>
        </w:rPr>
        <w:t>学年里，有</w:t>
      </w:r>
      <w:r>
        <w:rPr>
          <w:rFonts w:hint="eastAsia"/>
        </w:rPr>
        <w:t>158</w:t>
      </w:r>
      <w:r>
        <w:rPr>
          <w:rFonts w:hint="eastAsia"/>
        </w:rPr>
        <w:t>所中学后专业学校，学生将近</w:t>
      </w:r>
      <w:r>
        <w:rPr>
          <w:rFonts w:hint="eastAsia"/>
        </w:rPr>
        <w:t>15,000</w:t>
      </w:r>
      <w:r>
        <w:rPr>
          <w:rFonts w:hint="eastAsia"/>
        </w:rPr>
        <w:t>名；一年以后，将近</w:t>
      </w:r>
      <w:r>
        <w:rPr>
          <w:rFonts w:hint="eastAsia"/>
        </w:rPr>
        <w:t>24,000</w:t>
      </w:r>
      <w:r>
        <w:rPr>
          <w:rFonts w:hint="eastAsia"/>
        </w:rPr>
        <w:t>名学生在</w:t>
      </w:r>
      <w:r>
        <w:rPr>
          <w:rFonts w:hint="eastAsia"/>
        </w:rPr>
        <w:t>154</w:t>
      </w:r>
      <w:r>
        <w:rPr>
          <w:rFonts w:hint="eastAsia"/>
        </w:rPr>
        <w:t>所学校里学习。在</w:t>
      </w:r>
      <w:r>
        <w:rPr>
          <w:rFonts w:hint="eastAsia"/>
        </w:rPr>
        <w:t>1998/1999</w:t>
      </w:r>
      <w:r>
        <w:rPr>
          <w:rFonts w:hint="eastAsia"/>
        </w:rPr>
        <w:t>学年里，捷克共和国有</w:t>
      </w:r>
      <w:r>
        <w:rPr>
          <w:rFonts w:hint="eastAsia"/>
        </w:rPr>
        <w:t>166</w:t>
      </w:r>
      <w:r>
        <w:rPr>
          <w:rFonts w:hint="eastAsia"/>
        </w:rPr>
        <w:t>所中学后专业学校，学生将近有</w:t>
      </w:r>
      <w:r>
        <w:rPr>
          <w:rFonts w:hint="eastAsia"/>
        </w:rPr>
        <w:t>30,000</w:t>
      </w:r>
      <w:r>
        <w:rPr>
          <w:rFonts w:hint="eastAsia"/>
        </w:rPr>
        <w:t>名。在整个报告期间，将近三分之二的学生是女生。</w:t>
      </w:r>
    </w:p>
    <w:p w:rsidR="00000000" w:rsidRDefault="00000000">
      <w:pPr>
        <w:pStyle w:val="Heading4"/>
        <w:ind w:left="500"/>
        <w:rPr>
          <w:rFonts w:hint="eastAsia"/>
        </w:rPr>
      </w:pPr>
      <w:r>
        <w:rPr>
          <w:rFonts w:hint="eastAsia"/>
        </w:rPr>
        <w:t>大</w:t>
      </w:r>
      <w:r>
        <w:rPr>
          <w:rFonts w:hint="eastAsia"/>
        </w:rPr>
        <w:t xml:space="preserve">  </w:t>
      </w:r>
      <w:r>
        <w:rPr>
          <w:rFonts w:hint="eastAsia"/>
        </w:rPr>
        <w:t>学</w:t>
      </w:r>
    </w:p>
    <w:p w:rsidR="00000000" w:rsidRDefault="00000000">
      <w:pPr>
        <w:rPr>
          <w:rFonts w:hint="eastAsia"/>
        </w:rPr>
      </w:pPr>
      <w:r>
        <w:rPr>
          <w:rFonts w:hint="eastAsia"/>
        </w:rPr>
        <w:tab/>
        <w:t xml:space="preserve">575.  </w:t>
      </w:r>
      <w:r>
        <w:rPr>
          <w:rFonts w:hint="eastAsia"/>
        </w:rPr>
        <w:t>大学提供取得大学教育和学术职称的机会。大学学习是根据学分学习计划进行的</w:t>
      </w:r>
      <w:r>
        <w:rPr>
          <w:rFonts w:hint="eastAsia"/>
          <w:spacing w:val="-50"/>
        </w:rPr>
        <w:t>―</w:t>
      </w:r>
      <w:r>
        <w:rPr>
          <w:rFonts w:hint="eastAsia"/>
        </w:rPr>
        <w:t>―即根据学习计划和规定的学习方式进行。学习通常分成三年和两年两个部分。完成研究生学业必须至少再加三年。从</w:t>
      </w:r>
      <w:r>
        <w:rPr>
          <w:rFonts w:hint="eastAsia"/>
        </w:rPr>
        <w:t>1993</w:t>
      </w:r>
      <w:r>
        <w:rPr>
          <w:rFonts w:hint="eastAsia"/>
        </w:rPr>
        <w:t>年到</w:t>
      </w:r>
      <w:r>
        <w:rPr>
          <w:rFonts w:hint="eastAsia"/>
        </w:rPr>
        <w:t>1998</w:t>
      </w:r>
      <w:r>
        <w:rPr>
          <w:rFonts w:hint="eastAsia"/>
        </w:rPr>
        <w:t>年，大学的数量没有变化，仍然是</w:t>
      </w:r>
      <w:r>
        <w:rPr>
          <w:rFonts w:hint="eastAsia"/>
        </w:rPr>
        <w:t>23</w:t>
      </w:r>
      <w:r>
        <w:rPr>
          <w:rFonts w:hint="eastAsia"/>
        </w:rPr>
        <w:t>个。然而大学里的学院的数目从</w:t>
      </w:r>
      <w:r>
        <w:rPr>
          <w:rFonts w:hint="eastAsia"/>
        </w:rPr>
        <w:t>1993/1994</w:t>
      </w:r>
      <w:r>
        <w:rPr>
          <w:rFonts w:hint="eastAsia"/>
        </w:rPr>
        <w:t>学年的</w:t>
      </w:r>
      <w:r>
        <w:rPr>
          <w:rFonts w:hint="eastAsia"/>
        </w:rPr>
        <w:t>105</w:t>
      </w:r>
      <w:r>
        <w:rPr>
          <w:rFonts w:hint="eastAsia"/>
        </w:rPr>
        <w:t>个增加到</w:t>
      </w:r>
      <w:r>
        <w:rPr>
          <w:rFonts w:hint="eastAsia"/>
        </w:rPr>
        <w:t>1998/1999</w:t>
      </w:r>
      <w:r>
        <w:rPr>
          <w:rFonts w:hint="eastAsia"/>
        </w:rPr>
        <w:t>学年的</w:t>
      </w:r>
      <w:r>
        <w:rPr>
          <w:rFonts w:hint="eastAsia"/>
        </w:rPr>
        <w:t>112</w:t>
      </w:r>
      <w:r>
        <w:rPr>
          <w:rFonts w:hint="eastAsia"/>
        </w:rPr>
        <w:t>个。</w:t>
      </w:r>
    </w:p>
    <w:p w:rsidR="00000000" w:rsidRDefault="00000000">
      <w:pPr>
        <w:rPr>
          <w:rFonts w:hint="eastAsia"/>
        </w:rPr>
      </w:pPr>
      <w:r>
        <w:rPr>
          <w:rFonts w:hint="eastAsia"/>
        </w:rPr>
        <w:tab/>
        <w:t xml:space="preserve">576.  </w:t>
      </w:r>
      <w:r>
        <w:rPr>
          <w:rFonts w:hint="eastAsia"/>
        </w:rPr>
        <w:t>在报告期间开始时，总共有</w:t>
      </w:r>
      <w:r>
        <w:rPr>
          <w:rFonts w:hint="eastAsia"/>
        </w:rPr>
        <w:t>127,000</w:t>
      </w:r>
      <w:r>
        <w:rPr>
          <w:rFonts w:hint="eastAsia"/>
        </w:rPr>
        <w:t>名学生在捷克各大学学习，到报告期结束时为止，有</w:t>
      </w:r>
      <w:r>
        <w:rPr>
          <w:rFonts w:hint="eastAsia"/>
        </w:rPr>
        <w:t>174,000</w:t>
      </w:r>
      <w:r>
        <w:rPr>
          <w:rFonts w:hint="eastAsia"/>
        </w:rPr>
        <w:t>名学生</w:t>
      </w:r>
      <w:r>
        <w:rPr>
          <w:rFonts w:hint="eastAsia"/>
        </w:rPr>
        <w:t>(</w:t>
      </w:r>
      <w:r>
        <w:rPr>
          <w:rFonts w:hint="eastAsia"/>
        </w:rPr>
        <w:t>包括外国学生</w:t>
      </w:r>
      <w:r>
        <w:rPr>
          <w:rFonts w:hint="eastAsia"/>
        </w:rPr>
        <w:t>)</w:t>
      </w:r>
      <w:r>
        <w:rPr>
          <w:rFonts w:hint="eastAsia"/>
        </w:rPr>
        <w:t>。在</w:t>
      </w:r>
      <w:r>
        <w:rPr>
          <w:rFonts w:hint="eastAsia"/>
        </w:rPr>
        <w:t>1998/1999</w:t>
      </w:r>
      <w:r>
        <w:rPr>
          <w:rFonts w:hint="eastAsia"/>
        </w:rPr>
        <w:t>学年里，大约有</w:t>
      </w:r>
      <w:r>
        <w:rPr>
          <w:rFonts w:hint="eastAsia"/>
        </w:rPr>
        <w:t>46,000</w:t>
      </w:r>
      <w:r>
        <w:rPr>
          <w:rFonts w:hint="eastAsia"/>
        </w:rPr>
        <w:t>名学生参加大学一年级学习</w:t>
      </w:r>
      <w:r>
        <w:rPr>
          <w:rFonts w:hint="eastAsia"/>
        </w:rPr>
        <w:t>(</w:t>
      </w:r>
      <w:r>
        <w:rPr>
          <w:rFonts w:hint="eastAsia"/>
        </w:rPr>
        <w:t>不包括研究生</w:t>
      </w:r>
      <w:r>
        <w:rPr>
          <w:rFonts w:hint="eastAsia"/>
        </w:rPr>
        <w:t>)</w:t>
      </w:r>
      <w:r>
        <w:rPr>
          <w:rFonts w:hint="eastAsia"/>
        </w:rPr>
        <w:t>，大约</w:t>
      </w:r>
      <w:r>
        <w:rPr>
          <w:rFonts w:hint="eastAsia"/>
        </w:rPr>
        <w:t>12,500</w:t>
      </w:r>
      <w:r>
        <w:rPr>
          <w:rFonts w:hint="eastAsia"/>
        </w:rPr>
        <w:t>名学生参加中学后专业学校学习。与</w:t>
      </w:r>
      <w:r>
        <w:rPr>
          <w:rFonts w:hint="eastAsia"/>
        </w:rPr>
        <w:t>18</w:t>
      </w:r>
      <w:r>
        <w:rPr>
          <w:rFonts w:hint="eastAsia"/>
        </w:rPr>
        <w:t>岁的人数</w:t>
      </w:r>
      <w:r>
        <w:rPr>
          <w:rFonts w:hint="eastAsia"/>
        </w:rPr>
        <w:t>(150,644)</w:t>
      </w:r>
      <w:r>
        <w:rPr>
          <w:rFonts w:hint="eastAsia"/>
        </w:rPr>
        <w:t>相比，这分别占</w:t>
      </w:r>
      <w:r>
        <w:rPr>
          <w:rFonts w:hint="eastAsia"/>
        </w:rPr>
        <w:t>30.5%</w:t>
      </w:r>
      <w:r>
        <w:rPr>
          <w:rFonts w:hint="eastAsia"/>
        </w:rPr>
        <w:t>和</w:t>
      </w:r>
      <w:r>
        <w:rPr>
          <w:rFonts w:hint="eastAsia"/>
        </w:rPr>
        <w:t>8.3%</w:t>
      </w:r>
      <w:r>
        <w:rPr>
          <w:rFonts w:hint="eastAsia"/>
        </w:rPr>
        <w:t>。这意味着，总共有</w:t>
      </w:r>
      <w:r>
        <w:rPr>
          <w:rFonts w:hint="eastAsia"/>
        </w:rPr>
        <w:t>38.8%</w:t>
      </w:r>
      <w:r>
        <w:rPr>
          <w:rFonts w:hint="eastAsia"/>
        </w:rPr>
        <w:t>的</w:t>
      </w:r>
      <w:r>
        <w:rPr>
          <w:rFonts w:hint="eastAsia"/>
        </w:rPr>
        <w:t>18</w:t>
      </w:r>
      <w:r>
        <w:rPr>
          <w:rFonts w:hint="eastAsia"/>
        </w:rPr>
        <w:t>岁青年接受中学后教育。如同过去几年一样，大约一半的申请人被录取。</w:t>
      </w:r>
    </w:p>
    <w:p w:rsidR="00000000" w:rsidRDefault="00000000">
      <w:pPr>
        <w:pStyle w:val="Heading3"/>
        <w:spacing w:before="320"/>
        <w:rPr>
          <w:rFonts w:hint="eastAsia"/>
        </w:rPr>
      </w:pPr>
      <w:r>
        <w:rPr>
          <w:rFonts w:hint="eastAsia"/>
        </w:rPr>
        <w:t>大</w:t>
      </w:r>
      <w:r>
        <w:rPr>
          <w:rFonts w:hint="eastAsia"/>
        </w:rPr>
        <w:t xml:space="preserve">   </w:t>
      </w:r>
      <w:r>
        <w:rPr>
          <w:rFonts w:hint="eastAsia"/>
        </w:rPr>
        <w:t>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1296"/>
        <w:gridCol w:w="1024"/>
        <w:gridCol w:w="1134"/>
        <w:gridCol w:w="1134"/>
        <w:gridCol w:w="1276"/>
        <w:gridCol w:w="1134"/>
        <w:gridCol w:w="1134"/>
      </w:tblGrid>
      <w:tr w:rsidR="00000000">
        <w:tblPrEx>
          <w:tblCellMar>
            <w:top w:w="0" w:type="dxa"/>
            <w:bottom w:w="0" w:type="dxa"/>
          </w:tblCellMar>
        </w:tblPrEx>
        <w:trPr>
          <w:cantSplit/>
        </w:trPr>
        <w:tc>
          <w:tcPr>
            <w:tcW w:w="1224" w:type="dxa"/>
            <w:vMerge w:val="restart"/>
            <w:vAlign w:val="center"/>
          </w:tcPr>
          <w:p w:rsidR="00000000" w:rsidRDefault="00000000">
            <w:pPr>
              <w:spacing w:line="312" w:lineRule="auto"/>
              <w:jc w:val="center"/>
              <w:rPr>
                <w:rFonts w:hint="eastAsia"/>
                <w:sz w:val="20"/>
              </w:rPr>
            </w:pPr>
            <w:r>
              <w:rPr>
                <w:rFonts w:hint="eastAsia"/>
                <w:sz w:val="20"/>
              </w:rPr>
              <w:t>学</w:t>
            </w:r>
            <w:r>
              <w:rPr>
                <w:rFonts w:hint="eastAsia"/>
                <w:sz w:val="20"/>
              </w:rPr>
              <w:t xml:space="preserve"> </w:t>
            </w:r>
            <w:r>
              <w:rPr>
                <w:rFonts w:hint="eastAsia"/>
                <w:sz w:val="20"/>
              </w:rPr>
              <w:t>年</w:t>
            </w:r>
          </w:p>
        </w:tc>
        <w:tc>
          <w:tcPr>
            <w:tcW w:w="1296" w:type="dxa"/>
            <w:vMerge w:val="restart"/>
            <w:vAlign w:val="center"/>
          </w:tcPr>
          <w:p w:rsidR="00000000" w:rsidRDefault="00000000">
            <w:pPr>
              <w:spacing w:line="312" w:lineRule="auto"/>
              <w:jc w:val="center"/>
              <w:rPr>
                <w:rFonts w:hint="eastAsia"/>
                <w:sz w:val="20"/>
              </w:rPr>
            </w:pPr>
            <w:r>
              <w:rPr>
                <w:rFonts w:hint="eastAsia"/>
                <w:sz w:val="20"/>
              </w:rPr>
              <w:t>大</w:t>
            </w:r>
            <w:r>
              <w:rPr>
                <w:rFonts w:hint="eastAsia"/>
                <w:sz w:val="20"/>
              </w:rPr>
              <w:t xml:space="preserve"> </w:t>
            </w:r>
            <w:r>
              <w:rPr>
                <w:rFonts w:hint="eastAsia"/>
                <w:sz w:val="20"/>
              </w:rPr>
              <w:t>学</w:t>
            </w:r>
          </w:p>
        </w:tc>
        <w:tc>
          <w:tcPr>
            <w:tcW w:w="1024" w:type="dxa"/>
            <w:vMerge w:val="restart"/>
            <w:vAlign w:val="center"/>
          </w:tcPr>
          <w:p w:rsidR="00000000" w:rsidRDefault="00000000">
            <w:pPr>
              <w:spacing w:line="312" w:lineRule="auto"/>
              <w:jc w:val="center"/>
              <w:rPr>
                <w:rFonts w:hint="eastAsia"/>
                <w:sz w:val="20"/>
              </w:rPr>
            </w:pPr>
            <w:r>
              <w:rPr>
                <w:rFonts w:hint="eastAsia"/>
                <w:sz w:val="20"/>
              </w:rPr>
              <w:t>学</w:t>
            </w:r>
            <w:r>
              <w:rPr>
                <w:rFonts w:hint="eastAsia"/>
                <w:sz w:val="20"/>
              </w:rPr>
              <w:t xml:space="preserve"> </w:t>
            </w:r>
            <w:r>
              <w:rPr>
                <w:rFonts w:hint="eastAsia"/>
                <w:sz w:val="20"/>
              </w:rPr>
              <w:t>校</w:t>
            </w:r>
          </w:p>
        </w:tc>
        <w:tc>
          <w:tcPr>
            <w:tcW w:w="1134" w:type="dxa"/>
            <w:vMerge w:val="restart"/>
            <w:vAlign w:val="center"/>
          </w:tcPr>
          <w:p w:rsidR="00000000" w:rsidRDefault="00000000">
            <w:pPr>
              <w:spacing w:line="312" w:lineRule="auto"/>
              <w:jc w:val="center"/>
              <w:rPr>
                <w:rFonts w:hint="eastAsia"/>
                <w:sz w:val="20"/>
              </w:rPr>
            </w:pPr>
            <w:r>
              <w:rPr>
                <w:rFonts w:hint="eastAsia"/>
                <w:sz w:val="20"/>
              </w:rPr>
              <w:t>学</w:t>
            </w:r>
            <w:r>
              <w:rPr>
                <w:rFonts w:hint="eastAsia"/>
                <w:sz w:val="20"/>
              </w:rPr>
              <w:t xml:space="preserve"> </w:t>
            </w:r>
            <w:r>
              <w:rPr>
                <w:rFonts w:hint="eastAsia"/>
                <w:sz w:val="20"/>
              </w:rPr>
              <w:t>生</w:t>
            </w:r>
          </w:p>
        </w:tc>
        <w:tc>
          <w:tcPr>
            <w:tcW w:w="4678" w:type="dxa"/>
            <w:gridSpan w:val="4"/>
          </w:tcPr>
          <w:p w:rsidR="00000000" w:rsidRDefault="00000000">
            <w:pPr>
              <w:spacing w:before="60" w:line="312" w:lineRule="auto"/>
              <w:jc w:val="center"/>
              <w:rPr>
                <w:rFonts w:hint="eastAsia"/>
                <w:sz w:val="20"/>
              </w:rPr>
            </w:pPr>
            <w:r>
              <w:rPr>
                <w:rFonts w:hint="eastAsia"/>
                <w:sz w:val="20"/>
              </w:rPr>
              <w:t>其中，学习方案中的学生</w:t>
            </w:r>
          </w:p>
        </w:tc>
      </w:tr>
      <w:tr w:rsidR="00000000">
        <w:tblPrEx>
          <w:tblCellMar>
            <w:top w:w="0" w:type="dxa"/>
            <w:bottom w:w="0" w:type="dxa"/>
          </w:tblCellMar>
        </w:tblPrEx>
        <w:trPr>
          <w:cantSplit/>
        </w:trPr>
        <w:tc>
          <w:tcPr>
            <w:tcW w:w="1224" w:type="dxa"/>
            <w:vMerge/>
          </w:tcPr>
          <w:p w:rsidR="00000000" w:rsidRDefault="00000000">
            <w:pPr>
              <w:spacing w:line="312" w:lineRule="auto"/>
              <w:jc w:val="center"/>
              <w:rPr>
                <w:sz w:val="20"/>
              </w:rPr>
            </w:pPr>
          </w:p>
        </w:tc>
        <w:tc>
          <w:tcPr>
            <w:tcW w:w="1296" w:type="dxa"/>
            <w:vMerge/>
          </w:tcPr>
          <w:p w:rsidR="00000000" w:rsidRDefault="00000000">
            <w:pPr>
              <w:spacing w:line="312" w:lineRule="auto"/>
              <w:jc w:val="center"/>
              <w:rPr>
                <w:sz w:val="20"/>
              </w:rPr>
            </w:pPr>
          </w:p>
        </w:tc>
        <w:tc>
          <w:tcPr>
            <w:tcW w:w="1024" w:type="dxa"/>
            <w:vMerge/>
          </w:tcPr>
          <w:p w:rsidR="00000000" w:rsidRDefault="00000000">
            <w:pPr>
              <w:spacing w:line="312" w:lineRule="auto"/>
              <w:jc w:val="center"/>
              <w:rPr>
                <w:sz w:val="20"/>
              </w:rPr>
            </w:pPr>
          </w:p>
        </w:tc>
        <w:tc>
          <w:tcPr>
            <w:tcW w:w="1134" w:type="dxa"/>
            <w:vMerge/>
          </w:tcPr>
          <w:p w:rsidR="00000000" w:rsidRDefault="00000000">
            <w:pPr>
              <w:spacing w:line="312" w:lineRule="auto"/>
              <w:jc w:val="center"/>
              <w:rPr>
                <w:sz w:val="20"/>
              </w:rPr>
            </w:pPr>
          </w:p>
        </w:tc>
        <w:tc>
          <w:tcPr>
            <w:tcW w:w="3544" w:type="dxa"/>
            <w:gridSpan w:val="3"/>
          </w:tcPr>
          <w:p w:rsidR="00000000" w:rsidRDefault="00000000">
            <w:pPr>
              <w:spacing w:before="60" w:line="312" w:lineRule="auto"/>
              <w:jc w:val="center"/>
              <w:rPr>
                <w:rFonts w:hint="eastAsia"/>
                <w:sz w:val="20"/>
              </w:rPr>
            </w:pPr>
            <w:r>
              <w:rPr>
                <w:rFonts w:hint="eastAsia"/>
                <w:sz w:val="20"/>
              </w:rPr>
              <w:t>日</w:t>
            </w:r>
            <w:r>
              <w:rPr>
                <w:rFonts w:hint="eastAsia"/>
                <w:sz w:val="20"/>
              </w:rPr>
              <w:t xml:space="preserve">   </w:t>
            </w:r>
            <w:r>
              <w:rPr>
                <w:rFonts w:hint="eastAsia"/>
                <w:sz w:val="20"/>
              </w:rPr>
              <w:t>间</w:t>
            </w:r>
          </w:p>
        </w:tc>
        <w:tc>
          <w:tcPr>
            <w:tcW w:w="1134" w:type="dxa"/>
            <w:vMerge w:val="restart"/>
            <w:vAlign w:val="center"/>
          </w:tcPr>
          <w:p w:rsidR="00000000" w:rsidRDefault="00000000">
            <w:pPr>
              <w:spacing w:before="60" w:line="312" w:lineRule="auto"/>
              <w:jc w:val="center"/>
              <w:rPr>
                <w:rFonts w:hint="eastAsia"/>
                <w:sz w:val="20"/>
              </w:rPr>
            </w:pPr>
            <w:r>
              <w:rPr>
                <w:rFonts w:hint="eastAsia"/>
                <w:sz w:val="20"/>
              </w:rPr>
              <w:t>学习</w:t>
            </w:r>
          </w:p>
        </w:tc>
      </w:tr>
      <w:tr w:rsidR="00000000">
        <w:tblPrEx>
          <w:tblCellMar>
            <w:top w:w="0" w:type="dxa"/>
            <w:bottom w:w="0" w:type="dxa"/>
          </w:tblCellMar>
        </w:tblPrEx>
        <w:trPr>
          <w:cantSplit/>
        </w:trPr>
        <w:tc>
          <w:tcPr>
            <w:tcW w:w="1224" w:type="dxa"/>
            <w:vMerge/>
          </w:tcPr>
          <w:p w:rsidR="00000000" w:rsidRDefault="00000000">
            <w:pPr>
              <w:spacing w:line="312" w:lineRule="auto"/>
              <w:jc w:val="center"/>
              <w:rPr>
                <w:sz w:val="20"/>
              </w:rPr>
            </w:pPr>
          </w:p>
        </w:tc>
        <w:tc>
          <w:tcPr>
            <w:tcW w:w="1296" w:type="dxa"/>
            <w:vMerge/>
          </w:tcPr>
          <w:p w:rsidR="00000000" w:rsidRDefault="00000000">
            <w:pPr>
              <w:spacing w:line="312" w:lineRule="auto"/>
              <w:jc w:val="center"/>
              <w:rPr>
                <w:sz w:val="20"/>
              </w:rPr>
            </w:pPr>
          </w:p>
        </w:tc>
        <w:tc>
          <w:tcPr>
            <w:tcW w:w="1024" w:type="dxa"/>
            <w:vMerge/>
          </w:tcPr>
          <w:p w:rsidR="00000000" w:rsidRDefault="00000000">
            <w:pPr>
              <w:spacing w:line="312" w:lineRule="auto"/>
              <w:jc w:val="center"/>
              <w:rPr>
                <w:sz w:val="20"/>
              </w:rPr>
            </w:pPr>
          </w:p>
        </w:tc>
        <w:tc>
          <w:tcPr>
            <w:tcW w:w="1134" w:type="dxa"/>
            <w:vMerge/>
          </w:tcPr>
          <w:p w:rsidR="00000000" w:rsidRDefault="00000000">
            <w:pPr>
              <w:spacing w:line="312" w:lineRule="auto"/>
              <w:jc w:val="center"/>
              <w:rPr>
                <w:sz w:val="20"/>
              </w:rPr>
            </w:pPr>
          </w:p>
        </w:tc>
        <w:tc>
          <w:tcPr>
            <w:tcW w:w="2410" w:type="dxa"/>
            <w:gridSpan w:val="2"/>
          </w:tcPr>
          <w:p w:rsidR="00000000" w:rsidRDefault="00000000">
            <w:pPr>
              <w:spacing w:before="60" w:line="312" w:lineRule="auto"/>
              <w:jc w:val="center"/>
              <w:rPr>
                <w:rFonts w:hint="eastAsia"/>
                <w:sz w:val="20"/>
                <w:vertAlign w:val="superscript"/>
              </w:rPr>
            </w:pPr>
            <w:r>
              <w:rPr>
                <w:rFonts w:hint="eastAsia"/>
                <w:sz w:val="20"/>
              </w:rPr>
              <w:t>捷克公民</w:t>
            </w:r>
          </w:p>
        </w:tc>
        <w:tc>
          <w:tcPr>
            <w:tcW w:w="1134" w:type="dxa"/>
            <w:vMerge w:val="restart"/>
            <w:vAlign w:val="center"/>
          </w:tcPr>
          <w:p w:rsidR="00000000" w:rsidRDefault="00000000">
            <w:pPr>
              <w:spacing w:before="60" w:line="312" w:lineRule="auto"/>
              <w:jc w:val="center"/>
              <w:rPr>
                <w:rFonts w:hint="eastAsia"/>
                <w:sz w:val="20"/>
                <w:vertAlign w:val="superscript"/>
              </w:rPr>
            </w:pPr>
            <w:r>
              <w:rPr>
                <w:rFonts w:hint="eastAsia"/>
                <w:sz w:val="20"/>
              </w:rPr>
              <w:t xml:space="preserve"> </w:t>
            </w:r>
            <w:r>
              <w:rPr>
                <w:rFonts w:hint="eastAsia"/>
                <w:sz w:val="20"/>
              </w:rPr>
              <w:t>其他</w:t>
            </w:r>
            <w:r>
              <w:rPr>
                <w:b/>
                <w:bCs/>
                <w:sz w:val="20"/>
                <w:u w:val="single"/>
              </w:rPr>
              <w:t>a</w:t>
            </w:r>
            <w:r>
              <w:rPr>
                <w:rFonts w:hint="eastAsia"/>
                <w:b/>
                <w:bCs/>
                <w:sz w:val="20"/>
              </w:rPr>
              <w:t>/</w:t>
            </w:r>
          </w:p>
        </w:tc>
        <w:tc>
          <w:tcPr>
            <w:tcW w:w="1134" w:type="dxa"/>
            <w:vMerge/>
          </w:tcPr>
          <w:p w:rsidR="00000000" w:rsidRDefault="00000000">
            <w:pPr>
              <w:spacing w:before="60" w:line="312" w:lineRule="auto"/>
              <w:jc w:val="center"/>
              <w:rPr>
                <w:sz w:val="20"/>
              </w:rPr>
            </w:pPr>
          </w:p>
        </w:tc>
      </w:tr>
      <w:tr w:rsidR="00000000">
        <w:tblPrEx>
          <w:tblCellMar>
            <w:top w:w="0" w:type="dxa"/>
            <w:bottom w:w="0" w:type="dxa"/>
          </w:tblCellMar>
        </w:tblPrEx>
        <w:trPr>
          <w:cantSplit/>
        </w:trPr>
        <w:tc>
          <w:tcPr>
            <w:tcW w:w="1224" w:type="dxa"/>
            <w:vMerge/>
            <w:tcBorders>
              <w:bottom w:val="single" w:sz="4" w:space="0" w:color="auto"/>
            </w:tcBorders>
          </w:tcPr>
          <w:p w:rsidR="00000000" w:rsidRDefault="00000000">
            <w:pPr>
              <w:spacing w:line="312" w:lineRule="auto"/>
              <w:jc w:val="center"/>
              <w:rPr>
                <w:sz w:val="20"/>
              </w:rPr>
            </w:pPr>
          </w:p>
        </w:tc>
        <w:tc>
          <w:tcPr>
            <w:tcW w:w="1296" w:type="dxa"/>
            <w:vMerge/>
            <w:tcBorders>
              <w:bottom w:val="single" w:sz="4" w:space="0" w:color="auto"/>
            </w:tcBorders>
          </w:tcPr>
          <w:p w:rsidR="00000000" w:rsidRDefault="00000000">
            <w:pPr>
              <w:spacing w:line="312" w:lineRule="auto"/>
              <w:jc w:val="center"/>
              <w:rPr>
                <w:sz w:val="20"/>
              </w:rPr>
            </w:pPr>
          </w:p>
        </w:tc>
        <w:tc>
          <w:tcPr>
            <w:tcW w:w="1024" w:type="dxa"/>
            <w:vMerge/>
            <w:tcBorders>
              <w:bottom w:val="single" w:sz="4" w:space="0" w:color="auto"/>
            </w:tcBorders>
          </w:tcPr>
          <w:p w:rsidR="00000000" w:rsidRDefault="00000000">
            <w:pPr>
              <w:spacing w:line="312" w:lineRule="auto"/>
              <w:jc w:val="center"/>
              <w:rPr>
                <w:sz w:val="20"/>
              </w:rPr>
            </w:pPr>
          </w:p>
        </w:tc>
        <w:tc>
          <w:tcPr>
            <w:tcW w:w="1134" w:type="dxa"/>
            <w:vMerge/>
            <w:tcBorders>
              <w:bottom w:val="single" w:sz="4" w:space="0" w:color="auto"/>
            </w:tcBorders>
          </w:tcPr>
          <w:p w:rsidR="00000000" w:rsidRDefault="00000000">
            <w:pPr>
              <w:spacing w:line="312" w:lineRule="auto"/>
              <w:jc w:val="center"/>
              <w:rPr>
                <w:sz w:val="20"/>
              </w:rPr>
            </w:pPr>
          </w:p>
        </w:tc>
        <w:tc>
          <w:tcPr>
            <w:tcW w:w="1134" w:type="dxa"/>
            <w:tcBorders>
              <w:bottom w:val="single" w:sz="4" w:space="0" w:color="auto"/>
            </w:tcBorders>
          </w:tcPr>
          <w:p w:rsidR="00000000" w:rsidRDefault="00000000">
            <w:pPr>
              <w:spacing w:before="60" w:line="312" w:lineRule="auto"/>
              <w:jc w:val="center"/>
              <w:rPr>
                <w:rFonts w:hint="eastAsia"/>
                <w:sz w:val="20"/>
              </w:rPr>
            </w:pPr>
            <w:r>
              <w:rPr>
                <w:rFonts w:hint="eastAsia"/>
                <w:sz w:val="20"/>
              </w:rPr>
              <w:t>总计</w:t>
            </w:r>
          </w:p>
        </w:tc>
        <w:tc>
          <w:tcPr>
            <w:tcW w:w="1276" w:type="dxa"/>
            <w:tcBorders>
              <w:bottom w:val="single" w:sz="4" w:space="0" w:color="auto"/>
            </w:tcBorders>
          </w:tcPr>
          <w:p w:rsidR="00000000" w:rsidRDefault="00000000">
            <w:pPr>
              <w:spacing w:before="60" w:line="312" w:lineRule="auto"/>
              <w:jc w:val="center"/>
              <w:rPr>
                <w:rFonts w:hint="eastAsia"/>
                <w:sz w:val="20"/>
              </w:rPr>
            </w:pPr>
            <w:r>
              <w:rPr>
                <w:rFonts w:hint="eastAsia"/>
                <w:sz w:val="20"/>
              </w:rPr>
              <w:t>女生</w:t>
            </w:r>
          </w:p>
        </w:tc>
        <w:tc>
          <w:tcPr>
            <w:tcW w:w="1134" w:type="dxa"/>
            <w:vMerge/>
            <w:tcBorders>
              <w:bottom w:val="single" w:sz="4" w:space="0" w:color="auto"/>
            </w:tcBorders>
          </w:tcPr>
          <w:p w:rsidR="00000000" w:rsidRDefault="00000000">
            <w:pPr>
              <w:spacing w:before="60" w:line="312" w:lineRule="auto"/>
              <w:jc w:val="center"/>
              <w:rPr>
                <w:sz w:val="20"/>
              </w:rPr>
            </w:pPr>
          </w:p>
        </w:tc>
        <w:tc>
          <w:tcPr>
            <w:tcW w:w="1134" w:type="dxa"/>
            <w:vMerge/>
            <w:tcBorders>
              <w:bottom w:val="single" w:sz="4" w:space="0" w:color="auto"/>
            </w:tcBorders>
          </w:tcPr>
          <w:p w:rsidR="00000000" w:rsidRDefault="00000000">
            <w:pPr>
              <w:spacing w:before="60" w:line="312" w:lineRule="auto"/>
              <w:jc w:val="center"/>
              <w:rPr>
                <w:sz w:val="20"/>
              </w:rPr>
            </w:pPr>
          </w:p>
        </w:tc>
      </w:tr>
      <w:tr w:rsidR="00000000">
        <w:tblPrEx>
          <w:tblCellMar>
            <w:top w:w="0" w:type="dxa"/>
            <w:bottom w:w="0" w:type="dxa"/>
          </w:tblCellMar>
        </w:tblPrEx>
        <w:tc>
          <w:tcPr>
            <w:tcW w:w="1224" w:type="dxa"/>
            <w:tcBorders>
              <w:bottom w:val="nil"/>
            </w:tcBorders>
          </w:tcPr>
          <w:p w:rsidR="00000000" w:rsidRDefault="00000000">
            <w:pPr>
              <w:spacing w:before="60" w:line="312" w:lineRule="auto"/>
              <w:jc w:val="center"/>
              <w:rPr>
                <w:sz w:val="20"/>
              </w:rPr>
            </w:pPr>
            <w:r>
              <w:rPr>
                <w:sz w:val="20"/>
              </w:rPr>
              <w:t>90/91</w:t>
            </w:r>
          </w:p>
        </w:tc>
        <w:tc>
          <w:tcPr>
            <w:tcW w:w="1296" w:type="dxa"/>
            <w:tcBorders>
              <w:bottom w:val="nil"/>
            </w:tcBorders>
          </w:tcPr>
          <w:p w:rsidR="00000000" w:rsidRDefault="00000000">
            <w:pPr>
              <w:spacing w:before="60" w:line="312" w:lineRule="auto"/>
              <w:jc w:val="center"/>
              <w:rPr>
                <w:sz w:val="20"/>
              </w:rPr>
            </w:pPr>
            <w:r>
              <w:rPr>
                <w:sz w:val="20"/>
              </w:rPr>
              <w:t>24</w:t>
            </w:r>
          </w:p>
        </w:tc>
        <w:tc>
          <w:tcPr>
            <w:tcW w:w="1024" w:type="dxa"/>
            <w:tcBorders>
              <w:bottom w:val="nil"/>
            </w:tcBorders>
          </w:tcPr>
          <w:p w:rsidR="00000000" w:rsidRDefault="00000000">
            <w:pPr>
              <w:spacing w:before="60" w:line="312" w:lineRule="auto"/>
              <w:jc w:val="center"/>
              <w:rPr>
                <w:sz w:val="20"/>
              </w:rPr>
            </w:pPr>
            <w:r>
              <w:rPr>
                <w:sz w:val="20"/>
              </w:rPr>
              <w:t>82</w:t>
            </w:r>
          </w:p>
        </w:tc>
        <w:tc>
          <w:tcPr>
            <w:tcW w:w="1134" w:type="dxa"/>
            <w:tcBorders>
              <w:bottom w:val="nil"/>
            </w:tcBorders>
          </w:tcPr>
          <w:p w:rsidR="00000000" w:rsidRDefault="00000000">
            <w:pPr>
              <w:spacing w:before="60" w:line="312" w:lineRule="auto"/>
              <w:jc w:val="center"/>
              <w:rPr>
                <w:sz w:val="20"/>
              </w:rPr>
            </w:pPr>
            <w:r>
              <w:rPr>
                <w:sz w:val="20"/>
              </w:rPr>
              <w:t>118,194</w:t>
            </w:r>
          </w:p>
        </w:tc>
        <w:tc>
          <w:tcPr>
            <w:tcW w:w="1134" w:type="dxa"/>
            <w:tcBorders>
              <w:bottom w:val="nil"/>
            </w:tcBorders>
          </w:tcPr>
          <w:p w:rsidR="00000000" w:rsidRDefault="00000000">
            <w:pPr>
              <w:spacing w:before="60" w:line="312" w:lineRule="auto"/>
              <w:jc w:val="center"/>
              <w:rPr>
                <w:sz w:val="20"/>
              </w:rPr>
            </w:pPr>
            <w:r>
              <w:rPr>
                <w:sz w:val="20"/>
              </w:rPr>
              <w:t xml:space="preserve"> 96,379</w:t>
            </w:r>
          </w:p>
        </w:tc>
        <w:tc>
          <w:tcPr>
            <w:tcW w:w="1276" w:type="dxa"/>
            <w:tcBorders>
              <w:bottom w:val="nil"/>
            </w:tcBorders>
          </w:tcPr>
          <w:p w:rsidR="00000000" w:rsidRDefault="00000000">
            <w:pPr>
              <w:spacing w:before="60" w:line="312" w:lineRule="auto"/>
              <w:jc w:val="center"/>
              <w:rPr>
                <w:sz w:val="20"/>
              </w:rPr>
            </w:pPr>
            <w:r>
              <w:rPr>
                <w:sz w:val="20"/>
              </w:rPr>
              <w:t>42,850</w:t>
            </w:r>
          </w:p>
        </w:tc>
        <w:tc>
          <w:tcPr>
            <w:tcW w:w="1134" w:type="dxa"/>
            <w:tcBorders>
              <w:bottom w:val="nil"/>
            </w:tcBorders>
          </w:tcPr>
          <w:p w:rsidR="00000000" w:rsidRDefault="00000000">
            <w:pPr>
              <w:spacing w:before="60" w:line="312" w:lineRule="auto"/>
              <w:jc w:val="center"/>
              <w:rPr>
                <w:sz w:val="20"/>
              </w:rPr>
            </w:pPr>
            <w:r>
              <w:rPr>
                <w:sz w:val="20"/>
              </w:rPr>
              <w:t>3,122</w:t>
            </w:r>
          </w:p>
        </w:tc>
        <w:tc>
          <w:tcPr>
            <w:tcW w:w="1134" w:type="dxa"/>
            <w:tcBorders>
              <w:bottom w:val="nil"/>
            </w:tcBorders>
          </w:tcPr>
          <w:p w:rsidR="00000000" w:rsidRDefault="00000000">
            <w:pPr>
              <w:spacing w:before="60" w:line="312" w:lineRule="auto"/>
              <w:jc w:val="center"/>
              <w:rPr>
                <w:sz w:val="20"/>
              </w:rPr>
            </w:pPr>
            <w:r>
              <w:rPr>
                <w:sz w:val="20"/>
              </w:rPr>
              <w:t>18,693</w:t>
            </w:r>
          </w:p>
        </w:tc>
      </w:tr>
      <w:tr w:rsidR="00000000">
        <w:tblPrEx>
          <w:tblCellMar>
            <w:top w:w="0" w:type="dxa"/>
            <w:bottom w:w="0" w:type="dxa"/>
          </w:tblCellMar>
        </w:tblPrEx>
        <w:tc>
          <w:tcPr>
            <w:tcW w:w="1224" w:type="dxa"/>
            <w:tcBorders>
              <w:top w:val="nil"/>
              <w:bottom w:val="nil"/>
            </w:tcBorders>
          </w:tcPr>
          <w:p w:rsidR="00000000" w:rsidRDefault="00000000">
            <w:pPr>
              <w:spacing w:before="60" w:line="312" w:lineRule="auto"/>
              <w:jc w:val="center"/>
              <w:rPr>
                <w:sz w:val="20"/>
              </w:rPr>
            </w:pPr>
            <w:r>
              <w:rPr>
                <w:sz w:val="20"/>
              </w:rPr>
              <w:t>93/94</w:t>
            </w:r>
          </w:p>
        </w:tc>
        <w:tc>
          <w:tcPr>
            <w:tcW w:w="1296" w:type="dxa"/>
            <w:tcBorders>
              <w:top w:val="nil"/>
              <w:bottom w:val="nil"/>
            </w:tcBorders>
          </w:tcPr>
          <w:p w:rsidR="00000000" w:rsidRDefault="00000000">
            <w:pPr>
              <w:spacing w:before="60" w:line="312" w:lineRule="auto"/>
              <w:jc w:val="center"/>
              <w:rPr>
                <w:sz w:val="20"/>
              </w:rPr>
            </w:pPr>
            <w:r>
              <w:rPr>
                <w:sz w:val="20"/>
              </w:rPr>
              <w:t>23</w:t>
            </w:r>
          </w:p>
        </w:tc>
        <w:tc>
          <w:tcPr>
            <w:tcW w:w="1024" w:type="dxa"/>
            <w:tcBorders>
              <w:top w:val="nil"/>
              <w:bottom w:val="nil"/>
            </w:tcBorders>
          </w:tcPr>
          <w:p w:rsidR="00000000" w:rsidRDefault="00000000">
            <w:pPr>
              <w:spacing w:before="60" w:line="312" w:lineRule="auto"/>
              <w:jc w:val="center"/>
              <w:rPr>
                <w:sz w:val="20"/>
              </w:rPr>
            </w:pPr>
            <w:r>
              <w:rPr>
                <w:sz w:val="20"/>
              </w:rPr>
              <w:t>105</w:t>
            </w:r>
          </w:p>
        </w:tc>
        <w:tc>
          <w:tcPr>
            <w:tcW w:w="1134" w:type="dxa"/>
            <w:tcBorders>
              <w:top w:val="nil"/>
              <w:bottom w:val="nil"/>
            </w:tcBorders>
          </w:tcPr>
          <w:p w:rsidR="00000000" w:rsidRDefault="00000000">
            <w:pPr>
              <w:spacing w:before="60" w:line="312" w:lineRule="auto"/>
              <w:jc w:val="center"/>
              <w:rPr>
                <w:sz w:val="20"/>
              </w:rPr>
            </w:pPr>
            <w:r>
              <w:rPr>
                <w:sz w:val="20"/>
              </w:rPr>
              <w:t>127,137</w:t>
            </w:r>
          </w:p>
        </w:tc>
        <w:tc>
          <w:tcPr>
            <w:tcW w:w="1134" w:type="dxa"/>
            <w:tcBorders>
              <w:top w:val="nil"/>
              <w:bottom w:val="nil"/>
            </w:tcBorders>
          </w:tcPr>
          <w:p w:rsidR="00000000" w:rsidRDefault="00000000">
            <w:pPr>
              <w:spacing w:before="60" w:line="312" w:lineRule="auto"/>
              <w:jc w:val="center"/>
              <w:rPr>
                <w:sz w:val="20"/>
              </w:rPr>
            </w:pPr>
            <w:r>
              <w:rPr>
                <w:sz w:val="20"/>
              </w:rPr>
              <w:t>109,471</w:t>
            </w:r>
          </w:p>
        </w:tc>
        <w:tc>
          <w:tcPr>
            <w:tcW w:w="1276" w:type="dxa"/>
            <w:tcBorders>
              <w:top w:val="nil"/>
              <w:bottom w:val="nil"/>
            </w:tcBorders>
          </w:tcPr>
          <w:p w:rsidR="00000000" w:rsidRDefault="00000000">
            <w:pPr>
              <w:spacing w:before="60" w:line="312" w:lineRule="auto"/>
              <w:jc w:val="center"/>
              <w:rPr>
                <w:sz w:val="20"/>
              </w:rPr>
            </w:pPr>
            <w:r>
              <w:rPr>
                <w:sz w:val="20"/>
              </w:rPr>
              <w:t>48,137</w:t>
            </w:r>
          </w:p>
        </w:tc>
        <w:tc>
          <w:tcPr>
            <w:tcW w:w="1134" w:type="dxa"/>
            <w:tcBorders>
              <w:top w:val="nil"/>
              <w:bottom w:val="nil"/>
            </w:tcBorders>
          </w:tcPr>
          <w:p w:rsidR="00000000" w:rsidRDefault="00000000">
            <w:pPr>
              <w:spacing w:before="60" w:line="312" w:lineRule="auto"/>
              <w:jc w:val="center"/>
              <w:rPr>
                <w:sz w:val="20"/>
              </w:rPr>
            </w:pPr>
            <w:r>
              <w:rPr>
                <w:sz w:val="20"/>
              </w:rPr>
              <w:t>3,614</w:t>
            </w:r>
          </w:p>
        </w:tc>
        <w:tc>
          <w:tcPr>
            <w:tcW w:w="1134" w:type="dxa"/>
            <w:tcBorders>
              <w:top w:val="nil"/>
              <w:bottom w:val="nil"/>
            </w:tcBorders>
          </w:tcPr>
          <w:p w:rsidR="00000000" w:rsidRDefault="00000000">
            <w:pPr>
              <w:spacing w:before="60" w:line="312" w:lineRule="auto"/>
              <w:jc w:val="center"/>
              <w:rPr>
                <w:sz w:val="20"/>
              </w:rPr>
            </w:pPr>
            <w:r>
              <w:rPr>
                <w:sz w:val="20"/>
              </w:rPr>
              <w:t>14,052</w:t>
            </w:r>
          </w:p>
        </w:tc>
      </w:tr>
      <w:tr w:rsidR="00000000">
        <w:tblPrEx>
          <w:tblCellMar>
            <w:top w:w="0" w:type="dxa"/>
            <w:bottom w:w="0" w:type="dxa"/>
          </w:tblCellMar>
        </w:tblPrEx>
        <w:tc>
          <w:tcPr>
            <w:tcW w:w="1224" w:type="dxa"/>
            <w:tcBorders>
              <w:top w:val="nil"/>
              <w:bottom w:val="nil"/>
            </w:tcBorders>
          </w:tcPr>
          <w:p w:rsidR="00000000" w:rsidRDefault="00000000">
            <w:pPr>
              <w:spacing w:before="60" w:line="312" w:lineRule="auto"/>
              <w:jc w:val="center"/>
              <w:rPr>
                <w:sz w:val="20"/>
              </w:rPr>
            </w:pPr>
            <w:r>
              <w:rPr>
                <w:sz w:val="20"/>
              </w:rPr>
              <w:t>94/95</w:t>
            </w:r>
          </w:p>
        </w:tc>
        <w:tc>
          <w:tcPr>
            <w:tcW w:w="1296" w:type="dxa"/>
            <w:tcBorders>
              <w:top w:val="nil"/>
              <w:bottom w:val="nil"/>
            </w:tcBorders>
          </w:tcPr>
          <w:p w:rsidR="00000000" w:rsidRDefault="00000000">
            <w:pPr>
              <w:spacing w:before="60" w:line="312" w:lineRule="auto"/>
              <w:jc w:val="center"/>
              <w:rPr>
                <w:sz w:val="20"/>
              </w:rPr>
            </w:pPr>
            <w:r>
              <w:rPr>
                <w:sz w:val="20"/>
              </w:rPr>
              <w:t>23</w:t>
            </w:r>
          </w:p>
        </w:tc>
        <w:tc>
          <w:tcPr>
            <w:tcW w:w="1024" w:type="dxa"/>
            <w:tcBorders>
              <w:top w:val="nil"/>
              <w:bottom w:val="nil"/>
            </w:tcBorders>
          </w:tcPr>
          <w:p w:rsidR="00000000" w:rsidRDefault="00000000">
            <w:pPr>
              <w:spacing w:before="60" w:line="312" w:lineRule="auto"/>
              <w:jc w:val="center"/>
              <w:rPr>
                <w:sz w:val="20"/>
              </w:rPr>
            </w:pPr>
            <w:r>
              <w:rPr>
                <w:sz w:val="20"/>
              </w:rPr>
              <w:t>106</w:t>
            </w:r>
          </w:p>
        </w:tc>
        <w:tc>
          <w:tcPr>
            <w:tcW w:w="1134" w:type="dxa"/>
            <w:tcBorders>
              <w:top w:val="nil"/>
              <w:bottom w:val="nil"/>
            </w:tcBorders>
          </w:tcPr>
          <w:p w:rsidR="00000000" w:rsidRDefault="00000000">
            <w:pPr>
              <w:spacing w:before="60" w:line="312" w:lineRule="auto"/>
              <w:jc w:val="center"/>
              <w:rPr>
                <w:sz w:val="20"/>
              </w:rPr>
            </w:pPr>
            <w:r>
              <w:rPr>
                <w:sz w:val="20"/>
              </w:rPr>
              <w:t>129,453</w:t>
            </w:r>
          </w:p>
        </w:tc>
        <w:tc>
          <w:tcPr>
            <w:tcW w:w="1134" w:type="dxa"/>
            <w:tcBorders>
              <w:top w:val="nil"/>
              <w:bottom w:val="nil"/>
            </w:tcBorders>
          </w:tcPr>
          <w:p w:rsidR="00000000" w:rsidRDefault="00000000">
            <w:pPr>
              <w:spacing w:before="60" w:line="312" w:lineRule="auto"/>
              <w:jc w:val="center"/>
              <w:rPr>
                <w:sz w:val="20"/>
              </w:rPr>
            </w:pPr>
            <w:r>
              <w:rPr>
                <w:sz w:val="20"/>
              </w:rPr>
              <w:t>115,888</w:t>
            </w:r>
          </w:p>
        </w:tc>
        <w:tc>
          <w:tcPr>
            <w:tcW w:w="1276" w:type="dxa"/>
            <w:tcBorders>
              <w:top w:val="nil"/>
              <w:bottom w:val="nil"/>
            </w:tcBorders>
          </w:tcPr>
          <w:p w:rsidR="00000000" w:rsidRDefault="00000000">
            <w:pPr>
              <w:spacing w:before="60" w:line="312" w:lineRule="auto"/>
              <w:jc w:val="center"/>
              <w:rPr>
                <w:sz w:val="20"/>
              </w:rPr>
            </w:pPr>
            <w:r>
              <w:rPr>
                <w:sz w:val="20"/>
              </w:rPr>
              <w:t>50,840</w:t>
            </w:r>
          </w:p>
        </w:tc>
        <w:tc>
          <w:tcPr>
            <w:tcW w:w="1134" w:type="dxa"/>
            <w:tcBorders>
              <w:top w:val="nil"/>
              <w:bottom w:val="nil"/>
            </w:tcBorders>
          </w:tcPr>
          <w:p w:rsidR="00000000" w:rsidRDefault="00000000">
            <w:pPr>
              <w:spacing w:before="60" w:line="312" w:lineRule="auto"/>
              <w:jc w:val="center"/>
              <w:rPr>
                <w:sz w:val="20"/>
              </w:rPr>
            </w:pPr>
            <w:r>
              <w:rPr>
                <w:sz w:val="20"/>
              </w:rPr>
              <w:t>2,871</w:t>
            </w:r>
          </w:p>
        </w:tc>
        <w:tc>
          <w:tcPr>
            <w:tcW w:w="1134" w:type="dxa"/>
            <w:tcBorders>
              <w:top w:val="nil"/>
              <w:bottom w:val="nil"/>
            </w:tcBorders>
          </w:tcPr>
          <w:p w:rsidR="00000000" w:rsidRDefault="00000000">
            <w:pPr>
              <w:spacing w:before="60" w:line="312" w:lineRule="auto"/>
              <w:jc w:val="center"/>
              <w:rPr>
                <w:sz w:val="20"/>
              </w:rPr>
            </w:pPr>
            <w:r>
              <w:rPr>
                <w:sz w:val="20"/>
              </w:rPr>
              <w:t>10,694</w:t>
            </w:r>
          </w:p>
        </w:tc>
      </w:tr>
      <w:tr w:rsidR="00000000">
        <w:tblPrEx>
          <w:tblCellMar>
            <w:top w:w="0" w:type="dxa"/>
            <w:bottom w:w="0" w:type="dxa"/>
          </w:tblCellMar>
        </w:tblPrEx>
        <w:tc>
          <w:tcPr>
            <w:tcW w:w="1224" w:type="dxa"/>
            <w:tcBorders>
              <w:top w:val="nil"/>
              <w:bottom w:val="nil"/>
            </w:tcBorders>
          </w:tcPr>
          <w:p w:rsidR="00000000" w:rsidRDefault="00000000">
            <w:pPr>
              <w:spacing w:before="60" w:line="312" w:lineRule="auto"/>
              <w:jc w:val="center"/>
              <w:rPr>
                <w:sz w:val="20"/>
              </w:rPr>
            </w:pPr>
            <w:r>
              <w:rPr>
                <w:sz w:val="20"/>
              </w:rPr>
              <w:t>95/96</w:t>
            </w:r>
          </w:p>
        </w:tc>
        <w:tc>
          <w:tcPr>
            <w:tcW w:w="1296" w:type="dxa"/>
            <w:tcBorders>
              <w:top w:val="nil"/>
              <w:bottom w:val="nil"/>
            </w:tcBorders>
          </w:tcPr>
          <w:p w:rsidR="00000000" w:rsidRDefault="00000000">
            <w:pPr>
              <w:spacing w:before="60" w:line="312" w:lineRule="auto"/>
              <w:jc w:val="center"/>
              <w:rPr>
                <w:sz w:val="20"/>
              </w:rPr>
            </w:pPr>
            <w:r>
              <w:rPr>
                <w:sz w:val="20"/>
              </w:rPr>
              <w:t>23</w:t>
            </w:r>
          </w:p>
        </w:tc>
        <w:tc>
          <w:tcPr>
            <w:tcW w:w="1024" w:type="dxa"/>
            <w:tcBorders>
              <w:top w:val="nil"/>
              <w:bottom w:val="nil"/>
            </w:tcBorders>
          </w:tcPr>
          <w:p w:rsidR="00000000" w:rsidRDefault="00000000">
            <w:pPr>
              <w:spacing w:before="60" w:line="312" w:lineRule="auto"/>
              <w:jc w:val="center"/>
              <w:rPr>
                <w:sz w:val="20"/>
              </w:rPr>
            </w:pPr>
            <w:r>
              <w:rPr>
                <w:sz w:val="20"/>
              </w:rPr>
              <w:t>110</w:t>
            </w:r>
          </w:p>
        </w:tc>
        <w:tc>
          <w:tcPr>
            <w:tcW w:w="1134" w:type="dxa"/>
            <w:tcBorders>
              <w:top w:val="nil"/>
              <w:bottom w:val="nil"/>
            </w:tcBorders>
          </w:tcPr>
          <w:p w:rsidR="00000000" w:rsidRDefault="00000000">
            <w:pPr>
              <w:spacing w:before="60" w:line="312" w:lineRule="auto"/>
              <w:jc w:val="center"/>
              <w:rPr>
                <w:sz w:val="20"/>
              </w:rPr>
            </w:pPr>
            <w:r>
              <w:rPr>
                <w:sz w:val="20"/>
              </w:rPr>
              <w:t>139,774</w:t>
            </w:r>
          </w:p>
        </w:tc>
        <w:tc>
          <w:tcPr>
            <w:tcW w:w="1134" w:type="dxa"/>
            <w:tcBorders>
              <w:top w:val="nil"/>
              <w:bottom w:val="nil"/>
            </w:tcBorders>
          </w:tcPr>
          <w:p w:rsidR="00000000" w:rsidRDefault="00000000">
            <w:pPr>
              <w:spacing w:before="60" w:line="312" w:lineRule="auto"/>
              <w:jc w:val="center"/>
              <w:rPr>
                <w:sz w:val="20"/>
              </w:rPr>
            </w:pPr>
            <w:r>
              <w:rPr>
                <w:sz w:val="20"/>
              </w:rPr>
              <w:t>123,460</w:t>
            </w:r>
          </w:p>
        </w:tc>
        <w:tc>
          <w:tcPr>
            <w:tcW w:w="1276" w:type="dxa"/>
            <w:tcBorders>
              <w:top w:val="nil"/>
              <w:bottom w:val="nil"/>
            </w:tcBorders>
          </w:tcPr>
          <w:p w:rsidR="00000000" w:rsidRDefault="00000000">
            <w:pPr>
              <w:spacing w:before="60" w:line="312" w:lineRule="auto"/>
              <w:jc w:val="center"/>
              <w:rPr>
                <w:sz w:val="20"/>
              </w:rPr>
            </w:pPr>
            <w:r>
              <w:rPr>
                <w:sz w:val="20"/>
              </w:rPr>
              <w:t>54,670</w:t>
            </w:r>
          </w:p>
        </w:tc>
        <w:tc>
          <w:tcPr>
            <w:tcW w:w="1134" w:type="dxa"/>
            <w:tcBorders>
              <w:top w:val="nil"/>
              <w:bottom w:val="nil"/>
            </w:tcBorders>
          </w:tcPr>
          <w:p w:rsidR="00000000" w:rsidRDefault="00000000">
            <w:pPr>
              <w:spacing w:before="60" w:line="312" w:lineRule="auto"/>
              <w:jc w:val="center"/>
              <w:rPr>
                <w:sz w:val="20"/>
              </w:rPr>
            </w:pPr>
            <w:r>
              <w:rPr>
                <w:sz w:val="20"/>
              </w:rPr>
              <w:t>2,885</w:t>
            </w:r>
          </w:p>
        </w:tc>
        <w:tc>
          <w:tcPr>
            <w:tcW w:w="1134" w:type="dxa"/>
            <w:tcBorders>
              <w:top w:val="nil"/>
              <w:bottom w:val="nil"/>
            </w:tcBorders>
          </w:tcPr>
          <w:p w:rsidR="00000000" w:rsidRDefault="00000000">
            <w:pPr>
              <w:spacing w:before="60" w:line="312" w:lineRule="auto"/>
              <w:jc w:val="center"/>
              <w:rPr>
                <w:sz w:val="20"/>
              </w:rPr>
            </w:pPr>
            <w:r>
              <w:rPr>
                <w:sz w:val="20"/>
              </w:rPr>
              <w:t>13,429</w:t>
            </w:r>
          </w:p>
        </w:tc>
      </w:tr>
      <w:tr w:rsidR="00000000">
        <w:tblPrEx>
          <w:tblCellMar>
            <w:top w:w="0" w:type="dxa"/>
            <w:bottom w:w="0" w:type="dxa"/>
          </w:tblCellMar>
        </w:tblPrEx>
        <w:tc>
          <w:tcPr>
            <w:tcW w:w="1224" w:type="dxa"/>
            <w:tcBorders>
              <w:top w:val="nil"/>
              <w:bottom w:val="nil"/>
            </w:tcBorders>
          </w:tcPr>
          <w:p w:rsidR="00000000" w:rsidRDefault="00000000">
            <w:pPr>
              <w:spacing w:before="60" w:line="312" w:lineRule="auto"/>
              <w:jc w:val="center"/>
              <w:rPr>
                <w:sz w:val="20"/>
              </w:rPr>
            </w:pPr>
            <w:r>
              <w:rPr>
                <w:sz w:val="20"/>
              </w:rPr>
              <w:t>96/97</w:t>
            </w:r>
          </w:p>
        </w:tc>
        <w:tc>
          <w:tcPr>
            <w:tcW w:w="1296" w:type="dxa"/>
            <w:tcBorders>
              <w:top w:val="nil"/>
              <w:bottom w:val="nil"/>
            </w:tcBorders>
          </w:tcPr>
          <w:p w:rsidR="00000000" w:rsidRDefault="00000000">
            <w:pPr>
              <w:spacing w:before="60" w:line="312" w:lineRule="auto"/>
              <w:jc w:val="center"/>
              <w:rPr>
                <w:sz w:val="20"/>
              </w:rPr>
            </w:pPr>
            <w:r>
              <w:rPr>
                <w:sz w:val="20"/>
              </w:rPr>
              <w:t>23</w:t>
            </w:r>
          </w:p>
        </w:tc>
        <w:tc>
          <w:tcPr>
            <w:tcW w:w="1024" w:type="dxa"/>
            <w:tcBorders>
              <w:top w:val="nil"/>
              <w:bottom w:val="nil"/>
            </w:tcBorders>
          </w:tcPr>
          <w:p w:rsidR="00000000" w:rsidRDefault="00000000">
            <w:pPr>
              <w:spacing w:before="60" w:line="312" w:lineRule="auto"/>
              <w:jc w:val="center"/>
              <w:rPr>
                <w:sz w:val="20"/>
              </w:rPr>
            </w:pPr>
            <w:r>
              <w:rPr>
                <w:sz w:val="20"/>
              </w:rPr>
              <w:t>111</w:t>
            </w:r>
          </w:p>
        </w:tc>
        <w:tc>
          <w:tcPr>
            <w:tcW w:w="1134" w:type="dxa"/>
            <w:tcBorders>
              <w:top w:val="nil"/>
              <w:bottom w:val="nil"/>
            </w:tcBorders>
          </w:tcPr>
          <w:p w:rsidR="00000000" w:rsidRDefault="00000000">
            <w:pPr>
              <w:spacing w:before="60" w:line="312" w:lineRule="auto"/>
              <w:jc w:val="center"/>
              <w:rPr>
                <w:sz w:val="20"/>
              </w:rPr>
            </w:pPr>
            <w:r>
              <w:rPr>
                <w:sz w:val="20"/>
              </w:rPr>
              <w:t>155,868</w:t>
            </w:r>
          </w:p>
        </w:tc>
        <w:tc>
          <w:tcPr>
            <w:tcW w:w="1134" w:type="dxa"/>
            <w:tcBorders>
              <w:top w:val="nil"/>
              <w:bottom w:val="nil"/>
            </w:tcBorders>
          </w:tcPr>
          <w:p w:rsidR="00000000" w:rsidRDefault="00000000">
            <w:pPr>
              <w:spacing w:before="60" w:line="312" w:lineRule="auto"/>
              <w:jc w:val="center"/>
              <w:rPr>
                <w:sz w:val="20"/>
              </w:rPr>
            </w:pPr>
            <w:r>
              <w:rPr>
                <w:sz w:val="20"/>
              </w:rPr>
              <w:t>136,763</w:t>
            </w:r>
          </w:p>
        </w:tc>
        <w:tc>
          <w:tcPr>
            <w:tcW w:w="1276" w:type="dxa"/>
            <w:tcBorders>
              <w:top w:val="nil"/>
              <w:bottom w:val="nil"/>
            </w:tcBorders>
          </w:tcPr>
          <w:p w:rsidR="00000000" w:rsidRDefault="00000000">
            <w:pPr>
              <w:spacing w:before="60" w:line="312" w:lineRule="auto"/>
              <w:jc w:val="center"/>
              <w:rPr>
                <w:sz w:val="20"/>
              </w:rPr>
            </w:pPr>
            <w:r>
              <w:rPr>
                <w:sz w:val="20"/>
              </w:rPr>
              <w:t>60,555</w:t>
            </w:r>
          </w:p>
        </w:tc>
        <w:tc>
          <w:tcPr>
            <w:tcW w:w="1134" w:type="dxa"/>
            <w:tcBorders>
              <w:top w:val="nil"/>
              <w:bottom w:val="nil"/>
            </w:tcBorders>
          </w:tcPr>
          <w:p w:rsidR="00000000" w:rsidRDefault="00000000">
            <w:pPr>
              <w:spacing w:before="60" w:line="312" w:lineRule="auto"/>
              <w:jc w:val="center"/>
              <w:rPr>
                <w:sz w:val="20"/>
              </w:rPr>
            </w:pPr>
            <w:r>
              <w:rPr>
                <w:sz w:val="20"/>
              </w:rPr>
              <w:t>3,266</w:t>
            </w:r>
          </w:p>
        </w:tc>
        <w:tc>
          <w:tcPr>
            <w:tcW w:w="1134" w:type="dxa"/>
            <w:tcBorders>
              <w:top w:val="nil"/>
              <w:bottom w:val="nil"/>
            </w:tcBorders>
          </w:tcPr>
          <w:p w:rsidR="00000000" w:rsidRDefault="00000000">
            <w:pPr>
              <w:spacing w:before="60" w:line="312" w:lineRule="auto"/>
              <w:jc w:val="center"/>
              <w:rPr>
                <w:sz w:val="20"/>
              </w:rPr>
            </w:pPr>
            <w:r>
              <w:rPr>
                <w:sz w:val="20"/>
              </w:rPr>
              <w:t>15,839</w:t>
            </w:r>
          </w:p>
        </w:tc>
      </w:tr>
      <w:tr w:rsidR="00000000">
        <w:tblPrEx>
          <w:tblCellMar>
            <w:top w:w="0" w:type="dxa"/>
            <w:bottom w:w="0" w:type="dxa"/>
          </w:tblCellMar>
        </w:tblPrEx>
        <w:tc>
          <w:tcPr>
            <w:tcW w:w="1224" w:type="dxa"/>
            <w:tcBorders>
              <w:top w:val="nil"/>
              <w:bottom w:val="nil"/>
            </w:tcBorders>
          </w:tcPr>
          <w:p w:rsidR="00000000" w:rsidRDefault="00000000">
            <w:pPr>
              <w:spacing w:before="60" w:line="312" w:lineRule="auto"/>
              <w:jc w:val="center"/>
              <w:rPr>
                <w:sz w:val="20"/>
              </w:rPr>
            </w:pPr>
            <w:r>
              <w:rPr>
                <w:sz w:val="20"/>
              </w:rPr>
              <w:t>97/98</w:t>
            </w:r>
          </w:p>
        </w:tc>
        <w:tc>
          <w:tcPr>
            <w:tcW w:w="1296" w:type="dxa"/>
            <w:tcBorders>
              <w:top w:val="nil"/>
              <w:bottom w:val="nil"/>
            </w:tcBorders>
          </w:tcPr>
          <w:p w:rsidR="00000000" w:rsidRDefault="00000000">
            <w:pPr>
              <w:spacing w:before="60" w:line="312" w:lineRule="auto"/>
              <w:jc w:val="center"/>
              <w:rPr>
                <w:sz w:val="20"/>
              </w:rPr>
            </w:pPr>
            <w:r>
              <w:rPr>
                <w:sz w:val="20"/>
              </w:rPr>
              <w:t>23</w:t>
            </w:r>
          </w:p>
        </w:tc>
        <w:tc>
          <w:tcPr>
            <w:tcW w:w="1024" w:type="dxa"/>
            <w:tcBorders>
              <w:top w:val="nil"/>
              <w:bottom w:val="nil"/>
            </w:tcBorders>
          </w:tcPr>
          <w:p w:rsidR="00000000" w:rsidRDefault="00000000">
            <w:pPr>
              <w:spacing w:before="60" w:line="312" w:lineRule="auto"/>
              <w:jc w:val="center"/>
              <w:rPr>
                <w:sz w:val="20"/>
              </w:rPr>
            </w:pPr>
            <w:r>
              <w:rPr>
                <w:sz w:val="20"/>
              </w:rPr>
              <w:t>112</w:t>
            </w:r>
          </w:p>
        </w:tc>
        <w:tc>
          <w:tcPr>
            <w:tcW w:w="1134" w:type="dxa"/>
            <w:tcBorders>
              <w:top w:val="nil"/>
              <w:bottom w:val="nil"/>
            </w:tcBorders>
          </w:tcPr>
          <w:p w:rsidR="00000000" w:rsidRDefault="00000000">
            <w:pPr>
              <w:spacing w:before="60" w:line="312" w:lineRule="auto"/>
              <w:jc w:val="center"/>
              <w:rPr>
                <w:sz w:val="20"/>
              </w:rPr>
            </w:pPr>
            <w:r>
              <w:rPr>
                <w:sz w:val="20"/>
              </w:rPr>
              <w:t>165,754</w:t>
            </w:r>
          </w:p>
        </w:tc>
        <w:tc>
          <w:tcPr>
            <w:tcW w:w="1134" w:type="dxa"/>
            <w:tcBorders>
              <w:top w:val="nil"/>
              <w:bottom w:val="nil"/>
            </w:tcBorders>
          </w:tcPr>
          <w:p w:rsidR="00000000" w:rsidRDefault="00000000">
            <w:pPr>
              <w:spacing w:before="60" w:line="312" w:lineRule="auto"/>
              <w:jc w:val="center"/>
              <w:rPr>
                <w:sz w:val="20"/>
              </w:rPr>
            </w:pPr>
            <w:r>
              <w:rPr>
                <w:sz w:val="20"/>
              </w:rPr>
              <w:t>145,097</w:t>
            </w:r>
          </w:p>
        </w:tc>
        <w:tc>
          <w:tcPr>
            <w:tcW w:w="1276" w:type="dxa"/>
            <w:tcBorders>
              <w:top w:val="nil"/>
              <w:bottom w:val="nil"/>
            </w:tcBorders>
          </w:tcPr>
          <w:p w:rsidR="00000000" w:rsidRDefault="00000000">
            <w:pPr>
              <w:spacing w:before="60" w:line="312" w:lineRule="auto"/>
              <w:jc w:val="center"/>
              <w:rPr>
                <w:sz w:val="20"/>
              </w:rPr>
            </w:pPr>
            <w:r>
              <w:rPr>
                <w:sz w:val="20"/>
              </w:rPr>
              <w:t>64,794</w:t>
            </w:r>
          </w:p>
        </w:tc>
        <w:tc>
          <w:tcPr>
            <w:tcW w:w="1134" w:type="dxa"/>
            <w:tcBorders>
              <w:top w:val="nil"/>
              <w:bottom w:val="nil"/>
            </w:tcBorders>
          </w:tcPr>
          <w:p w:rsidR="00000000" w:rsidRDefault="00000000">
            <w:pPr>
              <w:spacing w:before="60" w:line="312" w:lineRule="auto"/>
              <w:jc w:val="center"/>
              <w:rPr>
                <w:sz w:val="20"/>
              </w:rPr>
            </w:pPr>
            <w:r>
              <w:rPr>
                <w:sz w:val="20"/>
              </w:rPr>
              <w:t>3,381</w:t>
            </w:r>
          </w:p>
        </w:tc>
        <w:tc>
          <w:tcPr>
            <w:tcW w:w="1134" w:type="dxa"/>
            <w:tcBorders>
              <w:top w:val="nil"/>
              <w:bottom w:val="nil"/>
            </w:tcBorders>
          </w:tcPr>
          <w:p w:rsidR="00000000" w:rsidRDefault="00000000">
            <w:pPr>
              <w:spacing w:before="60" w:line="312" w:lineRule="auto"/>
              <w:jc w:val="center"/>
              <w:rPr>
                <w:sz w:val="20"/>
              </w:rPr>
            </w:pPr>
            <w:r>
              <w:rPr>
                <w:sz w:val="20"/>
              </w:rPr>
              <w:t>17,276</w:t>
            </w:r>
          </w:p>
        </w:tc>
      </w:tr>
      <w:tr w:rsidR="00000000">
        <w:tblPrEx>
          <w:tblCellMar>
            <w:top w:w="0" w:type="dxa"/>
            <w:bottom w:w="0" w:type="dxa"/>
          </w:tblCellMar>
        </w:tblPrEx>
        <w:tc>
          <w:tcPr>
            <w:tcW w:w="1224" w:type="dxa"/>
            <w:tcBorders>
              <w:top w:val="nil"/>
            </w:tcBorders>
          </w:tcPr>
          <w:p w:rsidR="00000000" w:rsidRDefault="00000000">
            <w:pPr>
              <w:spacing w:before="60" w:line="312" w:lineRule="auto"/>
              <w:jc w:val="center"/>
              <w:rPr>
                <w:sz w:val="20"/>
              </w:rPr>
            </w:pPr>
            <w:r>
              <w:rPr>
                <w:sz w:val="20"/>
              </w:rPr>
              <w:t>98/99</w:t>
            </w:r>
          </w:p>
        </w:tc>
        <w:tc>
          <w:tcPr>
            <w:tcW w:w="1296" w:type="dxa"/>
            <w:tcBorders>
              <w:top w:val="nil"/>
            </w:tcBorders>
          </w:tcPr>
          <w:p w:rsidR="00000000" w:rsidRDefault="00000000">
            <w:pPr>
              <w:spacing w:before="60" w:line="312" w:lineRule="auto"/>
              <w:jc w:val="center"/>
              <w:rPr>
                <w:sz w:val="20"/>
              </w:rPr>
            </w:pPr>
            <w:r>
              <w:rPr>
                <w:sz w:val="20"/>
              </w:rPr>
              <w:t>23</w:t>
            </w:r>
          </w:p>
        </w:tc>
        <w:tc>
          <w:tcPr>
            <w:tcW w:w="1024" w:type="dxa"/>
            <w:tcBorders>
              <w:top w:val="nil"/>
            </w:tcBorders>
          </w:tcPr>
          <w:p w:rsidR="00000000" w:rsidRDefault="00000000">
            <w:pPr>
              <w:spacing w:before="60" w:line="312" w:lineRule="auto"/>
              <w:jc w:val="center"/>
              <w:rPr>
                <w:sz w:val="20"/>
              </w:rPr>
            </w:pPr>
            <w:r>
              <w:rPr>
                <w:sz w:val="20"/>
              </w:rPr>
              <w:t>112</w:t>
            </w:r>
          </w:p>
        </w:tc>
        <w:tc>
          <w:tcPr>
            <w:tcW w:w="1134" w:type="dxa"/>
            <w:tcBorders>
              <w:top w:val="nil"/>
            </w:tcBorders>
          </w:tcPr>
          <w:p w:rsidR="00000000" w:rsidRDefault="00000000">
            <w:pPr>
              <w:spacing w:before="60" w:line="312" w:lineRule="auto"/>
              <w:jc w:val="center"/>
              <w:rPr>
                <w:sz w:val="20"/>
              </w:rPr>
            </w:pPr>
            <w:r>
              <w:rPr>
                <w:sz w:val="20"/>
              </w:rPr>
              <w:t>174,229</w:t>
            </w:r>
          </w:p>
        </w:tc>
        <w:tc>
          <w:tcPr>
            <w:tcW w:w="1134" w:type="dxa"/>
            <w:tcBorders>
              <w:top w:val="nil"/>
            </w:tcBorders>
          </w:tcPr>
          <w:p w:rsidR="00000000" w:rsidRDefault="00000000">
            <w:pPr>
              <w:spacing w:before="60" w:line="312" w:lineRule="auto"/>
              <w:jc w:val="center"/>
              <w:rPr>
                <w:sz w:val="20"/>
              </w:rPr>
            </w:pPr>
            <w:r>
              <w:rPr>
                <w:sz w:val="20"/>
              </w:rPr>
              <w:t>151,719</w:t>
            </w:r>
          </w:p>
        </w:tc>
        <w:tc>
          <w:tcPr>
            <w:tcW w:w="1276" w:type="dxa"/>
            <w:tcBorders>
              <w:top w:val="nil"/>
            </w:tcBorders>
          </w:tcPr>
          <w:p w:rsidR="00000000" w:rsidRDefault="00000000">
            <w:pPr>
              <w:spacing w:before="60" w:line="312" w:lineRule="auto"/>
              <w:jc w:val="center"/>
              <w:rPr>
                <w:sz w:val="20"/>
              </w:rPr>
            </w:pPr>
            <w:r>
              <w:rPr>
                <w:sz w:val="20"/>
              </w:rPr>
              <w:t>69,200</w:t>
            </w:r>
          </w:p>
        </w:tc>
        <w:tc>
          <w:tcPr>
            <w:tcW w:w="1134" w:type="dxa"/>
            <w:tcBorders>
              <w:top w:val="nil"/>
            </w:tcBorders>
          </w:tcPr>
          <w:p w:rsidR="00000000" w:rsidRDefault="00000000">
            <w:pPr>
              <w:spacing w:before="60" w:line="312" w:lineRule="auto"/>
              <w:jc w:val="center"/>
              <w:rPr>
                <w:sz w:val="20"/>
              </w:rPr>
            </w:pPr>
            <w:r>
              <w:rPr>
                <w:sz w:val="20"/>
              </w:rPr>
              <w:t>3,693</w:t>
            </w:r>
          </w:p>
        </w:tc>
        <w:tc>
          <w:tcPr>
            <w:tcW w:w="1134" w:type="dxa"/>
            <w:tcBorders>
              <w:top w:val="nil"/>
            </w:tcBorders>
          </w:tcPr>
          <w:p w:rsidR="00000000" w:rsidRDefault="00000000">
            <w:pPr>
              <w:spacing w:before="60" w:line="312" w:lineRule="auto"/>
              <w:jc w:val="center"/>
              <w:rPr>
                <w:sz w:val="20"/>
              </w:rPr>
            </w:pPr>
            <w:r>
              <w:rPr>
                <w:sz w:val="20"/>
              </w:rPr>
              <w:t>18,817</w:t>
            </w:r>
          </w:p>
        </w:tc>
      </w:tr>
    </w:tbl>
    <w:p w:rsidR="00000000" w:rsidRDefault="00000000">
      <w:pPr>
        <w:rPr>
          <w:rFonts w:eastAsia="KaiTi_GB2312" w:hint="eastAsia"/>
          <w:spacing w:val="0"/>
          <w:sz w:val="22"/>
        </w:rPr>
      </w:pPr>
    </w:p>
    <w:p w:rsidR="00000000" w:rsidRDefault="00000000">
      <w:pPr>
        <w:spacing w:after="320"/>
        <w:rPr>
          <w:rFonts w:hint="eastAsia"/>
        </w:rPr>
      </w:pPr>
      <w:r>
        <w:rPr>
          <w:rFonts w:eastAsia="KaiTi_GB2312" w:hint="eastAsia"/>
          <w:spacing w:val="0"/>
          <w:sz w:val="22"/>
        </w:rPr>
        <w:t xml:space="preserve">  </w:t>
      </w:r>
      <w:r>
        <w:rPr>
          <w:rFonts w:eastAsia="KaiTi_GB2312"/>
          <w:spacing w:val="0"/>
          <w:sz w:val="22"/>
          <w:u w:val="single"/>
        </w:rPr>
        <w:t>a</w:t>
      </w:r>
      <w:r>
        <w:rPr>
          <w:rFonts w:eastAsia="KaiTi_GB2312" w:hint="eastAsia"/>
          <w:spacing w:val="0"/>
          <w:sz w:val="22"/>
        </w:rPr>
        <w:t>/</w:t>
      </w:r>
      <w:r>
        <w:rPr>
          <w:rFonts w:eastAsia="KaiTi_GB2312"/>
          <w:spacing w:val="0"/>
          <w:sz w:val="22"/>
        </w:rPr>
        <w:t xml:space="preserve">  </w:t>
      </w:r>
      <w:r>
        <w:rPr>
          <w:rFonts w:eastAsia="KaiTi_GB2312" w:hint="eastAsia"/>
          <w:spacing w:val="0"/>
          <w:sz w:val="22"/>
        </w:rPr>
        <w:t xml:space="preserve"> </w:t>
      </w:r>
      <w:r>
        <w:rPr>
          <w:rFonts w:eastAsia="KaiTi_GB2312" w:hint="eastAsia"/>
          <w:spacing w:val="0"/>
          <w:sz w:val="22"/>
        </w:rPr>
        <w:t>包括边学习边工作者。</w:t>
      </w:r>
    </w:p>
    <w:p w:rsidR="00000000" w:rsidRDefault="00000000">
      <w:pPr>
        <w:spacing w:after="320"/>
        <w:rPr>
          <w:rFonts w:hint="eastAsia"/>
          <w:bCs/>
        </w:rPr>
      </w:pPr>
      <w:r>
        <w:rPr>
          <w:rFonts w:hint="eastAsia"/>
          <w:bCs/>
        </w:rPr>
        <w:tab/>
        <w:t>577.  1998</w:t>
      </w:r>
      <w:r>
        <w:rPr>
          <w:rFonts w:hint="eastAsia"/>
          <w:bCs/>
        </w:rPr>
        <w:t>年下半年，新的《大学法》</w:t>
      </w:r>
      <w:r>
        <w:rPr>
          <w:rFonts w:hint="eastAsia"/>
          <w:bCs/>
        </w:rPr>
        <w:t xml:space="preserve"> </w:t>
      </w:r>
      <w:r>
        <w:rPr>
          <w:rStyle w:val="EndnoteReference"/>
          <w:bCs/>
        </w:rPr>
        <w:endnoteReference w:id="343"/>
      </w:r>
      <w:r>
        <w:rPr>
          <w:rFonts w:hint="eastAsia"/>
          <w:bCs/>
        </w:rPr>
        <w:t xml:space="preserve">  </w:t>
      </w:r>
      <w:r>
        <w:rPr>
          <w:rFonts w:hint="eastAsia"/>
          <w:bCs/>
        </w:rPr>
        <w:t>生效。它是随着捷克大学出现的反映世界性发展动态的变革应运而生的。主要变化是随着人们愈益有志于大学学习而广泛地发展大学教育。基本问题是如何满足大量的需求，同时保持理想的教育质量。达到这一要求的方法是，使大学教育充分多样化，即除了五年制课程以外，开设一系列面向专业的三年制课程。平衡大学系统多样化的方法是，实行所有课程鉴定制，并授权大学当局进行某一领域里的专业任命程序</w:t>
      </w:r>
      <w:r>
        <w:rPr>
          <w:rFonts w:hint="eastAsia"/>
          <w:bCs/>
        </w:rPr>
        <w:t>(</w:t>
      </w:r>
      <w:r>
        <w:rPr>
          <w:rFonts w:hint="eastAsia"/>
          <w:bCs/>
        </w:rPr>
        <w:t>两级：“讲师”和教授</w:t>
      </w:r>
      <w:r>
        <w:rPr>
          <w:rFonts w:hint="eastAsia"/>
          <w:bCs/>
        </w:rPr>
        <w:t>)</w:t>
      </w:r>
      <w:r>
        <w:rPr>
          <w:rFonts w:hint="eastAsia"/>
          <w:bCs/>
        </w:rPr>
        <w:t>。鉴定制是最近实行的，目的是确保大学教育的质量。大学教育的基本单位是课程：学士、硕士或研究生。学士课程是专门使学生准备从事直接利用所学到的信息和方法的专业。硕士课程的目的是取得更深入的理论知识，而研究生课程的目的是进行学术研究和从事独立的创造性工作。</w:t>
      </w:r>
    </w:p>
    <w:p w:rsidR="00000000" w:rsidRDefault="00000000">
      <w:pPr>
        <w:pStyle w:val="Heading3"/>
        <w:pageBreakBefore/>
        <w:rPr>
          <w:rFonts w:hint="eastAsia"/>
        </w:rPr>
      </w:pPr>
      <w:r>
        <w:rPr>
          <w:rFonts w:hint="eastAsia"/>
          <w:b/>
        </w:rPr>
        <w:t>1998</w:t>
      </w:r>
      <w:r>
        <w:rPr>
          <w:rFonts w:hint="eastAsia"/>
        </w:rPr>
        <w:t>/</w:t>
      </w:r>
      <w:r>
        <w:rPr>
          <w:rFonts w:hint="eastAsia"/>
          <w:b/>
        </w:rPr>
        <w:t>1999</w:t>
      </w:r>
      <w:r>
        <w:rPr>
          <w:rFonts w:hint="eastAsia"/>
        </w:rPr>
        <w:t>学年按专业分列的大学</w:t>
      </w:r>
      <w:r>
        <w:rPr>
          <w:rFonts w:hint="eastAsia"/>
        </w:rPr>
        <w:t>(</w:t>
      </w:r>
      <w:r>
        <w:rPr>
          <w:rFonts w:hint="eastAsia"/>
        </w:rPr>
        <w:t>只有捷克学生</w:t>
      </w:r>
      <w:r>
        <w:rPr>
          <w:rFonts w:hint="eastAsia"/>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0"/>
        <w:gridCol w:w="1320"/>
        <w:gridCol w:w="1440"/>
        <w:gridCol w:w="1800"/>
        <w:gridCol w:w="1316"/>
      </w:tblGrid>
      <w:tr w:rsidR="00000000">
        <w:tc>
          <w:tcPr>
            <w:tcW w:w="3480" w:type="dxa"/>
            <w:tcBorders>
              <w:bottom w:val="single" w:sz="4" w:space="0" w:color="auto"/>
            </w:tcBorders>
            <w:vAlign w:val="center"/>
          </w:tcPr>
          <w:p w:rsidR="00000000" w:rsidRDefault="00000000">
            <w:pPr>
              <w:autoSpaceDE w:val="0"/>
              <w:autoSpaceDN w:val="0"/>
              <w:rPr>
                <w:rFonts w:hint="eastAsia"/>
                <w:sz w:val="20"/>
                <w:szCs w:val="22"/>
              </w:rPr>
            </w:pPr>
            <w:r>
              <w:rPr>
                <w:rFonts w:hint="eastAsia"/>
                <w:sz w:val="20"/>
                <w:szCs w:val="22"/>
              </w:rPr>
              <w:t xml:space="preserve">  </w:t>
            </w:r>
            <w:r>
              <w:rPr>
                <w:rFonts w:hint="eastAsia"/>
                <w:sz w:val="20"/>
                <w:szCs w:val="22"/>
              </w:rPr>
              <w:t>专</w:t>
            </w:r>
            <w:r>
              <w:rPr>
                <w:rFonts w:hint="eastAsia"/>
                <w:sz w:val="20"/>
                <w:szCs w:val="22"/>
              </w:rPr>
              <w:t xml:space="preserve"> </w:t>
            </w:r>
            <w:r>
              <w:rPr>
                <w:rFonts w:hint="eastAsia"/>
                <w:sz w:val="20"/>
                <w:szCs w:val="22"/>
              </w:rPr>
              <w:t>业</w:t>
            </w:r>
            <w:r>
              <w:rPr>
                <w:rFonts w:hint="eastAsia"/>
                <w:sz w:val="20"/>
                <w:szCs w:val="22"/>
              </w:rPr>
              <w:t xml:space="preserve"> </w:t>
            </w:r>
            <w:r>
              <w:rPr>
                <w:rFonts w:hint="eastAsia"/>
                <w:sz w:val="20"/>
                <w:szCs w:val="22"/>
              </w:rPr>
              <w:t>类</w:t>
            </w:r>
          </w:p>
        </w:tc>
        <w:tc>
          <w:tcPr>
            <w:tcW w:w="1320" w:type="dxa"/>
            <w:tcBorders>
              <w:bottom w:val="single" w:sz="4" w:space="0" w:color="auto"/>
            </w:tcBorders>
          </w:tcPr>
          <w:p w:rsidR="00000000" w:rsidRDefault="00000000">
            <w:pPr>
              <w:autoSpaceDE w:val="0"/>
              <w:autoSpaceDN w:val="0"/>
              <w:spacing w:before="120"/>
              <w:jc w:val="center"/>
              <w:rPr>
                <w:rFonts w:hint="eastAsia"/>
                <w:sz w:val="20"/>
                <w:szCs w:val="22"/>
              </w:rPr>
            </w:pPr>
            <w:r>
              <w:rPr>
                <w:rFonts w:hint="eastAsia"/>
                <w:bCs/>
                <w:sz w:val="20"/>
                <w:szCs w:val="22"/>
              </w:rPr>
              <w:t>学生总数</w:t>
            </w:r>
          </w:p>
        </w:tc>
        <w:tc>
          <w:tcPr>
            <w:tcW w:w="1440" w:type="dxa"/>
            <w:tcBorders>
              <w:bottom w:val="single" w:sz="4" w:space="0" w:color="auto"/>
            </w:tcBorders>
          </w:tcPr>
          <w:p w:rsidR="00000000" w:rsidRDefault="00000000">
            <w:pPr>
              <w:autoSpaceDE w:val="0"/>
              <w:autoSpaceDN w:val="0"/>
              <w:spacing w:before="120"/>
              <w:jc w:val="center"/>
              <w:rPr>
                <w:rFonts w:hint="eastAsia"/>
                <w:sz w:val="20"/>
                <w:szCs w:val="22"/>
              </w:rPr>
            </w:pPr>
            <w:r>
              <w:rPr>
                <w:rFonts w:hint="eastAsia"/>
                <w:sz w:val="20"/>
                <w:szCs w:val="22"/>
              </w:rPr>
              <w:t>其中，女生</w:t>
            </w:r>
          </w:p>
        </w:tc>
        <w:tc>
          <w:tcPr>
            <w:tcW w:w="1800" w:type="dxa"/>
            <w:tcBorders>
              <w:bottom w:val="single" w:sz="4" w:space="0" w:color="auto"/>
            </w:tcBorders>
          </w:tcPr>
          <w:p w:rsidR="00000000" w:rsidRDefault="00000000">
            <w:pPr>
              <w:autoSpaceDE w:val="0"/>
              <w:autoSpaceDN w:val="0"/>
              <w:spacing w:before="120" w:line="264" w:lineRule="auto"/>
              <w:jc w:val="center"/>
              <w:rPr>
                <w:rFonts w:hint="eastAsia"/>
                <w:sz w:val="20"/>
                <w:szCs w:val="22"/>
              </w:rPr>
            </w:pPr>
            <w:r>
              <w:rPr>
                <w:rFonts w:hint="eastAsia"/>
                <w:bCs/>
                <w:sz w:val="20"/>
                <w:szCs w:val="22"/>
              </w:rPr>
              <w:t>前一学年的</w:t>
            </w:r>
            <w:r>
              <w:rPr>
                <w:bCs/>
                <w:sz w:val="20"/>
                <w:szCs w:val="22"/>
              </w:rPr>
              <w:br/>
            </w:r>
            <w:r>
              <w:rPr>
                <w:rFonts w:hint="eastAsia"/>
                <w:bCs/>
                <w:sz w:val="20"/>
                <w:szCs w:val="22"/>
              </w:rPr>
              <w:t>毕业生</w:t>
            </w:r>
          </w:p>
        </w:tc>
        <w:tc>
          <w:tcPr>
            <w:tcW w:w="1316" w:type="dxa"/>
            <w:tcBorders>
              <w:bottom w:val="single" w:sz="4" w:space="0" w:color="auto"/>
            </w:tcBorders>
          </w:tcPr>
          <w:p w:rsidR="00000000" w:rsidRDefault="00000000">
            <w:pPr>
              <w:autoSpaceDE w:val="0"/>
              <w:autoSpaceDN w:val="0"/>
              <w:spacing w:before="120"/>
              <w:jc w:val="center"/>
              <w:rPr>
                <w:rFonts w:hint="eastAsia"/>
                <w:sz w:val="20"/>
                <w:szCs w:val="22"/>
              </w:rPr>
            </w:pPr>
            <w:r>
              <w:rPr>
                <w:rFonts w:hint="eastAsia"/>
                <w:sz w:val="20"/>
                <w:szCs w:val="22"/>
              </w:rPr>
              <w:t>其中，女生</w:t>
            </w:r>
          </w:p>
        </w:tc>
      </w:tr>
      <w:tr w:rsidR="00000000">
        <w:tc>
          <w:tcPr>
            <w:tcW w:w="3480" w:type="dxa"/>
            <w:tcBorders>
              <w:bottom w:val="nil"/>
            </w:tcBorders>
          </w:tcPr>
          <w:p w:rsidR="00000000" w:rsidRDefault="00000000">
            <w:pPr>
              <w:autoSpaceDE w:val="0"/>
              <w:autoSpaceDN w:val="0"/>
              <w:spacing w:before="80"/>
              <w:ind w:left="227" w:hanging="142"/>
              <w:rPr>
                <w:rFonts w:hint="eastAsia"/>
                <w:sz w:val="20"/>
                <w:szCs w:val="22"/>
              </w:rPr>
            </w:pPr>
            <w:r>
              <w:rPr>
                <w:rFonts w:hint="eastAsia"/>
                <w:sz w:val="20"/>
                <w:szCs w:val="22"/>
              </w:rPr>
              <w:t>大学总数</w:t>
            </w:r>
          </w:p>
        </w:tc>
        <w:tc>
          <w:tcPr>
            <w:tcW w:w="1320" w:type="dxa"/>
            <w:tcBorders>
              <w:bottom w:val="nil"/>
            </w:tcBorders>
          </w:tcPr>
          <w:p w:rsidR="00000000" w:rsidRDefault="00000000">
            <w:pPr>
              <w:autoSpaceDE w:val="0"/>
              <w:autoSpaceDN w:val="0"/>
              <w:spacing w:before="80"/>
              <w:ind w:right="255"/>
              <w:jc w:val="right"/>
              <w:rPr>
                <w:sz w:val="20"/>
                <w:szCs w:val="22"/>
              </w:rPr>
            </w:pPr>
            <w:r>
              <w:rPr>
                <w:sz w:val="20"/>
                <w:szCs w:val="22"/>
              </w:rPr>
              <w:t>170,536</w:t>
            </w:r>
          </w:p>
        </w:tc>
        <w:tc>
          <w:tcPr>
            <w:tcW w:w="1440" w:type="dxa"/>
            <w:tcBorders>
              <w:bottom w:val="nil"/>
            </w:tcBorders>
          </w:tcPr>
          <w:p w:rsidR="00000000" w:rsidRDefault="00000000">
            <w:pPr>
              <w:autoSpaceDE w:val="0"/>
              <w:autoSpaceDN w:val="0"/>
              <w:spacing w:before="80"/>
              <w:ind w:right="284"/>
              <w:jc w:val="right"/>
              <w:rPr>
                <w:sz w:val="20"/>
                <w:szCs w:val="22"/>
              </w:rPr>
            </w:pPr>
            <w:r>
              <w:rPr>
                <w:sz w:val="20"/>
                <w:szCs w:val="22"/>
              </w:rPr>
              <w:t>79,699</w:t>
            </w:r>
          </w:p>
        </w:tc>
        <w:tc>
          <w:tcPr>
            <w:tcW w:w="1800" w:type="dxa"/>
            <w:tcBorders>
              <w:bottom w:val="nil"/>
            </w:tcBorders>
          </w:tcPr>
          <w:p w:rsidR="00000000" w:rsidRDefault="00000000">
            <w:pPr>
              <w:tabs>
                <w:tab w:val="right" w:pos="1206"/>
              </w:tabs>
              <w:autoSpaceDE w:val="0"/>
              <w:autoSpaceDN w:val="0"/>
              <w:spacing w:before="80"/>
              <w:ind w:right="567"/>
              <w:jc w:val="right"/>
              <w:rPr>
                <w:sz w:val="20"/>
                <w:szCs w:val="22"/>
              </w:rPr>
            </w:pPr>
            <w:r>
              <w:rPr>
                <w:sz w:val="20"/>
                <w:szCs w:val="22"/>
              </w:rPr>
              <w:t>25,960</w:t>
            </w:r>
          </w:p>
        </w:tc>
        <w:tc>
          <w:tcPr>
            <w:tcW w:w="1316" w:type="dxa"/>
            <w:tcBorders>
              <w:bottom w:val="nil"/>
            </w:tcBorders>
          </w:tcPr>
          <w:p w:rsidR="00000000" w:rsidRDefault="00000000">
            <w:pPr>
              <w:autoSpaceDE w:val="0"/>
              <w:autoSpaceDN w:val="0"/>
              <w:spacing w:before="80"/>
              <w:ind w:right="340"/>
              <w:jc w:val="right"/>
              <w:rPr>
                <w:sz w:val="20"/>
                <w:szCs w:val="22"/>
              </w:rPr>
            </w:pPr>
            <w:r>
              <w:rPr>
                <w:sz w:val="20"/>
                <w:szCs w:val="22"/>
              </w:rPr>
              <w:t>12,934</w:t>
            </w:r>
          </w:p>
        </w:tc>
      </w:tr>
      <w:tr w:rsidR="00000000">
        <w:tc>
          <w:tcPr>
            <w:tcW w:w="3480" w:type="dxa"/>
            <w:tcBorders>
              <w:top w:val="nil"/>
              <w:bottom w:val="nil"/>
            </w:tcBorders>
          </w:tcPr>
          <w:p w:rsidR="00000000" w:rsidRDefault="00000000">
            <w:pPr>
              <w:autoSpaceDE w:val="0"/>
              <w:autoSpaceDN w:val="0"/>
              <w:spacing w:before="80"/>
              <w:ind w:left="227" w:hanging="142"/>
              <w:rPr>
                <w:rFonts w:hint="eastAsia"/>
                <w:sz w:val="20"/>
                <w:szCs w:val="22"/>
              </w:rPr>
            </w:pPr>
            <w:r>
              <w:rPr>
                <w:rFonts w:hint="eastAsia"/>
                <w:sz w:val="20"/>
                <w:szCs w:val="22"/>
              </w:rPr>
              <w:t>自然科学</w:t>
            </w:r>
          </w:p>
        </w:tc>
        <w:tc>
          <w:tcPr>
            <w:tcW w:w="1320" w:type="dxa"/>
            <w:tcBorders>
              <w:top w:val="nil"/>
              <w:bottom w:val="nil"/>
            </w:tcBorders>
          </w:tcPr>
          <w:p w:rsidR="00000000" w:rsidRDefault="00000000">
            <w:pPr>
              <w:autoSpaceDE w:val="0"/>
              <w:autoSpaceDN w:val="0"/>
              <w:spacing w:before="80"/>
              <w:ind w:right="255"/>
              <w:jc w:val="right"/>
              <w:rPr>
                <w:sz w:val="20"/>
                <w:szCs w:val="22"/>
              </w:rPr>
            </w:pPr>
            <w:r>
              <w:rPr>
                <w:sz w:val="20"/>
                <w:szCs w:val="22"/>
              </w:rPr>
              <w:t>11,602</w:t>
            </w:r>
          </w:p>
        </w:tc>
        <w:tc>
          <w:tcPr>
            <w:tcW w:w="1440" w:type="dxa"/>
            <w:tcBorders>
              <w:top w:val="nil"/>
              <w:bottom w:val="nil"/>
            </w:tcBorders>
          </w:tcPr>
          <w:p w:rsidR="00000000" w:rsidRDefault="00000000">
            <w:pPr>
              <w:autoSpaceDE w:val="0"/>
              <w:autoSpaceDN w:val="0"/>
              <w:spacing w:before="80"/>
              <w:ind w:right="284"/>
              <w:jc w:val="right"/>
              <w:rPr>
                <w:sz w:val="20"/>
                <w:szCs w:val="22"/>
              </w:rPr>
            </w:pPr>
            <w:r>
              <w:rPr>
                <w:sz w:val="20"/>
                <w:szCs w:val="22"/>
              </w:rPr>
              <w:t>4,040</w:t>
            </w:r>
          </w:p>
        </w:tc>
        <w:tc>
          <w:tcPr>
            <w:tcW w:w="1800" w:type="dxa"/>
            <w:tcBorders>
              <w:top w:val="nil"/>
              <w:bottom w:val="nil"/>
            </w:tcBorders>
          </w:tcPr>
          <w:p w:rsidR="00000000" w:rsidRDefault="00000000">
            <w:pPr>
              <w:tabs>
                <w:tab w:val="right" w:pos="1206"/>
              </w:tabs>
              <w:autoSpaceDE w:val="0"/>
              <w:autoSpaceDN w:val="0"/>
              <w:spacing w:before="80"/>
              <w:ind w:right="567"/>
              <w:jc w:val="right"/>
              <w:rPr>
                <w:sz w:val="20"/>
                <w:szCs w:val="22"/>
              </w:rPr>
            </w:pPr>
            <w:r>
              <w:rPr>
                <w:sz w:val="20"/>
                <w:szCs w:val="22"/>
              </w:rPr>
              <w:t>1,464</w:t>
            </w:r>
          </w:p>
        </w:tc>
        <w:tc>
          <w:tcPr>
            <w:tcW w:w="1316" w:type="dxa"/>
            <w:tcBorders>
              <w:top w:val="nil"/>
              <w:bottom w:val="nil"/>
            </w:tcBorders>
          </w:tcPr>
          <w:p w:rsidR="00000000" w:rsidRDefault="00000000">
            <w:pPr>
              <w:autoSpaceDE w:val="0"/>
              <w:autoSpaceDN w:val="0"/>
              <w:spacing w:before="80"/>
              <w:ind w:right="340"/>
              <w:jc w:val="right"/>
              <w:rPr>
                <w:sz w:val="20"/>
                <w:szCs w:val="22"/>
              </w:rPr>
            </w:pPr>
            <w:r>
              <w:rPr>
                <w:sz w:val="20"/>
                <w:szCs w:val="22"/>
              </w:rPr>
              <w:t>538</w:t>
            </w:r>
          </w:p>
        </w:tc>
      </w:tr>
      <w:tr w:rsidR="00000000">
        <w:tc>
          <w:tcPr>
            <w:tcW w:w="3480" w:type="dxa"/>
            <w:tcBorders>
              <w:top w:val="nil"/>
              <w:bottom w:val="nil"/>
            </w:tcBorders>
          </w:tcPr>
          <w:p w:rsidR="00000000" w:rsidRDefault="00000000">
            <w:pPr>
              <w:autoSpaceDE w:val="0"/>
              <w:autoSpaceDN w:val="0"/>
              <w:spacing w:before="80"/>
              <w:ind w:left="227" w:hanging="142"/>
              <w:rPr>
                <w:rFonts w:hint="eastAsia"/>
                <w:sz w:val="20"/>
                <w:szCs w:val="22"/>
              </w:rPr>
            </w:pPr>
            <w:r>
              <w:rPr>
                <w:rFonts w:hint="eastAsia"/>
                <w:sz w:val="20"/>
                <w:szCs w:val="22"/>
              </w:rPr>
              <w:t>技术科学和学科</w:t>
            </w:r>
          </w:p>
        </w:tc>
        <w:tc>
          <w:tcPr>
            <w:tcW w:w="1320" w:type="dxa"/>
            <w:tcBorders>
              <w:top w:val="nil"/>
              <w:bottom w:val="nil"/>
            </w:tcBorders>
          </w:tcPr>
          <w:p w:rsidR="00000000" w:rsidRDefault="00000000">
            <w:pPr>
              <w:autoSpaceDE w:val="0"/>
              <w:autoSpaceDN w:val="0"/>
              <w:spacing w:before="80"/>
              <w:ind w:right="255"/>
              <w:jc w:val="right"/>
              <w:rPr>
                <w:sz w:val="20"/>
                <w:szCs w:val="22"/>
              </w:rPr>
            </w:pPr>
            <w:r>
              <w:rPr>
                <w:sz w:val="20"/>
                <w:szCs w:val="22"/>
              </w:rPr>
              <w:t>48,043</w:t>
            </w:r>
          </w:p>
        </w:tc>
        <w:tc>
          <w:tcPr>
            <w:tcW w:w="1440" w:type="dxa"/>
            <w:tcBorders>
              <w:top w:val="nil"/>
              <w:bottom w:val="nil"/>
            </w:tcBorders>
          </w:tcPr>
          <w:p w:rsidR="00000000" w:rsidRDefault="00000000">
            <w:pPr>
              <w:autoSpaceDE w:val="0"/>
              <w:autoSpaceDN w:val="0"/>
              <w:spacing w:before="80"/>
              <w:ind w:right="284"/>
              <w:jc w:val="right"/>
              <w:rPr>
                <w:sz w:val="20"/>
                <w:szCs w:val="22"/>
              </w:rPr>
            </w:pPr>
            <w:r>
              <w:rPr>
                <w:sz w:val="20"/>
                <w:szCs w:val="22"/>
              </w:rPr>
              <w:t>9,484</w:t>
            </w:r>
          </w:p>
        </w:tc>
        <w:tc>
          <w:tcPr>
            <w:tcW w:w="1800" w:type="dxa"/>
            <w:tcBorders>
              <w:top w:val="nil"/>
              <w:bottom w:val="nil"/>
            </w:tcBorders>
          </w:tcPr>
          <w:p w:rsidR="00000000" w:rsidRDefault="00000000">
            <w:pPr>
              <w:tabs>
                <w:tab w:val="right" w:pos="1206"/>
              </w:tabs>
              <w:autoSpaceDE w:val="0"/>
              <w:autoSpaceDN w:val="0"/>
              <w:spacing w:before="80"/>
              <w:ind w:right="567"/>
              <w:jc w:val="right"/>
              <w:rPr>
                <w:sz w:val="20"/>
                <w:szCs w:val="22"/>
              </w:rPr>
            </w:pPr>
            <w:r>
              <w:rPr>
                <w:sz w:val="20"/>
                <w:szCs w:val="22"/>
              </w:rPr>
              <w:t>5,729</w:t>
            </w:r>
          </w:p>
        </w:tc>
        <w:tc>
          <w:tcPr>
            <w:tcW w:w="1316" w:type="dxa"/>
            <w:tcBorders>
              <w:top w:val="nil"/>
              <w:bottom w:val="nil"/>
            </w:tcBorders>
          </w:tcPr>
          <w:p w:rsidR="00000000" w:rsidRDefault="00000000">
            <w:pPr>
              <w:autoSpaceDE w:val="0"/>
              <w:autoSpaceDN w:val="0"/>
              <w:spacing w:before="80"/>
              <w:ind w:right="340"/>
              <w:jc w:val="right"/>
              <w:rPr>
                <w:sz w:val="20"/>
                <w:szCs w:val="22"/>
              </w:rPr>
            </w:pPr>
            <w:r>
              <w:rPr>
                <w:sz w:val="20"/>
                <w:szCs w:val="22"/>
              </w:rPr>
              <w:t>1,210</w:t>
            </w:r>
          </w:p>
        </w:tc>
      </w:tr>
      <w:tr w:rsidR="00000000">
        <w:tc>
          <w:tcPr>
            <w:tcW w:w="3480" w:type="dxa"/>
            <w:tcBorders>
              <w:top w:val="nil"/>
              <w:bottom w:val="nil"/>
            </w:tcBorders>
          </w:tcPr>
          <w:p w:rsidR="00000000" w:rsidRDefault="00000000">
            <w:pPr>
              <w:autoSpaceDE w:val="0"/>
              <w:autoSpaceDN w:val="0"/>
              <w:spacing w:before="80"/>
              <w:ind w:left="227"/>
              <w:rPr>
                <w:rFonts w:hint="eastAsia"/>
                <w:sz w:val="20"/>
                <w:szCs w:val="22"/>
                <w:lang w:val="fr-FR"/>
              </w:rPr>
            </w:pPr>
            <w:r>
              <w:rPr>
                <w:rFonts w:hint="eastAsia"/>
                <w:sz w:val="20"/>
                <w:szCs w:val="22"/>
              </w:rPr>
              <w:t>农林和兽医科学和学科</w:t>
            </w:r>
          </w:p>
        </w:tc>
        <w:tc>
          <w:tcPr>
            <w:tcW w:w="1320" w:type="dxa"/>
            <w:tcBorders>
              <w:top w:val="nil"/>
              <w:bottom w:val="nil"/>
            </w:tcBorders>
          </w:tcPr>
          <w:p w:rsidR="00000000" w:rsidRDefault="00000000">
            <w:pPr>
              <w:autoSpaceDE w:val="0"/>
              <w:autoSpaceDN w:val="0"/>
              <w:spacing w:before="80"/>
              <w:ind w:right="255"/>
              <w:jc w:val="right"/>
              <w:rPr>
                <w:sz w:val="20"/>
                <w:szCs w:val="22"/>
              </w:rPr>
            </w:pPr>
            <w:r>
              <w:rPr>
                <w:sz w:val="20"/>
                <w:szCs w:val="22"/>
              </w:rPr>
              <w:t>9,700</w:t>
            </w:r>
          </w:p>
        </w:tc>
        <w:tc>
          <w:tcPr>
            <w:tcW w:w="1440" w:type="dxa"/>
            <w:tcBorders>
              <w:top w:val="nil"/>
              <w:bottom w:val="nil"/>
            </w:tcBorders>
          </w:tcPr>
          <w:p w:rsidR="00000000" w:rsidRDefault="00000000">
            <w:pPr>
              <w:autoSpaceDE w:val="0"/>
              <w:autoSpaceDN w:val="0"/>
              <w:spacing w:before="80"/>
              <w:ind w:right="284"/>
              <w:jc w:val="right"/>
              <w:rPr>
                <w:sz w:val="20"/>
                <w:szCs w:val="22"/>
              </w:rPr>
            </w:pPr>
            <w:r>
              <w:rPr>
                <w:sz w:val="20"/>
                <w:szCs w:val="22"/>
              </w:rPr>
              <w:t>5,005</w:t>
            </w:r>
          </w:p>
        </w:tc>
        <w:tc>
          <w:tcPr>
            <w:tcW w:w="1800" w:type="dxa"/>
            <w:tcBorders>
              <w:top w:val="nil"/>
              <w:bottom w:val="nil"/>
            </w:tcBorders>
          </w:tcPr>
          <w:p w:rsidR="00000000" w:rsidRDefault="00000000">
            <w:pPr>
              <w:tabs>
                <w:tab w:val="right" w:pos="1206"/>
              </w:tabs>
              <w:autoSpaceDE w:val="0"/>
              <w:autoSpaceDN w:val="0"/>
              <w:spacing w:before="80"/>
              <w:ind w:right="567"/>
              <w:jc w:val="right"/>
              <w:rPr>
                <w:sz w:val="20"/>
                <w:szCs w:val="22"/>
              </w:rPr>
            </w:pPr>
            <w:r>
              <w:rPr>
                <w:sz w:val="20"/>
                <w:szCs w:val="22"/>
              </w:rPr>
              <w:t>1,416</w:t>
            </w:r>
          </w:p>
        </w:tc>
        <w:tc>
          <w:tcPr>
            <w:tcW w:w="1316" w:type="dxa"/>
            <w:tcBorders>
              <w:top w:val="nil"/>
              <w:bottom w:val="nil"/>
            </w:tcBorders>
          </w:tcPr>
          <w:p w:rsidR="00000000" w:rsidRDefault="00000000">
            <w:pPr>
              <w:autoSpaceDE w:val="0"/>
              <w:autoSpaceDN w:val="0"/>
              <w:spacing w:before="80"/>
              <w:ind w:right="340"/>
              <w:jc w:val="right"/>
              <w:rPr>
                <w:sz w:val="20"/>
                <w:szCs w:val="22"/>
              </w:rPr>
            </w:pPr>
            <w:r>
              <w:rPr>
                <w:sz w:val="20"/>
                <w:szCs w:val="22"/>
              </w:rPr>
              <w:t>597</w:t>
            </w:r>
          </w:p>
        </w:tc>
      </w:tr>
      <w:tr w:rsidR="00000000">
        <w:tc>
          <w:tcPr>
            <w:tcW w:w="3480" w:type="dxa"/>
            <w:tcBorders>
              <w:top w:val="nil"/>
              <w:bottom w:val="nil"/>
            </w:tcBorders>
          </w:tcPr>
          <w:p w:rsidR="00000000" w:rsidRDefault="00000000">
            <w:pPr>
              <w:autoSpaceDE w:val="0"/>
              <w:autoSpaceDN w:val="0"/>
              <w:spacing w:before="80"/>
              <w:ind w:left="227" w:hanging="142"/>
              <w:rPr>
                <w:rFonts w:hint="eastAsia"/>
                <w:sz w:val="20"/>
                <w:szCs w:val="22"/>
                <w:lang w:val="fr-FR"/>
              </w:rPr>
            </w:pPr>
            <w:r>
              <w:rPr>
                <w:rFonts w:hint="eastAsia"/>
                <w:sz w:val="20"/>
                <w:szCs w:val="22"/>
              </w:rPr>
              <w:t>保健、医疗和医药科学和学科</w:t>
            </w:r>
          </w:p>
        </w:tc>
        <w:tc>
          <w:tcPr>
            <w:tcW w:w="1320" w:type="dxa"/>
            <w:tcBorders>
              <w:top w:val="nil"/>
              <w:bottom w:val="nil"/>
            </w:tcBorders>
          </w:tcPr>
          <w:p w:rsidR="00000000" w:rsidRDefault="00000000">
            <w:pPr>
              <w:autoSpaceDE w:val="0"/>
              <w:autoSpaceDN w:val="0"/>
              <w:spacing w:before="80"/>
              <w:ind w:right="255"/>
              <w:jc w:val="right"/>
              <w:rPr>
                <w:sz w:val="20"/>
                <w:szCs w:val="22"/>
                <w:lang w:val="fr-FR"/>
              </w:rPr>
            </w:pPr>
            <w:r>
              <w:rPr>
                <w:sz w:val="20"/>
                <w:szCs w:val="22"/>
                <w:lang w:val="fr-FR"/>
              </w:rPr>
              <w:t>10,773</w:t>
            </w:r>
          </w:p>
        </w:tc>
        <w:tc>
          <w:tcPr>
            <w:tcW w:w="1440" w:type="dxa"/>
            <w:tcBorders>
              <w:top w:val="nil"/>
              <w:bottom w:val="nil"/>
            </w:tcBorders>
          </w:tcPr>
          <w:p w:rsidR="00000000" w:rsidRDefault="00000000">
            <w:pPr>
              <w:autoSpaceDE w:val="0"/>
              <w:autoSpaceDN w:val="0"/>
              <w:spacing w:before="80"/>
              <w:ind w:right="284"/>
              <w:jc w:val="right"/>
              <w:rPr>
                <w:sz w:val="20"/>
                <w:szCs w:val="22"/>
                <w:lang w:val="fr-FR"/>
              </w:rPr>
            </w:pPr>
            <w:r>
              <w:rPr>
                <w:sz w:val="20"/>
                <w:szCs w:val="22"/>
                <w:lang w:val="fr-FR"/>
              </w:rPr>
              <w:t>7,204</w:t>
            </w:r>
          </w:p>
        </w:tc>
        <w:tc>
          <w:tcPr>
            <w:tcW w:w="1800" w:type="dxa"/>
            <w:tcBorders>
              <w:top w:val="nil"/>
              <w:bottom w:val="nil"/>
            </w:tcBorders>
          </w:tcPr>
          <w:p w:rsidR="00000000" w:rsidRDefault="00000000">
            <w:pPr>
              <w:tabs>
                <w:tab w:val="right" w:pos="1206"/>
              </w:tabs>
              <w:autoSpaceDE w:val="0"/>
              <w:autoSpaceDN w:val="0"/>
              <w:spacing w:before="80"/>
              <w:ind w:right="567"/>
              <w:jc w:val="right"/>
              <w:rPr>
                <w:sz w:val="20"/>
                <w:szCs w:val="22"/>
                <w:lang w:val="fr-FR"/>
              </w:rPr>
            </w:pPr>
            <w:r>
              <w:rPr>
                <w:sz w:val="20"/>
                <w:szCs w:val="22"/>
                <w:lang w:val="fr-FR"/>
              </w:rPr>
              <w:t>1,650</w:t>
            </w:r>
          </w:p>
        </w:tc>
        <w:tc>
          <w:tcPr>
            <w:tcW w:w="1316" w:type="dxa"/>
            <w:tcBorders>
              <w:top w:val="nil"/>
              <w:bottom w:val="nil"/>
            </w:tcBorders>
          </w:tcPr>
          <w:p w:rsidR="00000000" w:rsidRDefault="00000000">
            <w:pPr>
              <w:autoSpaceDE w:val="0"/>
              <w:autoSpaceDN w:val="0"/>
              <w:spacing w:before="80"/>
              <w:ind w:right="340"/>
              <w:jc w:val="right"/>
              <w:rPr>
                <w:sz w:val="20"/>
                <w:szCs w:val="22"/>
                <w:lang w:val="fr-FR"/>
              </w:rPr>
            </w:pPr>
            <w:r>
              <w:rPr>
                <w:sz w:val="20"/>
                <w:szCs w:val="22"/>
                <w:lang w:val="fr-FR"/>
              </w:rPr>
              <w:t>1,075</w:t>
            </w:r>
          </w:p>
        </w:tc>
      </w:tr>
      <w:tr w:rsidR="00000000">
        <w:tc>
          <w:tcPr>
            <w:tcW w:w="3480" w:type="dxa"/>
            <w:tcBorders>
              <w:top w:val="nil"/>
              <w:bottom w:val="nil"/>
            </w:tcBorders>
          </w:tcPr>
          <w:p w:rsidR="00000000" w:rsidRDefault="00000000">
            <w:pPr>
              <w:autoSpaceDE w:val="0"/>
              <w:autoSpaceDN w:val="0"/>
              <w:spacing w:before="80"/>
              <w:ind w:left="227" w:hanging="142"/>
              <w:rPr>
                <w:rFonts w:hint="eastAsia"/>
                <w:sz w:val="20"/>
                <w:szCs w:val="22"/>
                <w:lang w:val="fr-FR"/>
              </w:rPr>
            </w:pPr>
            <w:r>
              <w:rPr>
                <w:rFonts w:hint="eastAsia"/>
                <w:sz w:val="20"/>
                <w:szCs w:val="22"/>
                <w:lang w:val="fr-FR"/>
              </w:rPr>
              <w:t>社会科学、学科和服务</w:t>
            </w:r>
          </w:p>
        </w:tc>
        <w:tc>
          <w:tcPr>
            <w:tcW w:w="1320" w:type="dxa"/>
            <w:tcBorders>
              <w:top w:val="nil"/>
              <w:bottom w:val="nil"/>
            </w:tcBorders>
          </w:tcPr>
          <w:p w:rsidR="00000000" w:rsidRDefault="00000000">
            <w:pPr>
              <w:autoSpaceDE w:val="0"/>
              <w:autoSpaceDN w:val="0"/>
              <w:spacing w:before="80"/>
              <w:ind w:right="255"/>
              <w:jc w:val="right"/>
              <w:rPr>
                <w:sz w:val="20"/>
                <w:szCs w:val="22"/>
              </w:rPr>
            </w:pPr>
            <w:r>
              <w:rPr>
                <w:sz w:val="20"/>
                <w:szCs w:val="22"/>
              </w:rPr>
              <w:t>86,401</w:t>
            </w:r>
          </w:p>
        </w:tc>
        <w:tc>
          <w:tcPr>
            <w:tcW w:w="1440" w:type="dxa"/>
            <w:tcBorders>
              <w:top w:val="nil"/>
              <w:bottom w:val="nil"/>
            </w:tcBorders>
          </w:tcPr>
          <w:p w:rsidR="00000000" w:rsidRDefault="00000000">
            <w:pPr>
              <w:autoSpaceDE w:val="0"/>
              <w:autoSpaceDN w:val="0"/>
              <w:spacing w:before="80"/>
              <w:ind w:right="284"/>
              <w:jc w:val="right"/>
              <w:rPr>
                <w:sz w:val="20"/>
                <w:szCs w:val="22"/>
              </w:rPr>
            </w:pPr>
            <w:r>
              <w:rPr>
                <w:sz w:val="20"/>
                <w:szCs w:val="22"/>
              </w:rPr>
              <w:t>51,787</w:t>
            </w:r>
          </w:p>
        </w:tc>
        <w:tc>
          <w:tcPr>
            <w:tcW w:w="1800" w:type="dxa"/>
            <w:tcBorders>
              <w:top w:val="nil"/>
              <w:bottom w:val="nil"/>
            </w:tcBorders>
          </w:tcPr>
          <w:p w:rsidR="00000000" w:rsidRDefault="00000000">
            <w:pPr>
              <w:tabs>
                <w:tab w:val="right" w:pos="1206"/>
              </w:tabs>
              <w:autoSpaceDE w:val="0"/>
              <w:autoSpaceDN w:val="0"/>
              <w:spacing w:before="80"/>
              <w:ind w:right="567"/>
              <w:jc w:val="right"/>
              <w:rPr>
                <w:sz w:val="20"/>
                <w:szCs w:val="22"/>
              </w:rPr>
            </w:pPr>
            <w:r>
              <w:rPr>
                <w:sz w:val="20"/>
                <w:szCs w:val="22"/>
              </w:rPr>
              <w:t>15,033</w:t>
            </w:r>
          </w:p>
        </w:tc>
        <w:tc>
          <w:tcPr>
            <w:tcW w:w="1316" w:type="dxa"/>
            <w:tcBorders>
              <w:top w:val="nil"/>
              <w:bottom w:val="nil"/>
            </w:tcBorders>
          </w:tcPr>
          <w:p w:rsidR="00000000" w:rsidRDefault="00000000">
            <w:pPr>
              <w:autoSpaceDE w:val="0"/>
              <w:autoSpaceDN w:val="0"/>
              <w:spacing w:before="80"/>
              <w:ind w:right="340"/>
              <w:jc w:val="right"/>
              <w:rPr>
                <w:sz w:val="20"/>
                <w:szCs w:val="22"/>
              </w:rPr>
            </w:pPr>
            <w:r>
              <w:rPr>
                <w:sz w:val="20"/>
                <w:szCs w:val="22"/>
              </w:rPr>
              <w:t>9,114</w:t>
            </w:r>
          </w:p>
        </w:tc>
      </w:tr>
      <w:tr w:rsidR="00000000">
        <w:tc>
          <w:tcPr>
            <w:tcW w:w="3480" w:type="dxa"/>
            <w:tcBorders>
              <w:top w:val="nil"/>
            </w:tcBorders>
          </w:tcPr>
          <w:p w:rsidR="00000000" w:rsidRDefault="00000000">
            <w:pPr>
              <w:autoSpaceDE w:val="0"/>
              <w:autoSpaceDN w:val="0"/>
              <w:spacing w:before="80"/>
              <w:ind w:left="227" w:hanging="142"/>
              <w:rPr>
                <w:rFonts w:hint="eastAsia"/>
                <w:sz w:val="20"/>
                <w:szCs w:val="22"/>
              </w:rPr>
            </w:pPr>
            <w:r>
              <w:rPr>
                <w:rFonts w:hint="eastAsia"/>
                <w:sz w:val="20"/>
                <w:szCs w:val="22"/>
              </w:rPr>
              <w:t>艺术科学和学科</w:t>
            </w:r>
          </w:p>
        </w:tc>
        <w:tc>
          <w:tcPr>
            <w:tcW w:w="1320" w:type="dxa"/>
            <w:tcBorders>
              <w:top w:val="nil"/>
            </w:tcBorders>
          </w:tcPr>
          <w:p w:rsidR="00000000" w:rsidRDefault="00000000">
            <w:pPr>
              <w:autoSpaceDE w:val="0"/>
              <w:autoSpaceDN w:val="0"/>
              <w:spacing w:before="80"/>
              <w:ind w:right="255"/>
              <w:jc w:val="right"/>
              <w:rPr>
                <w:sz w:val="20"/>
                <w:szCs w:val="22"/>
              </w:rPr>
            </w:pPr>
            <w:r>
              <w:rPr>
                <w:sz w:val="20"/>
                <w:szCs w:val="22"/>
              </w:rPr>
              <w:t>4,017</w:t>
            </w:r>
          </w:p>
        </w:tc>
        <w:tc>
          <w:tcPr>
            <w:tcW w:w="1440" w:type="dxa"/>
            <w:tcBorders>
              <w:top w:val="nil"/>
            </w:tcBorders>
          </w:tcPr>
          <w:p w:rsidR="00000000" w:rsidRDefault="00000000">
            <w:pPr>
              <w:autoSpaceDE w:val="0"/>
              <w:autoSpaceDN w:val="0"/>
              <w:spacing w:before="80"/>
              <w:ind w:right="284"/>
              <w:jc w:val="right"/>
              <w:rPr>
                <w:sz w:val="20"/>
                <w:szCs w:val="22"/>
              </w:rPr>
            </w:pPr>
            <w:r>
              <w:rPr>
                <w:sz w:val="20"/>
                <w:szCs w:val="22"/>
              </w:rPr>
              <w:t>2,179</w:t>
            </w:r>
          </w:p>
        </w:tc>
        <w:tc>
          <w:tcPr>
            <w:tcW w:w="1800" w:type="dxa"/>
            <w:tcBorders>
              <w:top w:val="nil"/>
            </w:tcBorders>
          </w:tcPr>
          <w:p w:rsidR="00000000" w:rsidRDefault="00000000">
            <w:pPr>
              <w:tabs>
                <w:tab w:val="right" w:pos="1206"/>
              </w:tabs>
              <w:autoSpaceDE w:val="0"/>
              <w:autoSpaceDN w:val="0"/>
              <w:spacing w:before="80"/>
              <w:ind w:right="567"/>
              <w:jc w:val="right"/>
              <w:rPr>
                <w:sz w:val="20"/>
                <w:szCs w:val="22"/>
              </w:rPr>
            </w:pPr>
            <w:r>
              <w:rPr>
                <w:sz w:val="20"/>
                <w:szCs w:val="22"/>
              </w:rPr>
              <w:t>668</w:t>
            </w:r>
          </w:p>
        </w:tc>
        <w:tc>
          <w:tcPr>
            <w:tcW w:w="1316" w:type="dxa"/>
            <w:tcBorders>
              <w:top w:val="nil"/>
            </w:tcBorders>
          </w:tcPr>
          <w:p w:rsidR="00000000" w:rsidRDefault="00000000">
            <w:pPr>
              <w:autoSpaceDE w:val="0"/>
              <w:autoSpaceDN w:val="0"/>
              <w:spacing w:before="80"/>
              <w:ind w:right="340"/>
              <w:jc w:val="right"/>
              <w:rPr>
                <w:sz w:val="20"/>
                <w:szCs w:val="22"/>
              </w:rPr>
            </w:pPr>
            <w:r>
              <w:rPr>
                <w:sz w:val="20"/>
                <w:szCs w:val="22"/>
              </w:rPr>
              <w:t>345</w:t>
            </w:r>
          </w:p>
        </w:tc>
      </w:tr>
    </w:tbl>
    <w:p w:rsidR="00000000" w:rsidRDefault="00000000">
      <w:pPr>
        <w:rPr>
          <w:rFonts w:hint="eastAsia"/>
        </w:rPr>
      </w:pPr>
    </w:p>
    <w:p w:rsidR="00000000" w:rsidRDefault="00000000">
      <w:pPr>
        <w:rPr>
          <w:rFonts w:hint="eastAsia"/>
        </w:rPr>
      </w:pPr>
      <w:r>
        <w:rPr>
          <w:rFonts w:hint="eastAsia"/>
        </w:rPr>
        <w:tab/>
        <w:t>578.  1998</w:t>
      </w:r>
      <w:r>
        <w:rPr>
          <w:rFonts w:hint="eastAsia"/>
        </w:rPr>
        <w:t>年</w:t>
      </w:r>
      <w:r>
        <w:rPr>
          <w:rFonts w:hint="eastAsia"/>
          <w:lang w:val="en-GB"/>
        </w:rPr>
        <w:t>，</w:t>
      </w:r>
      <w:r>
        <w:rPr>
          <w:rFonts w:hint="eastAsia"/>
        </w:rPr>
        <w:t>《大学法》</w:t>
      </w:r>
      <w:r>
        <w:rPr>
          <w:rFonts w:hint="eastAsia"/>
        </w:rPr>
        <w:t xml:space="preserve"> </w:t>
      </w:r>
      <w:r>
        <w:rPr>
          <w:rStyle w:val="EndnoteReference"/>
        </w:rPr>
        <w:endnoteReference w:id="344"/>
      </w:r>
      <w:r>
        <w:rPr>
          <w:rFonts w:hint="eastAsia"/>
        </w:rPr>
        <w:t xml:space="preserve">  </w:t>
      </w:r>
      <w:r>
        <w:rPr>
          <w:rFonts w:hint="eastAsia"/>
        </w:rPr>
        <w:t>对创建和管理私立大学规定了法定条件。该法令第</w:t>
      </w:r>
      <w:r>
        <w:rPr>
          <w:rFonts w:hint="eastAsia"/>
        </w:rPr>
        <w:t>39</w:t>
      </w:r>
      <w:r>
        <w:rPr>
          <w:rFonts w:hint="eastAsia"/>
        </w:rPr>
        <w:t>节规定，如果教育、青年和体育部表示同意，在捷克共和国有注册地址的法律实体可以作为私立大学。除了政府同意以外，该部还颁发课程鉴定合格书。</w:t>
      </w:r>
    </w:p>
    <w:p w:rsidR="00000000" w:rsidRDefault="00000000">
      <w:pPr>
        <w:rPr>
          <w:rFonts w:hint="eastAsia"/>
        </w:rPr>
      </w:pPr>
      <w:r>
        <w:rPr>
          <w:rFonts w:hint="eastAsia"/>
        </w:rPr>
        <w:tab/>
        <w:t xml:space="preserve">579.  </w:t>
      </w:r>
      <w:r>
        <w:rPr>
          <w:rFonts w:hint="eastAsia"/>
        </w:rPr>
        <w:t>自</w:t>
      </w:r>
      <w:r>
        <w:rPr>
          <w:rFonts w:hint="eastAsia"/>
        </w:rPr>
        <w:t>1999</w:t>
      </w:r>
      <w:r>
        <w:rPr>
          <w:rFonts w:hint="eastAsia"/>
        </w:rPr>
        <w:t>年</w:t>
      </w:r>
      <w:r>
        <w:rPr>
          <w:rFonts w:hint="eastAsia"/>
        </w:rPr>
        <w:t>1</w:t>
      </w:r>
      <w:r>
        <w:rPr>
          <w:rFonts w:hint="eastAsia"/>
        </w:rPr>
        <w:t>月以来，九个实体作为私立大学向教育、青年和体育部申请政府同意，但只有其中四个达到了规定的要求。这四所私立大学属于非大学类型，这意味着，它们有权提供学士课程的中学后教育，并向其毕业生授予“学士”学位。</w:t>
      </w:r>
    </w:p>
    <w:p w:rsidR="00000000" w:rsidRDefault="00000000">
      <w:pPr>
        <w:rPr>
          <w:rFonts w:hint="eastAsia"/>
        </w:rPr>
      </w:pPr>
      <w:r>
        <w:rPr>
          <w:rFonts w:hint="eastAsia"/>
        </w:rPr>
        <w:tab/>
        <w:t xml:space="preserve">580.  </w:t>
      </w:r>
      <w:r>
        <w:rPr>
          <w:rFonts w:hint="eastAsia"/>
        </w:rPr>
        <w:t>私立大学提供主要属于经济性质的学士课程中学后教育</w:t>
      </w:r>
      <w:r>
        <w:rPr>
          <w:rFonts w:hint="eastAsia"/>
        </w:rPr>
        <w:t>(</w:t>
      </w:r>
      <w:r>
        <w:rPr>
          <w:rFonts w:hint="eastAsia"/>
        </w:rPr>
        <w:t>其中两所学校提供金融和管理方面的学习，一所提供旅店服务方面的教育</w:t>
      </w:r>
      <w:r>
        <w:rPr>
          <w:rFonts w:hint="eastAsia"/>
        </w:rPr>
        <w:t>)</w:t>
      </w:r>
      <w:r>
        <w:rPr>
          <w:rFonts w:hint="eastAsia"/>
        </w:rPr>
        <w:t>。在开办第一年里，这些私立大学预计录取大约</w:t>
      </w:r>
      <w:r>
        <w:rPr>
          <w:rFonts w:hint="eastAsia"/>
        </w:rPr>
        <w:t>550-600</w:t>
      </w:r>
      <w:r>
        <w:rPr>
          <w:rFonts w:hint="eastAsia"/>
        </w:rPr>
        <w:t>名报考人。</w:t>
      </w:r>
    </w:p>
    <w:p w:rsidR="00000000" w:rsidRDefault="00000000">
      <w:pPr>
        <w:rPr>
          <w:rFonts w:hint="eastAsia"/>
        </w:rPr>
      </w:pPr>
      <w:r>
        <w:rPr>
          <w:rFonts w:hint="eastAsia"/>
        </w:rPr>
        <w:tab/>
        <w:t xml:space="preserve">581.  </w:t>
      </w:r>
      <w:r>
        <w:rPr>
          <w:rFonts w:hint="eastAsia"/>
        </w:rPr>
        <w:t>上私立大学和上公立大学是基于同样的原则的，私立大学的学生与国立大学的学生享有同样的地位</w:t>
      </w:r>
      <w:r>
        <w:rPr>
          <w:rFonts w:hint="eastAsia"/>
        </w:rPr>
        <w:t>(</w:t>
      </w:r>
      <w:r>
        <w:rPr>
          <w:rFonts w:hint="eastAsia"/>
        </w:rPr>
        <w:t>例如有权取得社会支助、健康保险，特别是参加劳力市场</w:t>
      </w:r>
      <w:r>
        <w:rPr>
          <w:rFonts w:hint="eastAsia"/>
        </w:rPr>
        <w:t>)</w:t>
      </w:r>
      <w:r>
        <w:rPr>
          <w:rFonts w:hint="eastAsia"/>
        </w:rPr>
        <w:t>。每一学年的学费从</w:t>
      </w:r>
      <w:r>
        <w:rPr>
          <w:rFonts w:hint="eastAsia"/>
        </w:rPr>
        <w:t>26,400</w:t>
      </w:r>
      <w:r>
        <w:rPr>
          <w:rFonts w:hint="eastAsia"/>
        </w:rPr>
        <w:t>捷克克朗到</w:t>
      </w:r>
      <w:r>
        <w:rPr>
          <w:rFonts w:hint="eastAsia"/>
        </w:rPr>
        <w:t>66,000</w:t>
      </w:r>
      <w:r>
        <w:rPr>
          <w:rFonts w:hint="eastAsia"/>
        </w:rPr>
        <w:t>捷克克朗不等。</w:t>
      </w:r>
    </w:p>
    <w:p w:rsidR="00000000" w:rsidRDefault="00000000">
      <w:pPr>
        <w:spacing w:after="240"/>
        <w:rPr>
          <w:rFonts w:hint="eastAsia"/>
        </w:rPr>
      </w:pPr>
      <w:r>
        <w:rPr>
          <w:rFonts w:hint="eastAsia"/>
        </w:rPr>
        <w:tab/>
        <w:t xml:space="preserve">582.  </w:t>
      </w:r>
      <w:r>
        <w:rPr>
          <w:rFonts w:hint="eastAsia"/>
        </w:rPr>
        <w:t>捷克共和国政府的教育政策的目的之一是确保在</w:t>
      </w:r>
      <w:r>
        <w:rPr>
          <w:rFonts w:hint="eastAsia"/>
        </w:rPr>
        <w:t>2005</w:t>
      </w:r>
      <w:r>
        <w:rPr>
          <w:rFonts w:hint="eastAsia"/>
        </w:rPr>
        <w:t>年之前，</w:t>
      </w:r>
      <w:r>
        <w:rPr>
          <w:rFonts w:hint="eastAsia"/>
        </w:rPr>
        <w:t>19</w:t>
      </w:r>
      <w:r>
        <w:rPr>
          <w:rFonts w:hint="eastAsia"/>
        </w:rPr>
        <w:t>岁这一代人中的一半人有机会接受某种形式的中学后教育。与这些目的相关联的是，政府决定同时使三分之二至四分之三青年人取得普通中等教育或专业中等教育的证书。</w:t>
      </w:r>
    </w:p>
    <w:p w:rsidR="00000000" w:rsidRDefault="00000000">
      <w:pPr>
        <w:pStyle w:val="Heading4"/>
        <w:ind w:left="500"/>
        <w:rPr>
          <w:rFonts w:hint="eastAsia"/>
        </w:rPr>
      </w:pPr>
      <w:r>
        <w:rPr>
          <w:rFonts w:hint="eastAsia"/>
        </w:rPr>
        <w:t>少数群体学生的学校</w:t>
      </w:r>
    </w:p>
    <w:p w:rsidR="00000000" w:rsidRDefault="00000000">
      <w:pPr>
        <w:rPr>
          <w:rFonts w:hint="eastAsia"/>
        </w:rPr>
      </w:pPr>
      <w:r>
        <w:rPr>
          <w:rFonts w:hint="eastAsia"/>
        </w:rPr>
        <w:tab/>
        <w:t xml:space="preserve">583.  </w:t>
      </w:r>
      <w:r>
        <w:rPr>
          <w:rFonts w:hint="eastAsia"/>
        </w:rPr>
        <w:t>《学校法》第</w:t>
      </w:r>
      <w:r>
        <w:rPr>
          <w:rFonts w:hint="eastAsia"/>
        </w:rPr>
        <w:t>3</w:t>
      </w:r>
      <w:r>
        <w:rPr>
          <w:rFonts w:hint="eastAsia"/>
        </w:rPr>
        <w:t>节保障少数群体学生有权以其母语接受教育。可以开办少数群体教育，一直到中学为止。现在有以波兰语作为教学语言的学校，并有一所以斯洛伐克语作为教学语言的学校。</w:t>
      </w:r>
    </w:p>
    <w:p w:rsidR="00000000" w:rsidRDefault="00000000">
      <w:pPr>
        <w:rPr>
          <w:rFonts w:hint="eastAsia"/>
        </w:rPr>
      </w:pPr>
      <w:r>
        <w:rPr>
          <w:rFonts w:hint="eastAsia"/>
        </w:rPr>
        <w:tab/>
        <w:t xml:space="preserve">584.  </w:t>
      </w:r>
      <w:r>
        <w:rPr>
          <w:rFonts w:hint="eastAsia"/>
        </w:rPr>
        <w:t>《学校法》规定，捷克族以外的民族的儿童，如果其父母是捷克共和国的公民，就可以开办学校或班级，以他们的母语提供教育。然而这些学校或班级的设置和活动通常始终取决于这些父母的兴趣，他们通常通过提供其公民协会以适当方式表示这种兴趣。《学校法》第</w:t>
      </w:r>
      <w:r>
        <w:rPr>
          <w:rFonts w:hint="eastAsia"/>
        </w:rPr>
        <w:t>3</w:t>
      </w:r>
      <w:r>
        <w:rPr>
          <w:rFonts w:hint="eastAsia"/>
        </w:rPr>
        <w:t>节第</w:t>
      </w:r>
      <w:r>
        <w:rPr>
          <w:rFonts w:hint="eastAsia"/>
        </w:rPr>
        <w:t>2</w:t>
      </w:r>
      <w:r>
        <w:rPr>
          <w:rFonts w:hint="eastAsia"/>
        </w:rPr>
        <w:t>段规定：“少数群体学生有权以其母语接受教育，其程度应与其国家发展相适应。”在国立教育系统中，少数群体学生有权以其母语接受免费教育。普通国立学校系统</w:t>
      </w:r>
      <w:r>
        <w:rPr>
          <w:rFonts w:hint="eastAsia"/>
        </w:rPr>
        <w:t>(</w:t>
      </w:r>
      <w:r>
        <w:rPr>
          <w:rFonts w:hint="eastAsia"/>
        </w:rPr>
        <w:t>以某一少数群体的语言为教学语言的学校、作为选修课教授少数群体语言的学校、以某一少数群体的语言作为教学语言的单独班级</w:t>
      </w:r>
      <w:r>
        <w:rPr>
          <w:rFonts w:hint="eastAsia"/>
        </w:rPr>
        <w:t>)</w:t>
      </w:r>
      <w:r>
        <w:rPr>
          <w:rFonts w:hint="eastAsia"/>
        </w:rPr>
        <w:t>或双语学校里实际上落实了这项权利。</w:t>
      </w:r>
    </w:p>
    <w:p w:rsidR="00000000" w:rsidRDefault="00000000">
      <w:pPr>
        <w:rPr>
          <w:rFonts w:hint="eastAsia"/>
        </w:rPr>
      </w:pPr>
      <w:r>
        <w:rPr>
          <w:rFonts w:hint="eastAsia"/>
        </w:rPr>
        <w:tab/>
        <w:t xml:space="preserve">585.  </w:t>
      </w:r>
      <w:r>
        <w:rPr>
          <w:rFonts w:hint="eastAsia"/>
        </w:rPr>
        <w:t>目前，政府办公厅人权司正在拟订一部《少数群体法》实质性大纲草案，将在</w:t>
      </w:r>
      <w:r>
        <w:rPr>
          <w:rFonts w:hint="eastAsia"/>
        </w:rPr>
        <w:t>2000</w:t>
      </w:r>
      <w:r>
        <w:rPr>
          <w:rFonts w:hint="eastAsia"/>
        </w:rPr>
        <w:t>年</w:t>
      </w:r>
      <w:r>
        <w:rPr>
          <w:rFonts w:hint="eastAsia"/>
        </w:rPr>
        <w:t>3</w:t>
      </w:r>
      <w:r>
        <w:rPr>
          <w:rFonts w:hint="eastAsia"/>
        </w:rPr>
        <w:t>月底之前提交政府审议。该法令是根据现有的对少数群体权利的宪法保障制定的，将符合捷克共和国已经通过的《关于保护国内少数群体的欧洲框架公约》，并符合捷克政府机构已经开始批准过程的《欧洲区域或少数群体语言宪章》。这部新的《学校法》将规定一个学生人数，达到这一人数，国家就应该开设一个少数群体班，或者达到这一人数，它就可以解散这种班级，但这一人数低于以捷克语作为教学语言的学校中的人数。新的《少数群体权利保护法》将规定少数群体成员有权使用自己的语言，发展自己的文化并享有自主权，他们可以利用这些权利来决定或共同决定有关少数群体的文化、语言和教育的问题。</w:t>
      </w:r>
    </w:p>
    <w:p w:rsidR="00000000" w:rsidRDefault="00000000">
      <w:pPr>
        <w:rPr>
          <w:rFonts w:hint="eastAsia"/>
        </w:rPr>
      </w:pPr>
      <w:r>
        <w:rPr>
          <w:rFonts w:hint="eastAsia"/>
        </w:rPr>
        <w:tab/>
        <w:t xml:space="preserve">586.  </w:t>
      </w:r>
      <w:r>
        <w:rPr>
          <w:rFonts w:hint="eastAsia"/>
        </w:rPr>
        <w:t>在捷克共和国，只有就集中在卡尔维纳和</w:t>
      </w:r>
      <w:r>
        <w:t>Frýdek-Místek</w:t>
      </w:r>
      <w:r>
        <w:rPr>
          <w:rFonts w:hint="eastAsia"/>
        </w:rPr>
        <w:t>地区的波兰人少数群体而言，以波兰语作为教学语言的教育才得到充分发展。波兰语学校的方法管理、教科书出版和教学辅助由教育、青年和体育部设立的</w:t>
      </w:r>
      <w:r>
        <w:t>Èeský Ti</w:t>
      </w:r>
      <w:r>
        <w:rPr>
          <w:rFonts w:hint="eastAsia"/>
        </w:rPr>
        <w:t>š</w:t>
      </w:r>
      <w:r>
        <w:t>ín</w:t>
      </w:r>
      <w:r>
        <w:rPr>
          <w:rFonts w:hint="eastAsia"/>
        </w:rPr>
        <w:t>波兰语教学法中心负责实施。</w:t>
      </w:r>
    </w:p>
    <w:p w:rsidR="00000000" w:rsidRDefault="00000000">
      <w:pPr>
        <w:rPr>
          <w:rFonts w:hint="eastAsia"/>
          <w:sz w:val="32"/>
        </w:rPr>
      </w:pPr>
    </w:p>
    <w:p w:rsidR="00000000" w:rsidRDefault="00000000">
      <w:pPr>
        <w:pStyle w:val="Heading3"/>
        <w:rPr>
          <w:rFonts w:hint="eastAsia"/>
          <w:b/>
        </w:rPr>
      </w:pPr>
      <w:r>
        <w:rPr>
          <w:rFonts w:hint="eastAsia"/>
          <w:b/>
          <w:lang w:val="en-GB"/>
        </w:rPr>
        <w:t>1998</w:t>
      </w:r>
      <w:r>
        <w:rPr>
          <w:rFonts w:hint="eastAsia"/>
          <w:lang w:val="en-GB"/>
        </w:rPr>
        <w:t>/</w:t>
      </w:r>
      <w:r>
        <w:rPr>
          <w:rFonts w:hint="eastAsia"/>
          <w:b/>
          <w:lang w:val="en-GB"/>
        </w:rPr>
        <w:t>1999</w:t>
      </w:r>
      <w:r>
        <w:rPr>
          <w:rFonts w:hint="eastAsia"/>
          <w:lang w:val="en-GB"/>
        </w:rPr>
        <w:t>学年以波兰语为教学语言的学校和班级</w:t>
      </w:r>
    </w:p>
    <w:tbl>
      <w:tblPr>
        <w:tblW w:w="0" w:type="auto"/>
        <w:jc w:val="center"/>
        <w:tblInd w:w="-942" w:type="dxa"/>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2811"/>
        <w:gridCol w:w="2160"/>
        <w:gridCol w:w="2160"/>
        <w:gridCol w:w="2325"/>
      </w:tblGrid>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120"/>
              <w:ind w:left="113"/>
              <w:rPr>
                <w:rFonts w:ascii="Time New Roman" w:eastAsia="SimHei" w:hAnsi="Time New Roman" w:hint="eastAsia"/>
                <w:bCs/>
                <w:sz w:val="22"/>
                <w:szCs w:val="22"/>
              </w:rPr>
            </w:pPr>
            <w:r>
              <w:rPr>
                <w:rFonts w:ascii="Time New Roman" w:eastAsia="SimHei" w:hAnsi="Time New Roman" w:hint="eastAsia"/>
                <w:bCs/>
                <w:sz w:val="22"/>
                <w:szCs w:val="22"/>
              </w:rPr>
              <w:t>学校类型</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120"/>
              <w:jc w:val="center"/>
              <w:rPr>
                <w:rFonts w:ascii="Time New Roman" w:eastAsia="SimHei" w:hAnsi="Time New Roman" w:hint="eastAsia"/>
                <w:bCs/>
                <w:sz w:val="22"/>
                <w:szCs w:val="22"/>
              </w:rPr>
            </w:pPr>
            <w:r>
              <w:rPr>
                <w:rFonts w:ascii="Time New Roman" w:eastAsia="SimHei" w:hAnsi="Time New Roman" w:hint="eastAsia"/>
                <w:bCs/>
                <w:sz w:val="22"/>
                <w:szCs w:val="22"/>
              </w:rPr>
              <w:t>学校数目</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120"/>
              <w:jc w:val="center"/>
              <w:rPr>
                <w:rFonts w:ascii="Time New Roman" w:eastAsia="SimHei" w:hAnsi="Time New Roman" w:hint="eastAsia"/>
                <w:bCs/>
                <w:sz w:val="22"/>
                <w:szCs w:val="22"/>
              </w:rPr>
            </w:pPr>
            <w:r>
              <w:rPr>
                <w:rFonts w:ascii="Time New Roman" w:eastAsia="SimHei" w:hAnsi="Time New Roman" w:hint="eastAsia"/>
                <w:bCs/>
                <w:sz w:val="22"/>
                <w:szCs w:val="22"/>
              </w:rPr>
              <w:t>班级数目</w:t>
            </w:r>
          </w:p>
        </w:tc>
        <w:tc>
          <w:tcPr>
            <w:tcW w:w="2325" w:type="dxa"/>
            <w:tcBorders>
              <w:top w:val="single" w:sz="6" w:space="0" w:color="000000"/>
              <w:left w:val="single" w:sz="6" w:space="0" w:color="000000"/>
              <w:bottom w:val="single" w:sz="6" w:space="0" w:color="000000"/>
            </w:tcBorders>
          </w:tcPr>
          <w:p w:rsidR="00000000" w:rsidRDefault="00000000">
            <w:pPr>
              <w:spacing w:before="120"/>
              <w:jc w:val="center"/>
              <w:rPr>
                <w:rFonts w:ascii="Time New Roman" w:eastAsia="SimHei" w:hAnsi="Time New Roman" w:hint="eastAsia"/>
                <w:bCs/>
                <w:sz w:val="22"/>
                <w:szCs w:val="22"/>
              </w:rPr>
            </w:pPr>
            <w:r>
              <w:rPr>
                <w:rFonts w:ascii="Time New Roman" w:eastAsia="SimHei" w:hAnsi="Time New Roman" w:hint="eastAsia"/>
                <w:bCs/>
                <w:sz w:val="22"/>
                <w:szCs w:val="22"/>
              </w:rPr>
              <w:t>学生人数</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rFonts w:hint="eastAsia"/>
                <w:bCs/>
                <w:sz w:val="22"/>
                <w:szCs w:val="22"/>
              </w:rPr>
            </w:pPr>
            <w:r>
              <w:rPr>
                <w:rFonts w:hint="eastAsia"/>
                <w:sz w:val="22"/>
                <w:szCs w:val="22"/>
              </w:rPr>
              <w:t>幼儿园</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bCs/>
                <w:sz w:val="22"/>
                <w:szCs w:val="22"/>
              </w:rPr>
            </w:pPr>
            <w:r>
              <w:rPr>
                <w:sz w:val="22"/>
                <w:szCs w:val="22"/>
              </w:rPr>
              <w:t>-</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bCs/>
                <w:sz w:val="22"/>
                <w:szCs w:val="22"/>
              </w:rPr>
            </w:pPr>
            <w:r>
              <w:rPr>
                <w:rFonts w:hint="eastAsia"/>
                <w:sz w:val="22"/>
                <w:szCs w:val="22"/>
              </w:rPr>
              <w:t xml:space="preserve"> </w:t>
            </w:r>
            <w:r>
              <w:rPr>
                <w:sz w:val="22"/>
                <w:szCs w:val="22"/>
              </w:rPr>
              <w:t>38</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rFonts w:hint="eastAsia"/>
                <w:bCs/>
                <w:sz w:val="22"/>
                <w:szCs w:val="22"/>
              </w:rPr>
            </w:pPr>
            <w:r>
              <w:rPr>
                <w:sz w:val="22"/>
                <w:szCs w:val="22"/>
              </w:rPr>
              <w:t>590</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rFonts w:hint="eastAsia"/>
                <w:sz w:val="22"/>
                <w:szCs w:val="22"/>
              </w:rPr>
            </w:pPr>
            <w:r>
              <w:rPr>
                <w:rFonts w:hint="eastAsia"/>
                <w:sz w:val="22"/>
                <w:szCs w:val="22"/>
              </w:rPr>
              <w:t>小学</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sz w:val="22"/>
                <w:szCs w:val="22"/>
              </w:rPr>
            </w:pPr>
            <w:r>
              <w:rPr>
                <w:sz w:val="22"/>
                <w:szCs w:val="22"/>
              </w:rPr>
              <w:t>29</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sz w:val="22"/>
                <w:szCs w:val="22"/>
              </w:rPr>
            </w:pPr>
            <w:r>
              <w:rPr>
                <w:sz w:val="22"/>
                <w:szCs w:val="22"/>
              </w:rPr>
              <w:t>152</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sz w:val="22"/>
                <w:szCs w:val="22"/>
              </w:rPr>
            </w:pPr>
            <w:r>
              <w:rPr>
                <w:sz w:val="22"/>
                <w:szCs w:val="22"/>
              </w:rPr>
              <w:t>2,642</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rFonts w:hint="eastAsia"/>
                <w:sz w:val="22"/>
                <w:szCs w:val="22"/>
              </w:rPr>
            </w:pPr>
            <w:r>
              <w:rPr>
                <w:rFonts w:hint="eastAsia"/>
                <w:sz w:val="22"/>
                <w:szCs w:val="22"/>
              </w:rPr>
              <w:t>中学</w:t>
            </w:r>
            <w:r>
              <w:rPr>
                <w:sz w:val="22"/>
                <w:szCs w:val="22"/>
              </w:rPr>
              <w:t>：</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sz w:val="22"/>
                <w:szCs w:val="22"/>
              </w:rPr>
              <w:t>-</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sz w:val="22"/>
                <w:szCs w:val="22"/>
              </w:rPr>
              <w:t>-</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rFonts w:hint="eastAsia"/>
                <w:sz w:val="22"/>
                <w:szCs w:val="22"/>
              </w:rPr>
            </w:pPr>
            <w:r>
              <w:rPr>
                <w:rFonts w:hint="eastAsia"/>
                <w:sz w:val="22"/>
                <w:szCs w:val="22"/>
              </w:rPr>
              <w:t>-</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rFonts w:hint="eastAsia"/>
                <w:sz w:val="22"/>
                <w:szCs w:val="22"/>
              </w:rPr>
            </w:pPr>
            <w:r>
              <w:rPr>
                <w:sz w:val="22"/>
                <w:szCs w:val="22"/>
              </w:rPr>
              <w:t xml:space="preserve">  </w:t>
            </w:r>
            <w:r>
              <w:rPr>
                <w:rFonts w:hint="eastAsia"/>
                <w:sz w:val="22"/>
                <w:szCs w:val="22"/>
              </w:rPr>
              <w:t>文法学校</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sz w:val="22"/>
                <w:szCs w:val="22"/>
              </w:rPr>
            </w:pPr>
            <w:r>
              <w:rPr>
                <w:rFonts w:hint="eastAsia"/>
                <w:sz w:val="22"/>
                <w:szCs w:val="22"/>
              </w:rPr>
              <w:t xml:space="preserve"> </w:t>
            </w:r>
            <w:r>
              <w:rPr>
                <w:sz w:val="22"/>
                <w:szCs w:val="22"/>
              </w:rPr>
              <w:t>1</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sz w:val="22"/>
                <w:szCs w:val="22"/>
              </w:rPr>
            </w:pPr>
            <w:r>
              <w:rPr>
                <w:rFonts w:hint="eastAsia"/>
                <w:sz w:val="22"/>
                <w:szCs w:val="22"/>
              </w:rPr>
              <w:t xml:space="preserve"> </w:t>
            </w:r>
            <w:r>
              <w:rPr>
                <w:sz w:val="22"/>
                <w:szCs w:val="22"/>
              </w:rPr>
              <w:t>11</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sz w:val="22"/>
                <w:szCs w:val="22"/>
              </w:rPr>
            </w:pPr>
            <w:r>
              <w:rPr>
                <w:sz w:val="22"/>
                <w:szCs w:val="22"/>
              </w:rPr>
              <w:t>271</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sz w:val="22"/>
                <w:szCs w:val="22"/>
              </w:rPr>
            </w:pPr>
            <w:r>
              <w:rPr>
                <w:sz w:val="22"/>
                <w:szCs w:val="22"/>
              </w:rPr>
              <w:t xml:space="preserve">  </w:t>
            </w:r>
            <w:r>
              <w:rPr>
                <w:rFonts w:hint="eastAsia"/>
                <w:sz w:val="22"/>
                <w:szCs w:val="22"/>
              </w:rPr>
              <w:t>商业专科学校</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sz w:val="22"/>
                <w:szCs w:val="22"/>
              </w:rPr>
            </w:pPr>
            <w:r>
              <w:rPr>
                <w:sz w:val="22"/>
                <w:szCs w:val="22"/>
              </w:rPr>
              <w:t>91</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sz w:val="22"/>
                <w:szCs w:val="22"/>
              </w:rPr>
            </w:pPr>
            <w:r>
              <w:rPr>
                <w:sz w:val="22"/>
                <w:szCs w:val="22"/>
              </w:rPr>
              <w:t xml:space="preserve">  </w:t>
            </w:r>
            <w:r>
              <w:rPr>
                <w:rFonts w:hint="eastAsia"/>
                <w:sz w:val="22"/>
                <w:szCs w:val="22"/>
              </w:rPr>
              <w:t>技术中等学校</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sz w:val="22"/>
                <w:szCs w:val="22"/>
              </w:rPr>
            </w:pPr>
            <w:r>
              <w:rPr>
                <w:sz w:val="22"/>
                <w:szCs w:val="22"/>
              </w:rPr>
              <w:t>73</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sz w:val="22"/>
                <w:szCs w:val="22"/>
              </w:rPr>
            </w:pPr>
            <w:r>
              <w:rPr>
                <w:rFonts w:hint="eastAsia"/>
                <w:sz w:val="22"/>
                <w:szCs w:val="22"/>
              </w:rPr>
              <w:t xml:space="preserve">  </w:t>
            </w:r>
            <w:r>
              <w:rPr>
                <w:rFonts w:hint="eastAsia"/>
                <w:sz w:val="22"/>
                <w:szCs w:val="22"/>
              </w:rPr>
              <w:t>保健中等学校</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sz w:val="22"/>
                <w:szCs w:val="22"/>
              </w:rPr>
            </w:pPr>
            <w:r>
              <w:rPr>
                <w:sz w:val="22"/>
                <w:szCs w:val="22"/>
              </w:rPr>
              <w:t>51</w:t>
            </w:r>
          </w:p>
        </w:tc>
      </w:tr>
      <w:tr w:rsidR="00000000">
        <w:trPr>
          <w:jc w:val="center"/>
        </w:trPr>
        <w:tc>
          <w:tcPr>
            <w:tcW w:w="2811" w:type="dxa"/>
            <w:tcBorders>
              <w:top w:val="single" w:sz="6" w:space="0" w:color="000000"/>
              <w:bottom w:val="single" w:sz="6" w:space="0" w:color="000000"/>
              <w:right w:val="single" w:sz="6" w:space="0" w:color="000000"/>
            </w:tcBorders>
          </w:tcPr>
          <w:p w:rsidR="00000000" w:rsidRDefault="00000000">
            <w:pPr>
              <w:spacing w:before="80"/>
              <w:ind w:left="113"/>
              <w:rPr>
                <w:rFonts w:hint="eastAsia"/>
                <w:sz w:val="22"/>
                <w:szCs w:val="22"/>
              </w:rPr>
            </w:pPr>
            <w:r>
              <w:rPr>
                <w:rFonts w:hint="eastAsia"/>
                <w:sz w:val="22"/>
                <w:szCs w:val="22"/>
              </w:rPr>
              <w:t xml:space="preserve">  </w:t>
            </w:r>
            <w:r>
              <w:rPr>
                <w:rFonts w:hint="eastAsia"/>
                <w:sz w:val="22"/>
                <w:szCs w:val="22"/>
              </w:rPr>
              <w:t>农业中等学校</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160" w:type="dxa"/>
            <w:tcBorders>
              <w:top w:val="single" w:sz="6" w:space="0" w:color="000000"/>
              <w:left w:val="single" w:sz="6" w:space="0" w:color="000000"/>
              <w:bottom w:val="single" w:sz="6" w:space="0" w:color="000000"/>
              <w:right w:val="single" w:sz="6" w:space="0" w:color="000000"/>
            </w:tcBorders>
          </w:tcPr>
          <w:p w:rsidR="00000000" w:rsidRDefault="00000000">
            <w:pPr>
              <w:spacing w:before="80"/>
              <w:jc w:val="center"/>
              <w:rPr>
                <w:rFonts w:hint="eastAsia"/>
                <w:sz w:val="22"/>
                <w:szCs w:val="22"/>
              </w:rPr>
            </w:pPr>
            <w:r>
              <w:rPr>
                <w:rFonts w:hint="eastAsia"/>
                <w:sz w:val="22"/>
                <w:szCs w:val="22"/>
              </w:rPr>
              <w:t>-</w:t>
            </w:r>
          </w:p>
        </w:tc>
        <w:tc>
          <w:tcPr>
            <w:tcW w:w="2325" w:type="dxa"/>
            <w:tcBorders>
              <w:top w:val="single" w:sz="6" w:space="0" w:color="000000"/>
              <w:left w:val="single" w:sz="6" w:space="0" w:color="000000"/>
              <w:bottom w:val="single" w:sz="6" w:space="0" w:color="000000"/>
            </w:tcBorders>
          </w:tcPr>
          <w:p w:rsidR="00000000" w:rsidRDefault="00000000">
            <w:pPr>
              <w:spacing w:before="80"/>
              <w:ind w:right="794"/>
              <w:jc w:val="right"/>
              <w:rPr>
                <w:rFonts w:hint="eastAsia"/>
                <w:sz w:val="22"/>
                <w:szCs w:val="22"/>
              </w:rPr>
            </w:pPr>
            <w:r>
              <w:rPr>
                <w:rFonts w:hint="eastAsia"/>
                <w:sz w:val="22"/>
                <w:szCs w:val="22"/>
              </w:rPr>
              <w:t>16</w:t>
            </w:r>
          </w:p>
        </w:tc>
      </w:tr>
    </w:tbl>
    <w:p w:rsidR="00000000" w:rsidRDefault="00000000">
      <w:pPr>
        <w:rPr>
          <w:rFonts w:hint="eastAsia"/>
        </w:rPr>
      </w:pPr>
    </w:p>
    <w:p w:rsidR="00000000" w:rsidRDefault="00000000">
      <w:pPr>
        <w:rPr>
          <w:rFonts w:hint="eastAsia"/>
        </w:rPr>
      </w:pPr>
    </w:p>
    <w:p w:rsidR="00000000" w:rsidRDefault="00000000">
      <w:pPr>
        <w:spacing w:after="240"/>
        <w:rPr>
          <w:rFonts w:hint="eastAsia"/>
        </w:rPr>
      </w:pPr>
      <w:r>
        <w:rPr>
          <w:rFonts w:hint="eastAsia"/>
        </w:rPr>
        <w:tab/>
        <w:t xml:space="preserve">587.  </w:t>
      </w:r>
      <w:r>
        <w:rPr>
          <w:rFonts w:hint="eastAsia"/>
        </w:rPr>
        <w:t>由于斯洛伐克少数群体在很大程度上被同化而且居住分散，因此一个没有明确制定的教育方案。只有卡尔维纳一所小学</w:t>
      </w:r>
      <w:r>
        <w:rPr>
          <w:rFonts w:hint="eastAsia"/>
        </w:rPr>
        <w:t>(</w:t>
      </w:r>
      <w:r>
        <w:rPr>
          <w:rFonts w:hint="eastAsia"/>
        </w:rPr>
        <w:t>大约</w:t>
      </w:r>
      <w:r>
        <w:rPr>
          <w:rFonts w:hint="eastAsia"/>
        </w:rPr>
        <w:t>50</w:t>
      </w:r>
      <w:r>
        <w:rPr>
          <w:rFonts w:hint="eastAsia"/>
        </w:rPr>
        <w:t>名学生上学</w:t>
      </w:r>
      <w:r>
        <w:rPr>
          <w:rFonts w:hint="eastAsia"/>
        </w:rPr>
        <w:t>)</w:t>
      </w:r>
      <w:r>
        <w:rPr>
          <w:rFonts w:hint="eastAsia"/>
        </w:rPr>
        <w:t>。在布拉格，教育、青年和体育部为创建斯洛伐克文科中学创造了条件，并将于</w:t>
      </w:r>
      <w:r>
        <w:rPr>
          <w:rFonts w:hint="eastAsia"/>
        </w:rPr>
        <w:t>1997/1998</w:t>
      </w:r>
      <w:r>
        <w:rPr>
          <w:rFonts w:hint="eastAsia"/>
        </w:rPr>
        <w:t>学年开始教学。然而这一方案归于失败，因为学生或其父母不感兴趣。迄今为止，只有科林一所私立罗姆人中等社会学校。其目的是专业培训专门从事罗姆人社区工作的罗姆人社会工作者；然而教学语言是捷克语。</w:t>
      </w:r>
    </w:p>
    <w:p w:rsidR="00000000" w:rsidRDefault="00000000">
      <w:pPr>
        <w:pStyle w:val="Heading4"/>
        <w:ind w:left="500"/>
        <w:rPr>
          <w:rFonts w:hint="eastAsia"/>
        </w:rPr>
      </w:pPr>
      <w:r>
        <w:rPr>
          <w:rFonts w:hint="eastAsia"/>
        </w:rPr>
        <w:t>特殊学校</w:t>
      </w:r>
    </w:p>
    <w:p w:rsidR="00000000" w:rsidRDefault="00000000">
      <w:pPr>
        <w:rPr>
          <w:rFonts w:hint="eastAsia"/>
        </w:rPr>
      </w:pPr>
      <w:r>
        <w:rPr>
          <w:rFonts w:hint="eastAsia"/>
        </w:rPr>
        <w:tab/>
        <w:t xml:space="preserve">588.  </w:t>
      </w:r>
      <w:r>
        <w:rPr>
          <w:rFonts w:hint="eastAsia"/>
        </w:rPr>
        <w:t>身心残疾儿童可以在初等和中等特殊学校里接受教育。《学校法》第</w:t>
      </w:r>
      <w:r>
        <w:rPr>
          <w:rFonts w:hint="eastAsia"/>
        </w:rPr>
        <w:t>28</w:t>
      </w:r>
      <w:r>
        <w:rPr>
          <w:rFonts w:hint="eastAsia"/>
        </w:rPr>
        <w:t>节规定，特殊学校“通过特殊的培养和教育方法、手段和形式向智力、感观或身体残疾的学生、讲话困难的学生、遇到多重障碍的学生、难以成长的学生和住在保健机构里的生病和虚弱的学生提供培养和教育；这些学校促使这些学生准备参与工作过程和社会生活。这些学校里的教育与小学和其他中等学校里取得的教育相等。”</w:t>
      </w:r>
    </w:p>
    <w:p w:rsidR="00000000" w:rsidRDefault="00000000">
      <w:pPr>
        <w:rPr>
          <w:rFonts w:hint="eastAsia"/>
        </w:rPr>
      </w:pPr>
    </w:p>
    <w:p w:rsidR="00000000" w:rsidRDefault="00000000">
      <w:pPr>
        <w:pStyle w:val="Heading3"/>
        <w:rPr>
          <w:rFonts w:hint="eastAsia"/>
          <w:lang w:val="en-GB"/>
        </w:rPr>
      </w:pPr>
      <w:r>
        <w:rPr>
          <w:b/>
          <w:lang w:val="en-GB"/>
        </w:rPr>
        <w:t>1991</w:t>
      </w:r>
      <w:r>
        <w:rPr>
          <w:lang w:val="en-GB"/>
        </w:rPr>
        <w:t>/</w:t>
      </w:r>
      <w:r>
        <w:rPr>
          <w:b/>
          <w:lang w:val="en-GB"/>
        </w:rPr>
        <w:t>92</w:t>
      </w:r>
      <w:r>
        <w:rPr>
          <w:lang w:val="en-GB"/>
        </w:rPr>
        <w:t>-</w:t>
      </w:r>
      <w:r>
        <w:rPr>
          <w:b/>
          <w:lang w:val="en-GB"/>
        </w:rPr>
        <w:t>1997</w:t>
      </w:r>
      <w:r>
        <w:rPr>
          <w:lang w:val="en-GB"/>
        </w:rPr>
        <w:t>/</w:t>
      </w:r>
      <w:r>
        <w:rPr>
          <w:b/>
          <w:lang w:val="en-GB"/>
        </w:rPr>
        <w:t>98</w:t>
      </w:r>
      <w:r>
        <w:rPr>
          <w:rFonts w:hint="eastAsia"/>
          <w:lang w:val="en-GB"/>
        </w:rPr>
        <w:t>学年特殊学校的数目</w:t>
      </w:r>
    </w:p>
    <w:tbl>
      <w:tblPr>
        <w:tblW w:w="0" w:type="auto"/>
        <w:tblInd w:w="70" w:type="dxa"/>
        <w:tblBorders>
          <w:top w:val="single" w:sz="8" w:space="0" w:color="000000"/>
          <w:left w:val="single" w:sz="8" w:space="0" w:color="000000"/>
          <w:bottom w:val="single" w:sz="8" w:space="0" w:color="000000"/>
          <w:right w:val="single" w:sz="8" w:space="0" w:color="000000"/>
          <w:insideH w:val="single" w:sz="8" w:space="0" w:color="000000"/>
        </w:tblBorders>
        <w:tblLayout w:type="fixed"/>
        <w:tblCellMar>
          <w:left w:w="70" w:type="dxa"/>
          <w:right w:w="70" w:type="dxa"/>
        </w:tblCellMar>
        <w:tblLook w:val="0000" w:firstRow="0" w:lastRow="0" w:firstColumn="0" w:lastColumn="0" w:noHBand="0" w:noVBand="0"/>
      </w:tblPr>
      <w:tblGrid>
        <w:gridCol w:w="3899"/>
        <w:gridCol w:w="1091"/>
        <w:gridCol w:w="1091"/>
        <w:gridCol w:w="1092"/>
        <w:gridCol w:w="1091"/>
        <w:gridCol w:w="1092"/>
      </w:tblGrid>
      <w:tr w:rsidR="00000000">
        <w:tc>
          <w:tcPr>
            <w:tcW w:w="3899" w:type="dxa"/>
            <w:tcBorders>
              <w:top w:val="single" w:sz="4" w:space="0" w:color="auto"/>
              <w:left w:val="single" w:sz="4" w:space="0" w:color="auto"/>
              <w:bottom w:val="single" w:sz="8" w:space="0" w:color="000000"/>
              <w:right w:val="single" w:sz="4" w:space="0" w:color="auto"/>
            </w:tcBorders>
          </w:tcPr>
          <w:p w:rsidR="00000000" w:rsidRDefault="00000000">
            <w:pPr>
              <w:spacing w:before="120"/>
              <w:rPr>
                <w:sz w:val="22"/>
                <w:szCs w:val="22"/>
              </w:rPr>
            </w:pP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1993/94</w:t>
            </w: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1994/95</w:t>
            </w:r>
          </w:p>
        </w:tc>
        <w:tc>
          <w:tcPr>
            <w:tcW w:w="1092"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1995/96</w:t>
            </w:r>
          </w:p>
        </w:tc>
        <w:tc>
          <w:tcPr>
            <w:tcW w:w="1091"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1996/97</w:t>
            </w:r>
          </w:p>
        </w:tc>
        <w:tc>
          <w:tcPr>
            <w:tcW w:w="1092"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1997/98</w:t>
            </w:r>
          </w:p>
        </w:tc>
      </w:tr>
      <w:tr w:rsidR="00000000">
        <w:tc>
          <w:tcPr>
            <w:tcW w:w="3899" w:type="dxa"/>
            <w:tcBorders>
              <w:left w:val="single" w:sz="4" w:space="0" w:color="auto"/>
              <w:bottom w:val="nil"/>
              <w:right w:val="single" w:sz="4" w:space="0" w:color="auto"/>
            </w:tcBorders>
          </w:tcPr>
          <w:p w:rsidR="00000000" w:rsidRDefault="00000000">
            <w:pPr>
              <w:spacing w:before="80"/>
              <w:ind w:left="57"/>
              <w:rPr>
                <w:rFonts w:ascii="Time New Roman" w:eastAsia="SimHei" w:hAnsi="Time New Roman" w:hint="eastAsia"/>
                <w:bCs/>
                <w:sz w:val="22"/>
                <w:szCs w:val="22"/>
              </w:rPr>
            </w:pPr>
            <w:r>
              <w:rPr>
                <w:rFonts w:ascii="Time New Roman" w:eastAsia="SimHei" w:hAnsi="Time New Roman" w:hint="eastAsia"/>
                <w:bCs/>
                <w:sz w:val="22"/>
                <w:szCs w:val="22"/>
              </w:rPr>
              <w:t>教育机构的数目</w:t>
            </w:r>
          </w:p>
        </w:tc>
        <w:tc>
          <w:tcPr>
            <w:tcW w:w="1091" w:type="dxa"/>
            <w:tcBorders>
              <w:left w:val="single" w:sz="4" w:space="0" w:color="auto"/>
              <w:bottom w:val="nil"/>
              <w:right w:val="single" w:sz="4" w:space="0" w:color="auto"/>
            </w:tcBorders>
          </w:tcPr>
          <w:p w:rsidR="00000000" w:rsidRDefault="00000000">
            <w:pPr>
              <w:tabs>
                <w:tab w:val="right" w:pos="597"/>
              </w:tabs>
              <w:spacing w:before="80"/>
              <w:ind w:right="284"/>
              <w:jc w:val="right"/>
              <w:rPr>
                <w:b/>
                <w:sz w:val="22"/>
                <w:szCs w:val="22"/>
              </w:rPr>
            </w:pPr>
            <w:r>
              <w:rPr>
                <w:b/>
                <w:sz w:val="22"/>
                <w:szCs w:val="22"/>
              </w:rPr>
              <w:t>979</w:t>
            </w:r>
          </w:p>
        </w:tc>
        <w:tc>
          <w:tcPr>
            <w:tcW w:w="1091" w:type="dxa"/>
            <w:tcBorders>
              <w:left w:val="single" w:sz="4" w:space="0" w:color="auto"/>
              <w:bottom w:val="nil"/>
              <w:right w:val="single" w:sz="4" w:space="0" w:color="auto"/>
            </w:tcBorders>
          </w:tcPr>
          <w:p w:rsidR="00000000" w:rsidRDefault="00000000">
            <w:pPr>
              <w:tabs>
                <w:tab w:val="right" w:pos="610"/>
              </w:tabs>
              <w:spacing w:before="80"/>
              <w:ind w:right="284"/>
              <w:jc w:val="right"/>
              <w:rPr>
                <w:b/>
                <w:sz w:val="22"/>
                <w:szCs w:val="22"/>
              </w:rPr>
            </w:pPr>
            <w:r>
              <w:rPr>
                <w:b/>
                <w:sz w:val="22"/>
                <w:szCs w:val="22"/>
              </w:rPr>
              <w:t>975</w:t>
            </w:r>
          </w:p>
        </w:tc>
        <w:tc>
          <w:tcPr>
            <w:tcW w:w="1092" w:type="dxa"/>
            <w:tcBorders>
              <w:left w:val="single" w:sz="4" w:space="0" w:color="auto"/>
              <w:bottom w:val="nil"/>
              <w:right w:val="single" w:sz="4" w:space="0" w:color="auto"/>
            </w:tcBorders>
          </w:tcPr>
          <w:p w:rsidR="00000000" w:rsidRDefault="00000000">
            <w:pPr>
              <w:tabs>
                <w:tab w:val="right" w:pos="653"/>
              </w:tabs>
              <w:spacing w:before="80"/>
              <w:ind w:right="284"/>
              <w:jc w:val="right"/>
              <w:rPr>
                <w:b/>
                <w:sz w:val="22"/>
                <w:szCs w:val="22"/>
              </w:rPr>
            </w:pPr>
            <w:r>
              <w:rPr>
                <w:b/>
                <w:sz w:val="22"/>
                <w:szCs w:val="22"/>
              </w:rPr>
              <w:t>1,027</w:t>
            </w:r>
          </w:p>
        </w:tc>
        <w:tc>
          <w:tcPr>
            <w:tcW w:w="1091" w:type="dxa"/>
            <w:tcBorders>
              <w:left w:val="single" w:sz="4" w:space="0" w:color="auto"/>
              <w:bottom w:val="nil"/>
              <w:right w:val="single" w:sz="4" w:space="0" w:color="auto"/>
            </w:tcBorders>
          </w:tcPr>
          <w:p w:rsidR="00000000" w:rsidRDefault="00000000">
            <w:pPr>
              <w:tabs>
                <w:tab w:val="right" w:pos="653"/>
              </w:tabs>
              <w:spacing w:before="80"/>
              <w:ind w:right="284"/>
              <w:jc w:val="right"/>
              <w:rPr>
                <w:b/>
                <w:sz w:val="22"/>
                <w:szCs w:val="22"/>
              </w:rPr>
            </w:pPr>
            <w:r>
              <w:rPr>
                <w:b/>
                <w:sz w:val="22"/>
                <w:szCs w:val="22"/>
              </w:rPr>
              <w:t>1,002</w:t>
            </w:r>
          </w:p>
        </w:tc>
        <w:tc>
          <w:tcPr>
            <w:tcW w:w="1092" w:type="dxa"/>
            <w:tcBorders>
              <w:left w:val="single" w:sz="4" w:space="0" w:color="auto"/>
              <w:bottom w:val="nil"/>
              <w:right w:val="single" w:sz="4" w:space="0" w:color="auto"/>
            </w:tcBorders>
          </w:tcPr>
          <w:p w:rsidR="00000000" w:rsidRDefault="00000000">
            <w:pPr>
              <w:tabs>
                <w:tab w:val="right" w:pos="597"/>
              </w:tabs>
              <w:spacing w:before="80"/>
              <w:ind w:right="284"/>
              <w:jc w:val="right"/>
              <w:rPr>
                <w:b/>
                <w:sz w:val="22"/>
                <w:szCs w:val="22"/>
              </w:rPr>
            </w:pPr>
            <w:r>
              <w:rPr>
                <w:b/>
                <w:sz w:val="22"/>
                <w:szCs w:val="22"/>
              </w:rPr>
              <w:t>986</w:t>
            </w:r>
          </w:p>
        </w:tc>
      </w:tr>
      <w:tr w:rsidR="00000000">
        <w:tc>
          <w:tcPr>
            <w:tcW w:w="3899" w:type="dxa"/>
            <w:tcBorders>
              <w:top w:val="nil"/>
              <w:left w:val="single" w:sz="4" w:space="0" w:color="auto"/>
              <w:bottom w:val="nil"/>
              <w:right w:val="single" w:sz="4" w:space="0" w:color="auto"/>
            </w:tcBorders>
          </w:tcPr>
          <w:p w:rsidR="00000000" w:rsidRDefault="00000000">
            <w:pPr>
              <w:spacing w:before="80"/>
              <w:ind w:left="57"/>
              <w:rPr>
                <w:rFonts w:hint="eastAsia"/>
                <w:sz w:val="22"/>
                <w:szCs w:val="22"/>
              </w:rPr>
            </w:pPr>
            <w:r>
              <w:rPr>
                <w:rFonts w:hint="eastAsia"/>
                <w:sz w:val="22"/>
                <w:szCs w:val="22"/>
              </w:rPr>
              <w:t>幼儿园</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235</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240</w:t>
            </w:r>
          </w:p>
        </w:tc>
        <w:tc>
          <w:tcPr>
            <w:tcW w:w="1092"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253</w:t>
            </w:r>
          </w:p>
        </w:tc>
        <w:tc>
          <w:tcPr>
            <w:tcW w:w="1091"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263</w:t>
            </w:r>
          </w:p>
        </w:tc>
        <w:tc>
          <w:tcPr>
            <w:tcW w:w="1092"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259</w:t>
            </w:r>
          </w:p>
        </w:tc>
      </w:tr>
      <w:tr w:rsidR="00000000">
        <w:tc>
          <w:tcPr>
            <w:tcW w:w="3899" w:type="dxa"/>
            <w:tcBorders>
              <w:top w:val="nil"/>
              <w:left w:val="single" w:sz="4" w:space="0" w:color="auto"/>
              <w:bottom w:val="nil"/>
              <w:right w:val="single" w:sz="4" w:space="0" w:color="auto"/>
            </w:tcBorders>
          </w:tcPr>
          <w:p w:rsidR="00000000" w:rsidRDefault="00000000">
            <w:pPr>
              <w:spacing w:before="80"/>
              <w:ind w:left="57"/>
              <w:rPr>
                <w:sz w:val="22"/>
                <w:szCs w:val="22"/>
              </w:rPr>
            </w:pPr>
            <w:r>
              <w:rPr>
                <w:rFonts w:hint="eastAsia"/>
                <w:sz w:val="22"/>
                <w:szCs w:val="22"/>
              </w:rPr>
              <w:t>初等和特殊学校总数</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700</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679</w:t>
            </w:r>
          </w:p>
        </w:tc>
        <w:tc>
          <w:tcPr>
            <w:tcW w:w="1092"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693</w:t>
            </w:r>
          </w:p>
        </w:tc>
        <w:tc>
          <w:tcPr>
            <w:tcW w:w="1091"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678</w:t>
            </w:r>
          </w:p>
        </w:tc>
        <w:tc>
          <w:tcPr>
            <w:tcW w:w="1092"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667</w:t>
            </w:r>
          </w:p>
        </w:tc>
      </w:tr>
      <w:tr w:rsidR="00000000">
        <w:tc>
          <w:tcPr>
            <w:tcW w:w="3899" w:type="dxa"/>
            <w:tcBorders>
              <w:top w:val="nil"/>
              <w:left w:val="single" w:sz="4" w:space="0" w:color="auto"/>
              <w:bottom w:val="nil"/>
              <w:right w:val="single" w:sz="4" w:space="0" w:color="auto"/>
            </w:tcBorders>
          </w:tcPr>
          <w:p w:rsidR="00000000" w:rsidRDefault="00000000">
            <w:pPr>
              <w:tabs>
                <w:tab w:val="left" w:pos="214"/>
              </w:tabs>
              <w:spacing w:before="80"/>
              <w:ind w:left="57"/>
              <w:rPr>
                <w:sz w:val="22"/>
                <w:szCs w:val="22"/>
              </w:rPr>
            </w:pPr>
            <w:r>
              <w:rPr>
                <w:rFonts w:hint="eastAsia"/>
                <w:sz w:val="22"/>
                <w:szCs w:val="22"/>
              </w:rPr>
              <w:t xml:space="preserve">  </w:t>
            </w:r>
            <w:r>
              <w:rPr>
                <w:rFonts w:hint="eastAsia"/>
                <w:sz w:val="22"/>
                <w:szCs w:val="22"/>
              </w:rPr>
              <w:t>其中，特殊小学</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rFonts w:hint="eastAsia"/>
                <w:bCs/>
                <w:sz w:val="22"/>
                <w:szCs w:val="22"/>
              </w:rPr>
            </w:pPr>
            <w:r>
              <w:rPr>
                <w:rFonts w:hint="eastAsia"/>
                <w:bCs/>
                <w:sz w:val="22"/>
                <w:szCs w:val="22"/>
              </w:rPr>
              <w:t>-</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215</w:t>
            </w:r>
          </w:p>
        </w:tc>
        <w:tc>
          <w:tcPr>
            <w:tcW w:w="1092"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218</w:t>
            </w:r>
          </w:p>
        </w:tc>
        <w:tc>
          <w:tcPr>
            <w:tcW w:w="1091"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216</w:t>
            </w:r>
          </w:p>
        </w:tc>
        <w:tc>
          <w:tcPr>
            <w:tcW w:w="1092"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210</w:t>
            </w:r>
          </w:p>
        </w:tc>
      </w:tr>
      <w:tr w:rsidR="00000000">
        <w:tc>
          <w:tcPr>
            <w:tcW w:w="3899" w:type="dxa"/>
            <w:tcBorders>
              <w:top w:val="nil"/>
              <w:left w:val="single" w:sz="4" w:space="0" w:color="auto"/>
              <w:bottom w:val="nil"/>
              <w:right w:val="single" w:sz="4" w:space="0" w:color="auto"/>
            </w:tcBorders>
          </w:tcPr>
          <w:p w:rsidR="00000000" w:rsidRDefault="00000000">
            <w:pPr>
              <w:spacing w:before="80"/>
              <w:ind w:left="57"/>
              <w:rPr>
                <w:rFonts w:hint="eastAsia"/>
                <w:sz w:val="22"/>
                <w:szCs w:val="22"/>
              </w:rPr>
            </w:pPr>
            <w:r>
              <w:rPr>
                <w:rFonts w:hint="eastAsia"/>
                <w:sz w:val="22"/>
                <w:szCs w:val="22"/>
              </w:rPr>
              <w:t>特殊学校</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rFonts w:hint="eastAsia"/>
                <w:bCs/>
                <w:sz w:val="22"/>
                <w:szCs w:val="22"/>
              </w:rPr>
            </w:pPr>
            <w:r>
              <w:rPr>
                <w:bCs/>
                <w:sz w:val="22"/>
                <w:szCs w:val="22"/>
              </w:rPr>
              <w:t>-</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464</w:t>
            </w:r>
          </w:p>
        </w:tc>
        <w:tc>
          <w:tcPr>
            <w:tcW w:w="1092"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475</w:t>
            </w:r>
          </w:p>
        </w:tc>
        <w:tc>
          <w:tcPr>
            <w:tcW w:w="1091"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462</w:t>
            </w:r>
          </w:p>
        </w:tc>
        <w:tc>
          <w:tcPr>
            <w:tcW w:w="1092"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457</w:t>
            </w:r>
          </w:p>
        </w:tc>
      </w:tr>
      <w:tr w:rsidR="00000000">
        <w:tc>
          <w:tcPr>
            <w:tcW w:w="3899" w:type="dxa"/>
            <w:tcBorders>
              <w:top w:val="nil"/>
              <w:left w:val="single" w:sz="4" w:space="0" w:color="auto"/>
              <w:bottom w:val="nil"/>
              <w:right w:val="single" w:sz="4" w:space="0" w:color="auto"/>
            </w:tcBorders>
          </w:tcPr>
          <w:p w:rsidR="00000000" w:rsidRDefault="00000000">
            <w:pPr>
              <w:spacing w:before="80"/>
              <w:ind w:left="57"/>
              <w:rPr>
                <w:rFonts w:hint="eastAsia"/>
                <w:sz w:val="22"/>
                <w:szCs w:val="22"/>
              </w:rPr>
            </w:pPr>
            <w:r>
              <w:rPr>
                <w:rFonts w:hint="eastAsia"/>
                <w:sz w:val="22"/>
                <w:szCs w:val="22"/>
              </w:rPr>
              <w:t>补充学校</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118</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127</w:t>
            </w:r>
          </w:p>
        </w:tc>
        <w:tc>
          <w:tcPr>
            <w:tcW w:w="1092"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93</w:t>
            </w:r>
          </w:p>
        </w:tc>
        <w:tc>
          <w:tcPr>
            <w:tcW w:w="1091"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151</w:t>
            </w:r>
          </w:p>
        </w:tc>
        <w:tc>
          <w:tcPr>
            <w:tcW w:w="1092"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153</w:t>
            </w:r>
          </w:p>
        </w:tc>
      </w:tr>
      <w:tr w:rsidR="00000000">
        <w:tc>
          <w:tcPr>
            <w:tcW w:w="3899" w:type="dxa"/>
            <w:tcBorders>
              <w:top w:val="nil"/>
              <w:left w:val="single" w:sz="4" w:space="0" w:color="auto"/>
              <w:bottom w:val="nil"/>
              <w:right w:val="single" w:sz="4" w:space="0" w:color="auto"/>
            </w:tcBorders>
          </w:tcPr>
          <w:p w:rsidR="00000000" w:rsidRDefault="00000000">
            <w:pPr>
              <w:tabs>
                <w:tab w:val="left" w:pos="214"/>
              </w:tabs>
              <w:spacing w:before="80"/>
              <w:ind w:left="57"/>
              <w:rPr>
                <w:rFonts w:hint="eastAsia"/>
                <w:sz w:val="22"/>
                <w:szCs w:val="22"/>
              </w:rPr>
            </w:pPr>
            <w:r>
              <w:rPr>
                <w:rFonts w:hint="eastAsia"/>
                <w:sz w:val="22"/>
                <w:szCs w:val="22"/>
              </w:rPr>
              <w:t>文法学校和中等专业学校</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70</w:t>
            </w:r>
          </w:p>
        </w:tc>
        <w:tc>
          <w:tcPr>
            <w:tcW w:w="1091"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89</w:t>
            </w:r>
          </w:p>
        </w:tc>
        <w:tc>
          <w:tcPr>
            <w:tcW w:w="1092"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106</w:t>
            </w:r>
          </w:p>
        </w:tc>
        <w:tc>
          <w:tcPr>
            <w:tcW w:w="1091" w:type="dxa"/>
            <w:tcBorders>
              <w:top w:val="nil"/>
              <w:left w:val="single" w:sz="4" w:space="0" w:color="auto"/>
              <w:bottom w:val="nil"/>
              <w:right w:val="single" w:sz="4" w:space="0" w:color="auto"/>
            </w:tcBorders>
          </w:tcPr>
          <w:p w:rsidR="00000000" w:rsidRDefault="00000000">
            <w:pPr>
              <w:tabs>
                <w:tab w:val="right" w:pos="653"/>
              </w:tabs>
              <w:spacing w:before="80"/>
              <w:ind w:right="284"/>
              <w:jc w:val="right"/>
              <w:rPr>
                <w:bCs/>
                <w:sz w:val="22"/>
                <w:szCs w:val="22"/>
              </w:rPr>
            </w:pPr>
            <w:r>
              <w:rPr>
                <w:bCs/>
                <w:sz w:val="22"/>
                <w:szCs w:val="22"/>
              </w:rPr>
              <w:t>122</w:t>
            </w:r>
          </w:p>
        </w:tc>
        <w:tc>
          <w:tcPr>
            <w:tcW w:w="1092" w:type="dxa"/>
            <w:tcBorders>
              <w:top w:val="nil"/>
              <w:left w:val="single" w:sz="4" w:space="0" w:color="auto"/>
              <w:bottom w:val="nil"/>
              <w:right w:val="single" w:sz="4" w:space="0" w:color="auto"/>
            </w:tcBorders>
          </w:tcPr>
          <w:p w:rsidR="00000000" w:rsidRDefault="00000000">
            <w:pPr>
              <w:tabs>
                <w:tab w:val="right" w:pos="597"/>
              </w:tabs>
              <w:spacing w:before="80"/>
              <w:ind w:right="284"/>
              <w:jc w:val="right"/>
              <w:rPr>
                <w:bCs/>
                <w:sz w:val="22"/>
                <w:szCs w:val="22"/>
              </w:rPr>
            </w:pPr>
            <w:r>
              <w:rPr>
                <w:bCs/>
                <w:sz w:val="22"/>
                <w:szCs w:val="22"/>
              </w:rPr>
              <w:t>139</w:t>
            </w:r>
          </w:p>
        </w:tc>
      </w:tr>
      <w:tr w:rsidR="00000000">
        <w:tc>
          <w:tcPr>
            <w:tcW w:w="3899" w:type="dxa"/>
            <w:tcBorders>
              <w:top w:val="nil"/>
              <w:left w:val="single" w:sz="4" w:space="0" w:color="auto"/>
              <w:bottom w:val="single" w:sz="4" w:space="0" w:color="auto"/>
              <w:right w:val="single" w:sz="4" w:space="0" w:color="auto"/>
            </w:tcBorders>
          </w:tcPr>
          <w:p w:rsidR="00000000" w:rsidRDefault="00000000">
            <w:pPr>
              <w:tabs>
                <w:tab w:val="left" w:pos="214"/>
              </w:tabs>
              <w:spacing w:before="80"/>
              <w:ind w:left="57"/>
              <w:rPr>
                <w:rFonts w:hint="eastAsia"/>
                <w:sz w:val="22"/>
                <w:szCs w:val="22"/>
              </w:rPr>
            </w:pPr>
            <w:r>
              <w:rPr>
                <w:rFonts w:hint="eastAsia"/>
                <w:sz w:val="22"/>
                <w:szCs w:val="22"/>
              </w:rPr>
              <w:t>中等职业学校和职业学校</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597"/>
              </w:tabs>
              <w:spacing w:before="80"/>
              <w:ind w:right="284"/>
              <w:jc w:val="right"/>
              <w:rPr>
                <w:bCs/>
                <w:sz w:val="22"/>
                <w:szCs w:val="22"/>
              </w:rPr>
            </w:pPr>
            <w:r>
              <w:rPr>
                <w:bCs/>
                <w:sz w:val="22"/>
                <w:szCs w:val="22"/>
              </w:rPr>
              <w:t>127</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597"/>
              </w:tabs>
              <w:spacing w:before="80"/>
              <w:ind w:right="284"/>
              <w:jc w:val="right"/>
              <w:rPr>
                <w:bCs/>
                <w:sz w:val="22"/>
                <w:szCs w:val="22"/>
              </w:rPr>
            </w:pPr>
            <w:r>
              <w:rPr>
                <w:bCs/>
                <w:sz w:val="22"/>
                <w:szCs w:val="22"/>
              </w:rPr>
              <w:t>111</w:t>
            </w:r>
          </w:p>
        </w:tc>
        <w:tc>
          <w:tcPr>
            <w:tcW w:w="1092" w:type="dxa"/>
            <w:tcBorders>
              <w:top w:val="nil"/>
              <w:left w:val="single" w:sz="4" w:space="0" w:color="auto"/>
              <w:bottom w:val="single" w:sz="4" w:space="0" w:color="auto"/>
              <w:right w:val="single" w:sz="4" w:space="0" w:color="auto"/>
            </w:tcBorders>
          </w:tcPr>
          <w:p w:rsidR="00000000" w:rsidRDefault="00000000">
            <w:pPr>
              <w:tabs>
                <w:tab w:val="right" w:pos="653"/>
              </w:tabs>
              <w:spacing w:before="80"/>
              <w:ind w:right="284"/>
              <w:jc w:val="right"/>
              <w:rPr>
                <w:bCs/>
                <w:sz w:val="22"/>
                <w:szCs w:val="22"/>
              </w:rPr>
            </w:pPr>
            <w:r>
              <w:rPr>
                <w:bCs/>
                <w:sz w:val="22"/>
                <w:szCs w:val="22"/>
              </w:rPr>
              <w:t>148</w:t>
            </w:r>
          </w:p>
        </w:tc>
        <w:tc>
          <w:tcPr>
            <w:tcW w:w="1091" w:type="dxa"/>
            <w:tcBorders>
              <w:top w:val="nil"/>
              <w:left w:val="single" w:sz="4" w:space="0" w:color="auto"/>
              <w:bottom w:val="single" w:sz="4" w:space="0" w:color="auto"/>
              <w:right w:val="single" w:sz="4" w:space="0" w:color="auto"/>
            </w:tcBorders>
          </w:tcPr>
          <w:p w:rsidR="00000000" w:rsidRDefault="00000000">
            <w:pPr>
              <w:tabs>
                <w:tab w:val="right" w:pos="653"/>
              </w:tabs>
              <w:spacing w:before="80"/>
              <w:ind w:right="284"/>
              <w:jc w:val="right"/>
              <w:rPr>
                <w:bCs/>
                <w:sz w:val="22"/>
                <w:szCs w:val="22"/>
              </w:rPr>
            </w:pPr>
            <w:r>
              <w:rPr>
                <w:bCs/>
                <w:sz w:val="22"/>
                <w:szCs w:val="22"/>
              </w:rPr>
              <w:t>156</w:t>
            </w:r>
          </w:p>
        </w:tc>
        <w:tc>
          <w:tcPr>
            <w:tcW w:w="1092" w:type="dxa"/>
            <w:tcBorders>
              <w:top w:val="nil"/>
              <w:left w:val="single" w:sz="4" w:space="0" w:color="auto"/>
              <w:bottom w:val="single" w:sz="4" w:space="0" w:color="auto"/>
              <w:right w:val="single" w:sz="4" w:space="0" w:color="auto"/>
            </w:tcBorders>
          </w:tcPr>
          <w:p w:rsidR="00000000" w:rsidRDefault="00000000">
            <w:pPr>
              <w:tabs>
                <w:tab w:val="right" w:pos="597"/>
              </w:tabs>
              <w:spacing w:before="80"/>
              <w:ind w:right="284"/>
              <w:jc w:val="right"/>
              <w:rPr>
                <w:bCs/>
                <w:sz w:val="22"/>
                <w:szCs w:val="22"/>
              </w:rPr>
            </w:pPr>
            <w:r>
              <w:rPr>
                <w:bCs/>
                <w:sz w:val="22"/>
                <w:szCs w:val="22"/>
              </w:rPr>
              <w:t>158</w:t>
            </w:r>
          </w:p>
        </w:tc>
      </w:tr>
    </w:tbl>
    <w:p w:rsidR="00000000" w:rsidRDefault="00000000"/>
    <w:p w:rsidR="00000000" w:rsidRDefault="00000000">
      <w:pPr>
        <w:ind w:left="480" w:hanging="480"/>
        <w:rPr>
          <w:rFonts w:eastAsia="KaiTi_GB2312" w:hint="eastAsia"/>
          <w:spacing w:val="0"/>
          <w:sz w:val="22"/>
        </w:rPr>
      </w:pPr>
      <w:r>
        <w:rPr>
          <w:rFonts w:eastAsia="KaiTi_GB2312" w:hint="eastAsia"/>
          <w:spacing w:val="0"/>
          <w:sz w:val="22"/>
          <w:u w:val="single"/>
        </w:rPr>
        <w:t>注</w:t>
      </w:r>
      <w:r>
        <w:rPr>
          <w:rFonts w:eastAsia="KaiTi_GB2312" w:hint="eastAsia"/>
          <w:spacing w:val="0"/>
          <w:sz w:val="22"/>
        </w:rPr>
        <w:t>：教育机构的数量与各级学校的总数不相吻合，因为各级特殊学校可以设在教育机构里。在</w:t>
      </w:r>
      <w:r>
        <w:rPr>
          <w:rFonts w:eastAsia="KaiTi_GB2312" w:hint="eastAsia"/>
          <w:spacing w:val="0"/>
          <w:sz w:val="22"/>
        </w:rPr>
        <w:t>1993/1994</w:t>
      </w:r>
      <w:r>
        <w:rPr>
          <w:rFonts w:eastAsia="KaiTi_GB2312" w:hint="eastAsia"/>
          <w:spacing w:val="0"/>
          <w:sz w:val="22"/>
        </w:rPr>
        <w:t>学年之前，初等和特殊学校的资料没有分别查询。</w:t>
      </w:r>
    </w:p>
    <w:p w:rsidR="00000000" w:rsidRDefault="00000000">
      <w:pPr>
        <w:pStyle w:val="ParaNo"/>
        <w:numPr>
          <w:ilvl w:val="0"/>
          <w:numId w:val="0"/>
        </w:numPr>
        <w:spacing w:line="480" w:lineRule="auto"/>
        <w:rPr>
          <w:rFonts w:hint="eastAsia"/>
          <w:lang w:val="en-GB" w:eastAsia="zh-CN"/>
        </w:rPr>
      </w:pPr>
    </w:p>
    <w:p w:rsidR="00000000" w:rsidRDefault="00000000">
      <w:pPr>
        <w:rPr>
          <w:rFonts w:hint="eastAsia"/>
          <w:lang w:val="en-GB"/>
        </w:rPr>
      </w:pPr>
      <w:r>
        <w:rPr>
          <w:rFonts w:hint="eastAsia"/>
          <w:lang w:val="en-GB"/>
        </w:rPr>
        <w:tab/>
        <w:t xml:space="preserve">589.  </w:t>
      </w:r>
      <w:r>
        <w:rPr>
          <w:rFonts w:hint="eastAsia"/>
          <w:lang w:val="en-GB"/>
        </w:rPr>
        <w:t>《学校法》规定，聋哑人和盲人被确保有权利用其手势语或盲文接受教育。《手势语法》</w:t>
      </w:r>
      <w:r>
        <w:rPr>
          <w:rStyle w:val="EndnoteReference"/>
          <w:lang w:val="en-GB"/>
        </w:rPr>
        <w:endnoteReference w:id="345"/>
      </w:r>
      <w:r>
        <w:rPr>
          <w:rFonts w:hint="eastAsia"/>
          <w:lang w:val="en-GB"/>
        </w:rPr>
        <w:t>，聋哑人有权使用手势语，利用手势语接受教育和进行手势语教学。中等学校和中学后学校的聋哑学生取得免费的翻译服务。自</w:t>
      </w:r>
      <w:r>
        <w:rPr>
          <w:rFonts w:hint="eastAsia"/>
          <w:lang w:val="en-GB"/>
        </w:rPr>
        <w:t>1990/1991</w:t>
      </w:r>
      <w:r>
        <w:rPr>
          <w:rFonts w:hint="eastAsia"/>
          <w:lang w:val="en-GB"/>
        </w:rPr>
        <w:t>学年以来，在一些小学里开始试验将这些学生纳入正常班级，但这始终取决于学生残疾的类别和程度以及学校满足其特殊需要的机会。</w:t>
      </w:r>
      <w:r>
        <w:rPr>
          <w:rStyle w:val="EndnoteReference"/>
          <w:lang w:val="en-GB"/>
        </w:rPr>
        <w:endnoteReference w:id="346"/>
      </w:r>
    </w:p>
    <w:p w:rsidR="00000000" w:rsidRDefault="00000000">
      <w:pPr>
        <w:rPr>
          <w:rFonts w:hint="eastAsia"/>
          <w:lang w:val="en-GB"/>
        </w:rPr>
      </w:pPr>
      <w:r>
        <w:rPr>
          <w:rFonts w:hint="eastAsia"/>
          <w:lang w:val="en-GB"/>
        </w:rPr>
        <w:tab/>
        <w:t xml:space="preserve">590.  </w:t>
      </w:r>
      <w:r>
        <w:rPr>
          <w:rFonts w:hint="eastAsia"/>
          <w:lang w:val="en-GB"/>
        </w:rPr>
        <w:t>使残疾儿童融入健康儿童对于社会化是非常重要的。然而，融合残疾儿童在财政上和技术上要求很高，需要教师采取有的放矢的办法，因此融合儿童得到了融资规则修正案的支持。编入正常班级的儿童人数正在增加，而小学里开办的特殊班和专门班里的儿童人数保持不变。教师们和家长们同意残疾儿童在小学里接受教育；此外，这对特殊学校的工作产生了积极的影响，因为这些学校为残疾比较严重和缺陷比较复杂的儿童留下了较多的余地。</w:t>
      </w:r>
    </w:p>
    <w:p w:rsidR="00000000" w:rsidRDefault="00000000">
      <w:pPr>
        <w:rPr>
          <w:rFonts w:hint="eastAsia"/>
        </w:rPr>
      </w:pPr>
    </w:p>
    <w:p w:rsidR="00000000" w:rsidRDefault="00000000">
      <w:pPr>
        <w:pageBreakBefore/>
        <w:spacing w:after="160" w:line="264" w:lineRule="auto"/>
        <w:jc w:val="center"/>
        <w:rPr>
          <w:sz w:val="22"/>
          <w:szCs w:val="22"/>
        </w:rPr>
      </w:pPr>
      <w:r>
        <w:rPr>
          <w:rFonts w:hint="eastAsia"/>
          <w:snapToGrid/>
          <w:color w:val="000000"/>
          <w:kern w:val="28"/>
          <w:u w:val="single"/>
        </w:rPr>
        <w:t>上正常班和特殊班与专门班的儿童人数</w:t>
      </w:r>
      <w:r>
        <w:rPr>
          <w:snapToGrid/>
          <w:color w:val="000000"/>
          <w:kern w:val="28"/>
          <w:u w:val="single"/>
        </w:rPr>
        <w:br/>
      </w:r>
      <w:r>
        <w:rPr>
          <w:sz w:val="22"/>
          <w:szCs w:val="22"/>
        </w:rPr>
        <w:t>(</w:t>
      </w:r>
      <w:r>
        <w:rPr>
          <w:rFonts w:hint="eastAsia"/>
          <w:sz w:val="22"/>
          <w:szCs w:val="22"/>
        </w:rPr>
        <w:t>以千计</w:t>
      </w:r>
      <w:r>
        <w:rPr>
          <w:sz w:val="22"/>
          <w:szCs w:val="22"/>
        </w:rPr>
        <w:t>)</w:t>
      </w:r>
    </w:p>
    <w:tbl>
      <w:tblPr>
        <w:tblW w:w="0" w:type="auto"/>
        <w:tblInd w:w="70"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3544"/>
        <w:gridCol w:w="1162"/>
        <w:gridCol w:w="1162"/>
        <w:gridCol w:w="1163"/>
        <w:gridCol w:w="1162"/>
        <w:gridCol w:w="1163"/>
      </w:tblGrid>
      <w:tr w:rsidR="00000000">
        <w:tc>
          <w:tcPr>
            <w:tcW w:w="3544" w:type="dxa"/>
            <w:tcBorders>
              <w:top w:val="single" w:sz="4" w:space="0" w:color="auto"/>
              <w:left w:val="single" w:sz="4" w:space="0" w:color="auto"/>
              <w:bottom w:val="single" w:sz="8" w:space="0" w:color="000000"/>
              <w:right w:val="single" w:sz="4" w:space="0" w:color="auto"/>
            </w:tcBorders>
          </w:tcPr>
          <w:p w:rsidR="00000000" w:rsidRDefault="00000000">
            <w:pPr>
              <w:spacing w:before="120"/>
              <w:rPr>
                <w:sz w:val="22"/>
                <w:szCs w:val="22"/>
              </w:rPr>
            </w:pP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1993/94</w:t>
            </w: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1994/95</w:t>
            </w:r>
          </w:p>
        </w:tc>
        <w:tc>
          <w:tcPr>
            <w:tcW w:w="1163"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1995/96</w:t>
            </w:r>
          </w:p>
        </w:tc>
        <w:tc>
          <w:tcPr>
            <w:tcW w:w="1162"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1996/97</w:t>
            </w:r>
          </w:p>
        </w:tc>
        <w:tc>
          <w:tcPr>
            <w:tcW w:w="1163" w:type="dxa"/>
            <w:tcBorders>
              <w:top w:val="single" w:sz="4" w:space="0" w:color="auto"/>
              <w:left w:val="single" w:sz="4" w:space="0" w:color="auto"/>
              <w:bottom w:val="single" w:sz="8" w:space="0" w:color="000000"/>
              <w:right w:val="single" w:sz="4" w:space="0" w:color="auto"/>
            </w:tcBorders>
          </w:tcPr>
          <w:p w:rsidR="00000000" w:rsidRDefault="00000000">
            <w:pPr>
              <w:spacing w:before="120"/>
              <w:jc w:val="center"/>
              <w:rPr>
                <w:b/>
                <w:sz w:val="22"/>
                <w:szCs w:val="22"/>
              </w:rPr>
            </w:pPr>
            <w:r>
              <w:rPr>
                <w:b/>
                <w:sz w:val="22"/>
                <w:szCs w:val="22"/>
              </w:rPr>
              <w:t>1997/98</w:t>
            </w:r>
          </w:p>
        </w:tc>
      </w:tr>
      <w:tr w:rsidR="00000000">
        <w:tc>
          <w:tcPr>
            <w:tcW w:w="3544" w:type="dxa"/>
            <w:tcBorders>
              <w:top w:val="single" w:sz="8" w:space="0" w:color="000000"/>
              <w:left w:val="single" w:sz="4" w:space="0" w:color="auto"/>
              <w:bottom w:val="nil"/>
              <w:right w:val="single" w:sz="4" w:space="0" w:color="auto"/>
            </w:tcBorders>
          </w:tcPr>
          <w:p w:rsidR="00000000" w:rsidRDefault="00000000">
            <w:pPr>
              <w:spacing w:before="120"/>
              <w:rPr>
                <w:rFonts w:hint="eastAsia"/>
                <w:sz w:val="22"/>
                <w:szCs w:val="22"/>
              </w:rPr>
            </w:pPr>
            <w:r>
              <w:rPr>
                <w:rFonts w:hint="eastAsia"/>
                <w:sz w:val="22"/>
                <w:szCs w:val="22"/>
              </w:rPr>
              <w:t>上学儿童总数</w:t>
            </w:r>
          </w:p>
        </w:tc>
        <w:tc>
          <w:tcPr>
            <w:tcW w:w="1162" w:type="dxa"/>
            <w:tcBorders>
              <w:top w:val="single" w:sz="8" w:space="0" w:color="000000"/>
              <w:left w:val="single" w:sz="4" w:space="0" w:color="auto"/>
              <w:bottom w:val="nil"/>
              <w:right w:val="single" w:sz="4" w:space="0" w:color="auto"/>
            </w:tcBorders>
          </w:tcPr>
          <w:p w:rsidR="00000000" w:rsidRDefault="00000000">
            <w:pPr>
              <w:tabs>
                <w:tab w:val="right" w:pos="781"/>
              </w:tabs>
              <w:spacing w:before="120"/>
              <w:jc w:val="center"/>
              <w:rPr>
                <w:sz w:val="22"/>
                <w:szCs w:val="22"/>
              </w:rPr>
            </w:pPr>
            <w:r>
              <w:rPr>
                <w:sz w:val="22"/>
                <w:szCs w:val="22"/>
              </w:rPr>
              <w:t>40.1</w:t>
            </w:r>
          </w:p>
        </w:tc>
        <w:tc>
          <w:tcPr>
            <w:tcW w:w="1162" w:type="dxa"/>
            <w:tcBorders>
              <w:top w:val="single" w:sz="8" w:space="0" w:color="000000"/>
              <w:left w:val="single" w:sz="4" w:space="0" w:color="auto"/>
              <w:bottom w:val="nil"/>
              <w:right w:val="single" w:sz="4" w:space="0" w:color="auto"/>
            </w:tcBorders>
          </w:tcPr>
          <w:p w:rsidR="00000000" w:rsidRDefault="00000000">
            <w:pPr>
              <w:tabs>
                <w:tab w:val="right" w:pos="753"/>
              </w:tabs>
              <w:spacing w:before="120"/>
              <w:jc w:val="center"/>
              <w:rPr>
                <w:sz w:val="22"/>
                <w:szCs w:val="22"/>
              </w:rPr>
            </w:pPr>
            <w:r>
              <w:rPr>
                <w:sz w:val="22"/>
                <w:szCs w:val="22"/>
              </w:rPr>
              <w:t>16.6</w:t>
            </w:r>
          </w:p>
        </w:tc>
        <w:tc>
          <w:tcPr>
            <w:tcW w:w="1163" w:type="dxa"/>
            <w:tcBorders>
              <w:top w:val="single" w:sz="8" w:space="0" w:color="000000"/>
              <w:left w:val="single" w:sz="4" w:space="0" w:color="auto"/>
              <w:bottom w:val="nil"/>
              <w:right w:val="single" w:sz="4" w:space="0" w:color="auto"/>
            </w:tcBorders>
          </w:tcPr>
          <w:p w:rsidR="00000000" w:rsidRDefault="00000000">
            <w:pPr>
              <w:spacing w:before="120"/>
              <w:jc w:val="center"/>
              <w:rPr>
                <w:sz w:val="22"/>
                <w:szCs w:val="22"/>
              </w:rPr>
            </w:pPr>
            <w:r>
              <w:rPr>
                <w:sz w:val="22"/>
                <w:szCs w:val="22"/>
              </w:rPr>
              <w:t>41.3</w:t>
            </w:r>
          </w:p>
        </w:tc>
        <w:tc>
          <w:tcPr>
            <w:tcW w:w="1162" w:type="dxa"/>
            <w:tcBorders>
              <w:top w:val="single" w:sz="8" w:space="0" w:color="000000"/>
              <w:left w:val="single" w:sz="4" w:space="0" w:color="auto"/>
              <w:bottom w:val="nil"/>
              <w:right w:val="single" w:sz="4" w:space="0" w:color="auto"/>
            </w:tcBorders>
          </w:tcPr>
          <w:p w:rsidR="00000000" w:rsidRDefault="00000000">
            <w:pPr>
              <w:spacing w:before="120"/>
              <w:jc w:val="center"/>
              <w:rPr>
                <w:sz w:val="22"/>
                <w:szCs w:val="22"/>
              </w:rPr>
            </w:pPr>
            <w:r>
              <w:rPr>
                <w:sz w:val="22"/>
                <w:szCs w:val="22"/>
              </w:rPr>
              <w:t>51.2</w:t>
            </w:r>
          </w:p>
        </w:tc>
        <w:tc>
          <w:tcPr>
            <w:tcW w:w="1163" w:type="dxa"/>
            <w:tcBorders>
              <w:top w:val="single" w:sz="8" w:space="0" w:color="000000"/>
              <w:left w:val="single" w:sz="4" w:space="0" w:color="auto"/>
              <w:bottom w:val="nil"/>
              <w:right w:val="single" w:sz="4" w:space="0" w:color="auto"/>
            </w:tcBorders>
          </w:tcPr>
          <w:p w:rsidR="00000000" w:rsidRDefault="00000000">
            <w:pPr>
              <w:spacing w:before="120"/>
              <w:jc w:val="center"/>
              <w:rPr>
                <w:sz w:val="22"/>
                <w:szCs w:val="22"/>
              </w:rPr>
            </w:pPr>
            <w:r>
              <w:rPr>
                <w:sz w:val="22"/>
                <w:szCs w:val="22"/>
              </w:rPr>
              <w:t>54.4</w:t>
            </w:r>
          </w:p>
        </w:tc>
      </w:tr>
      <w:tr w:rsidR="00000000">
        <w:tc>
          <w:tcPr>
            <w:tcW w:w="3544" w:type="dxa"/>
            <w:tcBorders>
              <w:top w:val="nil"/>
              <w:left w:val="single" w:sz="4" w:space="0" w:color="auto"/>
              <w:bottom w:val="nil"/>
              <w:right w:val="single" w:sz="4" w:space="0" w:color="auto"/>
            </w:tcBorders>
          </w:tcPr>
          <w:p w:rsidR="00000000" w:rsidRDefault="00000000">
            <w:pPr>
              <w:tabs>
                <w:tab w:val="left" w:pos="214"/>
              </w:tabs>
              <w:spacing w:before="120"/>
              <w:rPr>
                <w:rFonts w:hint="eastAsia"/>
                <w:sz w:val="22"/>
                <w:szCs w:val="22"/>
              </w:rPr>
            </w:pPr>
            <w:r>
              <w:rPr>
                <w:rFonts w:hint="eastAsia"/>
                <w:sz w:val="22"/>
                <w:szCs w:val="22"/>
              </w:rPr>
              <w:t>上正常班的儿童</w:t>
            </w:r>
          </w:p>
        </w:tc>
        <w:tc>
          <w:tcPr>
            <w:tcW w:w="1162" w:type="dxa"/>
            <w:tcBorders>
              <w:top w:val="nil"/>
              <w:left w:val="single" w:sz="4" w:space="0" w:color="auto"/>
              <w:bottom w:val="nil"/>
              <w:right w:val="single" w:sz="4" w:space="0" w:color="auto"/>
            </w:tcBorders>
          </w:tcPr>
          <w:p w:rsidR="00000000" w:rsidRDefault="00000000">
            <w:pPr>
              <w:tabs>
                <w:tab w:val="right" w:pos="781"/>
              </w:tabs>
              <w:spacing w:before="120"/>
              <w:jc w:val="center"/>
              <w:rPr>
                <w:sz w:val="22"/>
                <w:szCs w:val="22"/>
              </w:rPr>
            </w:pPr>
            <w:r>
              <w:rPr>
                <w:sz w:val="22"/>
                <w:szCs w:val="22"/>
              </w:rPr>
              <w:t>30.4</w:t>
            </w:r>
          </w:p>
        </w:tc>
        <w:tc>
          <w:tcPr>
            <w:tcW w:w="1162" w:type="dxa"/>
            <w:tcBorders>
              <w:top w:val="nil"/>
              <w:left w:val="single" w:sz="4" w:space="0" w:color="auto"/>
              <w:bottom w:val="nil"/>
              <w:right w:val="single" w:sz="4" w:space="0" w:color="auto"/>
            </w:tcBorders>
          </w:tcPr>
          <w:p w:rsidR="00000000" w:rsidRDefault="00000000">
            <w:pPr>
              <w:tabs>
                <w:tab w:val="right" w:pos="753"/>
              </w:tabs>
              <w:spacing w:before="120"/>
              <w:jc w:val="center"/>
              <w:rPr>
                <w:sz w:val="22"/>
                <w:szCs w:val="22"/>
              </w:rPr>
            </w:pPr>
            <w:r>
              <w:rPr>
                <w:rFonts w:hint="eastAsia"/>
                <w:sz w:val="22"/>
                <w:szCs w:val="22"/>
              </w:rPr>
              <w:t xml:space="preserve"> </w:t>
            </w:r>
            <w:r>
              <w:rPr>
                <w:sz w:val="22"/>
                <w:szCs w:val="22"/>
              </w:rPr>
              <w:t>5.5</w:t>
            </w:r>
          </w:p>
        </w:tc>
        <w:tc>
          <w:tcPr>
            <w:tcW w:w="1163" w:type="dxa"/>
            <w:tcBorders>
              <w:top w:val="nil"/>
              <w:left w:val="single" w:sz="4" w:space="0" w:color="auto"/>
              <w:bottom w:val="nil"/>
              <w:right w:val="single" w:sz="4" w:space="0" w:color="auto"/>
            </w:tcBorders>
          </w:tcPr>
          <w:p w:rsidR="00000000" w:rsidRDefault="00000000">
            <w:pPr>
              <w:spacing w:before="120"/>
              <w:jc w:val="center"/>
              <w:rPr>
                <w:sz w:val="22"/>
                <w:szCs w:val="22"/>
              </w:rPr>
            </w:pPr>
            <w:r>
              <w:rPr>
                <w:sz w:val="22"/>
                <w:szCs w:val="22"/>
              </w:rPr>
              <w:t>30.4</w:t>
            </w:r>
          </w:p>
        </w:tc>
        <w:tc>
          <w:tcPr>
            <w:tcW w:w="1162" w:type="dxa"/>
            <w:tcBorders>
              <w:top w:val="nil"/>
              <w:left w:val="single" w:sz="4" w:space="0" w:color="auto"/>
              <w:bottom w:val="nil"/>
              <w:right w:val="single" w:sz="4" w:space="0" w:color="auto"/>
            </w:tcBorders>
          </w:tcPr>
          <w:p w:rsidR="00000000" w:rsidRDefault="00000000">
            <w:pPr>
              <w:spacing w:before="120"/>
              <w:jc w:val="center"/>
              <w:rPr>
                <w:sz w:val="22"/>
                <w:szCs w:val="22"/>
              </w:rPr>
            </w:pPr>
            <w:r>
              <w:rPr>
                <w:sz w:val="22"/>
                <w:szCs w:val="22"/>
              </w:rPr>
              <w:t>38.8</w:t>
            </w:r>
          </w:p>
        </w:tc>
        <w:tc>
          <w:tcPr>
            <w:tcW w:w="1163" w:type="dxa"/>
            <w:tcBorders>
              <w:top w:val="nil"/>
              <w:left w:val="single" w:sz="4" w:space="0" w:color="auto"/>
              <w:bottom w:val="nil"/>
              <w:right w:val="single" w:sz="4" w:space="0" w:color="auto"/>
            </w:tcBorders>
          </w:tcPr>
          <w:p w:rsidR="00000000" w:rsidRDefault="00000000">
            <w:pPr>
              <w:spacing w:before="120"/>
              <w:jc w:val="center"/>
              <w:rPr>
                <w:sz w:val="22"/>
                <w:szCs w:val="22"/>
              </w:rPr>
            </w:pPr>
            <w:r>
              <w:rPr>
                <w:sz w:val="22"/>
                <w:szCs w:val="22"/>
              </w:rPr>
              <w:t>42.2</w:t>
            </w:r>
          </w:p>
        </w:tc>
      </w:tr>
      <w:tr w:rsidR="00000000">
        <w:tc>
          <w:tcPr>
            <w:tcW w:w="3544" w:type="dxa"/>
            <w:tcBorders>
              <w:top w:val="nil"/>
              <w:left w:val="single" w:sz="4" w:space="0" w:color="auto"/>
              <w:bottom w:val="single" w:sz="4" w:space="0" w:color="auto"/>
              <w:right w:val="single" w:sz="4" w:space="0" w:color="auto"/>
            </w:tcBorders>
          </w:tcPr>
          <w:p w:rsidR="00000000" w:rsidRDefault="00000000">
            <w:pPr>
              <w:tabs>
                <w:tab w:val="left" w:pos="214"/>
              </w:tabs>
              <w:spacing w:before="120"/>
              <w:rPr>
                <w:rFonts w:hint="eastAsia"/>
                <w:sz w:val="22"/>
                <w:szCs w:val="22"/>
              </w:rPr>
            </w:pPr>
            <w:r>
              <w:rPr>
                <w:rFonts w:hint="eastAsia"/>
                <w:sz w:val="22"/>
                <w:szCs w:val="22"/>
              </w:rPr>
              <w:t>上特殊班和专门班的儿童</w:t>
            </w:r>
          </w:p>
        </w:tc>
        <w:tc>
          <w:tcPr>
            <w:tcW w:w="1162" w:type="dxa"/>
            <w:tcBorders>
              <w:top w:val="nil"/>
              <w:left w:val="single" w:sz="4" w:space="0" w:color="auto"/>
              <w:bottom w:val="single" w:sz="4" w:space="0" w:color="auto"/>
              <w:right w:val="single" w:sz="4" w:space="0" w:color="auto"/>
            </w:tcBorders>
          </w:tcPr>
          <w:p w:rsidR="00000000" w:rsidRDefault="00000000">
            <w:pPr>
              <w:tabs>
                <w:tab w:val="right" w:pos="781"/>
              </w:tabs>
              <w:spacing w:before="120"/>
              <w:jc w:val="center"/>
              <w:rPr>
                <w:sz w:val="22"/>
                <w:szCs w:val="22"/>
              </w:rPr>
            </w:pPr>
            <w:r>
              <w:rPr>
                <w:rFonts w:hint="eastAsia"/>
                <w:sz w:val="22"/>
                <w:szCs w:val="22"/>
              </w:rPr>
              <w:t xml:space="preserve"> </w:t>
            </w:r>
            <w:r>
              <w:rPr>
                <w:sz w:val="22"/>
                <w:szCs w:val="22"/>
              </w:rPr>
              <w:t>9.7</w:t>
            </w:r>
          </w:p>
        </w:tc>
        <w:tc>
          <w:tcPr>
            <w:tcW w:w="1162" w:type="dxa"/>
            <w:tcBorders>
              <w:top w:val="nil"/>
              <w:left w:val="single" w:sz="4" w:space="0" w:color="auto"/>
              <w:bottom w:val="single" w:sz="4" w:space="0" w:color="auto"/>
              <w:right w:val="single" w:sz="4" w:space="0" w:color="auto"/>
            </w:tcBorders>
          </w:tcPr>
          <w:p w:rsidR="00000000" w:rsidRDefault="00000000">
            <w:pPr>
              <w:tabs>
                <w:tab w:val="right" w:pos="753"/>
              </w:tabs>
              <w:spacing w:before="120"/>
              <w:jc w:val="center"/>
              <w:rPr>
                <w:sz w:val="22"/>
                <w:szCs w:val="22"/>
              </w:rPr>
            </w:pPr>
            <w:r>
              <w:rPr>
                <w:sz w:val="22"/>
                <w:szCs w:val="22"/>
              </w:rPr>
              <w:t>11.1</w:t>
            </w:r>
          </w:p>
        </w:tc>
        <w:tc>
          <w:tcPr>
            <w:tcW w:w="1163" w:type="dxa"/>
            <w:tcBorders>
              <w:top w:val="nil"/>
              <w:left w:val="single" w:sz="4" w:space="0" w:color="auto"/>
              <w:bottom w:val="single" w:sz="4" w:space="0" w:color="auto"/>
              <w:right w:val="single" w:sz="4" w:space="0" w:color="auto"/>
            </w:tcBorders>
          </w:tcPr>
          <w:p w:rsidR="00000000" w:rsidRDefault="00000000">
            <w:pPr>
              <w:spacing w:before="120"/>
              <w:jc w:val="center"/>
              <w:rPr>
                <w:sz w:val="22"/>
                <w:szCs w:val="22"/>
              </w:rPr>
            </w:pPr>
            <w:r>
              <w:rPr>
                <w:sz w:val="22"/>
                <w:szCs w:val="22"/>
              </w:rPr>
              <w:t>10.9</w:t>
            </w:r>
          </w:p>
        </w:tc>
        <w:tc>
          <w:tcPr>
            <w:tcW w:w="1162" w:type="dxa"/>
            <w:tcBorders>
              <w:top w:val="nil"/>
              <w:left w:val="single" w:sz="4" w:space="0" w:color="auto"/>
              <w:bottom w:val="single" w:sz="4" w:space="0" w:color="auto"/>
              <w:right w:val="single" w:sz="4" w:space="0" w:color="auto"/>
            </w:tcBorders>
          </w:tcPr>
          <w:p w:rsidR="00000000" w:rsidRDefault="00000000">
            <w:pPr>
              <w:spacing w:before="120"/>
              <w:jc w:val="center"/>
              <w:rPr>
                <w:sz w:val="22"/>
                <w:szCs w:val="22"/>
              </w:rPr>
            </w:pPr>
            <w:r>
              <w:rPr>
                <w:sz w:val="22"/>
                <w:szCs w:val="22"/>
              </w:rPr>
              <w:t>12.4</w:t>
            </w:r>
          </w:p>
        </w:tc>
        <w:tc>
          <w:tcPr>
            <w:tcW w:w="1163" w:type="dxa"/>
            <w:tcBorders>
              <w:top w:val="nil"/>
              <w:left w:val="single" w:sz="4" w:space="0" w:color="auto"/>
              <w:bottom w:val="single" w:sz="4" w:space="0" w:color="auto"/>
              <w:right w:val="single" w:sz="4" w:space="0" w:color="auto"/>
            </w:tcBorders>
          </w:tcPr>
          <w:p w:rsidR="00000000" w:rsidRDefault="00000000">
            <w:pPr>
              <w:spacing w:before="120"/>
              <w:jc w:val="center"/>
              <w:rPr>
                <w:sz w:val="22"/>
                <w:szCs w:val="22"/>
              </w:rPr>
            </w:pPr>
            <w:r>
              <w:rPr>
                <w:sz w:val="22"/>
                <w:szCs w:val="22"/>
              </w:rPr>
              <w:t>12.1</w:t>
            </w:r>
          </w:p>
        </w:tc>
      </w:tr>
    </w:tbl>
    <w:p w:rsidR="00000000" w:rsidRDefault="00000000">
      <w:pPr>
        <w:spacing w:before="240" w:after="160"/>
        <w:rPr>
          <w:rFonts w:eastAsia="KaiTi_GB2312"/>
          <w:spacing w:val="0"/>
        </w:rPr>
      </w:pPr>
      <w:r>
        <w:rPr>
          <w:rFonts w:hint="eastAsia"/>
        </w:rPr>
        <w:t xml:space="preserve"> </w:t>
      </w:r>
      <w:r>
        <w:rPr>
          <w:rFonts w:eastAsia="KaiTi_GB2312" w:hint="eastAsia"/>
          <w:spacing w:val="0"/>
          <w:u w:val="single"/>
        </w:rPr>
        <w:t>资料来源</w:t>
      </w:r>
      <w:r>
        <w:rPr>
          <w:rFonts w:eastAsia="KaiTi_GB2312"/>
          <w:spacing w:val="0"/>
        </w:rPr>
        <w:t>：</w:t>
      </w:r>
      <w:r>
        <w:rPr>
          <w:rFonts w:eastAsia="KaiTi_GB2312" w:hint="eastAsia"/>
          <w:spacing w:val="0"/>
        </w:rPr>
        <w:t>教育信息学会。</w:t>
      </w:r>
    </w:p>
    <w:p w:rsidR="00000000" w:rsidRDefault="00000000">
      <w:pPr>
        <w:rPr>
          <w:rFonts w:hint="eastAsia"/>
          <w:spacing w:val="8"/>
        </w:rPr>
      </w:pPr>
      <w:r>
        <w:rPr>
          <w:rFonts w:hint="eastAsia"/>
        </w:rPr>
        <w:tab/>
        <w:t>591.</w:t>
      </w:r>
      <w:r>
        <w:rPr>
          <w:rFonts w:hint="eastAsia"/>
          <w:spacing w:val="8"/>
        </w:rPr>
        <w:t xml:space="preserve">  1998</w:t>
      </w:r>
      <w:r>
        <w:rPr>
          <w:rFonts w:hint="eastAsia"/>
          <w:spacing w:val="8"/>
        </w:rPr>
        <w:t>年</w:t>
      </w:r>
      <w:r>
        <w:rPr>
          <w:rFonts w:hint="eastAsia"/>
          <w:spacing w:val="8"/>
        </w:rPr>
        <w:t>9</w:t>
      </w:r>
      <w:r>
        <w:rPr>
          <w:rFonts w:hint="eastAsia"/>
          <w:spacing w:val="8"/>
        </w:rPr>
        <w:t>月</w:t>
      </w:r>
      <w:r>
        <w:rPr>
          <w:rFonts w:hint="eastAsia"/>
          <w:spacing w:val="8"/>
        </w:rPr>
        <w:t>1</w:t>
      </w:r>
      <w:r>
        <w:rPr>
          <w:rFonts w:hint="eastAsia"/>
          <w:spacing w:val="8"/>
        </w:rPr>
        <w:t>日，教育、青年和体育部根据《学校法》第</w:t>
      </w:r>
      <w:r>
        <w:rPr>
          <w:rFonts w:hint="eastAsia"/>
          <w:spacing w:val="8"/>
        </w:rPr>
        <w:t>58</w:t>
      </w:r>
      <w:r>
        <w:rPr>
          <w:rFonts w:hint="eastAsia"/>
          <w:spacing w:val="8"/>
        </w:rPr>
        <w:t>节，开始在五个学年期间，试行各种组织形式的初等教育，即所谓的家庭教育。在</w:t>
      </w:r>
      <w:r>
        <w:rPr>
          <w:rFonts w:hint="eastAsia"/>
          <w:spacing w:val="8"/>
        </w:rPr>
        <w:t>1998/1999</w:t>
      </w:r>
      <w:r>
        <w:rPr>
          <w:rFonts w:hint="eastAsia"/>
          <w:spacing w:val="8"/>
        </w:rPr>
        <w:t>学年里，试验在两所小学里进行，在</w:t>
      </w:r>
      <w:r>
        <w:rPr>
          <w:rFonts w:hint="eastAsia"/>
          <w:spacing w:val="8"/>
        </w:rPr>
        <w:t>1999/2000</w:t>
      </w:r>
      <w:r>
        <w:rPr>
          <w:rFonts w:hint="eastAsia"/>
          <w:spacing w:val="8"/>
        </w:rPr>
        <w:t>学年里，在三所小学进行。目前大约</w:t>
      </w:r>
      <w:r>
        <w:rPr>
          <w:rFonts w:hint="eastAsia"/>
          <w:spacing w:val="8"/>
        </w:rPr>
        <w:t>120</w:t>
      </w:r>
      <w:r>
        <w:rPr>
          <w:rFonts w:hint="eastAsia"/>
          <w:spacing w:val="8"/>
        </w:rPr>
        <w:t>名学生选择了这种教育。该部在</w:t>
      </w:r>
      <w:r>
        <w:rPr>
          <w:rFonts w:hint="eastAsia"/>
          <w:spacing w:val="8"/>
        </w:rPr>
        <w:t>1998</w:t>
      </w:r>
      <w:r>
        <w:rPr>
          <w:rFonts w:hint="eastAsia"/>
          <w:spacing w:val="8"/>
        </w:rPr>
        <w:t>年批准程序中规定了试验条件。</w:t>
      </w:r>
    </w:p>
    <w:p w:rsidR="00000000" w:rsidRDefault="00000000">
      <w:pPr>
        <w:rPr>
          <w:rFonts w:hint="eastAsia"/>
        </w:rPr>
      </w:pPr>
      <w:r>
        <w:rPr>
          <w:rFonts w:hint="eastAsia"/>
        </w:rPr>
        <w:tab/>
        <w:t xml:space="preserve">592.  </w:t>
      </w:r>
      <w:r>
        <w:rPr>
          <w:rFonts w:hint="eastAsia"/>
        </w:rPr>
        <w:t>所有民族和所有种族、族裔和宗教团体之间的相互谅解、容忍和友谊以及支持和平努力的教育原则是《学校法》第</w:t>
      </w:r>
      <w:r>
        <w:rPr>
          <w:rFonts w:hint="eastAsia"/>
        </w:rPr>
        <w:t>5</w:t>
      </w:r>
      <w:r>
        <w:rPr>
          <w:rFonts w:hint="eastAsia"/>
        </w:rPr>
        <w:t>节和第</w:t>
      </w:r>
      <w:r>
        <w:rPr>
          <w:rFonts w:hint="eastAsia"/>
        </w:rPr>
        <w:t>7</w:t>
      </w:r>
      <w:r>
        <w:rPr>
          <w:rFonts w:hint="eastAsia"/>
        </w:rPr>
        <w:t>节规定的教育材料的构成部分。容忍教育也受到《电台和电视广播法》</w:t>
      </w:r>
      <w:r>
        <w:rPr>
          <w:rStyle w:val="EndnoteReference"/>
        </w:rPr>
        <w:endnoteReference w:id="347"/>
      </w:r>
      <w:r>
        <w:rPr>
          <w:rFonts w:hint="eastAsia"/>
        </w:rPr>
        <w:t>，该法令第</w:t>
      </w:r>
      <w:r>
        <w:rPr>
          <w:rFonts w:hint="eastAsia"/>
        </w:rPr>
        <w:t>5</w:t>
      </w:r>
      <w:r>
        <w:rPr>
          <w:rFonts w:hint="eastAsia"/>
        </w:rPr>
        <w:t>节规定，广播者有义务确保节目不得鼓吹战争或描写残忍或其他有辱人格的行为，轻描淡写地掩饰这些行为、为之辩解或赞同这些行为。该法令第</w:t>
      </w:r>
      <w:r>
        <w:rPr>
          <w:rFonts w:hint="eastAsia"/>
        </w:rPr>
        <w:t>6</w:t>
      </w:r>
      <w:r>
        <w:rPr>
          <w:rFonts w:hint="eastAsia"/>
        </w:rPr>
        <w:t>节至第</w:t>
      </w:r>
      <w:r>
        <w:rPr>
          <w:rFonts w:hint="eastAsia"/>
        </w:rPr>
        <w:t>8</w:t>
      </w:r>
      <w:r>
        <w:rPr>
          <w:rFonts w:hint="eastAsia"/>
        </w:rPr>
        <w:t>节规定了广播广告和赞助节目的义务：广告必须明显可辨，必须明确同其他节目分离开来，广播者应确保，广告方不得以任何方式对节目的内容或节目服务的构成施加任何影响。</w:t>
      </w:r>
    </w:p>
    <w:p w:rsidR="00000000" w:rsidRDefault="00000000">
      <w:pPr>
        <w:rPr>
          <w:rFonts w:hint="eastAsia"/>
        </w:rPr>
      </w:pPr>
      <w:r>
        <w:rPr>
          <w:rFonts w:hint="eastAsia"/>
        </w:rPr>
        <w:tab/>
        <w:t xml:space="preserve">593.  </w:t>
      </w:r>
      <w:r>
        <w:rPr>
          <w:rFonts w:hint="eastAsia"/>
        </w:rPr>
        <w:t>评估教育在形成宗教容忍和谅解方面的作用是有关国家行政机构的特殊任务，这一方面的负责部门是教育、青年和体育部。文化部是负责教会事务的实质性管辖机构，而不负责这一方面的定期监督。</w:t>
      </w:r>
    </w:p>
    <w:p w:rsidR="00000000" w:rsidRDefault="00000000">
      <w:pPr>
        <w:rPr>
          <w:rFonts w:hint="eastAsia"/>
        </w:rPr>
      </w:pPr>
      <w:r>
        <w:rPr>
          <w:rFonts w:hint="eastAsia"/>
        </w:rPr>
        <w:tab/>
        <w:t xml:space="preserve">594.  </w:t>
      </w:r>
      <w:r>
        <w:rPr>
          <w:rFonts w:hint="eastAsia"/>
        </w:rPr>
        <w:t>一个引起争论的事例是《教会史手册》</w:t>
      </w:r>
      <w:r>
        <w:rPr>
          <w:rStyle w:val="EndnoteReference"/>
        </w:rPr>
        <w:endnoteReference w:id="348"/>
      </w:r>
      <w:r>
        <w:rPr>
          <w:rFonts w:hint="eastAsia"/>
        </w:rPr>
        <w:t xml:space="preserve">  </w:t>
      </w:r>
      <w:r>
        <w:rPr>
          <w:rFonts w:hint="eastAsia"/>
        </w:rPr>
        <w:t>的出版，这是由教育、青年和体育部建议出版的，但引起了一部分公众的负面反应，特别是引起了犹太社团和福音传道士的负面反应。由于这种负面反应以及对出版物内容的重新评估，</w:t>
      </w:r>
      <w:r>
        <w:rPr>
          <w:rFonts w:hint="eastAsia"/>
        </w:rPr>
        <w:t>1995</w:t>
      </w:r>
      <w:r>
        <w:rPr>
          <w:rFonts w:hint="eastAsia"/>
        </w:rPr>
        <w:t>年</w:t>
      </w:r>
      <w:r>
        <w:rPr>
          <w:rFonts w:hint="eastAsia"/>
        </w:rPr>
        <w:t>3</w:t>
      </w:r>
      <w:r>
        <w:rPr>
          <w:rFonts w:hint="eastAsia"/>
        </w:rPr>
        <w:t>月，教育、青年和体育部撤销了对这本出版物的建议。</w:t>
      </w:r>
    </w:p>
    <w:p w:rsidR="00000000" w:rsidRDefault="00000000">
      <w:pPr>
        <w:rPr>
          <w:rFonts w:hint="eastAsia"/>
        </w:rPr>
      </w:pPr>
      <w:r>
        <w:rPr>
          <w:rFonts w:hint="eastAsia"/>
        </w:rPr>
        <w:tab/>
        <w:t>595.  1999</w:t>
      </w:r>
      <w:r>
        <w:rPr>
          <w:rFonts w:hint="eastAsia"/>
        </w:rPr>
        <w:t>年，浸礼会教友兄弟会执行委员会通知文化部，小学九年级公民教育教科书对这个国家承认和全球认可的教会的成员定性不正确。</w:t>
      </w:r>
      <w:r>
        <w:rPr>
          <w:rStyle w:val="EndnoteReference"/>
        </w:rPr>
        <w:endnoteReference w:id="349"/>
      </w:r>
      <w:r>
        <w:rPr>
          <w:rFonts w:hint="eastAsia"/>
        </w:rPr>
        <w:t xml:space="preserve">  </w:t>
      </w:r>
      <w:r>
        <w:rPr>
          <w:rFonts w:hint="eastAsia"/>
        </w:rPr>
        <w:t>该教科书中的有关段落的内容与《公约》第</w:t>
      </w:r>
      <w:r>
        <w:rPr>
          <w:rFonts w:hint="eastAsia"/>
        </w:rPr>
        <w:t>13</w:t>
      </w:r>
      <w:r>
        <w:rPr>
          <w:rFonts w:hint="eastAsia"/>
        </w:rPr>
        <w:t>条相冲突，因为该条要求教育增进相互谅解。根据教育、青年和体育部长的声明，出版商将与作者合作，设法修正不合适的课文，在教科书下一版发行之前，修改过的课文将送交全基督教教会理事会评估，如有必要则进行再次修正。</w:t>
      </w:r>
    </w:p>
    <w:p w:rsidR="00000000" w:rsidRDefault="00000000">
      <w:pPr>
        <w:rPr>
          <w:rFonts w:hint="eastAsia"/>
        </w:rPr>
      </w:pPr>
      <w:r>
        <w:rPr>
          <w:rFonts w:hint="eastAsia"/>
        </w:rPr>
        <w:tab/>
        <w:t xml:space="preserve">596.  </w:t>
      </w:r>
      <w:r>
        <w:rPr>
          <w:rFonts w:hint="eastAsia"/>
        </w:rPr>
        <w:t>《学校法》规定小学和中学有义务允许进行宗教教育。该法规允许国家注册的教会和宗教社团建立由国家补贴的教区小学和中学</w:t>
      </w:r>
      <w:r>
        <w:rPr>
          <w:rFonts w:hint="eastAsia"/>
        </w:rPr>
        <w:t xml:space="preserve"> </w:t>
      </w:r>
      <w:r>
        <w:rPr>
          <w:rStyle w:val="EndnoteReference"/>
        </w:rPr>
        <w:endnoteReference w:id="350"/>
      </w:r>
      <w:r>
        <w:rPr>
          <w:rFonts w:hint="eastAsia"/>
        </w:rPr>
        <w:t>。据了解，在捷克共和国，义务教育规则和教会与宗教规章之间没有出现真正严重的系统性冲突。</w:t>
      </w:r>
    </w:p>
    <w:p w:rsidR="00000000" w:rsidRDefault="00000000">
      <w:pPr>
        <w:rPr>
          <w:rFonts w:hint="eastAsia"/>
        </w:rPr>
      </w:pPr>
      <w:r>
        <w:rPr>
          <w:rFonts w:hint="eastAsia"/>
        </w:rPr>
        <w:tab/>
        <w:t xml:space="preserve">597.  </w:t>
      </w:r>
      <w:r>
        <w:rPr>
          <w:rFonts w:hint="eastAsia"/>
        </w:rPr>
        <w:t>捷克共和国政府更加注意各种族裔社会阶层的共处。这方面的证明是改进捷克共和国人权保护的措施</w:t>
      </w:r>
      <w:r>
        <w:rPr>
          <w:rFonts w:hint="eastAsia"/>
        </w:rPr>
        <w:t xml:space="preserve"> </w:t>
      </w:r>
      <w:r>
        <w:rPr>
          <w:rStyle w:val="EndnoteReference"/>
        </w:rPr>
        <w:endnoteReference w:id="351"/>
      </w:r>
      <w:r>
        <w:rPr>
          <w:rFonts w:hint="eastAsia"/>
        </w:rPr>
        <w:t>、与罗姆少数群体有关的措施</w:t>
      </w:r>
      <w:r>
        <w:rPr>
          <w:rFonts w:hint="eastAsia"/>
        </w:rPr>
        <w:t xml:space="preserve"> </w:t>
      </w:r>
      <w:r>
        <w:rPr>
          <w:rStyle w:val="EndnoteReference"/>
        </w:rPr>
        <w:endnoteReference w:id="352"/>
      </w:r>
      <w:r>
        <w:rPr>
          <w:rFonts w:hint="eastAsia"/>
        </w:rPr>
        <w:t>、关于协助罗姆社区成员融入社会的政府政策大纲</w:t>
      </w:r>
      <w:r>
        <w:rPr>
          <w:rFonts w:hint="eastAsia"/>
        </w:rPr>
        <w:t xml:space="preserve"> </w:t>
      </w:r>
      <w:r>
        <w:rPr>
          <w:rStyle w:val="EndnoteReference"/>
        </w:rPr>
        <w:endnoteReference w:id="353"/>
      </w:r>
      <w:r>
        <w:rPr>
          <w:rFonts w:hint="eastAsia"/>
        </w:rPr>
        <w:t>、关于禁止旨在压制公民权利和自由的运动的措施</w:t>
      </w:r>
      <w:r>
        <w:rPr>
          <w:rFonts w:hint="eastAsia"/>
        </w:rPr>
        <w:t xml:space="preserve"> </w:t>
      </w:r>
      <w:r>
        <w:rPr>
          <w:rStyle w:val="EndnoteReference"/>
        </w:rPr>
        <w:endnoteReference w:id="354"/>
      </w:r>
      <w:r>
        <w:rPr>
          <w:rFonts w:hint="eastAsia"/>
        </w:rPr>
        <w:t>、反对种族主义运动的筹备工作</w:t>
      </w:r>
      <w:r>
        <w:rPr>
          <w:rFonts w:hint="eastAsia"/>
        </w:rPr>
        <w:t xml:space="preserve"> </w:t>
      </w:r>
      <w:r>
        <w:rPr>
          <w:rStyle w:val="EndnoteReference"/>
        </w:rPr>
        <w:endnoteReference w:id="355"/>
      </w:r>
      <w:r>
        <w:rPr>
          <w:rFonts w:hint="eastAsia"/>
        </w:rPr>
        <w:t xml:space="preserve"> </w:t>
      </w:r>
      <w:r>
        <w:rPr>
          <w:rFonts w:hint="eastAsia"/>
        </w:rPr>
        <w:t>等。</w:t>
      </w:r>
    </w:p>
    <w:p w:rsidR="00000000" w:rsidRDefault="00000000">
      <w:pPr>
        <w:rPr>
          <w:rFonts w:hint="eastAsia"/>
        </w:rPr>
      </w:pPr>
      <w:r>
        <w:rPr>
          <w:rFonts w:hint="eastAsia"/>
        </w:rPr>
        <w:tab/>
        <w:t xml:space="preserve">598.  </w:t>
      </w:r>
      <w:r>
        <w:rPr>
          <w:rFonts w:hint="eastAsia"/>
        </w:rPr>
        <w:t>为小学和中学教师开办了特别周期性教育方案，即所谓的容忍问题暑期学校，教师们在这些学校里，除了其他以外，了解捷克共和国的少数群体的历史。自</w:t>
      </w:r>
      <w:r>
        <w:rPr>
          <w:rFonts w:hint="eastAsia"/>
        </w:rPr>
        <w:t>1992</w:t>
      </w:r>
      <w:r>
        <w:rPr>
          <w:rFonts w:hint="eastAsia"/>
        </w:rPr>
        <w:t>年以来，教育部和中学后学校理事会共同设立了一个补贴方案</w:t>
      </w:r>
      <w:r>
        <w:rPr>
          <w:rFonts w:hint="eastAsia"/>
          <w:spacing w:val="-50"/>
        </w:rPr>
        <w:t>―</w:t>
      </w:r>
      <w:r>
        <w:rPr>
          <w:rFonts w:hint="eastAsia"/>
        </w:rPr>
        <w:t>―中学后学校发展基金，其主题领域包括教师的教育。这还包括少数群体成员和人权保护教育方面的问题。</w:t>
      </w:r>
    </w:p>
    <w:p w:rsidR="00000000" w:rsidRDefault="00000000">
      <w:pPr>
        <w:spacing w:after="240"/>
        <w:rPr>
          <w:rFonts w:hint="eastAsia"/>
        </w:rPr>
      </w:pPr>
      <w:r>
        <w:rPr>
          <w:rFonts w:hint="eastAsia"/>
        </w:rPr>
        <w:tab/>
        <w:t xml:space="preserve">599.  </w:t>
      </w:r>
      <w:r>
        <w:rPr>
          <w:rFonts w:hint="eastAsia"/>
        </w:rPr>
        <w:t>捷克斯洛伐克共和国联邦于</w:t>
      </w:r>
      <w:r>
        <w:rPr>
          <w:rFonts w:hint="eastAsia"/>
        </w:rPr>
        <w:t>1993</w:t>
      </w:r>
      <w:r>
        <w:rPr>
          <w:rFonts w:hint="eastAsia"/>
        </w:rPr>
        <w:t>年</w:t>
      </w:r>
      <w:r>
        <w:rPr>
          <w:rFonts w:hint="eastAsia"/>
        </w:rPr>
        <w:t>1</w:t>
      </w:r>
      <w:r>
        <w:rPr>
          <w:rFonts w:hint="eastAsia"/>
        </w:rPr>
        <w:t>月</w:t>
      </w:r>
      <w:r>
        <w:rPr>
          <w:rFonts w:hint="eastAsia"/>
        </w:rPr>
        <w:t>1</w:t>
      </w:r>
      <w:r>
        <w:rPr>
          <w:rFonts w:hint="eastAsia"/>
        </w:rPr>
        <w:t>日分裂以后，捷克共和国政府在《捷克共和国政府对少数群体问题的办法大纲》这一政治文件中制定了少数群体政策的原则</w:t>
      </w:r>
      <w:r>
        <w:rPr>
          <w:rFonts w:hint="eastAsia"/>
        </w:rPr>
        <w:t xml:space="preserve"> </w:t>
      </w:r>
      <w:r>
        <w:rPr>
          <w:rStyle w:val="EndnoteReference"/>
        </w:rPr>
        <w:endnoteReference w:id="356"/>
      </w:r>
      <w:r>
        <w:rPr>
          <w:rFonts w:hint="eastAsia"/>
        </w:rPr>
        <w:t>。这项文件载有国家少数群体政策的基本政治原则，包括关于少数群体的地位和保护他们的权利的原则。</w:t>
      </w:r>
    </w:p>
    <w:p w:rsidR="00000000" w:rsidRDefault="00000000">
      <w:pPr>
        <w:pStyle w:val="Heading4"/>
        <w:spacing w:after="160"/>
        <w:rPr>
          <w:rFonts w:hint="eastAsia"/>
        </w:rPr>
      </w:pPr>
      <w:r>
        <w:rPr>
          <w:rFonts w:hint="eastAsia"/>
        </w:rPr>
        <w:t>第</w:t>
      </w:r>
      <w:r>
        <w:rPr>
          <w:rFonts w:hint="eastAsia"/>
        </w:rPr>
        <w:t>2</w:t>
      </w:r>
      <w:r>
        <w:rPr>
          <w:rFonts w:hint="eastAsia"/>
        </w:rPr>
        <w:t>款</w:t>
      </w:r>
      <w:r>
        <w:t>(a)</w:t>
      </w:r>
      <w:r>
        <w:rPr>
          <w:rFonts w:hint="eastAsia"/>
        </w:rPr>
        <w:t>项</w:t>
      </w:r>
    </w:p>
    <w:p w:rsidR="00000000" w:rsidRDefault="00000000">
      <w:pPr>
        <w:rPr>
          <w:rFonts w:hint="eastAsia"/>
        </w:rPr>
      </w:pPr>
      <w:r>
        <w:rPr>
          <w:rFonts w:hint="eastAsia"/>
        </w:rPr>
        <w:tab/>
        <w:t xml:space="preserve">600.  </w:t>
      </w:r>
      <w:r>
        <w:rPr>
          <w:rFonts w:hint="eastAsia"/>
        </w:rPr>
        <w:t>《学校法》第</w:t>
      </w:r>
      <w:r>
        <w:rPr>
          <w:rFonts w:hint="eastAsia"/>
        </w:rPr>
        <w:t>34</w:t>
      </w:r>
      <w:r>
        <w:rPr>
          <w:rFonts w:hint="eastAsia"/>
        </w:rPr>
        <w:t>条规定，初等教育是义务性教育。义务教育从儿童满六岁后的学年开始起算，为期</w:t>
      </w:r>
      <w:r>
        <w:rPr>
          <w:rFonts w:hint="eastAsia"/>
        </w:rPr>
        <w:t>9</w:t>
      </w:r>
      <w:r>
        <w:rPr>
          <w:rFonts w:hint="eastAsia"/>
        </w:rPr>
        <w:t>年。在合理的情况下，义务教育可以推迟开始</w:t>
      </w:r>
      <w:r>
        <w:rPr>
          <w:rFonts w:hint="eastAsia"/>
        </w:rPr>
        <w:t>(</w:t>
      </w:r>
      <w:r>
        <w:rPr>
          <w:rFonts w:hint="eastAsia"/>
        </w:rPr>
        <w:t>例如儿童身心发育不成熟</w:t>
      </w:r>
      <w:r>
        <w:rPr>
          <w:rFonts w:hint="eastAsia"/>
        </w:rPr>
        <w:t>)</w:t>
      </w:r>
      <w:r>
        <w:rPr>
          <w:rFonts w:hint="eastAsia"/>
        </w:rPr>
        <w:t>。《学校法》第</w:t>
      </w:r>
      <w:r>
        <w:rPr>
          <w:rFonts w:hint="eastAsia"/>
        </w:rPr>
        <w:t>36</w:t>
      </w:r>
      <w:r>
        <w:rPr>
          <w:rFonts w:hint="eastAsia"/>
        </w:rPr>
        <w:t>节规定，儿童的法定代理人应给达到义务上学年龄的儿童登记上学，并保证该儿童定期和准时上学。他还需就该儿童报名上中学发表意见。</w:t>
      </w:r>
    </w:p>
    <w:p w:rsidR="00000000" w:rsidRDefault="00000000">
      <w:pPr>
        <w:rPr>
          <w:rFonts w:hint="eastAsia"/>
        </w:rPr>
      </w:pPr>
      <w:r>
        <w:rPr>
          <w:rFonts w:hint="eastAsia"/>
        </w:rPr>
        <w:tab/>
        <w:t xml:space="preserve">601.  </w:t>
      </w:r>
      <w:r>
        <w:rPr>
          <w:rFonts w:hint="eastAsia"/>
        </w:rPr>
        <w:t>外国人的捷克共和国公民子女的教育参照教育、青年和体育部关于中小学和高等职业学校，包括特殊学校在内的外国人的教育的指示，</w:t>
      </w:r>
      <w:r>
        <w:rPr>
          <w:rStyle w:val="EndnoteReference"/>
        </w:rPr>
        <w:endnoteReference w:id="357"/>
      </w:r>
      <w:r>
        <w:rPr>
          <w:rFonts w:hint="eastAsia"/>
        </w:rPr>
        <w:t xml:space="preserve">  </w:t>
      </w:r>
      <w:r>
        <w:rPr>
          <w:rFonts w:hint="eastAsia"/>
        </w:rPr>
        <w:t>但斯洛伐克共和国公民除外，他们的教育参照捷克共和国政府和斯洛伐克共和国政府</w:t>
      </w:r>
      <w:r>
        <w:rPr>
          <w:rFonts w:hint="eastAsia"/>
        </w:rPr>
        <w:t>1992</w:t>
      </w:r>
      <w:r>
        <w:rPr>
          <w:rFonts w:hint="eastAsia"/>
        </w:rPr>
        <w:t>年</w:t>
      </w:r>
      <w:r>
        <w:rPr>
          <w:rFonts w:hint="eastAsia"/>
        </w:rPr>
        <w:t>10</w:t>
      </w:r>
      <w:r>
        <w:rPr>
          <w:rFonts w:hint="eastAsia"/>
        </w:rPr>
        <w:t>月</w:t>
      </w:r>
      <w:r>
        <w:rPr>
          <w:rFonts w:hint="eastAsia"/>
        </w:rPr>
        <w:t>29</w:t>
      </w:r>
      <w:r>
        <w:rPr>
          <w:rFonts w:hint="eastAsia"/>
        </w:rPr>
        <w:t>日关于教育合作的协议。该指示规定，以下几类外国人将在中小学里按照与捷克共和国公民同样的条件接受教育：持有永久或长期居住证的外国人、被赋予临时避难的外国人和正在申请或已经被赋予捷克共和国难民地位的外国人。</w:t>
      </w:r>
    </w:p>
    <w:p w:rsidR="00000000" w:rsidRDefault="00000000">
      <w:pPr>
        <w:rPr>
          <w:rFonts w:hint="eastAsia"/>
        </w:rPr>
      </w:pPr>
      <w:r>
        <w:rPr>
          <w:rFonts w:hint="eastAsia"/>
        </w:rPr>
        <w:tab/>
        <w:t xml:space="preserve">602.  </w:t>
      </w:r>
      <w:r>
        <w:rPr>
          <w:rFonts w:hint="eastAsia"/>
        </w:rPr>
        <w:t>没有上完小学的难民地位未成年者和少年申请者在义务教育期间受到免费教育，包括在监管机构里和保护性羁押期间受到教育。所有难民营里都为学龄前儿童设立了儿童中心。这些中心的设备类似于幼儿园。儿童在那里可以自行打发自由时间，提高与其年龄相称的技能，并发展其语言能力。在进入小学之前，难民营里的儿童完成为期一周至三周的捷克语课程。</w:t>
      </w:r>
    </w:p>
    <w:p w:rsidR="00000000" w:rsidRDefault="00000000">
      <w:pPr>
        <w:rPr>
          <w:rFonts w:hint="eastAsia"/>
        </w:rPr>
      </w:pPr>
      <w:r>
        <w:rPr>
          <w:rFonts w:hint="eastAsia"/>
        </w:rPr>
        <w:tab/>
        <w:t xml:space="preserve">603.  </w:t>
      </w:r>
      <w:r>
        <w:rPr>
          <w:rFonts w:hint="eastAsia"/>
        </w:rPr>
        <w:t>少年在庇护申请期间不可上中学。这些难民地位申请者在难民营里可以上捷克语课。</w:t>
      </w:r>
    </w:p>
    <w:p w:rsidR="00000000" w:rsidRDefault="00000000">
      <w:pPr>
        <w:spacing w:after="240"/>
        <w:rPr>
          <w:rFonts w:hint="eastAsia"/>
        </w:rPr>
      </w:pPr>
      <w:r>
        <w:rPr>
          <w:rFonts w:hint="eastAsia"/>
        </w:rPr>
        <w:tab/>
        <w:t xml:space="preserve">604.  </w:t>
      </w:r>
      <w:r>
        <w:rPr>
          <w:rFonts w:hint="eastAsia"/>
        </w:rPr>
        <w:t>教育、青年和体育部关于小学的法令</w:t>
      </w:r>
      <w:r>
        <w:rPr>
          <w:rFonts w:hint="eastAsia"/>
        </w:rPr>
        <w:t xml:space="preserve"> </w:t>
      </w:r>
      <w:r>
        <w:rPr>
          <w:rStyle w:val="EndnoteReference"/>
        </w:rPr>
        <w:endnoteReference w:id="358"/>
      </w:r>
      <w:r>
        <w:rPr>
          <w:rFonts w:hint="eastAsia"/>
        </w:rPr>
        <w:t xml:space="preserve"> </w:t>
      </w:r>
      <w:r>
        <w:rPr>
          <w:rFonts w:hint="eastAsia"/>
        </w:rPr>
        <w:t>第</w:t>
      </w:r>
      <w:r>
        <w:rPr>
          <w:rFonts w:hint="eastAsia"/>
        </w:rPr>
        <w:t>3</w:t>
      </w:r>
      <w:r>
        <w:rPr>
          <w:rFonts w:hint="eastAsia"/>
        </w:rPr>
        <w:t>节第</w:t>
      </w:r>
      <w:r>
        <w:rPr>
          <w:rFonts w:hint="eastAsia"/>
        </w:rPr>
        <w:t>6</w:t>
      </w:r>
      <w:r>
        <w:rPr>
          <w:rFonts w:hint="eastAsia"/>
        </w:rPr>
        <w:t>段规定，小学校长先确定外国人的子女的先前教育的层次和对教学语言的了解程度，然后将他们分配到适当的年级。</w:t>
      </w:r>
    </w:p>
    <w:p w:rsidR="00000000" w:rsidRDefault="00000000">
      <w:pPr>
        <w:pStyle w:val="Heading4"/>
        <w:spacing w:after="160"/>
        <w:rPr>
          <w:rFonts w:hint="eastAsia"/>
        </w:rPr>
      </w:pPr>
      <w:r>
        <w:rPr>
          <w:rFonts w:hint="eastAsia"/>
        </w:rPr>
        <w:t>第</w:t>
      </w:r>
      <w:r>
        <w:rPr>
          <w:rFonts w:hint="eastAsia"/>
        </w:rPr>
        <w:t>2</w:t>
      </w:r>
      <w:r>
        <w:rPr>
          <w:rFonts w:hint="eastAsia"/>
        </w:rPr>
        <w:t>款</w:t>
      </w:r>
      <w:r>
        <w:t>(b)</w:t>
      </w:r>
      <w:r>
        <w:rPr>
          <w:rFonts w:hint="eastAsia"/>
        </w:rPr>
        <w:t>项</w:t>
      </w:r>
    </w:p>
    <w:p w:rsidR="00000000" w:rsidRDefault="00000000">
      <w:pPr>
        <w:spacing w:after="240"/>
      </w:pPr>
      <w:r>
        <w:rPr>
          <w:rFonts w:hint="eastAsia"/>
        </w:rPr>
        <w:tab/>
        <w:t xml:space="preserve">605.  </w:t>
      </w:r>
      <w:r>
        <w:rPr>
          <w:rFonts w:hint="eastAsia"/>
        </w:rPr>
        <w:t>正如以上援引的《宪章》第</w:t>
      </w:r>
      <w:r>
        <w:rPr>
          <w:rFonts w:hint="eastAsia"/>
        </w:rPr>
        <w:t>33</w:t>
      </w:r>
      <w:r>
        <w:rPr>
          <w:rFonts w:hint="eastAsia"/>
        </w:rPr>
        <w:t>条和《学校法》第</w:t>
      </w:r>
      <w:r>
        <w:rPr>
          <w:rFonts w:hint="eastAsia"/>
        </w:rPr>
        <w:t>4</w:t>
      </w:r>
      <w:r>
        <w:rPr>
          <w:rFonts w:hint="eastAsia"/>
        </w:rPr>
        <w:t>节所表明，在国立学校里，所有各种形式的中等教育是免费提供的。在私立中学和教区中学里，按照这些规定对教育收取费用。</w:t>
      </w:r>
    </w:p>
    <w:p w:rsidR="00000000" w:rsidRDefault="00000000">
      <w:pPr>
        <w:pStyle w:val="Heading4"/>
        <w:spacing w:after="160"/>
        <w:rPr>
          <w:rFonts w:hint="eastAsia"/>
        </w:rPr>
      </w:pPr>
      <w:r>
        <w:rPr>
          <w:rFonts w:hint="eastAsia"/>
        </w:rPr>
        <w:t>第</w:t>
      </w:r>
      <w:r>
        <w:rPr>
          <w:rFonts w:hint="eastAsia"/>
        </w:rPr>
        <w:t>2</w:t>
      </w:r>
      <w:r>
        <w:rPr>
          <w:rFonts w:hint="eastAsia"/>
        </w:rPr>
        <w:t>款</w:t>
      </w:r>
      <w:r>
        <w:t>(c)</w:t>
      </w:r>
      <w:r>
        <w:rPr>
          <w:rFonts w:hint="eastAsia"/>
        </w:rPr>
        <w:t>项</w:t>
      </w:r>
    </w:p>
    <w:p w:rsidR="00000000" w:rsidRDefault="00000000">
      <w:pPr>
        <w:spacing w:after="160"/>
        <w:rPr>
          <w:rFonts w:hint="eastAsia"/>
        </w:rPr>
      </w:pPr>
      <w:r>
        <w:rPr>
          <w:rFonts w:hint="eastAsia"/>
        </w:rPr>
        <w:tab/>
        <w:t xml:space="preserve">606.  </w:t>
      </w:r>
      <w:r>
        <w:rPr>
          <w:rFonts w:hint="eastAsia"/>
        </w:rPr>
        <w:t>《学校法》第</w:t>
      </w:r>
      <w:r>
        <w:rPr>
          <w:rFonts w:hint="eastAsia"/>
        </w:rPr>
        <w:t>27</w:t>
      </w:r>
      <w:r>
        <w:t>a</w:t>
      </w:r>
      <w:r>
        <w:rPr>
          <w:rFonts w:hint="eastAsia"/>
        </w:rPr>
        <w:t>节规定提供高等专业教育。高等专业学校里的学生通过学费部分支付教育费用。</w:t>
      </w:r>
      <w:r>
        <w:rPr>
          <w:rStyle w:val="EndnoteReference"/>
        </w:rPr>
        <w:endnoteReference w:id="359"/>
      </w:r>
      <w:r>
        <w:rPr>
          <w:rFonts w:hint="eastAsia"/>
        </w:rPr>
        <w:t xml:space="preserve">  </w:t>
      </w:r>
    </w:p>
    <w:p w:rsidR="00000000" w:rsidRDefault="00000000">
      <w:pPr>
        <w:pStyle w:val="Heading3"/>
        <w:pageBreakBefore/>
        <w:spacing w:after="160"/>
        <w:rPr>
          <w:rFonts w:hint="eastAsia"/>
          <w:b/>
          <w:sz w:val="22"/>
          <w:u w:val="none"/>
        </w:rPr>
      </w:pPr>
      <w:r>
        <w:rPr>
          <w:rFonts w:hint="eastAsia"/>
        </w:rPr>
        <w:t>各级教育的学生人数</w:t>
      </w:r>
      <w:r>
        <w:br/>
      </w:r>
      <w:r>
        <w:rPr>
          <w:rFonts w:hint="eastAsia"/>
          <w:sz w:val="22"/>
          <w:u w:val="none"/>
        </w:rPr>
        <w:t>(</w:t>
      </w:r>
      <w:r>
        <w:rPr>
          <w:rFonts w:hint="eastAsia"/>
          <w:sz w:val="22"/>
          <w:u w:val="none"/>
        </w:rPr>
        <w:t>以千计</w:t>
      </w:r>
      <w:r>
        <w:rPr>
          <w:rFonts w:hint="eastAsia"/>
          <w:sz w:val="22"/>
          <w:u w:val="none"/>
        </w:rPr>
        <w:t>)</w:t>
      </w:r>
    </w:p>
    <w:tbl>
      <w:tblPr>
        <w:tblW w:w="9356"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2127"/>
        <w:gridCol w:w="1032"/>
        <w:gridCol w:w="1033"/>
        <w:gridCol w:w="1033"/>
        <w:gridCol w:w="1032"/>
        <w:gridCol w:w="1033"/>
        <w:gridCol w:w="1033"/>
        <w:gridCol w:w="1033"/>
      </w:tblGrid>
      <w:tr w:rsidR="00000000">
        <w:tc>
          <w:tcPr>
            <w:tcW w:w="2127"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ind w:left="57"/>
              <w:rPr>
                <w:rFonts w:hint="eastAsia"/>
                <w:sz w:val="22"/>
                <w:szCs w:val="22"/>
              </w:rPr>
            </w:pPr>
            <w:r>
              <w:rPr>
                <w:rFonts w:hint="eastAsia"/>
                <w:sz w:val="22"/>
                <w:szCs w:val="22"/>
              </w:rPr>
              <w:t xml:space="preserve">  </w:t>
            </w:r>
            <w:r>
              <w:rPr>
                <w:rFonts w:hint="eastAsia"/>
                <w:sz w:val="22"/>
                <w:szCs w:val="22"/>
              </w:rPr>
              <w:t>学</w:t>
            </w:r>
            <w:r>
              <w:rPr>
                <w:rFonts w:hint="eastAsia"/>
                <w:sz w:val="22"/>
                <w:szCs w:val="22"/>
              </w:rPr>
              <w:t xml:space="preserve"> </w:t>
            </w:r>
            <w:r>
              <w:rPr>
                <w:rFonts w:hint="eastAsia"/>
                <w:sz w:val="22"/>
                <w:szCs w:val="22"/>
              </w:rPr>
              <w:t>校</w:t>
            </w:r>
          </w:p>
        </w:tc>
        <w:tc>
          <w:tcPr>
            <w:tcW w:w="1032"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jc w:val="center"/>
              <w:rPr>
                <w:sz w:val="22"/>
                <w:szCs w:val="22"/>
              </w:rPr>
            </w:pPr>
            <w:r>
              <w:rPr>
                <w:sz w:val="22"/>
                <w:szCs w:val="22"/>
              </w:rPr>
              <w:t>1990/91</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jc w:val="center"/>
              <w:rPr>
                <w:sz w:val="22"/>
                <w:szCs w:val="22"/>
              </w:rPr>
            </w:pPr>
            <w:r>
              <w:rPr>
                <w:sz w:val="22"/>
                <w:szCs w:val="22"/>
              </w:rPr>
              <w:t>1993/94</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jc w:val="center"/>
              <w:rPr>
                <w:sz w:val="22"/>
                <w:szCs w:val="22"/>
              </w:rPr>
            </w:pPr>
            <w:r>
              <w:rPr>
                <w:sz w:val="22"/>
                <w:szCs w:val="22"/>
              </w:rPr>
              <w:t>1994/95</w:t>
            </w:r>
          </w:p>
        </w:tc>
        <w:tc>
          <w:tcPr>
            <w:tcW w:w="1032"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jc w:val="center"/>
              <w:rPr>
                <w:sz w:val="22"/>
                <w:szCs w:val="22"/>
              </w:rPr>
            </w:pPr>
            <w:r>
              <w:rPr>
                <w:sz w:val="22"/>
                <w:szCs w:val="22"/>
              </w:rPr>
              <w:t>1995/96</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jc w:val="center"/>
              <w:rPr>
                <w:sz w:val="22"/>
                <w:szCs w:val="22"/>
              </w:rPr>
            </w:pPr>
            <w:r>
              <w:rPr>
                <w:sz w:val="22"/>
                <w:szCs w:val="22"/>
              </w:rPr>
              <w:t>1996/97</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jc w:val="center"/>
              <w:rPr>
                <w:sz w:val="22"/>
                <w:szCs w:val="22"/>
              </w:rPr>
            </w:pPr>
            <w:r>
              <w:rPr>
                <w:sz w:val="22"/>
                <w:szCs w:val="22"/>
              </w:rPr>
              <w:t>1997/98</w:t>
            </w:r>
          </w:p>
        </w:tc>
        <w:tc>
          <w:tcPr>
            <w:tcW w:w="1033" w:type="dxa"/>
            <w:tcBorders>
              <w:top w:val="single" w:sz="4" w:space="0" w:color="auto"/>
              <w:left w:val="single" w:sz="4" w:space="0" w:color="auto"/>
              <w:bottom w:val="single" w:sz="8" w:space="0" w:color="000000"/>
              <w:right w:val="single" w:sz="4" w:space="0" w:color="auto"/>
            </w:tcBorders>
          </w:tcPr>
          <w:p w:rsidR="00000000" w:rsidRDefault="00000000">
            <w:pPr>
              <w:spacing w:before="120" w:line="240" w:lineRule="auto"/>
              <w:jc w:val="center"/>
              <w:rPr>
                <w:sz w:val="22"/>
                <w:szCs w:val="22"/>
              </w:rPr>
            </w:pPr>
            <w:r>
              <w:rPr>
                <w:sz w:val="22"/>
                <w:szCs w:val="22"/>
              </w:rPr>
              <w:t>1998/99</w:t>
            </w:r>
          </w:p>
        </w:tc>
      </w:tr>
      <w:tr w:rsidR="00000000">
        <w:tc>
          <w:tcPr>
            <w:tcW w:w="2127" w:type="dxa"/>
            <w:tcBorders>
              <w:left w:val="single" w:sz="4" w:space="0" w:color="auto"/>
              <w:bottom w:val="nil"/>
              <w:right w:val="single" w:sz="4" w:space="0" w:color="auto"/>
            </w:tcBorders>
          </w:tcPr>
          <w:p w:rsidR="00000000" w:rsidRDefault="00000000">
            <w:pPr>
              <w:spacing w:before="80" w:line="240" w:lineRule="auto"/>
              <w:ind w:left="57"/>
              <w:rPr>
                <w:rFonts w:hint="eastAsia"/>
                <w:sz w:val="22"/>
                <w:szCs w:val="22"/>
              </w:rPr>
            </w:pPr>
            <w:r>
              <w:rPr>
                <w:rFonts w:hint="eastAsia"/>
                <w:sz w:val="22"/>
                <w:szCs w:val="22"/>
              </w:rPr>
              <w:t>幼儿园</w:t>
            </w:r>
          </w:p>
        </w:tc>
        <w:tc>
          <w:tcPr>
            <w:tcW w:w="1032" w:type="dxa"/>
            <w:tcBorders>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352</w:t>
            </w:r>
          </w:p>
        </w:tc>
        <w:tc>
          <w:tcPr>
            <w:tcW w:w="1033" w:type="dxa"/>
            <w:tcBorders>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332</w:t>
            </w:r>
          </w:p>
        </w:tc>
        <w:tc>
          <w:tcPr>
            <w:tcW w:w="1033" w:type="dxa"/>
            <w:tcBorders>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339</w:t>
            </w:r>
          </w:p>
        </w:tc>
        <w:tc>
          <w:tcPr>
            <w:tcW w:w="1032" w:type="dxa"/>
            <w:tcBorders>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333</w:t>
            </w:r>
          </w:p>
        </w:tc>
        <w:tc>
          <w:tcPr>
            <w:tcW w:w="1033" w:type="dxa"/>
            <w:tcBorders>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317</w:t>
            </w:r>
          </w:p>
        </w:tc>
        <w:tc>
          <w:tcPr>
            <w:tcW w:w="1033" w:type="dxa"/>
            <w:tcBorders>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308</w:t>
            </w:r>
          </w:p>
        </w:tc>
        <w:tc>
          <w:tcPr>
            <w:tcW w:w="1033" w:type="dxa"/>
            <w:tcBorders>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303</w:t>
            </w:r>
          </w:p>
        </w:tc>
      </w:tr>
      <w:tr w:rsidR="00000000">
        <w:tc>
          <w:tcPr>
            <w:tcW w:w="2127" w:type="dxa"/>
            <w:tcBorders>
              <w:top w:val="nil"/>
              <w:left w:val="single" w:sz="4" w:space="0" w:color="auto"/>
              <w:bottom w:val="nil"/>
              <w:right w:val="single" w:sz="4" w:space="0" w:color="auto"/>
            </w:tcBorders>
          </w:tcPr>
          <w:p w:rsidR="00000000" w:rsidRDefault="00000000">
            <w:pPr>
              <w:spacing w:before="80" w:line="240" w:lineRule="auto"/>
              <w:ind w:left="57"/>
              <w:rPr>
                <w:rFonts w:hint="eastAsia"/>
                <w:sz w:val="22"/>
                <w:szCs w:val="22"/>
              </w:rPr>
            </w:pPr>
            <w:r>
              <w:rPr>
                <w:rFonts w:hint="eastAsia"/>
                <w:sz w:val="22"/>
                <w:szCs w:val="22"/>
              </w:rPr>
              <w:t>小学</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1,195</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1,061</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1,028</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1,005</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1,100</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1,092</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1,082</w:t>
            </w:r>
          </w:p>
        </w:tc>
      </w:tr>
      <w:tr w:rsidR="00000000">
        <w:tc>
          <w:tcPr>
            <w:tcW w:w="2127" w:type="dxa"/>
            <w:tcBorders>
              <w:top w:val="nil"/>
              <w:left w:val="single" w:sz="4" w:space="0" w:color="auto"/>
              <w:bottom w:val="nil"/>
              <w:right w:val="single" w:sz="4" w:space="0" w:color="auto"/>
            </w:tcBorders>
          </w:tcPr>
          <w:p w:rsidR="00000000" w:rsidRDefault="00000000">
            <w:pPr>
              <w:spacing w:before="80" w:line="240" w:lineRule="auto"/>
              <w:ind w:left="57"/>
              <w:rPr>
                <w:rFonts w:hint="eastAsia"/>
                <w:sz w:val="22"/>
                <w:szCs w:val="22"/>
              </w:rPr>
            </w:pPr>
            <w:r>
              <w:rPr>
                <w:rFonts w:hint="eastAsia"/>
                <w:sz w:val="22"/>
                <w:szCs w:val="22"/>
              </w:rPr>
              <w:t>文法学校</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111</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122</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128</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133</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126</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127</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126</w:t>
            </w:r>
          </w:p>
        </w:tc>
      </w:tr>
      <w:tr w:rsidR="00000000">
        <w:tc>
          <w:tcPr>
            <w:tcW w:w="2127" w:type="dxa"/>
            <w:tcBorders>
              <w:top w:val="nil"/>
              <w:left w:val="single" w:sz="4" w:space="0" w:color="auto"/>
              <w:bottom w:val="nil"/>
              <w:right w:val="single" w:sz="4" w:space="0" w:color="auto"/>
            </w:tcBorders>
          </w:tcPr>
          <w:p w:rsidR="00000000" w:rsidRDefault="00000000">
            <w:pPr>
              <w:tabs>
                <w:tab w:val="left" w:pos="214"/>
              </w:tabs>
              <w:spacing w:before="80" w:line="240" w:lineRule="auto"/>
              <w:ind w:left="57"/>
              <w:rPr>
                <w:rFonts w:hint="eastAsia"/>
                <w:sz w:val="22"/>
                <w:szCs w:val="22"/>
              </w:rPr>
            </w:pPr>
            <w:r>
              <w:rPr>
                <w:rFonts w:hint="eastAsia"/>
                <w:sz w:val="22"/>
                <w:szCs w:val="22"/>
              </w:rPr>
              <w:t xml:space="preserve">  </w:t>
            </w:r>
            <w:r>
              <w:rPr>
                <w:rFonts w:hint="eastAsia"/>
                <w:sz w:val="22"/>
                <w:szCs w:val="22"/>
              </w:rPr>
              <w:t>其中，女生</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67</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73</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76</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79</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74</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73</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74</w:t>
            </w:r>
          </w:p>
        </w:tc>
      </w:tr>
      <w:tr w:rsidR="00000000">
        <w:tc>
          <w:tcPr>
            <w:tcW w:w="2127" w:type="dxa"/>
            <w:tcBorders>
              <w:top w:val="nil"/>
              <w:left w:val="single" w:sz="4" w:space="0" w:color="auto"/>
              <w:bottom w:val="nil"/>
              <w:right w:val="single" w:sz="4" w:space="0" w:color="auto"/>
            </w:tcBorders>
          </w:tcPr>
          <w:p w:rsidR="00000000" w:rsidRDefault="00000000">
            <w:pPr>
              <w:spacing w:before="80" w:line="240" w:lineRule="auto"/>
              <w:ind w:left="57"/>
              <w:rPr>
                <w:rFonts w:hint="eastAsia"/>
                <w:sz w:val="22"/>
                <w:szCs w:val="22"/>
                <w:highlight w:val="yellow"/>
              </w:rPr>
            </w:pPr>
            <w:r>
              <w:rPr>
                <w:rFonts w:hint="eastAsia"/>
                <w:sz w:val="22"/>
                <w:szCs w:val="22"/>
              </w:rPr>
              <w:t>中等技术学校</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191</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219</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247</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259</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205</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200</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192</w:t>
            </w:r>
          </w:p>
        </w:tc>
      </w:tr>
      <w:tr w:rsidR="00000000">
        <w:tc>
          <w:tcPr>
            <w:tcW w:w="2127" w:type="dxa"/>
            <w:tcBorders>
              <w:top w:val="nil"/>
              <w:left w:val="single" w:sz="4" w:space="0" w:color="auto"/>
              <w:bottom w:val="nil"/>
              <w:right w:val="single" w:sz="4" w:space="0" w:color="auto"/>
            </w:tcBorders>
          </w:tcPr>
          <w:p w:rsidR="00000000" w:rsidRDefault="00000000">
            <w:pPr>
              <w:tabs>
                <w:tab w:val="left" w:pos="214"/>
              </w:tabs>
              <w:spacing w:before="80" w:line="240" w:lineRule="auto"/>
              <w:ind w:left="57"/>
              <w:rPr>
                <w:rFonts w:hint="eastAsia"/>
                <w:sz w:val="22"/>
                <w:szCs w:val="22"/>
              </w:rPr>
            </w:pPr>
            <w:r>
              <w:rPr>
                <w:rFonts w:hint="eastAsia"/>
                <w:sz w:val="22"/>
                <w:szCs w:val="22"/>
              </w:rPr>
              <w:t xml:space="preserve">  </w:t>
            </w:r>
            <w:r>
              <w:rPr>
                <w:rFonts w:hint="eastAsia"/>
                <w:sz w:val="22"/>
                <w:szCs w:val="22"/>
              </w:rPr>
              <w:t>其中，女生</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121</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138</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154</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161</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126</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118</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111</w:t>
            </w:r>
          </w:p>
        </w:tc>
      </w:tr>
      <w:tr w:rsidR="00000000">
        <w:tc>
          <w:tcPr>
            <w:tcW w:w="2127" w:type="dxa"/>
            <w:tcBorders>
              <w:top w:val="nil"/>
              <w:left w:val="single" w:sz="4" w:space="0" w:color="auto"/>
              <w:bottom w:val="nil"/>
              <w:right w:val="single" w:sz="4" w:space="0" w:color="auto"/>
            </w:tcBorders>
          </w:tcPr>
          <w:p w:rsidR="00000000" w:rsidRDefault="00000000">
            <w:pPr>
              <w:spacing w:before="80" w:line="240" w:lineRule="auto"/>
              <w:ind w:left="57"/>
              <w:rPr>
                <w:rFonts w:hint="eastAsia"/>
                <w:sz w:val="22"/>
                <w:szCs w:val="22"/>
                <w:highlight w:val="yellow"/>
              </w:rPr>
            </w:pPr>
            <w:r>
              <w:rPr>
                <w:rFonts w:hint="eastAsia"/>
                <w:sz w:val="22"/>
                <w:szCs w:val="22"/>
              </w:rPr>
              <w:t>中学后学校</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15</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24</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30</w:t>
            </w:r>
          </w:p>
        </w:tc>
      </w:tr>
      <w:tr w:rsidR="00000000">
        <w:tc>
          <w:tcPr>
            <w:tcW w:w="2127" w:type="dxa"/>
            <w:tcBorders>
              <w:top w:val="nil"/>
              <w:left w:val="single" w:sz="4" w:space="0" w:color="auto"/>
              <w:bottom w:val="nil"/>
              <w:right w:val="single" w:sz="4" w:space="0" w:color="auto"/>
            </w:tcBorders>
          </w:tcPr>
          <w:p w:rsidR="00000000" w:rsidRDefault="00000000">
            <w:pPr>
              <w:tabs>
                <w:tab w:val="left" w:pos="214"/>
              </w:tabs>
              <w:spacing w:before="80" w:line="240" w:lineRule="auto"/>
              <w:ind w:left="57"/>
              <w:rPr>
                <w:rFonts w:hint="eastAsia"/>
                <w:sz w:val="22"/>
                <w:szCs w:val="22"/>
              </w:rPr>
            </w:pPr>
            <w:r>
              <w:rPr>
                <w:rFonts w:hint="eastAsia"/>
                <w:sz w:val="22"/>
                <w:szCs w:val="22"/>
              </w:rPr>
              <w:t>职业学校</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p>
        </w:tc>
      </w:tr>
      <w:tr w:rsidR="00000000">
        <w:tc>
          <w:tcPr>
            <w:tcW w:w="2127" w:type="dxa"/>
            <w:tcBorders>
              <w:top w:val="nil"/>
              <w:left w:val="single" w:sz="4" w:space="0" w:color="auto"/>
              <w:bottom w:val="nil"/>
              <w:right w:val="single" w:sz="4" w:space="0" w:color="auto"/>
            </w:tcBorders>
          </w:tcPr>
          <w:p w:rsidR="00000000" w:rsidRDefault="00000000">
            <w:pPr>
              <w:tabs>
                <w:tab w:val="left" w:pos="214"/>
              </w:tabs>
              <w:spacing w:before="80" w:line="240" w:lineRule="auto"/>
              <w:ind w:left="57"/>
              <w:rPr>
                <w:rFonts w:hint="eastAsia"/>
                <w:sz w:val="22"/>
                <w:szCs w:val="22"/>
              </w:rPr>
            </w:pPr>
            <w:r>
              <w:rPr>
                <w:rFonts w:hint="eastAsia"/>
                <w:sz w:val="22"/>
                <w:szCs w:val="22"/>
              </w:rPr>
              <w:t xml:space="preserve">  </w:t>
            </w:r>
            <w:r>
              <w:rPr>
                <w:rFonts w:hint="eastAsia"/>
                <w:sz w:val="22"/>
                <w:szCs w:val="22"/>
              </w:rPr>
              <w:t>其中，女生</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rFonts w:hint="eastAsia"/>
                <w:sz w:val="22"/>
                <w:szCs w:val="22"/>
              </w:rPr>
            </w:pPr>
            <w:r>
              <w:rPr>
                <w:rFonts w:hint="eastAsia"/>
                <w:sz w:val="22"/>
                <w:szCs w:val="22"/>
              </w:rPr>
              <w:t>-</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10</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16</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20</w:t>
            </w:r>
          </w:p>
        </w:tc>
      </w:tr>
      <w:tr w:rsidR="00000000">
        <w:tc>
          <w:tcPr>
            <w:tcW w:w="2127" w:type="dxa"/>
            <w:tcBorders>
              <w:top w:val="nil"/>
              <w:left w:val="single" w:sz="4" w:space="0" w:color="auto"/>
              <w:bottom w:val="nil"/>
              <w:right w:val="single" w:sz="4" w:space="0" w:color="auto"/>
            </w:tcBorders>
          </w:tcPr>
          <w:p w:rsidR="00000000" w:rsidRDefault="00000000">
            <w:pPr>
              <w:spacing w:before="80" w:line="240" w:lineRule="auto"/>
              <w:ind w:left="57"/>
              <w:rPr>
                <w:rFonts w:hint="eastAsia"/>
                <w:sz w:val="22"/>
                <w:szCs w:val="22"/>
              </w:rPr>
            </w:pPr>
            <w:r>
              <w:rPr>
                <w:rFonts w:hint="eastAsia"/>
                <w:sz w:val="22"/>
                <w:szCs w:val="22"/>
              </w:rPr>
              <w:t>大学</w:t>
            </w:r>
            <w:r>
              <w:rPr>
                <w:rFonts w:hint="eastAsia"/>
                <w:sz w:val="22"/>
                <w:szCs w:val="22"/>
              </w:rPr>
              <w:t>(</w:t>
            </w:r>
            <w:r>
              <w:rPr>
                <w:rFonts w:hint="eastAsia"/>
                <w:sz w:val="22"/>
                <w:szCs w:val="22"/>
              </w:rPr>
              <w:t>日间学习</w:t>
            </w:r>
            <w:r>
              <w:rPr>
                <w:rFonts w:hint="eastAsia"/>
                <w:sz w:val="22"/>
                <w:szCs w:val="22"/>
              </w:rPr>
              <w:t>)</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100</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113</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119</w:t>
            </w:r>
          </w:p>
        </w:tc>
        <w:tc>
          <w:tcPr>
            <w:tcW w:w="1032"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126</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139</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148</w:t>
            </w:r>
          </w:p>
        </w:tc>
        <w:tc>
          <w:tcPr>
            <w:tcW w:w="1033" w:type="dxa"/>
            <w:tcBorders>
              <w:top w:val="nil"/>
              <w:left w:val="single" w:sz="4" w:space="0" w:color="auto"/>
              <w:bottom w:val="nil"/>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155</w:t>
            </w:r>
          </w:p>
        </w:tc>
      </w:tr>
      <w:tr w:rsidR="00000000">
        <w:tc>
          <w:tcPr>
            <w:tcW w:w="2127" w:type="dxa"/>
            <w:tcBorders>
              <w:top w:val="nil"/>
              <w:left w:val="single" w:sz="4" w:space="0" w:color="auto"/>
              <w:bottom w:val="single" w:sz="4" w:space="0" w:color="auto"/>
              <w:right w:val="single" w:sz="4" w:space="0" w:color="auto"/>
            </w:tcBorders>
          </w:tcPr>
          <w:p w:rsidR="00000000" w:rsidRDefault="00000000">
            <w:pPr>
              <w:tabs>
                <w:tab w:val="left" w:pos="214"/>
              </w:tabs>
              <w:spacing w:before="80" w:line="240" w:lineRule="auto"/>
              <w:ind w:left="57"/>
              <w:rPr>
                <w:rFonts w:hint="eastAsia"/>
                <w:sz w:val="22"/>
                <w:szCs w:val="22"/>
              </w:rPr>
            </w:pPr>
            <w:r>
              <w:rPr>
                <w:rFonts w:hint="eastAsia"/>
                <w:sz w:val="22"/>
                <w:szCs w:val="22"/>
              </w:rPr>
              <w:t xml:space="preserve">  </w:t>
            </w:r>
            <w:r>
              <w:rPr>
                <w:rFonts w:hint="eastAsia"/>
                <w:sz w:val="22"/>
                <w:szCs w:val="22"/>
              </w:rPr>
              <w:t>其中，女生</w:t>
            </w:r>
          </w:p>
        </w:tc>
        <w:tc>
          <w:tcPr>
            <w:tcW w:w="1032" w:type="dxa"/>
            <w:tcBorders>
              <w:top w:val="nil"/>
              <w:left w:val="single" w:sz="4" w:space="0" w:color="auto"/>
              <w:bottom w:val="single" w:sz="4" w:space="0" w:color="auto"/>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43</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48</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51</w:t>
            </w:r>
          </w:p>
        </w:tc>
        <w:tc>
          <w:tcPr>
            <w:tcW w:w="1032" w:type="dxa"/>
            <w:tcBorders>
              <w:top w:val="nil"/>
              <w:left w:val="single" w:sz="4" w:space="0" w:color="auto"/>
              <w:bottom w:val="single" w:sz="4" w:space="0" w:color="auto"/>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55</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61</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65</w:t>
            </w:r>
          </w:p>
        </w:tc>
        <w:tc>
          <w:tcPr>
            <w:tcW w:w="1033" w:type="dxa"/>
            <w:tcBorders>
              <w:top w:val="nil"/>
              <w:left w:val="single" w:sz="4" w:space="0" w:color="auto"/>
              <w:bottom w:val="single" w:sz="4" w:space="0" w:color="auto"/>
              <w:right w:val="single" w:sz="4" w:space="0" w:color="auto"/>
            </w:tcBorders>
          </w:tcPr>
          <w:p w:rsidR="00000000" w:rsidRDefault="00000000">
            <w:pPr>
              <w:tabs>
                <w:tab w:val="right" w:pos="638"/>
              </w:tabs>
              <w:spacing w:before="80" w:line="240" w:lineRule="auto"/>
              <w:ind w:right="227"/>
              <w:jc w:val="right"/>
              <w:rPr>
                <w:sz w:val="22"/>
                <w:szCs w:val="22"/>
              </w:rPr>
            </w:pPr>
            <w:r>
              <w:rPr>
                <w:sz w:val="22"/>
                <w:szCs w:val="22"/>
              </w:rPr>
              <w:t>69</w:t>
            </w:r>
          </w:p>
        </w:tc>
      </w:tr>
    </w:tbl>
    <w:p w:rsidR="00000000" w:rsidRDefault="00000000"/>
    <w:p w:rsidR="00000000" w:rsidRDefault="00000000">
      <w:pPr>
        <w:pStyle w:val="FootnoteText"/>
        <w:spacing w:after="320"/>
        <w:rPr>
          <w:rFonts w:hint="eastAsia"/>
          <w:sz w:val="21"/>
        </w:rPr>
      </w:pPr>
      <w:r>
        <w:rPr>
          <w:rFonts w:hint="eastAsia"/>
          <w:sz w:val="21"/>
        </w:rPr>
        <w:t xml:space="preserve"> </w:t>
      </w:r>
      <w:r>
        <w:rPr>
          <w:rFonts w:hint="eastAsia"/>
          <w:sz w:val="21"/>
          <w:u w:val="single"/>
        </w:rPr>
        <w:t>资料来源</w:t>
      </w:r>
      <w:r>
        <w:rPr>
          <w:rFonts w:hint="eastAsia"/>
          <w:sz w:val="21"/>
        </w:rPr>
        <w:t>：《</w:t>
      </w:r>
      <w:r>
        <w:rPr>
          <w:rFonts w:hint="eastAsia"/>
          <w:sz w:val="21"/>
        </w:rPr>
        <w:t>1999</w:t>
      </w:r>
      <w:r>
        <w:rPr>
          <w:rFonts w:hint="eastAsia"/>
          <w:sz w:val="21"/>
        </w:rPr>
        <w:t>年捷克共和国统计年鉴》。</w:t>
      </w:r>
    </w:p>
    <w:p w:rsidR="00000000" w:rsidRDefault="00000000">
      <w:pPr>
        <w:pStyle w:val="Heading4"/>
        <w:spacing w:before="160"/>
        <w:rPr>
          <w:rFonts w:hint="eastAsia"/>
        </w:rPr>
      </w:pPr>
      <w:r>
        <w:rPr>
          <w:rFonts w:hint="eastAsia"/>
        </w:rPr>
        <w:t>第</w:t>
      </w:r>
      <w:r>
        <w:rPr>
          <w:rFonts w:hint="eastAsia"/>
        </w:rPr>
        <w:t>2</w:t>
      </w:r>
      <w:r>
        <w:rPr>
          <w:rFonts w:hint="eastAsia"/>
        </w:rPr>
        <w:t>款</w:t>
      </w:r>
      <w:r>
        <w:t>(d)</w:t>
      </w:r>
      <w:r>
        <w:rPr>
          <w:rFonts w:hint="eastAsia"/>
        </w:rPr>
        <w:t>项</w:t>
      </w:r>
    </w:p>
    <w:p w:rsidR="00000000" w:rsidRDefault="00000000">
      <w:pPr>
        <w:rPr>
          <w:rFonts w:hint="eastAsia"/>
        </w:rPr>
      </w:pPr>
      <w:r>
        <w:rPr>
          <w:rFonts w:hint="eastAsia"/>
        </w:rPr>
        <w:tab/>
        <w:t xml:space="preserve">607.  </w:t>
      </w:r>
      <w:r>
        <w:rPr>
          <w:rFonts w:hint="eastAsia"/>
        </w:rPr>
        <w:t>按照《学校法》</w:t>
      </w:r>
      <w:r>
        <w:rPr>
          <w:rStyle w:val="EndnoteReference"/>
        </w:rPr>
        <w:endnoteReference w:id="360"/>
      </w:r>
      <w:r>
        <w:rPr>
          <w:rFonts w:hint="eastAsia"/>
        </w:rPr>
        <w:t xml:space="preserve">  </w:t>
      </w:r>
      <w:r>
        <w:rPr>
          <w:rFonts w:hint="eastAsia"/>
        </w:rPr>
        <w:t>第</w:t>
      </w:r>
      <w:r>
        <w:rPr>
          <w:rFonts w:hint="eastAsia"/>
        </w:rPr>
        <w:t>17</w:t>
      </w:r>
      <w:r>
        <w:rPr>
          <w:rFonts w:hint="eastAsia"/>
        </w:rPr>
        <w:t>节和第</w:t>
      </w:r>
      <w:r>
        <w:rPr>
          <w:rFonts w:hint="eastAsia"/>
        </w:rPr>
        <w:t>28</w:t>
      </w:r>
      <w:r>
        <w:rPr>
          <w:rFonts w:hint="eastAsia"/>
        </w:rPr>
        <w:t>节至</w:t>
      </w:r>
      <w:r>
        <w:rPr>
          <w:rFonts w:hint="eastAsia"/>
        </w:rPr>
        <w:t>33</w:t>
      </w:r>
      <w:r>
        <w:rPr>
          <w:rFonts w:hint="eastAsia"/>
        </w:rPr>
        <w:t>节的规定，为无法在小学里接受初等教育或无法在这些学校里完成学业的学生设立了一个学校系统</w:t>
      </w:r>
      <w:r>
        <w:rPr>
          <w:rFonts w:hint="eastAsia"/>
          <w:spacing w:val="-50"/>
        </w:rPr>
        <w:t>―</w:t>
      </w:r>
      <w:r>
        <w:rPr>
          <w:rFonts w:hint="eastAsia"/>
        </w:rPr>
        <w:t>―专门和特殊学校系统。</w:t>
      </w:r>
    </w:p>
    <w:p w:rsidR="00000000" w:rsidRDefault="00000000">
      <w:pPr>
        <w:spacing w:after="320"/>
        <w:rPr>
          <w:rFonts w:hint="eastAsia"/>
        </w:rPr>
      </w:pPr>
      <w:r>
        <w:rPr>
          <w:rFonts w:hint="eastAsia"/>
        </w:rPr>
        <w:tab/>
        <w:t xml:space="preserve">608.  </w:t>
      </w:r>
      <w:r>
        <w:rPr>
          <w:rFonts w:hint="eastAsia"/>
        </w:rPr>
        <w:t>专门初等学校提供的教育相当于初等学校的教育，但特殊学校的毕业生</w:t>
      </w:r>
      <w:r>
        <w:rPr>
          <w:rFonts w:hint="eastAsia"/>
        </w:rPr>
        <w:t>(</w:t>
      </w:r>
      <w:r>
        <w:rPr>
          <w:rFonts w:hint="eastAsia"/>
        </w:rPr>
        <w:t>《学校法》第</w:t>
      </w:r>
      <w:r>
        <w:rPr>
          <w:rFonts w:hint="eastAsia"/>
        </w:rPr>
        <w:t>31</w:t>
      </w:r>
      <w:r>
        <w:rPr>
          <w:rFonts w:hint="eastAsia"/>
        </w:rPr>
        <w:t>节</w:t>
      </w:r>
      <w:r>
        <w:rPr>
          <w:rFonts w:hint="eastAsia"/>
        </w:rPr>
        <w:t>)</w:t>
      </w:r>
      <w:r>
        <w:rPr>
          <w:rFonts w:hint="eastAsia"/>
        </w:rPr>
        <w:t>只能取得“较低的初等教育”，因此只能够在专门针对特殊学校毕业生的职业学校或实践学校里继续学习。在报告期结束时，捷克共和国有将近</w:t>
      </w:r>
      <w:r>
        <w:rPr>
          <w:rFonts w:hint="eastAsia"/>
        </w:rPr>
        <w:t>500</w:t>
      </w:r>
      <w:r>
        <w:rPr>
          <w:rFonts w:hint="eastAsia"/>
        </w:rPr>
        <w:t>所这种学校，提供</w:t>
      </w:r>
      <w:r>
        <w:rPr>
          <w:rFonts w:hint="eastAsia"/>
        </w:rPr>
        <w:t>70</w:t>
      </w:r>
      <w:r>
        <w:rPr>
          <w:rFonts w:hint="eastAsia"/>
        </w:rPr>
        <w:t>多种要求不高的手工职业方面的培训。毕业生在其选择的领域获取某种资格证书。</w:t>
      </w:r>
    </w:p>
    <w:p w:rsidR="00000000" w:rsidRDefault="00000000">
      <w:pPr>
        <w:pStyle w:val="Heading3"/>
        <w:pageBreakBefore/>
        <w:rPr>
          <w:rFonts w:hint="eastAsia"/>
        </w:rPr>
      </w:pPr>
      <w:r>
        <w:rPr>
          <w:rFonts w:hint="eastAsia"/>
        </w:rPr>
        <w:t>特殊学校学生人数</w:t>
      </w:r>
    </w:p>
    <w:tbl>
      <w:tblPr>
        <w:tblW w:w="0" w:type="auto"/>
        <w:tblInd w:w="30" w:type="dxa"/>
        <w:tblBorders>
          <w:top w:val="single" w:sz="12" w:space="0" w:color="008000"/>
          <w:bottom w:val="single" w:sz="12" w:space="0" w:color="008000"/>
        </w:tblBorders>
        <w:tblLayout w:type="fixed"/>
        <w:tblCellMar>
          <w:left w:w="30" w:type="dxa"/>
          <w:right w:w="30" w:type="dxa"/>
        </w:tblCellMar>
        <w:tblLook w:val="0000" w:firstRow="0" w:lastRow="0" w:firstColumn="0" w:lastColumn="0" w:noHBand="0" w:noVBand="0"/>
      </w:tblPr>
      <w:tblGrid>
        <w:gridCol w:w="1276"/>
        <w:gridCol w:w="1228"/>
        <w:gridCol w:w="1096"/>
        <w:gridCol w:w="1362"/>
        <w:gridCol w:w="2197"/>
        <w:gridCol w:w="2197"/>
      </w:tblGrid>
      <w:tr w:rsidR="00000000">
        <w:trPr>
          <w:cantSplit/>
          <w:trHeight w:val="250"/>
        </w:trPr>
        <w:tc>
          <w:tcPr>
            <w:tcW w:w="1276" w:type="dxa"/>
            <w:vMerge w:val="restart"/>
            <w:tcBorders>
              <w:top w:val="single" w:sz="4" w:space="0" w:color="auto"/>
              <w:left w:val="single" w:sz="4" w:space="0" w:color="auto"/>
              <w:bottom w:val="nil"/>
              <w:right w:val="single" w:sz="4" w:space="0" w:color="auto"/>
            </w:tcBorders>
          </w:tcPr>
          <w:p w:rsidR="00000000" w:rsidRDefault="00000000">
            <w:pPr>
              <w:pStyle w:val="aa"/>
              <w:spacing w:before="120" w:line="264" w:lineRule="auto"/>
              <w:jc w:val="center"/>
              <w:rPr>
                <w:rFonts w:hint="eastAsia"/>
              </w:rPr>
            </w:pPr>
            <w:r>
              <w:rPr>
                <w:rFonts w:hint="eastAsia"/>
              </w:rPr>
              <w:t>学</w:t>
            </w:r>
            <w:r>
              <w:rPr>
                <w:rFonts w:hint="eastAsia"/>
              </w:rPr>
              <w:t xml:space="preserve">  </w:t>
            </w:r>
            <w:r>
              <w:rPr>
                <w:rFonts w:hint="eastAsia"/>
              </w:rPr>
              <w:t>校</w:t>
            </w:r>
          </w:p>
        </w:tc>
        <w:tc>
          <w:tcPr>
            <w:tcW w:w="3686" w:type="dxa"/>
            <w:gridSpan w:val="3"/>
            <w:vMerge w:val="restart"/>
            <w:tcBorders>
              <w:top w:val="single" w:sz="4" w:space="0" w:color="auto"/>
              <w:left w:val="single" w:sz="4" w:space="0" w:color="auto"/>
              <w:bottom w:val="single" w:sz="8" w:space="0" w:color="000000"/>
              <w:right w:val="single" w:sz="4" w:space="0" w:color="auto"/>
            </w:tcBorders>
          </w:tcPr>
          <w:p w:rsidR="00000000" w:rsidRDefault="00000000">
            <w:pPr>
              <w:pStyle w:val="aa"/>
              <w:spacing w:before="120" w:line="264" w:lineRule="auto"/>
              <w:jc w:val="center"/>
              <w:rPr>
                <w:rFonts w:hint="eastAsia"/>
              </w:rPr>
            </w:pPr>
            <w:r>
              <w:rPr>
                <w:rFonts w:hint="eastAsia"/>
              </w:rPr>
              <w:t>学</w:t>
            </w:r>
            <w:r>
              <w:rPr>
                <w:rFonts w:hint="eastAsia"/>
              </w:rPr>
              <w:t xml:space="preserve">    </w:t>
            </w:r>
            <w:r>
              <w:rPr>
                <w:rFonts w:hint="eastAsia"/>
              </w:rPr>
              <w:t>生</w:t>
            </w:r>
            <w:r>
              <w:br/>
            </w:r>
            <w:r>
              <w:rPr>
                <w:rFonts w:hint="eastAsia"/>
              </w:rPr>
              <w:t>(</w:t>
            </w:r>
            <w:r>
              <w:rPr>
                <w:rFonts w:hint="eastAsia"/>
              </w:rPr>
              <w:t>以千计</w:t>
            </w:r>
            <w:r>
              <w:rPr>
                <w:rFonts w:hint="eastAsia"/>
              </w:rPr>
              <w:t>)</w:t>
            </w:r>
          </w:p>
        </w:tc>
        <w:tc>
          <w:tcPr>
            <w:tcW w:w="4394" w:type="dxa"/>
            <w:gridSpan w:val="2"/>
            <w:tcBorders>
              <w:top w:val="single" w:sz="4" w:space="0" w:color="auto"/>
              <w:left w:val="single" w:sz="4" w:space="0" w:color="auto"/>
              <w:bottom w:val="nil"/>
              <w:right w:val="single" w:sz="4" w:space="0" w:color="auto"/>
            </w:tcBorders>
          </w:tcPr>
          <w:p w:rsidR="00000000" w:rsidRDefault="00000000">
            <w:pPr>
              <w:pStyle w:val="aa"/>
              <w:spacing w:before="120" w:line="264" w:lineRule="auto"/>
              <w:jc w:val="center"/>
              <w:rPr>
                <w:rFonts w:hint="eastAsia"/>
              </w:rPr>
            </w:pPr>
            <w:r>
              <w:rPr>
                <w:rFonts w:hint="eastAsia"/>
              </w:rPr>
              <w:t>特殊学校学生在义务教育学生中所占的比例</w:t>
            </w:r>
          </w:p>
        </w:tc>
      </w:tr>
      <w:tr w:rsidR="00000000">
        <w:trPr>
          <w:cantSplit/>
          <w:trHeight w:val="250"/>
        </w:trPr>
        <w:tc>
          <w:tcPr>
            <w:tcW w:w="1276" w:type="dxa"/>
            <w:vMerge/>
            <w:tcBorders>
              <w:top w:val="single" w:sz="12" w:space="0" w:color="008000"/>
              <w:left w:val="single" w:sz="4" w:space="0" w:color="auto"/>
              <w:bottom w:val="nil"/>
              <w:right w:val="single" w:sz="4" w:space="0" w:color="auto"/>
            </w:tcBorders>
            <w:vAlign w:val="center"/>
          </w:tcPr>
          <w:p w:rsidR="00000000" w:rsidRDefault="00000000">
            <w:pPr>
              <w:pStyle w:val="aa"/>
              <w:spacing w:before="120" w:line="264" w:lineRule="auto"/>
              <w:jc w:val="center"/>
            </w:pPr>
          </w:p>
        </w:tc>
        <w:tc>
          <w:tcPr>
            <w:tcW w:w="3686" w:type="dxa"/>
            <w:gridSpan w:val="3"/>
            <w:vMerge/>
            <w:tcBorders>
              <w:top w:val="nil"/>
              <w:left w:val="single" w:sz="4" w:space="0" w:color="auto"/>
              <w:bottom w:val="single" w:sz="8" w:space="0" w:color="000000"/>
              <w:right w:val="single" w:sz="4" w:space="0" w:color="auto"/>
            </w:tcBorders>
          </w:tcPr>
          <w:p w:rsidR="00000000" w:rsidRDefault="00000000">
            <w:pPr>
              <w:pStyle w:val="aa"/>
              <w:spacing w:before="120" w:line="264" w:lineRule="auto"/>
              <w:jc w:val="center"/>
            </w:pPr>
          </w:p>
        </w:tc>
        <w:tc>
          <w:tcPr>
            <w:tcW w:w="4394" w:type="dxa"/>
            <w:gridSpan w:val="2"/>
            <w:tcBorders>
              <w:top w:val="nil"/>
              <w:left w:val="single" w:sz="4" w:space="0" w:color="auto"/>
              <w:bottom w:val="single" w:sz="8" w:space="0" w:color="000000"/>
              <w:right w:val="single" w:sz="4" w:space="0" w:color="auto"/>
            </w:tcBorders>
          </w:tcPr>
          <w:p w:rsidR="00000000" w:rsidRDefault="00000000">
            <w:pPr>
              <w:pStyle w:val="aa"/>
              <w:spacing w:before="120" w:line="264" w:lineRule="auto"/>
              <w:jc w:val="center"/>
            </w:pPr>
            <w:r>
              <w:t>(%)</w:t>
            </w:r>
          </w:p>
        </w:tc>
      </w:tr>
      <w:tr w:rsidR="00000000">
        <w:trPr>
          <w:cantSplit/>
          <w:trHeight w:val="250"/>
        </w:trPr>
        <w:tc>
          <w:tcPr>
            <w:tcW w:w="1276" w:type="dxa"/>
            <w:vMerge/>
            <w:tcBorders>
              <w:top w:val="single" w:sz="12" w:space="0" w:color="008000"/>
              <w:left w:val="single" w:sz="4" w:space="0" w:color="auto"/>
              <w:bottom w:val="single" w:sz="8" w:space="0" w:color="000000"/>
              <w:right w:val="single" w:sz="4" w:space="0" w:color="auto"/>
            </w:tcBorders>
            <w:vAlign w:val="center"/>
          </w:tcPr>
          <w:p w:rsidR="00000000" w:rsidRDefault="00000000">
            <w:pPr>
              <w:pStyle w:val="aa"/>
              <w:spacing w:before="120" w:line="264" w:lineRule="auto"/>
              <w:jc w:val="center"/>
            </w:pPr>
          </w:p>
        </w:tc>
        <w:tc>
          <w:tcPr>
            <w:tcW w:w="1228" w:type="dxa"/>
            <w:tcBorders>
              <w:top w:val="single" w:sz="8" w:space="0" w:color="000000"/>
              <w:left w:val="single" w:sz="4" w:space="0" w:color="auto"/>
              <w:bottom w:val="single" w:sz="8" w:space="0" w:color="000000"/>
              <w:right w:val="single" w:sz="4" w:space="0" w:color="auto"/>
            </w:tcBorders>
          </w:tcPr>
          <w:p w:rsidR="00000000" w:rsidRDefault="00000000">
            <w:pPr>
              <w:pStyle w:val="aa"/>
              <w:spacing w:before="120" w:line="264" w:lineRule="auto"/>
              <w:jc w:val="center"/>
              <w:rPr>
                <w:rFonts w:hint="eastAsia"/>
              </w:rPr>
            </w:pPr>
            <w:r>
              <w:rPr>
                <w:rFonts w:hint="eastAsia"/>
              </w:rPr>
              <w:t>总</w:t>
            </w:r>
            <w:r>
              <w:rPr>
                <w:rFonts w:hint="eastAsia"/>
              </w:rPr>
              <w:t xml:space="preserve">  </w:t>
            </w:r>
            <w:r>
              <w:rPr>
                <w:rFonts w:hint="eastAsia"/>
              </w:rPr>
              <w:t>计</w:t>
            </w:r>
          </w:p>
        </w:tc>
        <w:tc>
          <w:tcPr>
            <w:tcW w:w="1096" w:type="dxa"/>
            <w:tcBorders>
              <w:top w:val="single" w:sz="8" w:space="0" w:color="000000"/>
              <w:left w:val="single" w:sz="4" w:space="0" w:color="auto"/>
              <w:bottom w:val="single" w:sz="8" w:space="0" w:color="000000"/>
              <w:right w:val="single" w:sz="4" w:space="0" w:color="auto"/>
            </w:tcBorders>
          </w:tcPr>
          <w:p w:rsidR="00000000" w:rsidRDefault="00000000">
            <w:pPr>
              <w:pStyle w:val="aa"/>
              <w:spacing w:before="120" w:line="264" w:lineRule="auto"/>
              <w:jc w:val="center"/>
              <w:rPr>
                <w:rFonts w:hint="eastAsia"/>
              </w:rPr>
            </w:pPr>
            <w:r>
              <w:rPr>
                <w:rFonts w:hint="eastAsia"/>
              </w:rPr>
              <w:t>女</w:t>
            </w:r>
            <w:r>
              <w:rPr>
                <w:rFonts w:hint="eastAsia"/>
              </w:rPr>
              <w:t xml:space="preserve">  </w:t>
            </w:r>
            <w:r>
              <w:rPr>
                <w:rFonts w:hint="eastAsia"/>
              </w:rPr>
              <w:t>生</w:t>
            </w:r>
          </w:p>
        </w:tc>
        <w:tc>
          <w:tcPr>
            <w:tcW w:w="1362" w:type="dxa"/>
            <w:tcBorders>
              <w:top w:val="single" w:sz="8" w:space="0" w:color="000000"/>
              <w:left w:val="single" w:sz="4" w:space="0" w:color="auto"/>
              <w:bottom w:val="single" w:sz="8" w:space="0" w:color="000000"/>
              <w:right w:val="single" w:sz="4" w:space="0" w:color="auto"/>
            </w:tcBorders>
          </w:tcPr>
          <w:p w:rsidR="00000000" w:rsidRDefault="00000000">
            <w:pPr>
              <w:pStyle w:val="aa"/>
              <w:spacing w:before="120" w:line="264" w:lineRule="auto"/>
              <w:jc w:val="center"/>
              <w:rPr>
                <w:rFonts w:hint="eastAsia"/>
              </w:rPr>
            </w:pPr>
            <w:r>
              <w:rPr>
                <w:rFonts w:hint="eastAsia"/>
              </w:rPr>
              <w:t>女生的百分比</w:t>
            </w:r>
          </w:p>
        </w:tc>
        <w:tc>
          <w:tcPr>
            <w:tcW w:w="2197" w:type="dxa"/>
            <w:tcBorders>
              <w:top w:val="single" w:sz="8" w:space="0" w:color="000000"/>
              <w:left w:val="single" w:sz="4" w:space="0" w:color="auto"/>
              <w:bottom w:val="single" w:sz="8" w:space="0" w:color="000000"/>
              <w:right w:val="single" w:sz="4" w:space="0" w:color="auto"/>
            </w:tcBorders>
          </w:tcPr>
          <w:p w:rsidR="00000000" w:rsidRDefault="00000000">
            <w:pPr>
              <w:pStyle w:val="aa"/>
              <w:spacing w:before="120" w:line="264" w:lineRule="auto"/>
              <w:jc w:val="center"/>
              <w:rPr>
                <w:rFonts w:hint="eastAsia"/>
              </w:rPr>
            </w:pPr>
            <w:r>
              <w:rPr>
                <w:rFonts w:hint="eastAsia"/>
              </w:rPr>
              <w:t>男</w:t>
            </w:r>
            <w:r>
              <w:rPr>
                <w:rFonts w:hint="eastAsia"/>
              </w:rPr>
              <w:t xml:space="preserve">  </w:t>
            </w:r>
            <w:r>
              <w:rPr>
                <w:rFonts w:hint="eastAsia"/>
              </w:rPr>
              <w:t>生</w:t>
            </w:r>
          </w:p>
        </w:tc>
        <w:tc>
          <w:tcPr>
            <w:tcW w:w="2197" w:type="dxa"/>
            <w:tcBorders>
              <w:top w:val="single" w:sz="8" w:space="0" w:color="000000"/>
              <w:left w:val="single" w:sz="4" w:space="0" w:color="auto"/>
              <w:bottom w:val="single" w:sz="8" w:space="0" w:color="000000"/>
              <w:right w:val="single" w:sz="4" w:space="0" w:color="auto"/>
            </w:tcBorders>
          </w:tcPr>
          <w:p w:rsidR="00000000" w:rsidRDefault="00000000">
            <w:pPr>
              <w:pStyle w:val="aa"/>
              <w:spacing w:before="120" w:line="264" w:lineRule="auto"/>
              <w:jc w:val="center"/>
              <w:rPr>
                <w:rFonts w:hint="eastAsia"/>
              </w:rPr>
            </w:pPr>
            <w:r>
              <w:rPr>
                <w:rFonts w:hint="eastAsia"/>
              </w:rPr>
              <w:t>女</w:t>
            </w:r>
            <w:r>
              <w:rPr>
                <w:rFonts w:hint="eastAsia"/>
              </w:rPr>
              <w:t xml:space="preserve">  </w:t>
            </w:r>
            <w:r>
              <w:rPr>
                <w:rFonts w:hint="eastAsia"/>
              </w:rPr>
              <w:t>生</w:t>
            </w:r>
          </w:p>
        </w:tc>
      </w:tr>
      <w:tr w:rsidR="00000000">
        <w:trPr>
          <w:trHeight w:val="250"/>
        </w:trPr>
        <w:tc>
          <w:tcPr>
            <w:tcW w:w="1276" w:type="dxa"/>
            <w:tcBorders>
              <w:top w:val="single" w:sz="8" w:space="0" w:color="000000"/>
              <w:left w:val="single" w:sz="4" w:space="0" w:color="auto"/>
              <w:bottom w:val="nil"/>
              <w:right w:val="single" w:sz="4" w:space="0" w:color="auto"/>
            </w:tcBorders>
          </w:tcPr>
          <w:p w:rsidR="00000000" w:rsidRDefault="00000000">
            <w:pPr>
              <w:pStyle w:val="aa"/>
              <w:spacing w:before="120" w:line="264" w:lineRule="auto"/>
              <w:jc w:val="center"/>
            </w:pPr>
            <w:r>
              <w:t>1995/96</w:t>
            </w:r>
          </w:p>
        </w:tc>
        <w:tc>
          <w:tcPr>
            <w:tcW w:w="1228" w:type="dxa"/>
            <w:tcBorders>
              <w:top w:val="single" w:sz="8" w:space="0" w:color="000000"/>
              <w:left w:val="single" w:sz="4" w:space="0" w:color="auto"/>
              <w:bottom w:val="nil"/>
              <w:right w:val="single" w:sz="4" w:space="0" w:color="auto"/>
            </w:tcBorders>
          </w:tcPr>
          <w:p w:rsidR="00000000" w:rsidRDefault="00000000">
            <w:pPr>
              <w:pStyle w:val="aa"/>
              <w:spacing w:before="120" w:line="264" w:lineRule="auto"/>
              <w:jc w:val="center"/>
            </w:pPr>
            <w:r>
              <w:t>34,732</w:t>
            </w:r>
          </w:p>
        </w:tc>
        <w:tc>
          <w:tcPr>
            <w:tcW w:w="1096" w:type="dxa"/>
            <w:tcBorders>
              <w:top w:val="single" w:sz="8" w:space="0" w:color="000000"/>
              <w:left w:val="single" w:sz="4" w:space="0" w:color="auto"/>
              <w:bottom w:val="nil"/>
              <w:right w:val="single" w:sz="4" w:space="0" w:color="auto"/>
            </w:tcBorders>
          </w:tcPr>
          <w:p w:rsidR="00000000" w:rsidRDefault="00000000">
            <w:pPr>
              <w:pStyle w:val="aa"/>
              <w:spacing w:before="120" w:line="264" w:lineRule="auto"/>
              <w:jc w:val="center"/>
            </w:pPr>
            <w:r>
              <w:t>14,009</w:t>
            </w:r>
          </w:p>
        </w:tc>
        <w:tc>
          <w:tcPr>
            <w:tcW w:w="1362" w:type="dxa"/>
            <w:tcBorders>
              <w:top w:val="single" w:sz="8" w:space="0" w:color="000000"/>
              <w:left w:val="single" w:sz="4" w:space="0" w:color="auto"/>
              <w:bottom w:val="nil"/>
              <w:right w:val="single" w:sz="4" w:space="0" w:color="auto"/>
            </w:tcBorders>
          </w:tcPr>
          <w:p w:rsidR="00000000" w:rsidRDefault="00000000">
            <w:pPr>
              <w:pStyle w:val="aa"/>
              <w:spacing w:before="120" w:line="264" w:lineRule="auto"/>
              <w:jc w:val="center"/>
            </w:pPr>
            <w:r>
              <w:t>40.3</w:t>
            </w:r>
          </w:p>
        </w:tc>
        <w:tc>
          <w:tcPr>
            <w:tcW w:w="2197" w:type="dxa"/>
            <w:tcBorders>
              <w:top w:val="single" w:sz="8" w:space="0" w:color="000000"/>
              <w:left w:val="single" w:sz="4" w:space="0" w:color="auto"/>
              <w:bottom w:val="nil"/>
              <w:right w:val="single" w:sz="4" w:space="0" w:color="auto"/>
            </w:tcBorders>
          </w:tcPr>
          <w:p w:rsidR="00000000" w:rsidRDefault="00000000">
            <w:pPr>
              <w:pStyle w:val="aa"/>
              <w:spacing w:before="120" w:line="264" w:lineRule="auto"/>
              <w:jc w:val="center"/>
            </w:pPr>
            <w:r>
              <w:t>3.8</w:t>
            </w:r>
          </w:p>
        </w:tc>
        <w:tc>
          <w:tcPr>
            <w:tcW w:w="2197" w:type="dxa"/>
            <w:tcBorders>
              <w:top w:val="single" w:sz="8" w:space="0" w:color="000000"/>
              <w:left w:val="single" w:sz="4" w:space="0" w:color="auto"/>
              <w:bottom w:val="nil"/>
              <w:right w:val="single" w:sz="4" w:space="0" w:color="auto"/>
            </w:tcBorders>
          </w:tcPr>
          <w:p w:rsidR="00000000" w:rsidRDefault="00000000">
            <w:pPr>
              <w:pStyle w:val="aa"/>
              <w:spacing w:before="120" w:line="264" w:lineRule="auto"/>
              <w:jc w:val="center"/>
            </w:pPr>
            <w:r>
              <w:t>2.8</w:t>
            </w:r>
          </w:p>
        </w:tc>
      </w:tr>
      <w:tr w:rsidR="00000000">
        <w:trPr>
          <w:trHeight w:val="250"/>
        </w:trPr>
        <w:tc>
          <w:tcPr>
            <w:tcW w:w="1276" w:type="dxa"/>
            <w:tcBorders>
              <w:top w:val="nil"/>
              <w:left w:val="single" w:sz="4" w:space="0" w:color="auto"/>
              <w:bottom w:val="nil"/>
              <w:right w:val="single" w:sz="4" w:space="0" w:color="auto"/>
            </w:tcBorders>
          </w:tcPr>
          <w:p w:rsidR="00000000" w:rsidRDefault="00000000">
            <w:pPr>
              <w:pStyle w:val="aa"/>
              <w:spacing w:before="120" w:line="264" w:lineRule="auto"/>
              <w:jc w:val="center"/>
            </w:pPr>
            <w:r>
              <w:t>1996/97</w:t>
            </w:r>
          </w:p>
        </w:tc>
        <w:tc>
          <w:tcPr>
            <w:tcW w:w="1228" w:type="dxa"/>
            <w:tcBorders>
              <w:top w:val="nil"/>
              <w:left w:val="single" w:sz="4" w:space="0" w:color="auto"/>
              <w:bottom w:val="nil"/>
              <w:right w:val="single" w:sz="4" w:space="0" w:color="auto"/>
            </w:tcBorders>
          </w:tcPr>
          <w:p w:rsidR="00000000" w:rsidRDefault="00000000">
            <w:pPr>
              <w:pStyle w:val="aa"/>
              <w:spacing w:before="120" w:line="264" w:lineRule="auto"/>
              <w:jc w:val="center"/>
            </w:pPr>
            <w:r>
              <w:t>35,020</w:t>
            </w:r>
          </w:p>
        </w:tc>
        <w:tc>
          <w:tcPr>
            <w:tcW w:w="1096" w:type="dxa"/>
            <w:tcBorders>
              <w:top w:val="nil"/>
              <w:left w:val="single" w:sz="4" w:space="0" w:color="auto"/>
              <w:bottom w:val="nil"/>
              <w:right w:val="single" w:sz="4" w:space="0" w:color="auto"/>
            </w:tcBorders>
          </w:tcPr>
          <w:p w:rsidR="00000000" w:rsidRDefault="00000000">
            <w:pPr>
              <w:pStyle w:val="aa"/>
              <w:spacing w:before="120" w:line="264" w:lineRule="auto"/>
              <w:jc w:val="center"/>
            </w:pPr>
            <w:r>
              <w:t>14,142</w:t>
            </w:r>
          </w:p>
        </w:tc>
        <w:tc>
          <w:tcPr>
            <w:tcW w:w="1362" w:type="dxa"/>
            <w:tcBorders>
              <w:top w:val="nil"/>
              <w:left w:val="single" w:sz="4" w:space="0" w:color="auto"/>
              <w:bottom w:val="nil"/>
              <w:right w:val="single" w:sz="4" w:space="0" w:color="auto"/>
            </w:tcBorders>
          </w:tcPr>
          <w:p w:rsidR="00000000" w:rsidRDefault="00000000">
            <w:pPr>
              <w:pStyle w:val="aa"/>
              <w:spacing w:before="120" w:line="264" w:lineRule="auto"/>
              <w:jc w:val="center"/>
            </w:pPr>
            <w:r>
              <w:t>40.4</w:t>
            </w:r>
          </w:p>
        </w:tc>
        <w:tc>
          <w:tcPr>
            <w:tcW w:w="2197" w:type="dxa"/>
            <w:tcBorders>
              <w:top w:val="nil"/>
              <w:left w:val="single" w:sz="4" w:space="0" w:color="auto"/>
              <w:bottom w:val="nil"/>
              <w:right w:val="single" w:sz="4" w:space="0" w:color="auto"/>
            </w:tcBorders>
          </w:tcPr>
          <w:p w:rsidR="00000000" w:rsidRDefault="00000000">
            <w:pPr>
              <w:pStyle w:val="aa"/>
              <w:spacing w:before="120" w:line="264" w:lineRule="auto"/>
              <w:jc w:val="center"/>
            </w:pPr>
            <w:r>
              <w:t>3.6</w:t>
            </w:r>
          </w:p>
        </w:tc>
        <w:tc>
          <w:tcPr>
            <w:tcW w:w="2197" w:type="dxa"/>
            <w:tcBorders>
              <w:top w:val="nil"/>
              <w:left w:val="single" w:sz="4" w:space="0" w:color="auto"/>
              <w:bottom w:val="nil"/>
              <w:right w:val="single" w:sz="4" w:space="0" w:color="auto"/>
            </w:tcBorders>
          </w:tcPr>
          <w:p w:rsidR="00000000" w:rsidRDefault="00000000">
            <w:pPr>
              <w:pStyle w:val="aa"/>
              <w:spacing w:before="120" w:line="264" w:lineRule="auto"/>
              <w:jc w:val="center"/>
            </w:pPr>
            <w:r>
              <w:t>2.5</w:t>
            </w:r>
          </w:p>
        </w:tc>
      </w:tr>
      <w:tr w:rsidR="00000000">
        <w:trPr>
          <w:trHeight w:val="250"/>
        </w:trPr>
        <w:tc>
          <w:tcPr>
            <w:tcW w:w="1276" w:type="dxa"/>
            <w:tcBorders>
              <w:top w:val="nil"/>
              <w:left w:val="single" w:sz="4" w:space="0" w:color="auto"/>
              <w:bottom w:val="single" w:sz="4" w:space="0" w:color="auto"/>
              <w:right w:val="single" w:sz="4" w:space="0" w:color="auto"/>
            </w:tcBorders>
          </w:tcPr>
          <w:p w:rsidR="00000000" w:rsidRDefault="00000000">
            <w:pPr>
              <w:pStyle w:val="aa"/>
              <w:spacing w:before="120" w:after="120" w:line="264" w:lineRule="auto"/>
              <w:jc w:val="center"/>
            </w:pPr>
            <w:r>
              <w:t>1998/99</w:t>
            </w:r>
          </w:p>
        </w:tc>
        <w:tc>
          <w:tcPr>
            <w:tcW w:w="1228" w:type="dxa"/>
            <w:tcBorders>
              <w:top w:val="nil"/>
              <w:left w:val="single" w:sz="4" w:space="0" w:color="auto"/>
              <w:bottom w:val="single" w:sz="4" w:space="0" w:color="auto"/>
              <w:right w:val="single" w:sz="4" w:space="0" w:color="auto"/>
            </w:tcBorders>
          </w:tcPr>
          <w:p w:rsidR="00000000" w:rsidRDefault="00000000">
            <w:pPr>
              <w:pStyle w:val="aa"/>
              <w:spacing w:before="120" w:after="120" w:line="264" w:lineRule="auto"/>
              <w:jc w:val="center"/>
            </w:pPr>
            <w:r>
              <w:t>32,721</w:t>
            </w:r>
          </w:p>
        </w:tc>
        <w:tc>
          <w:tcPr>
            <w:tcW w:w="1096" w:type="dxa"/>
            <w:tcBorders>
              <w:top w:val="nil"/>
              <w:left w:val="single" w:sz="4" w:space="0" w:color="auto"/>
              <w:bottom w:val="single" w:sz="4" w:space="0" w:color="auto"/>
              <w:right w:val="single" w:sz="4" w:space="0" w:color="auto"/>
            </w:tcBorders>
          </w:tcPr>
          <w:p w:rsidR="00000000" w:rsidRDefault="00000000">
            <w:pPr>
              <w:pStyle w:val="aa"/>
              <w:spacing w:before="120" w:after="120" w:line="264" w:lineRule="auto"/>
              <w:jc w:val="center"/>
            </w:pPr>
            <w:r>
              <w:t>13,205</w:t>
            </w:r>
          </w:p>
        </w:tc>
        <w:tc>
          <w:tcPr>
            <w:tcW w:w="1362" w:type="dxa"/>
            <w:tcBorders>
              <w:top w:val="nil"/>
              <w:left w:val="single" w:sz="4" w:space="0" w:color="auto"/>
              <w:bottom w:val="single" w:sz="4" w:space="0" w:color="auto"/>
              <w:right w:val="single" w:sz="4" w:space="0" w:color="auto"/>
            </w:tcBorders>
          </w:tcPr>
          <w:p w:rsidR="00000000" w:rsidRDefault="00000000">
            <w:pPr>
              <w:pStyle w:val="aa"/>
              <w:spacing w:before="120" w:after="120" w:line="264" w:lineRule="auto"/>
              <w:jc w:val="center"/>
            </w:pPr>
            <w:r>
              <w:t>40.4</w:t>
            </w:r>
          </w:p>
        </w:tc>
        <w:tc>
          <w:tcPr>
            <w:tcW w:w="2197" w:type="dxa"/>
            <w:tcBorders>
              <w:top w:val="nil"/>
              <w:left w:val="single" w:sz="4" w:space="0" w:color="auto"/>
              <w:bottom w:val="single" w:sz="4" w:space="0" w:color="auto"/>
              <w:right w:val="single" w:sz="4" w:space="0" w:color="auto"/>
            </w:tcBorders>
          </w:tcPr>
          <w:p w:rsidR="00000000" w:rsidRDefault="00000000">
            <w:pPr>
              <w:pStyle w:val="aa"/>
              <w:spacing w:before="120" w:after="120" w:line="264" w:lineRule="auto"/>
              <w:jc w:val="center"/>
            </w:pPr>
            <w:r>
              <w:t>3.3</w:t>
            </w:r>
          </w:p>
        </w:tc>
        <w:tc>
          <w:tcPr>
            <w:tcW w:w="2197" w:type="dxa"/>
            <w:tcBorders>
              <w:top w:val="nil"/>
              <w:left w:val="single" w:sz="4" w:space="0" w:color="auto"/>
              <w:bottom w:val="single" w:sz="4" w:space="0" w:color="auto"/>
              <w:right w:val="single" w:sz="4" w:space="0" w:color="auto"/>
            </w:tcBorders>
          </w:tcPr>
          <w:p w:rsidR="00000000" w:rsidRDefault="00000000">
            <w:pPr>
              <w:pStyle w:val="aa"/>
              <w:spacing w:before="120" w:after="120" w:line="264" w:lineRule="auto"/>
              <w:jc w:val="center"/>
            </w:pPr>
            <w:r>
              <w:t>2.4</w:t>
            </w:r>
          </w:p>
        </w:tc>
      </w:tr>
    </w:tbl>
    <w:p w:rsidR="00000000" w:rsidRDefault="00000000">
      <w:pPr>
        <w:spacing w:before="320"/>
        <w:rPr>
          <w:rFonts w:hint="eastAsia"/>
        </w:rPr>
      </w:pPr>
      <w:r>
        <w:rPr>
          <w:rFonts w:hint="eastAsia"/>
        </w:rPr>
        <w:tab/>
        <w:t xml:space="preserve">609.  </w:t>
      </w:r>
      <w:r>
        <w:rPr>
          <w:rFonts w:hint="eastAsia"/>
        </w:rPr>
        <w:t>目前，智商超过某一智商组的具有特殊教育需要的其他学生也安排在特殊学校上学。例如，其中包括同时患有多种缺陷的学生、被医生诊断为患有孤独症或具有孤独证特点的学生、表现出较严重形式的轻微精神失调的学生、严重健康残疾</w:t>
      </w:r>
      <w:r>
        <w:rPr>
          <w:rFonts w:hint="eastAsia"/>
        </w:rPr>
        <w:t>(</w:t>
      </w:r>
      <w:r>
        <w:rPr>
          <w:rFonts w:hint="eastAsia"/>
        </w:rPr>
        <w:t>例如癫痫、糖尿病、过敏等</w:t>
      </w:r>
      <w:r>
        <w:rPr>
          <w:rFonts w:hint="eastAsia"/>
        </w:rPr>
        <w:t>)</w:t>
      </w:r>
      <w:r>
        <w:rPr>
          <w:rFonts w:hint="eastAsia"/>
        </w:rPr>
        <w:t>的学生、患有学习障碍和行为混乱的学生、来自不利的社会文化环境的学生。情况往往是，上特殊学校的学生主要是在通常时间范围内无法看完小学材料的学生。</w:t>
      </w:r>
    </w:p>
    <w:p w:rsidR="00000000" w:rsidRDefault="00000000">
      <w:pPr>
        <w:rPr>
          <w:rFonts w:hint="eastAsia"/>
        </w:rPr>
      </w:pPr>
      <w:r>
        <w:rPr>
          <w:rFonts w:hint="eastAsia"/>
        </w:rPr>
        <w:tab/>
        <w:t xml:space="preserve">610.  </w:t>
      </w:r>
      <w:r>
        <w:rPr>
          <w:rFonts w:hint="eastAsia"/>
        </w:rPr>
        <w:t>显然反</w:t>
      </w:r>
      <w:r>
        <w:rPr>
          <w:rFonts w:hint="eastAsia"/>
          <w:lang w:val="fr-CH"/>
        </w:rPr>
        <w:t>映</w:t>
      </w:r>
      <w:r>
        <w:rPr>
          <w:rFonts w:hint="eastAsia"/>
        </w:rPr>
        <w:t>上述情况的事实是，很多罗姆儿童上特殊学校，而且这些儿童在特殊学校中的比例很高，</w:t>
      </w:r>
      <w:r>
        <w:rPr>
          <w:rStyle w:val="EndnoteReference"/>
        </w:rPr>
        <w:endnoteReference w:id="361"/>
      </w:r>
      <w:r>
        <w:rPr>
          <w:rFonts w:hint="eastAsia"/>
        </w:rPr>
        <w:t xml:space="preserve">  </w:t>
      </w:r>
      <w:r>
        <w:rPr>
          <w:rFonts w:hint="eastAsia"/>
        </w:rPr>
        <w:t>因为正常小学无法使其教学方法适合于来自不同社会文化背景或遇到语言障碍的儿童的具体需要。罗姆人儿童根据一项标准程序，即经过心理检查并得到家长同意以后转到特殊学校。但问题不仅在于采用的测试和测试结果的有效性</w:t>
      </w:r>
      <w:r>
        <w:rPr>
          <w:rFonts w:hint="eastAsia"/>
        </w:rPr>
        <w:t xml:space="preserve"> </w:t>
      </w:r>
      <w:r>
        <w:rPr>
          <w:rStyle w:val="EndnoteReference"/>
        </w:rPr>
        <w:endnoteReference w:id="362"/>
      </w:r>
      <w:r>
        <w:rPr>
          <w:rFonts w:hint="eastAsia"/>
        </w:rPr>
        <w:t xml:space="preserve"> </w:t>
      </w:r>
      <w:r>
        <w:rPr>
          <w:rFonts w:hint="eastAsia"/>
        </w:rPr>
        <w:t>，问题还在于，罗姆人家长并不认为上特殊学校是一种不利的条件，因为他们本人也往往从这些学校毕业，而且他们没有被充分告知他们同意上特殊学校会给他们的子女在上完特殊学校以后的教育和专业安排的今后机会带来何种后果。</w:t>
      </w:r>
    </w:p>
    <w:p w:rsidR="00000000" w:rsidRDefault="00000000">
      <w:pPr>
        <w:rPr>
          <w:rFonts w:hint="eastAsia"/>
        </w:rPr>
      </w:pPr>
      <w:r>
        <w:rPr>
          <w:rFonts w:hint="eastAsia"/>
        </w:rPr>
        <w:tab/>
        <w:t>611.  1997</w:t>
      </w:r>
      <w:r>
        <w:rPr>
          <w:rFonts w:hint="eastAsia"/>
        </w:rPr>
        <w:t>年</w:t>
      </w:r>
      <w:r>
        <w:rPr>
          <w:rFonts w:hint="eastAsia"/>
        </w:rPr>
        <w:t>10</w:t>
      </w:r>
      <w:r>
        <w:rPr>
          <w:rFonts w:hint="eastAsia"/>
        </w:rPr>
        <w:t>月</w:t>
      </w:r>
      <w:r>
        <w:rPr>
          <w:rFonts w:hint="eastAsia"/>
        </w:rPr>
        <w:t>10</w:t>
      </w:r>
      <w:r>
        <w:rPr>
          <w:rFonts w:hint="eastAsia"/>
        </w:rPr>
        <w:t>日，儿童权利委员会对捷克共和国未能采取充分措施预防和制止对包括罗姆儿童在内的少数群体的儿童的所有形式的歧视表示不满，因此，建议捷克共和国进行更大的努力，消除对罗姆居民的歧视做法。消除种族歧视委员会在审查了捷克共和国关于《消除一切形式种族歧视国际公约》的执行情况的初次和第二次定期报告以后，也于</w:t>
      </w:r>
      <w:r>
        <w:rPr>
          <w:rFonts w:hint="eastAsia"/>
        </w:rPr>
        <w:t>1998</w:t>
      </w:r>
      <w:r>
        <w:rPr>
          <w:rFonts w:hint="eastAsia"/>
        </w:rPr>
        <w:t>年</w:t>
      </w:r>
      <w:r>
        <w:rPr>
          <w:rFonts w:hint="eastAsia"/>
        </w:rPr>
        <w:t>3</w:t>
      </w:r>
      <w:r>
        <w:rPr>
          <w:rFonts w:hint="eastAsia"/>
        </w:rPr>
        <w:t>月</w:t>
      </w:r>
      <w:r>
        <w:rPr>
          <w:rFonts w:hint="eastAsia"/>
        </w:rPr>
        <w:t>19</w:t>
      </w:r>
      <w:r>
        <w:rPr>
          <w:rFonts w:hint="eastAsia"/>
        </w:rPr>
        <w:t>日对捷克特殊学校问题发表了意见。消除种族歧视委员会对罗姆人在教育方面被边际化表示不满。消除种族歧视委员会认为，实际上，许多罗姆人儿童被安排在特殊学校上学，这导致了事实上的种族分割，而且罗姆人接受中等和高等教育的人数严重不足，这使人们有理由怀疑《儿童权利公约》第</w:t>
      </w:r>
      <w:r>
        <w:rPr>
          <w:rFonts w:hint="eastAsia"/>
        </w:rPr>
        <w:t>5</w:t>
      </w:r>
      <w:r>
        <w:rPr>
          <w:rFonts w:hint="eastAsia"/>
        </w:rPr>
        <w:t>条是否得到了充分的执行。</w:t>
      </w:r>
    </w:p>
    <w:p w:rsidR="00000000" w:rsidRDefault="00000000">
      <w:pPr>
        <w:rPr>
          <w:rFonts w:hint="eastAsia"/>
        </w:rPr>
      </w:pPr>
      <w:r>
        <w:rPr>
          <w:rFonts w:hint="eastAsia"/>
        </w:rPr>
        <w:tab/>
        <w:t xml:space="preserve">612.  </w:t>
      </w:r>
      <w:r>
        <w:rPr>
          <w:rFonts w:hint="eastAsia"/>
        </w:rPr>
        <w:t>布达佩斯欧洲罗姆人权利中心也指出，实际情况和捷克宪法令和《欧洲保护人权和基本自由公约》保障的权利两者之间不相吻合。它说服</w:t>
      </w:r>
      <w:r>
        <w:rPr>
          <w:rFonts w:hint="eastAsia"/>
        </w:rPr>
        <w:t>12</w:t>
      </w:r>
      <w:r>
        <w:rPr>
          <w:rFonts w:hint="eastAsia"/>
        </w:rPr>
        <w:t>名来自俄斯特拉发的罗姆儿童的家长就将他们的子女安排在特殊学校一事向捷克共和国宪法法院提起起诉</w:t>
      </w:r>
      <w:r>
        <w:rPr>
          <w:rFonts w:hint="eastAsia"/>
        </w:rPr>
        <w:t>(</w:t>
      </w:r>
      <w:r>
        <w:rPr>
          <w:rFonts w:hint="eastAsia"/>
        </w:rPr>
        <w:t>于</w:t>
      </w:r>
      <w:r>
        <w:rPr>
          <w:rFonts w:hint="eastAsia"/>
        </w:rPr>
        <w:t>1999</w:t>
      </w:r>
      <w:r>
        <w:rPr>
          <w:rFonts w:hint="eastAsia"/>
        </w:rPr>
        <w:t>年</w:t>
      </w:r>
      <w:r>
        <w:rPr>
          <w:rFonts w:hint="eastAsia"/>
        </w:rPr>
        <w:t>6</w:t>
      </w:r>
      <w:r>
        <w:rPr>
          <w:rFonts w:hint="eastAsia"/>
        </w:rPr>
        <w:t>月</w:t>
      </w:r>
      <w:r>
        <w:rPr>
          <w:rFonts w:hint="eastAsia"/>
        </w:rPr>
        <w:t>15</w:t>
      </w:r>
      <w:r>
        <w:rPr>
          <w:rFonts w:hint="eastAsia"/>
        </w:rPr>
        <w:t>日提起</w:t>
      </w:r>
      <w:r>
        <w:rPr>
          <w:rFonts w:hint="eastAsia"/>
        </w:rPr>
        <w:t>)</w:t>
      </w:r>
      <w:r>
        <w:rPr>
          <w:rFonts w:hint="eastAsia"/>
        </w:rPr>
        <w:t>。起诉还基于这样的事实，即家长没有被充分告诫上特殊学校而不是上小学对升学和在劳力市场上就业的后果。</w:t>
      </w:r>
      <w:r>
        <w:rPr>
          <w:rFonts w:hint="eastAsia"/>
        </w:rPr>
        <w:t>1999</w:t>
      </w:r>
      <w:r>
        <w:rPr>
          <w:rFonts w:hint="eastAsia"/>
        </w:rPr>
        <w:t>年</w:t>
      </w:r>
      <w:r>
        <w:rPr>
          <w:rFonts w:hint="eastAsia"/>
        </w:rPr>
        <w:t>11</w:t>
      </w:r>
      <w:r>
        <w:rPr>
          <w:rFonts w:hint="eastAsia"/>
        </w:rPr>
        <w:t>月</w:t>
      </w:r>
      <w:r>
        <w:rPr>
          <w:rFonts w:hint="eastAsia"/>
        </w:rPr>
        <w:t>8</w:t>
      </w:r>
      <w:r>
        <w:rPr>
          <w:rFonts w:hint="eastAsia"/>
        </w:rPr>
        <w:t>日，宪法法院驳回了上诉，表示它对上诉的一部分内容不具有管辖权；它认定，起诉中关于特殊学校校长的具体决定的内容显然没有得到证实。宪法法院建议，它不具有管辖权的上诉中的那些部分应送交捷克共和国有关行政机构处理。</w:t>
      </w:r>
    </w:p>
    <w:p w:rsidR="00000000" w:rsidRDefault="00000000">
      <w:pPr>
        <w:rPr>
          <w:rFonts w:hint="eastAsia"/>
        </w:rPr>
      </w:pPr>
      <w:r>
        <w:rPr>
          <w:rFonts w:hint="eastAsia"/>
        </w:rPr>
        <w:tab/>
        <w:t xml:space="preserve">613.  </w:t>
      </w:r>
      <w:r>
        <w:rPr>
          <w:rFonts w:hint="eastAsia"/>
        </w:rPr>
        <w:t>有鉴于此，捷克共和国议会于</w:t>
      </w:r>
      <w:r>
        <w:rPr>
          <w:rFonts w:hint="eastAsia"/>
        </w:rPr>
        <w:t>1999</w:t>
      </w:r>
      <w:r>
        <w:rPr>
          <w:rFonts w:hint="eastAsia"/>
        </w:rPr>
        <w:t>年底通过了《学校法》的一项修正案</w:t>
      </w:r>
      <w:r>
        <w:rPr>
          <w:rFonts w:hint="eastAsia"/>
        </w:rPr>
        <w:t xml:space="preserve"> </w:t>
      </w:r>
      <w:r>
        <w:rPr>
          <w:rStyle w:val="EndnoteReference"/>
        </w:rPr>
        <w:endnoteReference w:id="363"/>
      </w:r>
      <w:r>
        <w:rPr>
          <w:rFonts w:hint="eastAsia"/>
        </w:rPr>
        <w:t xml:space="preserve">  </w:t>
      </w:r>
      <w:r>
        <w:rPr>
          <w:rFonts w:hint="eastAsia"/>
        </w:rPr>
        <w:t>于</w:t>
      </w:r>
      <w:r>
        <w:rPr>
          <w:rFonts w:hint="eastAsia"/>
        </w:rPr>
        <w:t>2000</w:t>
      </w:r>
      <w:r>
        <w:rPr>
          <w:rFonts w:hint="eastAsia"/>
        </w:rPr>
        <w:t>年</w:t>
      </w:r>
      <w:r>
        <w:rPr>
          <w:rFonts w:hint="eastAsia"/>
        </w:rPr>
        <w:t>2</w:t>
      </w:r>
      <w:r>
        <w:rPr>
          <w:rFonts w:hint="eastAsia"/>
        </w:rPr>
        <w:t>月</w:t>
      </w:r>
      <w:r>
        <w:rPr>
          <w:rFonts w:hint="eastAsia"/>
        </w:rPr>
        <w:t>18</w:t>
      </w:r>
      <w:r>
        <w:rPr>
          <w:rFonts w:hint="eastAsia"/>
        </w:rPr>
        <w:t>日生效。该修正案扩大了在学校系统内转学的能力，并允许所有已完成义务教育者自由选择继续学习和自由选择职业。这项修正案通过以后，中等学校将不再仅仅接收已上完初等学校的报考人，而是接收所有满足选定行业或中等学校录取条件的报考人。因此特殊学校的毕业生</w:t>
      </w:r>
      <w:r>
        <w:rPr>
          <w:rFonts w:hint="eastAsia"/>
        </w:rPr>
        <w:t xml:space="preserve"> </w:t>
      </w:r>
      <w:r>
        <w:rPr>
          <w:rStyle w:val="EndnoteReference"/>
        </w:rPr>
        <w:endnoteReference w:id="364"/>
      </w:r>
      <w:r>
        <w:rPr>
          <w:rFonts w:hint="eastAsia"/>
        </w:rPr>
        <w:t xml:space="preserve">  </w:t>
      </w:r>
      <w:r>
        <w:rPr>
          <w:rFonts w:hint="eastAsia"/>
        </w:rPr>
        <w:t>也将能够被中等学校录取。在这一方面，教育、青年和体育部向所有学校管理局通报了接收中等学校学生和已完成义务教育但尚未完成初等教育的其他报考人的手续。</w:t>
      </w:r>
    </w:p>
    <w:p w:rsidR="00000000" w:rsidRDefault="00000000">
      <w:pPr>
        <w:rPr>
          <w:rFonts w:hint="eastAsia"/>
        </w:rPr>
      </w:pPr>
      <w:r>
        <w:rPr>
          <w:rFonts w:hint="eastAsia"/>
          <w:spacing w:val="12"/>
        </w:rPr>
        <w:tab/>
        <w:t xml:space="preserve">614.  </w:t>
      </w:r>
      <w:r>
        <w:rPr>
          <w:rFonts w:hint="eastAsia"/>
          <w:spacing w:val="8"/>
        </w:rPr>
        <w:t>为了防止来自不利的社会文化背景的儿童</w:t>
      </w:r>
      <w:r>
        <w:rPr>
          <w:rFonts w:hint="eastAsia"/>
          <w:spacing w:val="8"/>
        </w:rPr>
        <w:t>(</w:t>
      </w:r>
      <w:r>
        <w:rPr>
          <w:rFonts w:hint="eastAsia"/>
          <w:spacing w:val="8"/>
        </w:rPr>
        <w:t>特别是罗姆人儿童</w:t>
      </w:r>
      <w:r>
        <w:rPr>
          <w:rFonts w:hint="eastAsia"/>
          <w:spacing w:val="8"/>
        </w:rPr>
        <w:t>)</w:t>
      </w:r>
      <w:r>
        <w:rPr>
          <w:rFonts w:hint="eastAsia"/>
          <w:spacing w:val="8"/>
        </w:rPr>
        <w:t>、母语不同的儿童和其他儿童，例如义务教育被推迟的儿童在初等学校里留级，</w:t>
      </w:r>
      <w:r>
        <w:rPr>
          <w:rFonts w:hint="eastAsia"/>
          <w:spacing w:val="8"/>
        </w:rPr>
        <w:t>1992</w:t>
      </w:r>
      <w:r>
        <w:rPr>
          <w:rFonts w:hint="eastAsia"/>
          <w:spacing w:val="8"/>
        </w:rPr>
        <w:t>年，根据《学校法》第</w:t>
      </w:r>
      <w:r>
        <w:rPr>
          <w:rFonts w:hint="eastAsia"/>
          <w:spacing w:val="8"/>
        </w:rPr>
        <w:t xml:space="preserve">58 </w:t>
      </w:r>
      <w:r>
        <w:rPr>
          <w:spacing w:val="8"/>
        </w:rPr>
        <w:t>(a)</w:t>
      </w:r>
      <w:r>
        <w:rPr>
          <w:rFonts w:hint="eastAsia"/>
          <w:spacing w:val="8"/>
        </w:rPr>
        <w:t>节，在初等学校和特殊学校里试验性地开办了准备班</w:t>
      </w:r>
      <w:r>
        <w:rPr>
          <w:rFonts w:hint="eastAsia"/>
          <w:spacing w:val="8"/>
        </w:rPr>
        <w:t xml:space="preserve"> </w:t>
      </w:r>
      <w:r>
        <w:rPr>
          <w:rStyle w:val="EndnoteReference"/>
          <w:spacing w:val="8"/>
        </w:rPr>
        <w:endnoteReference w:id="365"/>
      </w:r>
      <w:r>
        <w:rPr>
          <w:rFonts w:hint="eastAsia"/>
          <w:spacing w:val="8"/>
        </w:rPr>
        <w:t xml:space="preserve"> </w:t>
      </w:r>
      <w:r>
        <w:rPr>
          <w:rFonts w:hint="eastAsia"/>
          <w:spacing w:val="8"/>
        </w:rPr>
        <w:t>，并在特殊情况下还在幼儿园里开办了这种班。</w:t>
      </w:r>
      <w:r>
        <w:rPr>
          <w:rStyle w:val="EndnoteReference"/>
          <w:spacing w:val="8"/>
        </w:rPr>
        <w:endnoteReference w:id="366"/>
      </w:r>
      <w:r>
        <w:rPr>
          <w:rFonts w:hint="eastAsia"/>
          <w:spacing w:val="8"/>
        </w:rPr>
        <w:t xml:space="preserve">  </w:t>
      </w:r>
      <w:r>
        <w:rPr>
          <w:rFonts w:hint="eastAsia"/>
          <w:spacing w:val="8"/>
        </w:rPr>
        <w:t>开办准备班的目的是系统地使儿童准备毫无问题地融入初等学校一年级的教育过程。准备班的教学目的主是克服语言障碍，例如罗姆学生的语言障碍，这是针对儿童的个人需要而有的放矢的。有些儿童在家里没有为上一年级作好充分准备，因而在初等教育中不及格，因此往往不必要地被安排上特殊学校，上准备班就是为了消除这些儿童的障碍。</w:t>
      </w:r>
    </w:p>
    <w:p w:rsidR="00000000" w:rsidRDefault="00000000">
      <w:pPr>
        <w:widowControl w:val="0"/>
        <w:rPr>
          <w:rFonts w:hint="eastAsia"/>
        </w:rPr>
      </w:pPr>
      <w:r>
        <w:rPr>
          <w:rFonts w:hint="eastAsia"/>
        </w:rPr>
        <w:tab/>
        <w:t xml:space="preserve">615.  </w:t>
      </w:r>
      <w:r>
        <w:rPr>
          <w:rFonts w:hint="eastAsia"/>
        </w:rPr>
        <w:t>准备班特别是在有大量罗姆人口居住的地方开办。</w:t>
      </w:r>
      <w:r>
        <w:rPr>
          <w:rStyle w:val="EndnoteReference"/>
        </w:rPr>
        <w:endnoteReference w:id="367"/>
      </w:r>
      <w:r>
        <w:rPr>
          <w:rFonts w:hint="eastAsia"/>
        </w:rPr>
        <w:t xml:space="preserve">  </w:t>
      </w:r>
      <w:r>
        <w:rPr>
          <w:rFonts w:hint="eastAsia"/>
        </w:rPr>
        <w:t>比例很高的准备班毕业生在开始上小学时很顺利。</w:t>
      </w:r>
      <w:r>
        <w:rPr>
          <w:rFonts w:hint="eastAsia"/>
        </w:rPr>
        <w:t>1998/1999</w:t>
      </w:r>
      <w:r>
        <w:rPr>
          <w:rFonts w:hint="eastAsia"/>
        </w:rPr>
        <w:t>学年里，捷克共和国有</w:t>
      </w:r>
      <w:r>
        <w:rPr>
          <w:rFonts w:hint="eastAsia"/>
        </w:rPr>
        <w:t>100</w:t>
      </w:r>
      <w:r>
        <w:rPr>
          <w:rFonts w:hint="eastAsia"/>
        </w:rPr>
        <w:t>个准备班，学生有</w:t>
      </w:r>
      <w:r>
        <w:rPr>
          <w:rFonts w:hint="eastAsia"/>
        </w:rPr>
        <w:t>1,237</w:t>
      </w:r>
      <w:r>
        <w:rPr>
          <w:rFonts w:hint="eastAsia"/>
        </w:rPr>
        <w:t>名，其中初等学校里有</w:t>
      </w:r>
      <w:r>
        <w:rPr>
          <w:rFonts w:hint="eastAsia"/>
        </w:rPr>
        <w:t>50</w:t>
      </w:r>
      <w:r>
        <w:rPr>
          <w:rFonts w:hint="eastAsia"/>
        </w:rPr>
        <w:t>个班级，初等特殊学校里有</w:t>
      </w:r>
      <w:r>
        <w:rPr>
          <w:rFonts w:hint="eastAsia"/>
        </w:rPr>
        <w:t>4</w:t>
      </w:r>
      <w:r>
        <w:rPr>
          <w:rFonts w:hint="eastAsia"/>
        </w:rPr>
        <w:t>个班级，特殊学校里有</w:t>
      </w:r>
      <w:r>
        <w:rPr>
          <w:rFonts w:hint="eastAsia"/>
        </w:rPr>
        <w:t>37</w:t>
      </w:r>
      <w:r>
        <w:rPr>
          <w:rFonts w:hint="eastAsia"/>
        </w:rPr>
        <w:t>个班级，幼儿园里有</w:t>
      </w:r>
      <w:r>
        <w:rPr>
          <w:rFonts w:hint="eastAsia"/>
        </w:rPr>
        <w:t>9</w:t>
      </w:r>
      <w:r>
        <w:rPr>
          <w:rFonts w:hint="eastAsia"/>
        </w:rPr>
        <w:t>个班级。</w:t>
      </w:r>
    </w:p>
    <w:p w:rsidR="00000000" w:rsidRDefault="00000000">
      <w:pPr>
        <w:widowControl w:val="0"/>
        <w:rPr>
          <w:rFonts w:hint="eastAsia"/>
        </w:rPr>
      </w:pPr>
      <w:r>
        <w:rPr>
          <w:rFonts w:hint="eastAsia"/>
        </w:rPr>
        <w:tab/>
        <w:t xml:space="preserve">616.  </w:t>
      </w:r>
      <w:r>
        <w:rPr>
          <w:rFonts w:hint="eastAsia"/>
        </w:rPr>
        <w:t>为了使准备班和继续升学的儿童比较容易克服交流、适应和其他障碍，从</w:t>
      </w:r>
      <w:r>
        <w:rPr>
          <w:rFonts w:hint="eastAsia"/>
        </w:rPr>
        <w:t>1997</w:t>
      </w:r>
      <w:r>
        <w:rPr>
          <w:rFonts w:hint="eastAsia"/>
        </w:rPr>
        <w:t>年开始</w:t>
      </w:r>
      <w:r>
        <w:rPr>
          <w:rFonts w:hint="eastAsia"/>
        </w:rPr>
        <w:t xml:space="preserve"> </w:t>
      </w:r>
      <w:r>
        <w:rPr>
          <w:rStyle w:val="EndnoteReference"/>
        </w:rPr>
        <w:endnoteReference w:id="368"/>
      </w:r>
      <w:r>
        <w:rPr>
          <w:rFonts w:hint="eastAsia"/>
        </w:rPr>
        <w:t xml:space="preserve">  </w:t>
      </w:r>
      <w:r>
        <w:rPr>
          <w:rFonts w:hint="eastAsia"/>
        </w:rPr>
        <w:t>可以在每所学校里设立一个罗姆人教学法助理职位。该助理的工作旨在：</w:t>
      </w:r>
    </w:p>
    <w:p w:rsidR="00000000" w:rsidRDefault="00000000">
      <w:pPr>
        <w:pStyle w:val="a6"/>
        <w:tabs>
          <w:tab w:val="num" w:pos="1550"/>
        </w:tabs>
        <w:spacing w:line="288" w:lineRule="auto"/>
        <w:ind w:left="1550"/>
        <w:rPr>
          <w:rFonts w:hint="eastAsia"/>
        </w:rPr>
      </w:pPr>
      <w:r>
        <w:rPr>
          <w:rFonts w:hint="eastAsia"/>
        </w:rPr>
        <w:t>协助儿童接受社会教育，与罗姆儿童交流，进行个性化教学并克服社会和学习方面的教育问题；</w:t>
      </w:r>
    </w:p>
    <w:p w:rsidR="00000000" w:rsidRDefault="00000000">
      <w:pPr>
        <w:pStyle w:val="a6"/>
        <w:tabs>
          <w:tab w:val="num" w:pos="1550"/>
        </w:tabs>
        <w:spacing w:line="288" w:lineRule="auto"/>
        <w:ind w:left="1550"/>
        <w:rPr>
          <w:rFonts w:hint="eastAsia"/>
        </w:rPr>
      </w:pPr>
      <w:r>
        <w:rPr>
          <w:rFonts w:hint="eastAsia"/>
        </w:rPr>
        <w:t>协助展开课外和校外活动；</w:t>
      </w:r>
    </w:p>
    <w:p w:rsidR="00000000" w:rsidRDefault="00000000">
      <w:pPr>
        <w:pStyle w:val="a6"/>
        <w:tabs>
          <w:tab w:val="num" w:pos="1550"/>
        </w:tabs>
        <w:spacing w:line="288" w:lineRule="auto"/>
        <w:ind w:left="1550"/>
        <w:rPr>
          <w:rFonts w:hint="eastAsia"/>
        </w:rPr>
      </w:pPr>
      <w:r>
        <w:rPr>
          <w:rFonts w:hint="eastAsia"/>
        </w:rPr>
        <w:t>与家长合作；</w:t>
      </w:r>
    </w:p>
    <w:p w:rsidR="00000000" w:rsidRDefault="00000000">
      <w:pPr>
        <w:pStyle w:val="a6"/>
        <w:tabs>
          <w:tab w:val="num" w:pos="1550"/>
        </w:tabs>
        <w:spacing w:line="288" w:lineRule="auto"/>
        <w:ind w:left="1550"/>
        <w:rPr>
          <w:rFonts w:hint="eastAsia"/>
        </w:rPr>
      </w:pPr>
      <w:r>
        <w:rPr>
          <w:rFonts w:hint="eastAsia"/>
        </w:rPr>
        <w:t>与当地罗姆社区合作。</w:t>
      </w:r>
    </w:p>
    <w:p w:rsidR="00000000" w:rsidRDefault="00000000">
      <w:pPr>
        <w:rPr>
          <w:rFonts w:hint="eastAsia"/>
        </w:rPr>
      </w:pPr>
      <w:r>
        <w:rPr>
          <w:rFonts w:hint="eastAsia"/>
        </w:rPr>
        <w:tab/>
        <w:t xml:space="preserve">617.  </w:t>
      </w:r>
      <w:r>
        <w:rPr>
          <w:rFonts w:hint="eastAsia"/>
        </w:rPr>
        <w:t>助理必须满</w:t>
      </w:r>
      <w:r>
        <w:rPr>
          <w:rFonts w:hint="eastAsia"/>
        </w:rPr>
        <w:t>18</w:t>
      </w:r>
      <w:r>
        <w:rPr>
          <w:rFonts w:hint="eastAsia"/>
        </w:rPr>
        <w:t>岁，不得有刑事犯罪记录，必须上完为期</w:t>
      </w:r>
      <w:r>
        <w:rPr>
          <w:rFonts w:hint="eastAsia"/>
        </w:rPr>
        <w:t>10</w:t>
      </w:r>
      <w:r>
        <w:rPr>
          <w:rFonts w:hint="eastAsia"/>
        </w:rPr>
        <w:t>天的基本教学技能培训班。关于设立助理职位的申请由校长提出；学校管理局批准申请，并建议教育部批准，并同时申请拨款。关于准备班测试的法规</w:t>
      </w:r>
      <w:r>
        <w:rPr>
          <w:rFonts w:hint="eastAsia"/>
        </w:rPr>
        <w:t>(</w:t>
      </w:r>
      <w:r>
        <w:rPr>
          <w:rFonts w:hint="eastAsia"/>
        </w:rPr>
        <w:t>第</w:t>
      </w:r>
      <w:r>
        <w:rPr>
          <w:rFonts w:hint="eastAsia"/>
        </w:rPr>
        <w:t>14169/98-22</w:t>
      </w:r>
      <w:r>
        <w:rPr>
          <w:rFonts w:hint="eastAsia"/>
        </w:rPr>
        <w:t>号</w:t>
      </w:r>
      <w:r>
        <w:rPr>
          <w:rFonts w:hint="eastAsia"/>
        </w:rPr>
        <w:t>)</w:t>
      </w:r>
      <w:r>
        <w:rPr>
          <w:rFonts w:hint="eastAsia"/>
        </w:rPr>
        <w:t>废除了关于罗姆人教学法助理须完成中等教育的要求。截止</w:t>
      </w:r>
      <w:r>
        <w:rPr>
          <w:rFonts w:hint="eastAsia"/>
        </w:rPr>
        <w:t>1999</w:t>
      </w:r>
      <w:r>
        <w:rPr>
          <w:rFonts w:hint="eastAsia"/>
        </w:rPr>
        <w:t>年</w:t>
      </w:r>
      <w:r>
        <w:rPr>
          <w:rFonts w:hint="eastAsia"/>
        </w:rPr>
        <w:t>9</w:t>
      </w:r>
      <w:r>
        <w:rPr>
          <w:rFonts w:hint="eastAsia"/>
        </w:rPr>
        <w:t>月</w:t>
      </w:r>
      <w:r>
        <w:rPr>
          <w:rFonts w:hint="eastAsia"/>
        </w:rPr>
        <w:t>1</w:t>
      </w:r>
      <w:r>
        <w:rPr>
          <w:rFonts w:hint="eastAsia"/>
        </w:rPr>
        <w:t>日，各学校里有</w:t>
      </w:r>
      <w:r>
        <w:rPr>
          <w:rFonts w:hint="eastAsia"/>
        </w:rPr>
        <w:t>146</w:t>
      </w:r>
      <w:r>
        <w:rPr>
          <w:rFonts w:hint="eastAsia"/>
        </w:rPr>
        <w:t>名罗姆人助理；他们的工资由教育、青年和体育部偿付。助理的工资水平由校长提议。</w:t>
      </w:r>
    </w:p>
    <w:p w:rsidR="00000000" w:rsidRDefault="00000000">
      <w:pPr>
        <w:spacing w:after="160"/>
        <w:rPr>
          <w:rFonts w:hint="eastAsia"/>
        </w:rPr>
      </w:pPr>
      <w:r>
        <w:rPr>
          <w:rFonts w:hint="eastAsia"/>
        </w:rPr>
        <w:tab/>
        <w:t xml:space="preserve">618.  </w:t>
      </w:r>
      <w:r>
        <w:rPr>
          <w:rFonts w:hint="eastAsia"/>
        </w:rPr>
        <w:t>在残疾儿童或社会处境不利儿童上学之前安排他们上幼儿园，这是非常重要的。体制性学前教育主要帮助儿童适应社会环境，并取得上小学所必需的知识和技能。根据新的《学校法》的实质性大纲，所有儿童在开始接受义务教育之前的一年里都有权利接受学前教育。</w:t>
      </w:r>
    </w:p>
    <w:p w:rsidR="00000000" w:rsidRDefault="00000000">
      <w:pPr>
        <w:pStyle w:val="Heading3"/>
        <w:spacing w:after="160"/>
        <w:rPr>
          <w:rFonts w:hint="eastAsia"/>
        </w:rPr>
      </w:pPr>
      <w:r>
        <w:rPr>
          <w:rFonts w:hint="eastAsia"/>
        </w:rPr>
        <w:t>完成义务教育的学生人数</w:t>
      </w:r>
    </w:p>
    <w:tbl>
      <w:tblPr>
        <w:tblW w:w="0" w:type="auto"/>
        <w:tblInd w:w="175"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2330"/>
        <w:gridCol w:w="3519"/>
        <w:gridCol w:w="3286"/>
      </w:tblGrid>
      <w:tr w:rsidR="00000000">
        <w:tblPrEx>
          <w:tblCellMar>
            <w:top w:w="0" w:type="dxa"/>
            <w:bottom w:w="0" w:type="dxa"/>
          </w:tblCellMar>
        </w:tblPrEx>
        <w:tc>
          <w:tcPr>
            <w:tcW w:w="2330" w:type="dxa"/>
            <w:tcBorders>
              <w:top w:val="single" w:sz="4" w:space="0" w:color="auto"/>
              <w:left w:val="single" w:sz="4" w:space="0" w:color="auto"/>
              <w:bottom w:val="nil"/>
              <w:right w:val="single" w:sz="4" w:space="0" w:color="auto"/>
            </w:tcBorders>
          </w:tcPr>
          <w:p w:rsidR="00000000" w:rsidRDefault="00000000">
            <w:pPr>
              <w:pStyle w:val="aa"/>
              <w:spacing w:line="240" w:lineRule="auto"/>
              <w:jc w:val="center"/>
            </w:pPr>
            <w:r>
              <w:t>1996/97</w:t>
            </w:r>
          </w:p>
        </w:tc>
        <w:tc>
          <w:tcPr>
            <w:tcW w:w="3519" w:type="dxa"/>
            <w:tcBorders>
              <w:top w:val="single" w:sz="4" w:space="0" w:color="auto"/>
              <w:left w:val="single" w:sz="4" w:space="0" w:color="auto"/>
              <w:bottom w:val="nil"/>
              <w:right w:val="single" w:sz="4" w:space="0" w:color="auto"/>
            </w:tcBorders>
          </w:tcPr>
          <w:p w:rsidR="00000000" w:rsidRDefault="00000000">
            <w:pPr>
              <w:pStyle w:val="aa"/>
              <w:spacing w:line="240" w:lineRule="auto"/>
              <w:rPr>
                <w:rFonts w:hint="eastAsia"/>
              </w:rPr>
            </w:pPr>
            <w:r>
              <w:rPr>
                <w:rFonts w:hint="eastAsia"/>
              </w:rPr>
              <w:t>总</w:t>
            </w:r>
            <w:r>
              <w:rPr>
                <w:rFonts w:hint="eastAsia"/>
              </w:rPr>
              <w:t xml:space="preserve">  </w:t>
            </w:r>
            <w:r>
              <w:rPr>
                <w:rFonts w:hint="eastAsia"/>
              </w:rPr>
              <w:t>计</w:t>
            </w:r>
            <w:r>
              <w:t xml:space="preserve"> </w:t>
            </w:r>
            <w:r>
              <w:rPr>
                <w:u w:val="single"/>
              </w:rPr>
              <w:t>a</w:t>
            </w:r>
            <w:r>
              <w:rPr>
                <w:rFonts w:hint="eastAsia"/>
              </w:rPr>
              <w:t>/</w:t>
            </w:r>
            <w:r>
              <w:t xml:space="preserve"> </w:t>
            </w:r>
            <w:r>
              <w:rPr>
                <w:rFonts w:hint="eastAsia"/>
              </w:rPr>
              <w:t xml:space="preserve"> </w:t>
            </w:r>
            <w:r>
              <w:rPr>
                <w:u w:val="single"/>
              </w:rPr>
              <w:t>b</w:t>
            </w:r>
            <w:r>
              <w:rPr>
                <w:rFonts w:hint="eastAsia"/>
              </w:rPr>
              <w:t>/</w:t>
            </w:r>
            <w:r>
              <w:t xml:space="preserve"> </w:t>
            </w:r>
            <w:r>
              <w:rPr>
                <w:rFonts w:hint="eastAsia"/>
              </w:rPr>
              <w:t xml:space="preserve"> </w:t>
            </w:r>
            <w:r>
              <w:rPr>
                <w:u w:val="single"/>
              </w:rPr>
              <w:t>c</w:t>
            </w:r>
            <w:r>
              <w:rPr>
                <w:rFonts w:hint="eastAsia"/>
              </w:rPr>
              <w:t>/</w:t>
            </w:r>
          </w:p>
        </w:tc>
        <w:tc>
          <w:tcPr>
            <w:tcW w:w="3286" w:type="dxa"/>
            <w:tcBorders>
              <w:top w:val="single" w:sz="4" w:space="0" w:color="auto"/>
              <w:left w:val="single" w:sz="4" w:space="0" w:color="auto"/>
              <w:bottom w:val="nil"/>
              <w:right w:val="single" w:sz="4" w:space="0" w:color="auto"/>
            </w:tcBorders>
          </w:tcPr>
          <w:p w:rsidR="00000000" w:rsidRDefault="00000000">
            <w:pPr>
              <w:pStyle w:val="aa"/>
              <w:spacing w:line="240" w:lineRule="auto"/>
              <w:ind w:right="624"/>
              <w:jc w:val="right"/>
            </w:pPr>
            <w:r>
              <w:t xml:space="preserve">       </w:t>
            </w:r>
            <w:r>
              <w:rPr>
                <w:rFonts w:hint="eastAsia"/>
              </w:rPr>
              <w:t xml:space="preserve"> </w:t>
            </w:r>
            <w:r>
              <w:t>136 777</w:t>
            </w:r>
          </w:p>
        </w:tc>
      </w:tr>
      <w:tr w:rsidR="00000000">
        <w:tblPrEx>
          <w:tblCellMar>
            <w:top w:w="0" w:type="dxa"/>
            <w:bottom w:w="0" w:type="dxa"/>
          </w:tblCellMar>
        </w:tblPrEx>
        <w:tc>
          <w:tcPr>
            <w:tcW w:w="2330" w:type="dxa"/>
            <w:tcBorders>
              <w:top w:val="nil"/>
              <w:left w:val="single" w:sz="4" w:space="0" w:color="auto"/>
              <w:bottom w:val="nil"/>
              <w:right w:val="single" w:sz="4" w:space="0" w:color="auto"/>
            </w:tcBorders>
          </w:tcPr>
          <w:p w:rsidR="00000000" w:rsidRDefault="00000000">
            <w:pPr>
              <w:pStyle w:val="aa"/>
              <w:spacing w:line="240" w:lineRule="auto"/>
              <w:jc w:val="center"/>
            </w:pPr>
          </w:p>
        </w:tc>
        <w:tc>
          <w:tcPr>
            <w:tcW w:w="3519" w:type="dxa"/>
            <w:tcBorders>
              <w:top w:val="nil"/>
              <w:left w:val="single" w:sz="4" w:space="0" w:color="auto"/>
              <w:bottom w:val="nil"/>
              <w:right w:val="single" w:sz="4" w:space="0" w:color="auto"/>
            </w:tcBorders>
          </w:tcPr>
          <w:p w:rsidR="00000000" w:rsidRDefault="00000000">
            <w:pPr>
              <w:pStyle w:val="aa"/>
              <w:spacing w:line="240" w:lineRule="auto"/>
            </w:pPr>
            <w:r>
              <w:rPr>
                <w:rFonts w:hint="eastAsia"/>
              </w:rPr>
              <w:t>其中，初等学校</w:t>
            </w:r>
            <w:r>
              <w:t xml:space="preserve"> </w:t>
            </w:r>
            <w:r>
              <w:rPr>
                <w:u w:val="single"/>
              </w:rPr>
              <w:t>d</w:t>
            </w:r>
            <w:r>
              <w:rPr>
                <w:rFonts w:hint="eastAsia"/>
              </w:rPr>
              <w:t>/</w:t>
            </w:r>
          </w:p>
          <w:p w:rsidR="00000000" w:rsidRDefault="00000000">
            <w:pPr>
              <w:pStyle w:val="aa"/>
              <w:spacing w:line="240" w:lineRule="auto"/>
            </w:pPr>
            <w:r>
              <w:t xml:space="preserve">  </w:t>
            </w:r>
            <w:r>
              <w:rPr>
                <w:rFonts w:hint="eastAsia"/>
              </w:rPr>
              <w:t>专门学校</w:t>
            </w:r>
            <w:r>
              <w:t xml:space="preserve"> </w:t>
            </w:r>
            <w:r>
              <w:rPr>
                <w:u w:val="single"/>
              </w:rPr>
              <w:t>a</w:t>
            </w:r>
            <w:r>
              <w:rPr>
                <w:rFonts w:hint="eastAsia"/>
              </w:rPr>
              <w:t>/</w:t>
            </w:r>
          </w:p>
          <w:p w:rsidR="00000000" w:rsidRDefault="00000000">
            <w:pPr>
              <w:pStyle w:val="aa"/>
              <w:spacing w:line="240" w:lineRule="auto"/>
            </w:pPr>
            <w:r>
              <w:t xml:space="preserve">  </w:t>
            </w:r>
            <w:r>
              <w:rPr>
                <w:rFonts w:hint="eastAsia"/>
              </w:rPr>
              <w:t>其他设施</w:t>
            </w:r>
            <w:r>
              <w:t xml:space="preserve"> </w:t>
            </w:r>
            <w:r>
              <w:rPr>
                <w:u w:val="single"/>
              </w:rPr>
              <w:t>e</w:t>
            </w:r>
            <w:r>
              <w:rPr>
                <w:rFonts w:hint="eastAsia"/>
              </w:rPr>
              <w:t>/</w:t>
            </w:r>
          </w:p>
        </w:tc>
        <w:tc>
          <w:tcPr>
            <w:tcW w:w="3286" w:type="dxa"/>
            <w:tcBorders>
              <w:top w:val="nil"/>
              <w:left w:val="single" w:sz="4" w:space="0" w:color="auto"/>
              <w:bottom w:val="nil"/>
              <w:right w:val="single" w:sz="4" w:space="0" w:color="auto"/>
            </w:tcBorders>
          </w:tcPr>
          <w:p w:rsidR="00000000" w:rsidRDefault="00000000">
            <w:pPr>
              <w:pStyle w:val="aa"/>
              <w:spacing w:line="240" w:lineRule="auto"/>
              <w:ind w:right="624"/>
              <w:jc w:val="right"/>
            </w:pPr>
            <w:r>
              <w:rPr>
                <w:rFonts w:hint="eastAsia"/>
              </w:rPr>
              <w:t xml:space="preserve"> </w:t>
            </w:r>
            <w:r>
              <w:t xml:space="preserve">      </w:t>
            </w:r>
            <w:r>
              <w:rPr>
                <w:rFonts w:hint="eastAsia"/>
              </w:rPr>
              <w:t xml:space="preserve"> </w:t>
            </w:r>
            <w:r>
              <w:t>129 501</w:t>
            </w:r>
          </w:p>
          <w:p w:rsidR="00000000" w:rsidRDefault="00000000">
            <w:pPr>
              <w:pStyle w:val="aa"/>
              <w:spacing w:line="240" w:lineRule="auto"/>
              <w:ind w:right="624"/>
              <w:jc w:val="right"/>
            </w:pPr>
            <w:r>
              <w:t xml:space="preserve">         </w:t>
            </w:r>
            <w:r>
              <w:rPr>
                <w:rFonts w:hint="eastAsia"/>
              </w:rPr>
              <w:t xml:space="preserve"> </w:t>
            </w:r>
            <w:r>
              <w:t>6 753</w:t>
            </w:r>
          </w:p>
          <w:p w:rsidR="00000000" w:rsidRDefault="00000000">
            <w:pPr>
              <w:pStyle w:val="aa"/>
              <w:spacing w:line="240" w:lineRule="auto"/>
              <w:ind w:right="624"/>
              <w:jc w:val="right"/>
            </w:pPr>
            <w:r>
              <w:t xml:space="preserve">         </w:t>
            </w:r>
            <w:r>
              <w:rPr>
                <w:rFonts w:hint="eastAsia"/>
              </w:rPr>
              <w:t xml:space="preserve"> </w:t>
            </w:r>
            <w:r>
              <w:t xml:space="preserve"> </w:t>
            </w:r>
            <w:r>
              <w:rPr>
                <w:rFonts w:hint="eastAsia"/>
              </w:rPr>
              <w:t xml:space="preserve"> </w:t>
            </w:r>
            <w:r>
              <w:t>523</w:t>
            </w:r>
          </w:p>
        </w:tc>
      </w:tr>
      <w:tr w:rsidR="00000000">
        <w:tblPrEx>
          <w:tblCellMar>
            <w:top w:w="0" w:type="dxa"/>
            <w:bottom w:w="0" w:type="dxa"/>
          </w:tblCellMar>
        </w:tblPrEx>
        <w:tc>
          <w:tcPr>
            <w:tcW w:w="2330" w:type="dxa"/>
            <w:tcBorders>
              <w:top w:val="nil"/>
              <w:left w:val="single" w:sz="4" w:space="0" w:color="auto"/>
              <w:bottom w:val="nil"/>
              <w:right w:val="single" w:sz="4" w:space="0" w:color="auto"/>
            </w:tcBorders>
          </w:tcPr>
          <w:p w:rsidR="00000000" w:rsidRDefault="00000000">
            <w:pPr>
              <w:pStyle w:val="aa"/>
              <w:spacing w:line="240" w:lineRule="auto"/>
              <w:jc w:val="center"/>
            </w:pPr>
            <w:r>
              <w:t>1997/98</w:t>
            </w:r>
          </w:p>
        </w:tc>
        <w:tc>
          <w:tcPr>
            <w:tcW w:w="3519" w:type="dxa"/>
            <w:tcBorders>
              <w:top w:val="nil"/>
              <w:left w:val="single" w:sz="4" w:space="0" w:color="auto"/>
              <w:bottom w:val="nil"/>
              <w:right w:val="single" w:sz="4" w:space="0" w:color="auto"/>
            </w:tcBorders>
          </w:tcPr>
          <w:p w:rsidR="00000000" w:rsidRDefault="00000000">
            <w:pPr>
              <w:pStyle w:val="aa"/>
              <w:spacing w:line="240" w:lineRule="auto"/>
            </w:pPr>
            <w:r>
              <w:rPr>
                <w:rFonts w:hint="eastAsia"/>
              </w:rPr>
              <w:t>总</w:t>
            </w:r>
            <w:r>
              <w:rPr>
                <w:rFonts w:hint="eastAsia"/>
              </w:rPr>
              <w:t xml:space="preserve">  </w:t>
            </w:r>
            <w:r>
              <w:rPr>
                <w:rFonts w:hint="eastAsia"/>
              </w:rPr>
              <w:t>计</w:t>
            </w:r>
            <w:r>
              <w:t xml:space="preserve"> </w:t>
            </w:r>
            <w:r>
              <w:rPr>
                <w:u w:val="single"/>
              </w:rPr>
              <w:t>a</w:t>
            </w:r>
            <w:r>
              <w:rPr>
                <w:rFonts w:hint="eastAsia"/>
              </w:rPr>
              <w:t>/</w:t>
            </w:r>
            <w:r>
              <w:t xml:space="preserve"> </w:t>
            </w:r>
            <w:r>
              <w:rPr>
                <w:rFonts w:hint="eastAsia"/>
              </w:rPr>
              <w:t xml:space="preserve"> </w:t>
            </w:r>
            <w:r>
              <w:rPr>
                <w:u w:val="single"/>
              </w:rPr>
              <w:t>b</w:t>
            </w:r>
            <w:r>
              <w:rPr>
                <w:rFonts w:hint="eastAsia"/>
              </w:rPr>
              <w:t>/</w:t>
            </w:r>
            <w:r>
              <w:t xml:space="preserve"> </w:t>
            </w:r>
            <w:r>
              <w:rPr>
                <w:rFonts w:hint="eastAsia"/>
              </w:rPr>
              <w:t xml:space="preserve"> </w:t>
            </w:r>
            <w:r>
              <w:rPr>
                <w:u w:val="single"/>
              </w:rPr>
              <w:t>c</w:t>
            </w:r>
            <w:r>
              <w:rPr>
                <w:rFonts w:hint="eastAsia"/>
              </w:rPr>
              <w:t>/</w:t>
            </w:r>
          </w:p>
        </w:tc>
        <w:tc>
          <w:tcPr>
            <w:tcW w:w="3286" w:type="dxa"/>
            <w:tcBorders>
              <w:top w:val="nil"/>
              <w:left w:val="single" w:sz="4" w:space="0" w:color="auto"/>
              <w:bottom w:val="nil"/>
              <w:right w:val="single" w:sz="4" w:space="0" w:color="auto"/>
            </w:tcBorders>
          </w:tcPr>
          <w:p w:rsidR="00000000" w:rsidRDefault="00000000">
            <w:pPr>
              <w:pStyle w:val="aa"/>
              <w:spacing w:line="240" w:lineRule="auto"/>
              <w:ind w:right="624"/>
              <w:jc w:val="right"/>
            </w:pPr>
            <w:r>
              <w:t xml:space="preserve">        132 740</w:t>
            </w:r>
          </w:p>
        </w:tc>
      </w:tr>
      <w:tr w:rsidR="00000000">
        <w:tblPrEx>
          <w:tblCellMar>
            <w:top w:w="0" w:type="dxa"/>
            <w:bottom w:w="0" w:type="dxa"/>
          </w:tblCellMar>
        </w:tblPrEx>
        <w:tc>
          <w:tcPr>
            <w:tcW w:w="2330" w:type="dxa"/>
            <w:tcBorders>
              <w:top w:val="nil"/>
              <w:left w:val="single" w:sz="4" w:space="0" w:color="auto"/>
              <w:bottom w:val="single" w:sz="4" w:space="0" w:color="auto"/>
              <w:right w:val="single" w:sz="4" w:space="0" w:color="auto"/>
            </w:tcBorders>
          </w:tcPr>
          <w:p w:rsidR="00000000" w:rsidRDefault="00000000">
            <w:pPr>
              <w:pStyle w:val="aa"/>
              <w:spacing w:line="240" w:lineRule="auto"/>
              <w:jc w:val="center"/>
            </w:pPr>
          </w:p>
        </w:tc>
        <w:tc>
          <w:tcPr>
            <w:tcW w:w="3519" w:type="dxa"/>
            <w:tcBorders>
              <w:top w:val="nil"/>
              <w:left w:val="single" w:sz="4" w:space="0" w:color="auto"/>
              <w:bottom w:val="single" w:sz="4" w:space="0" w:color="auto"/>
              <w:right w:val="single" w:sz="4" w:space="0" w:color="auto"/>
            </w:tcBorders>
          </w:tcPr>
          <w:p w:rsidR="00000000" w:rsidRDefault="00000000">
            <w:pPr>
              <w:pStyle w:val="aa"/>
              <w:spacing w:line="240" w:lineRule="auto"/>
              <w:rPr>
                <w:rFonts w:hint="eastAsia"/>
              </w:rPr>
            </w:pPr>
            <w:r>
              <w:rPr>
                <w:rFonts w:hint="eastAsia"/>
              </w:rPr>
              <w:t>其中，初等学校</w:t>
            </w:r>
            <w:r>
              <w:t xml:space="preserve"> </w:t>
            </w:r>
            <w:r>
              <w:rPr>
                <w:u w:val="single"/>
              </w:rPr>
              <w:t>d</w:t>
            </w:r>
            <w:r>
              <w:rPr>
                <w:rFonts w:hint="eastAsia"/>
              </w:rPr>
              <w:t>/</w:t>
            </w:r>
          </w:p>
          <w:p w:rsidR="00000000" w:rsidRDefault="00000000">
            <w:pPr>
              <w:pStyle w:val="aa"/>
              <w:spacing w:line="240" w:lineRule="auto"/>
            </w:pPr>
            <w:r>
              <w:t xml:space="preserve">  </w:t>
            </w:r>
            <w:r>
              <w:rPr>
                <w:rFonts w:hint="eastAsia"/>
              </w:rPr>
              <w:t>专门学校</w:t>
            </w:r>
            <w:r>
              <w:t xml:space="preserve"> </w:t>
            </w:r>
            <w:r>
              <w:rPr>
                <w:u w:val="single"/>
              </w:rPr>
              <w:t>a</w:t>
            </w:r>
            <w:r>
              <w:rPr>
                <w:rFonts w:hint="eastAsia"/>
              </w:rPr>
              <w:t>/</w:t>
            </w:r>
          </w:p>
          <w:p w:rsidR="00000000" w:rsidRDefault="00000000">
            <w:pPr>
              <w:pStyle w:val="aa"/>
              <w:spacing w:line="240" w:lineRule="auto"/>
              <w:rPr>
                <w:rFonts w:hint="eastAsia"/>
              </w:rPr>
            </w:pPr>
            <w:r>
              <w:t xml:space="preserve">  </w:t>
            </w:r>
            <w:r>
              <w:rPr>
                <w:rFonts w:hint="eastAsia"/>
              </w:rPr>
              <w:t>其他设施</w:t>
            </w:r>
            <w:r>
              <w:t xml:space="preserve"> </w:t>
            </w:r>
            <w:r>
              <w:rPr>
                <w:u w:val="single"/>
              </w:rPr>
              <w:t>e</w:t>
            </w:r>
            <w:r>
              <w:rPr>
                <w:rFonts w:hint="eastAsia"/>
              </w:rPr>
              <w:t>/</w:t>
            </w:r>
          </w:p>
        </w:tc>
        <w:tc>
          <w:tcPr>
            <w:tcW w:w="3286" w:type="dxa"/>
            <w:tcBorders>
              <w:top w:val="nil"/>
              <w:left w:val="single" w:sz="4" w:space="0" w:color="auto"/>
              <w:bottom w:val="single" w:sz="4" w:space="0" w:color="auto"/>
              <w:right w:val="single" w:sz="4" w:space="0" w:color="auto"/>
            </w:tcBorders>
          </w:tcPr>
          <w:p w:rsidR="00000000" w:rsidRDefault="00000000">
            <w:pPr>
              <w:pStyle w:val="aa"/>
              <w:spacing w:line="240" w:lineRule="auto"/>
              <w:ind w:right="624"/>
              <w:jc w:val="right"/>
            </w:pPr>
            <w:r>
              <w:t xml:space="preserve">        125 348</w:t>
            </w:r>
          </w:p>
          <w:p w:rsidR="00000000" w:rsidRDefault="00000000">
            <w:pPr>
              <w:pStyle w:val="aa"/>
              <w:spacing w:line="240" w:lineRule="auto"/>
              <w:ind w:right="624"/>
              <w:jc w:val="right"/>
            </w:pPr>
            <w:r>
              <w:t xml:space="preserve">          6 731</w:t>
            </w:r>
          </w:p>
          <w:p w:rsidR="00000000" w:rsidRDefault="00000000">
            <w:pPr>
              <w:pStyle w:val="aa"/>
              <w:spacing w:line="240" w:lineRule="auto"/>
              <w:ind w:right="624"/>
              <w:jc w:val="right"/>
            </w:pPr>
            <w:r>
              <w:t xml:space="preserve">           </w:t>
            </w:r>
            <w:r>
              <w:rPr>
                <w:rFonts w:hint="eastAsia"/>
              </w:rPr>
              <w:t xml:space="preserve"> </w:t>
            </w:r>
            <w:r>
              <w:t>661</w:t>
            </w:r>
          </w:p>
        </w:tc>
      </w:tr>
    </w:tbl>
    <w:p w:rsidR="00000000" w:rsidRDefault="00000000">
      <w:pPr>
        <w:spacing w:before="160" w:line="240" w:lineRule="auto"/>
        <w:rPr>
          <w:rFonts w:hint="eastAsia"/>
        </w:rPr>
      </w:pPr>
      <w:r>
        <w:rPr>
          <w:rFonts w:hint="eastAsia"/>
        </w:rPr>
        <w:t xml:space="preserve">  </w:t>
      </w:r>
      <w:r>
        <w:rPr>
          <w:rFonts w:eastAsia="KaiTi_GB2312" w:hint="eastAsia"/>
          <w:spacing w:val="0"/>
          <w:u w:val="single"/>
        </w:rPr>
        <w:t>资料来源</w:t>
      </w:r>
      <w:r>
        <w:rPr>
          <w:rFonts w:eastAsia="KaiTi_GB2312" w:hint="eastAsia"/>
          <w:spacing w:val="0"/>
        </w:rPr>
        <w:t>：教育信息学会</w:t>
      </w:r>
      <w:r>
        <w:rPr>
          <w:rFonts w:hint="eastAsia"/>
        </w:rPr>
        <w:t>。</w:t>
      </w:r>
    </w:p>
    <w:p w:rsidR="00000000" w:rsidRDefault="00000000">
      <w:pPr>
        <w:spacing w:line="240" w:lineRule="auto"/>
        <w:rPr>
          <w:rFonts w:eastAsia="KaiTi_GB2312" w:hint="eastAsia"/>
          <w:spacing w:val="0"/>
        </w:rPr>
      </w:pPr>
      <w:r>
        <w:rPr>
          <w:rFonts w:hint="eastAsia"/>
          <w:b/>
          <w:bCs/>
        </w:rPr>
        <w:tab/>
      </w:r>
      <w:r>
        <w:rPr>
          <w:rFonts w:hint="eastAsia"/>
          <w:b/>
          <w:bCs/>
        </w:rPr>
        <w:tab/>
      </w:r>
      <w:r>
        <w:rPr>
          <w:u w:val="single"/>
        </w:rPr>
        <w:t>a</w:t>
      </w:r>
      <w:r>
        <w:rPr>
          <w:rFonts w:hint="eastAsia"/>
        </w:rPr>
        <w:t>/</w:t>
      </w:r>
      <w:r>
        <w:rPr>
          <w:spacing w:val="0"/>
          <w:sz w:val="21"/>
        </w:rPr>
        <w:t xml:space="preserve"> </w:t>
      </w:r>
      <w:r>
        <w:rPr>
          <w:rFonts w:hint="eastAsia"/>
          <w:spacing w:val="0"/>
          <w:sz w:val="21"/>
        </w:rPr>
        <w:t xml:space="preserve"> </w:t>
      </w:r>
      <w:r>
        <w:rPr>
          <w:rFonts w:eastAsia="KaiTi_GB2312" w:hint="eastAsia"/>
          <w:spacing w:val="0"/>
        </w:rPr>
        <w:t>不算补习学校或准备班。</w:t>
      </w:r>
    </w:p>
    <w:p w:rsidR="00000000" w:rsidRDefault="00000000">
      <w:pPr>
        <w:spacing w:line="240" w:lineRule="auto"/>
        <w:rPr>
          <w:rFonts w:eastAsia="KaiTi_GB2312" w:hint="eastAsia"/>
          <w:spacing w:val="0"/>
        </w:rPr>
      </w:pPr>
      <w:r>
        <w:rPr>
          <w:rFonts w:hint="eastAsia"/>
        </w:rPr>
        <w:tab/>
      </w:r>
      <w:r>
        <w:rPr>
          <w:rFonts w:hint="eastAsia"/>
        </w:rPr>
        <w:tab/>
      </w:r>
      <w:r>
        <w:rPr>
          <w:u w:val="single"/>
        </w:rPr>
        <w:t>b</w:t>
      </w:r>
      <w:r>
        <w:rPr>
          <w:rFonts w:hint="eastAsia"/>
        </w:rPr>
        <w:t xml:space="preserve">/  </w:t>
      </w:r>
      <w:r>
        <w:rPr>
          <w:rFonts w:eastAsia="KaiTi_GB2312" w:hint="eastAsia"/>
          <w:spacing w:val="0"/>
        </w:rPr>
        <w:t>1996/1997</w:t>
      </w:r>
      <w:r>
        <w:rPr>
          <w:rFonts w:eastAsia="KaiTi_GB2312" w:hint="eastAsia"/>
          <w:spacing w:val="0"/>
        </w:rPr>
        <w:t>学年的数据中包括转到特殊学校的学生。</w:t>
      </w:r>
    </w:p>
    <w:p w:rsidR="00000000" w:rsidRDefault="00000000">
      <w:pPr>
        <w:spacing w:line="240" w:lineRule="auto"/>
        <w:rPr>
          <w:rFonts w:eastAsia="KaiTi_GB2312" w:hint="eastAsia"/>
          <w:spacing w:val="0"/>
        </w:rPr>
      </w:pPr>
      <w:r>
        <w:rPr>
          <w:rFonts w:hint="eastAsia"/>
        </w:rPr>
        <w:tab/>
      </w:r>
      <w:r>
        <w:rPr>
          <w:rFonts w:hint="eastAsia"/>
        </w:rPr>
        <w:tab/>
      </w:r>
      <w:r>
        <w:rPr>
          <w:u w:val="single"/>
        </w:rPr>
        <w:t>c</w:t>
      </w:r>
      <w:r>
        <w:rPr>
          <w:rFonts w:hint="eastAsia"/>
        </w:rPr>
        <w:t>/</w:t>
      </w:r>
      <w:r>
        <w:rPr>
          <w:rFonts w:hint="eastAsia"/>
          <w:spacing w:val="0"/>
          <w:sz w:val="21"/>
        </w:rPr>
        <w:t xml:space="preserve">  </w:t>
      </w:r>
      <w:r>
        <w:rPr>
          <w:rFonts w:eastAsia="KaiTi_GB2312" w:hint="eastAsia"/>
          <w:spacing w:val="0"/>
        </w:rPr>
        <w:t>特殊学校包括听力和视力残疾人十年级。</w:t>
      </w:r>
    </w:p>
    <w:p w:rsidR="00000000" w:rsidRDefault="00000000">
      <w:pPr>
        <w:spacing w:line="240" w:lineRule="auto"/>
        <w:rPr>
          <w:rFonts w:eastAsia="KaiTi_GB2312" w:hint="eastAsia"/>
          <w:spacing w:val="0"/>
        </w:rPr>
      </w:pPr>
      <w:r>
        <w:rPr>
          <w:rFonts w:eastAsia="KaiTi_GB2312" w:hint="eastAsia"/>
          <w:spacing w:val="0"/>
        </w:rPr>
        <w:tab/>
      </w:r>
      <w:r>
        <w:rPr>
          <w:rFonts w:eastAsia="KaiTi_GB2312" w:hint="eastAsia"/>
          <w:spacing w:val="0"/>
        </w:rPr>
        <w:tab/>
      </w:r>
      <w:r>
        <w:rPr>
          <w:u w:val="single"/>
        </w:rPr>
        <w:t>d</w:t>
      </w:r>
      <w:r>
        <w:rPr>
          <w:rFonts w:hint="eastAsia"/>
        </w:rPr>
        <w:t>/</w:t>
      </w:r>
      <w:r>
        <w:rPr>
          <w:rFonts w:hint="eastAsia"/>
          <w:spacing w:val="0"/>
          <w:sz w:val="21"/>
        </w:rPr>
        <w:t xml:space="preserve">  </w:t>
      </w:r>
      <w:r>
        <w:rPr>
          <w:rFonts w:eastAsia="KaiTi_GB2312" w:hint="eastAsia"/>
          <w:spacing w:val="0"/>
        </w:rPr>
        <w:t>普通班和专门班。</w:t>
      </w:r>
    </w:p>
    <w:p w:rsidR="00000000" w:rsidRDefault="00000000">
      <w:pPr>
        <w:spacing w:after="320" w:line="240" w:lineRule="auto"/>
        <w:rPr>
          <w:rFonts w:eastAsia="KaiTi_GB2312" w:hint="eastAsia"/>
          <w:spacing w:val="0"/>
        </w:rPr>
      </w:pPr>
      <w:r>
        <w:rPr>
          <w:rFonts w:eastAsia="KaiTi_GB2312" w:hint="eastAsia"/>
          <w:spacing w:val="0"/>
        </w:rPr>
        <w:tab/>
      </w:r>
      <w:r>
        <w:rPr>
          <w:rFonts w:eastAsia="KaiTi_GB2312" w:hint="eastAsia"/>
          <w:spacing w:val="0"/>
        </w:rPr>
        <w:tab/>
      </w:r>
      <w:r>
        <w:rPr>
          <w:u w:val="single"/>
        </w:rPr>
        <w:t>e</w:t>
      </w:r>
      <w:r>
        <w:rPr>
          <w:rFonts w:hint="eastAsia"/>
        </w:rPr>
        <w:t xml:space="preserve">/ </w:t>
      </w:r>
      <w:r>
        <w:rPr>
          <w:rFonts w:hint="eastAsia"/>
          <w:spacing w:val="0"/>
          <w:sz w:val="21"/>
        </w:rPr>
        <w:t xml:space="preserve"> </w:t>
      </w:r>
      <w:r>
        <w:rPr>
          <w:rFonts w:eastAsia="KaiTi_GB2312" w:hint="eastAsia"/>
          <w:spacing w:val="0"/>
        </w:rPr>
        <w:t>体制性培养和保护性监护机构。</w:t>
      </w:r>
    </w:p>
    <w:p w:rsidR="00000000" w:rsidRDefault="00000000">
      <w:pPr>
        <w:spacing w:before="240" w:after="320"/>
        <w:rPr>
          <w:rFonts w:hint="eastAsia"/>
        </w:rPr>
      </w:pPr>
      <w:r>
        <w:rPr>
          <w:rFonts w:hint="eastAsia"/>
        </w:rPr>
        <w:tab/>
        <w:t xml:space="preserve">619.  </w:t>
      </w:r>
      <w:r>
        <w:rPr>
          <w:rFonts w:hint="eastAsia"/>
        </w:rPr>
        <w:t>根据《学校法》第</w:t>
      </w:r>
      <w:r>
        <w:rPr>
          <w:rFonts w:hint="eastAsia"/>
        </w:rPr>
        <w:t>60</w:t>
      </w:r>
      <w:r>
        <w:rPr>
          <w:rFonts w:hint="eastAsia"/>
        </w:rPr>
        <w:t>节，初等学校或中等学校可以为没有取得或没有完成初等教育的人开办取得初等教育的课程。这些课程面向所有在比九年级低一年级里完成义务教育</w:t>
      </w:r>
      <w:r>
        <w:rPr>
          <w:rFonts w:hint="eastAsia"/>
        </w:rPr>
        <w:t>(</w:t>
      </w:r>
      <w:r>
        <w:rPr>
          <w:rFonts w:hint="eastAsia"/>
        </w:rPr>
        <w:t>他们重上一个年级</w:t>
      </w:r>
      <w:r>
        <w:rPr>
          <w:rFonts w:hint="eastAsia"/>
        </w:rPr>
        <w:t>)</w:t>
      </w:r>
      <w:r>
        <w:rPr>
          <w:rFonts w:hint="eastAsia"/>
        </w:rPr>
        <w:t>或没有上完九年级的人。根据教育部的指示，特殊学校的毕业生也可以上这些课程。</w:t>
      </w:r>
      <w:r>
        <w:rPr>
          <w:rStyle w:val="EndnoteReference"/>
        </w:rPr>
        <w:endnoteReference w:id="369"/>
      </w:r>
      <w:r>
        <w:rPr>
          <w:rFonts w:hint="eastAsia"/>
        </w:rPr>
        <w:t xml:space="preserve">  </w:t>
      </w:r>
      <w:r>
        <w:rPr>
          <w:rFonts w:hint="eastAsia"/>
        </w:rPr>
        <w:t>特殊学校提供的取得</w:t>
      </w:r>
      <w:r>
        <w:rPr>
          <w:rFonts w:hint="eastAsia"/>
        </w:rPr>
        <w:t>(</w:t>
      </w:r>
      <w:r>
        <w:rPr>
          <w:rFonts w:hint="eastAsia"/>
        </w:rPr>
        <w:t>补充</w:t>
      </w:r>
      <w:r>
        <w:rPr>
          <w:rFonts w:hint="eastAsia"/>
        </w:rPr>
        <w:t>)</w:t>
      </w:r>
      <w:r>
        <w:rPr>
          <w:rFonts w:hint="eastAsia"/>
        </w:rPr>
        <w:t>初等教育的课程</w:t>
      </w:r>
      <w:r>
        <w:rPr>
          <w:rFonts w:hint="eastAsia"/>
        </w:rPr>
        <w:t xml:space="preserve"> </w:t>
      </w:r>
      <w:r>
        <w:rPr>
          <w:rStyle w:val="EndnoteReference"/>
        </w:rPr>
        <w:endnoteReference w:id="370"/>
      </w:r>
      <w:r>
        <w:rPr>
          <w:rFonts w:hint="eastAsia"/>
        </w:rPr>
        <w:t xml:space="preserve">  </w:t>
      </w:r>
      <w:r>
        <w:rPr>
          <w:rFonts w:hint="eastAsia"/>
        </w:rPr>
        <w:t>也推动增加了教育机会。</w:t>
      </w:r>
    </w:p>
    <w:p w:rsidR="00000000" w:rsidRDefault="00000000">
      <w:pPr>
        <w:pStyle w:val="Heading3"/>
        <w:spacing w:after="160"/>
        <w:rPr>
          <w:rFonts w:ascii="Time New Roman" w:eastAsia="SimHei" w:hAnsi="Time New Roman" w:hint="eastAsia"/>
          <w:kern w:val="0"/>
          <w:sz w:val="22"/>
          <w:u w:val="none"/>
        </w:rPr>
      </w:pPr>
      <w:r>
        <w:rPr>
          <w:rFonts w:ascii="Time New Roman" w:eastAsia="SimHei" w:hAnsi="Time New Roman" w:hint="eastAsia"/>
          <w:kern w:val="0"/>
          <w:sz w:val="22"/>
          <w:u w:val="none"/>
        </w:rPr>
        <w:t>完成初等教育的课程</w:t>
      </w:r>
    </w:p>
    <w:tbl>
      <w:tblPr>
        <w:tblW w:w="0" w:type="auto"/>
        <w:tblInd w:w="129" w:type="dxa"/>
        <w:tblBorders>
          <w:top w:val="single" w:sz="12" w:space="0" w:color="008000"/>
          <w:bottom w:val="single" w:sz="12" w:space="0" w:color="008000"/>
        </w:tblBorders>
        <w:tblLayout w:type="fixed"/>
        <w:tblCellMar>
          <w:left w:w="70" w:type="dxa"/>
          <w:right w:w="70" w:type="dxa"/>
        </w:tblCellMar>
        <w:tblLook w:val="0000" w:firstRow="0" w:lastRow="0" w:firstColumn="0" w:lastColumn="0" w:noHBand="0" w:noVBand="0"/>
      </w:tblPr>
      <w:tblGrid>
        <w:gridCol w:w="1289"/>
        <w:gridCol w:w="1418"/>
        <w:gridCol w:w="1021"/>
        <w:gridCol w:w="1021"/>
        <w:gridCol w:w="1021"/>
        <w:gridCol w:w="1021"/>
        <w:gridCol w:w="1021"/>
        <w:gridCol w:w="1021"/>
      </w:tblGrid>
      <w:tr w:rsidR="00000000">
        <w:tblPrEx>
          <w:tblCellMar>
            <w:top w:w="0" w:type="dxa"/>
            <w:bottom w:w="0" w:type="dxa"/>
          </w:tblCellMar>
        </w:tblPrEx>
        <w:tc>
          <w:tcPr>
            <w:tcW w:w="1289"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rPr>
                <w:rFonts w:hint="eastAsia"/>
              </w:rPr>
            </w:pPr>
            <w:r>
              <w:rPr>
                <w:rFonts w:hint="eastAsia"/>
              </w:rPr>
              <w:t>学</w:t>
            </w:r>
            <w:r>
              <w:rPr>
                <w:rFonts w:hint="eastAsia"/>
              </w:rPr>
              <w:t xml:space="preserve">  </w:t>
            </w:r>
            <w:r>
              <w:rPr>
                <w:rFonts w:hint="eastAsia"/>
              </w:rPr>
              <w:t>年</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pP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pPr>
            <w:r>
              <w:t>1993/94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pPr>
            <w:r>
              <w:t>1994/95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pPr>
            <w:r>
              <w:t>1995/96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pPr>
            <w:r>
              <w:t>1996/97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pPr>
            <w:r>
              <w:t>1997/98</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60" w:after="40"/>
              <w:jc w:val="center"/>
            </w:pPr>
            <w:r>
              <w:t>1998/99</w:t>
            </w:r>
          </w:p>
        </w:tc>
      </w:tr>
      <w:tr w:rsidR="00000000">
        <w:tblPrEx>
          <w:tblCellMar>
            <w:top w:w="0" w:type="dxa"/>
            <w:bottom w:w="0" w:type="dxa"/>
          </w:tblCellMar>
        </w:tblPrEx>
        <w:tc>
          <w:tcPr>
            <w:tcW w:w="1289" w:type="dxa"/>
            <w:tcBorders>
              <w:top w:val="single" w:sz="4" w:space="0" w:color="auto"/>
              <w:left w:val="single" w:sz="4" w:space="0" w:color="auto"/>
              <w:bottom w:val="nil"/>
              <w:right w:val="single" w:sz="4" w:space="0" w:color="auto"/>
            </w:tcBorders>
          </w:tcPr>
          <w:p w:rsidR="00000000" w:rsidRDefault="00000000">
            <w:pPr>
              <w:pStyle w:val="aa"/>
            </w:pPr>
            <w:r>
              <w:rPr>
                <w:rFonts w:hint="eastAsia"/>
              </w:rPr>
              <w:t>学</w:t>
            </w:r>
            <w:r>
              <w:rPr>
                <w:rFonts w:hint="eastAsia"/>
              </w:rPr>
              <w:t xml:space="preserve">  </w:t>
            </w:r>
            <w:r>
              <w:rPr>
                <w:rFonts w:hint="eastAsia"/>
              </w:rPr>
              <w:t>校</w:t>
            </w:r>
            <w:r>
              <w:t xml:space="preserve"> </w:t>
            </w:r>
            <w:r>
              <w:rPr>
                <w:u w:val="single"/>
              </w:rPr>
              <w:t>a</w:t>
            </w:r>
            <w:r>
              <w:rPr>
                <w:rFonts w:hint="eastAsia"/>
              </w:rPr>
              <w:t>/</w:t>
            </w:r>
          </w:p>
        </w:tc>
        <w:tc>
          <w:tcPr>
            <w:tcW w:w="1418"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总</w:t>
            </w:r>
            <w:r>
              <w:rPr>
                <w:rFonts w:hint="eastAsia"/>
              </w:rPr>
              <w:t xml:space="preserve">  </w:t>
            </w:r>
            <w:r>
              <w:rPr>
                <w:rFonts w:hint="eastAsia"/>
              </w:rPr>
              <w:t>计</w:t>
            </w:r>
            <w:r>
              <w:br/>
            </w:r>
            <w:r>
              <w:rPr>
                <w:rFonts w:hint="eastAsia"/>
              </w:rPr>
              <w:t>初等学校</w:t>
            </w:r>
            <w:r>
              <w:t xml:space="preserve"> </w:t>
            </w:r>
            <w:r>
              <w:rPr>
                <w:u w:val="single"/>
              </w:rPr>
              <w:t>b</w:t>
            </w:r>
            <w:r>
              <w:rPr>
                <w:rFonts w:hint="eastAsia"/>
              </w:rPr>
              <w:t>/</w:t>
            </w:r>
            <w:r>
              <w:br/>
            </w:r>
            <w:r>
              <w:rPr>
                <w:rFonts w:hint="eastAsia"/>
              </w:rPr>
              <w:t>特殊学校</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227"/>
              <w:jc w:val="right"/>
            </w:pPr>
            <w:r>
              <w:t>67</w:t>
            </w:r>
            <w:r>
              <w:br/>
              <w:t>67</w:t>
            </w:r>
            <w:r>
              <w:br/>
              <w:t>x</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227"/>
              <w:jc w:val="right"/>
            </w:pPr>
            <w:r>
              <w:t>126</w:t>
            </w:r>
            <w:r>
              <w:br/>
              <w:t>126</w:t>
            </w:r>
            <w:r>
              <w:br/>
              <w:t>x</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227"/>
              <w:jc w:val="right"/>
            </w:pPr>
            <w:r>
              <w:t>120</w:t>
            </w:r>
            <w:r>
              <w:br/>
              <w:t>120</w:t>
            </w:r>
            <w:r>
              <w:br/>
              <w:t>x</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227"/>
              <w:jc w:val="right"/>
            </w:pPr>
            <w:r>
              <w:t>64</w:t>
            </w:r>
            <w:r>
              <w:br/>
              <w:t>64</w:t>
            </w:r>
            <w:r>
              <w:br/>
              <w:t>x</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227"/>
              <w:jc w:val="right"/>
            </w:pPr>
            <w:r>
              <w:t>95</w:t>
            </w:r>
            <w:r>
              <w:br/>
              <w:t>62</w:t>
            </w:r>
            <w:r>
              <w:br/>
              <w:t>33</w:t>
            </w:r>
          </w:p>
        </w:tc>
        <w:tc>
          <w:tcPr>
            <w:tcW w:w="1021" w:type="dxa"/>
            <w:tcBorders>
              <w:top w:val="single" w:sz="4" w:space="0" w:color="auto"/>
              <w:left w:val="single" w:sz="4" w:space="0" w:color="auto"/>
              <w:bottom w:val="nil"/>
              <w:right w:val="single" w:sz="4" w:space="0" w:color="auto"/>
            </w:tcBorders>
          </w:tcPr>
          <w:p w:rsidR="00000000" w:rsidRDefault="00000000">
            <w:pPr>
              <w:pStyle w:val="aa"/>
              <w:ind w:right="227"/>
              <w:jc w:val="right"/>
            </w:pPr>
            <w:r>
              <w:t>204</w:t>
            </w:r>
            <w:r>
              <w:br/>
              <w:t>124</w:t>
            </w:r>
            <w:r>
              <w:br/>
              <w:t>80</w:t>
            </w:r>
          </w:p>
        </w:tc>
      </w:tr>
      <w:tr w:rsidR="00000000">
        <w:tblPrEx>
          <w:tblCellMar>
            <w:top w:w="0" w:type="dxa"/>
            <w:bottom w:w="0" w:type="dxa"/>
          </w:tblCellMar>
        </w:tblPrEx>
        <w:tc>
          <w:tcPr>
            <w:tcW w:w="1289" w:type="dxa"/>
            <w:tcBorders>
              <w:top w:val="nil"/>
              <w:left w:val="single" w:sz="4" w:space="0" w:color="auto"/>
              <w:bottom w:val="nil"/>
              <w:right w:val="single" w:sz="4" w:space="0" w:color="auto"/>
            </w:tcBorders>
          </w:tcPr>
          <w:p w:rsidR="00000000" w:rsidRDefault="00000000">
            <w:pPr>
              <w:pStyle w:val="aa"/>
            </w:pPr>
            <w:r>
              <w:rPr>
                <w:rFonts w:hint="eastAsia"/>
              </w:rPr>
              <w:t>课</w:t>
            </w:r>
            <w:r>
              <w:rPr>
                <w:rFonts w:hint="eastAsia"/>
              </w:rPr>
              <w:t xml:space="preserve">  </w:t>
            </w:r>
            <w:r>
              <w:rPr>
                <w:rFonts w:hint="eastAsia"/>
              </w:rPr>
              <w:t>程</w:t>
            </w:r>
            <w:r>
              <w:t xml:space="preserve"> </w:t>
            </w:r>
            <w:r>
              <w:rPr>
                <w:u w:val="single"/>
              </w:rPr>
              <w:t>a</w:t>
            </w:r>
            <w:r>
              <w:rPr>
                <w:rFonts w:hint="eastAsia"/>
              </w:rPr>
              <w:t>/</w:t>
            </w:r>
          </w:p>
        </w:tc>
        <w:tc>
          <w:tcPr>
            <w:tcW w:w="1418" w:type="dxa"/>
            <w:tcBorders>
              <w:top w:val="nil"/>
              <w:left w:val="single" w:sz="4" w:space="0" w:color="auto"/>
              <w:bottom w:val="nil"/>
              <w:right w:val="single" w:sz="4" w:space="0" w:color="auto"/>
            </w:tcBorders>
          </w:tcPr>
          <w:p w:rsidR="00000000" w:rsidRDefault="00000000">
            <w:pPr>
              <w:pStyle w:val="aa"/>
            </w:pPr>
            <w:r>
              <w:rPr>
                <w:rFonts w:hint="eastAsia"/>
              </w:rPr>
              <w:t>合</w:t>
            </w:r>
            <w:r>
              <w:rPr>
                <w:rFonts w:hint="eastAsia"/>
              </w:rPr>
              <w:t xml:space="preserve">  </w:t>
            </w:r>
            <w:r>
              <w:rPr>
                <w:rFonts w:hint="eastAsia"/>
              </w:rPr>
              <w:t>计</w:t>
            </w:r>
            <w:r>
              <w:br/>
            </w:r>
            <w:r>
              <w:rPr>
                <w:rFonts w:hint="eastAsia"/>
              </w:rPr>
              <w:t>初等学校</w:t>
            </w:r>
            <w:r>
              <w:t xml:space="preserve"> </w:t>
            </w:r>
            <w:r>
              <w:br/>
            </w:r>
            <w:r>
              <w:rPr>
                <w:rFonts w:hint="eastAsia"/>
              </w:rPr>
              <w:t>特殊学校</w:t>
            </w:r>
          </w:p>
        </w:tc>
        <w:tc>
          <w:tcPr>
            <w:tcW w:w="1021" w:type="dxa"/>
            <w:tcBorders>
              <w:top w:val="nil"/>
              <w:left w:val="single" w:sz="4" w:space="0" w:color="auto"/>
              <w:bottom w:val="nil"/>
              <w:right w:val="single" w:sz="4" w:space="0" w:color="auto"/>
            </w:tcBorders>
          </w:tcPr>
          <w:p w:rsidR="00000000" w:rsidRDefault="00000000">
            <w:pPr>
              <w:pStyle w:val="aa"/>
              <w:ind w:right="227"/>
              <w:jc w:val="right"/>
            </w:pPr>
            <w:r>
              <w:t>263</w:t>
            </w:r>
            <w:r>
              <w:br/>
              <w:t>263</w:t>
            </w:r>
            <w:r>
              <w:br/>
              <w:t>x</w:t>
            </w:r>
          </w:p>
        </w:tc>
        <w:tc>
          <w:tcPr>
            <w:tcW w:w="1021" w:type="dxa"/>
            <w:tcBorders>
              <w:top w:val="nil"/>
              <w:left w:val="single" w:sz="4" w:space="0" w:color="auto"/>
              <w:bottom w:val="nil"/>
              <w:right w:val="single" w:sz="4" w:space="0" w:color="auto"/>
            </w:tcBorders>
          </w:tcPr>
          <w:p w:rsidR="00000000" w:rsidRDefault="00000000">
            <w:pPr>
              <w:pStyle w:val="aa"/>
              <w:ind w:right="227"/>
              <w:jc w:val="right"/>
            </w:pPr>
            <w:r>
              <w:t>452</w:t>
            </w:r>
            <w:r>
              <w:br/>
              <w:t>452</w:t>
            </w:r>
            <w:r>
              <w:br/>
              <w:t>x</w:t>
            </w:r>
          </w:p>
        </w:tc>
        <w:tc>
          <w:tcPr>
            <w:tcW w:w="1021" w:type="dxa"/>
            <w:tcBorders>
              <w:top w:val="nil"/>
              <w:left w:val="single" w:sz="4" w:space="0" w:color="auto"/>
              <w:bottom w:val="nil"/>
              <w:right w:val="single" w:sz="4" w:space="0" w:color="auto"/>
            </w:tcBorders>
          </w:tcPr>
          <w:p w:rsidR="00000000" w:rsidRDefault="00000000">
            <w:pPr>
              <w:pStyle w:val="aa"/>
              <w:ind w:right="227"/>
              <w:jc w:val="right"/>
            </w:pPr>
            <w:r>
              <w:t>582</w:t>
            </w:r>
            <w:r>
              <w:br/>
              <w:t>582</w:t>
            </w:r>
            <w:r>
              <w:br/>
              <w:t>x</w:t>
            </w:r>
          </w:p>
        </w:tc>
        <w:tc>
          <w:tcPr>
            <w:tcW w:w="1021" w:type="dxa"/>
            <w:tcBorders>
              <w:top w:val="nil"/>
              <w:left w:val="single" w:sz="4" w:space="0" w:color="auto"/>
              <w:bottom w:val="nil"/>
              <w:right w:val="single" w:sz="4" w:space="0" w:color="auto"/>
            </w:tcBorders>
          </w:tcPr>
          <w:p w:rsidR="00000000" w:rsidRDefault="00000000">
            <w:pPr>
              <w:pStyle w:val="aa"/>
              <w:ind w:right="227"/>
              <w:jc w:val="right"/>
            </w:pPr>
            <w:r>
              <w:t>235</w:t>
            </w:r>
            <w:r>
              <w:br/>
              <w:t>235</w:t>
            </w:r>
            <w:r>
              <w:br/>
              <w:t>x</w:t>
            </w:r>
          </w:p>
        </w:tc>
        <w:tc>
          <w:tcPr>
            <w:tcW w:w="1021" w:type="dxa"/>
            <w:tcBorders>
              <w:top w:val="nil"/>
              <w:left w:val="single" w:sz="4" w:space="0" w:color="auto"/>
              <w:bottom w:val="nil"/>
              <w:right w:val="single" w:sz="4" w:space="0" w:color="auto"/>
            </w:tcBorders>
          </w:tcPr>
          <w:p w:rsidR="00000000" w:rsidRDefault="00000000">
            <w:pPr>
              <w:pStyle w:val="aa"/>
              <w:ind w:right="227"/>
              <w:jc w:val="right"/>
            </w:pPr>
            <w:r>
              <w:t>271</w:t>
            </w:r>
            <w:r>
              <w:br/>
              <w:t>188</w:t>
            </w:r>
            <w:r>
              <w:br/>
              <w:t>83</w:t>
            </w:r>
          </w:p>
        </w:tc>
        <w:tc>
          <w:tcPr>
            <w:tcW w:w="1021" w:type="dxa"/>
            <w:tcBorders>
              <w:top w:val="nil"/>
              <w:left w:val="single" w:sz="4" w:space="0" w:color="auto"/>
              <w:bottom w:val="nil"/>
              <w:right w:val="single" w:sz="4" w:space="0" w:color="auto"/>
            </w:tcBorders>
          </w:tcPr>
          <w:p w:rsidR="00000000" w:rsidRDefault="00000000">
            <w:pPr>
              <w:pStyle w:val="aa"/>
              <w:ind w:right="227"/>
              <w:jc w:val="right"/>
            </w:pPr>
            <w:r>
              <w:t>291</w:t>
            </w:r>
            <w:r>
              <w:br/>
              <w:t>187</w:t>
            </w:r>
            <w:r>
              <w:br/>
              <w:t>104</w:t>
            </w:r>
          </w:p>
        </w:tc>
      </w:tr>
      <w:tr w:rsidR="00000000">
        <w:tblPrEx>
          <w:tblCellMar>
            <w:top w:w="0" w:type="dxa"/>
            <w:bottom w:w="0" w:type="dxa"/>
          </w:tblCellMar>
        </w:tblPrEx>
        <w:tc>
          <w:tcPr>
            <w:tcW w:w="1289" w:type="dxa"/>
            <w:tcBorders>
              <w:top w:val="nil"/>
              <w:left w:val="single" w:sz="4" w:space="0" w:color="auto"/>
              <w:bottom w:val="single" w:sz="4" w:space="0" w:color="auto"/>
              <w:right w:val="single" w:sz="4" w:space="0" w:color="auto"/>
            </w:tcBorders>
          </w:tcPr>
          <w:p w:rsidR="00000000" w:rsidRDefault="00000000">
            <w:pPr>
              <w:pStyle w:val="aa"/>
              <w:spacing w:after="120"/>
            </w:pPr>
            <w:r>
              <w:rPr>
                <w:rFonts w:hint="eastAsia"/>
              </w:rPr>
              <w:t>学</w:t>
            </w:r>
            <w:r>
              <w:rPr>
                <w:rFonts w:hint="eastAsia"/>
              </w:rPr>
              <w:t xml:space="preserve">  </w:t>
            </w:r>
            <w:r>
              <w:rPr>
                <w:rFonts w:hint="eastAsia"/>
              </w:rPr>
              <w:t>生</w:t>
            </w:r>
            <w:r>
              <w:t xml:space="preserve"> </w:t>
            </w:r>
            <w:r>
              <w:rPr>
                <w:u w:val="single"/>
              </w:rPr>
              <w:t>a</w:t>
            </w:r>
            <w:r>
              <w:rPr>
                <w:rFonts w:hint="eastAsia"/>
              </w:rPr>
              <w:t>/</w:t>
            </w:r>
          </w:p>
        </w:tc>
        <w:tc>
          <w:tcPr>
            <w:tcW w:w="1418" w:type="dxa"/>
            <w:tcBorders>
              <w:top w:val="nil"/>
              <w:left w:val="single" w:sz="4" w:space="0" w:color="auto"/>
              <w:bottom w:val="single" w:sz="4" w:space="0" w:color="auto"/>
              <w:right w:val="single" w:sz="4" w:space="0" w:color="auto"/>
            </w:tcBorders>
          </w:tcPr>
          <w:p w:rsidR="00000000" w:rsidRDefault="00000000">
            <w:pPr>
              <w:pStyle w:val="aa"/>
              <w:spacing w:after="120"/>
            </w:pPr>
            <w:r>
              <w:rPr>
                <w:rFonts w:hint="eastAsia"/>
              </w:rPr>
              <w:t>合</w:t>
            </w:r>
            <w:r>
              <w:rPr>
                <w:rFonts w:hint="eastAsia"/>
              </w:rPr>
              <w:t xml:space="preserve">  </w:t>
            </w:r>
            <w:r>
              <w:rPr>
                <w:rFonts w:hint="eastAsia"/>
              </w:rPr>
              <w:t>计</w:t>
            </w:r>
            <w:r>
              <w:br/>
            </w:r>
            <w:r>
              <w:rPr>
                <w:rFonts w:hint="eastAsia"/>
              </w:rPr>
              <w:t>初等学校</w:t>
            </w:r>
            <w:r>
              <w:t xml:space="preserve"> </w:t>
            </w:r>
            <w:r>
              <w:br/>
            </w:r>
            <w:r>
              <w:rPr>
                <w:rFonts w:hint="eastAsia"/>
              </w:rPr>
              <w:t>特殊学校</w:t>
            </w:r>
          </w:p>
        </w:tc>
        <w:tc>
          <w:tcPr>
            <w:tcW w:w="1021"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5 060</w:t>
            </w:r>
            <w:r>
              <w:br/>
              <w:t>5 060</w:t>
            </w:r>
            <w:r>
              <w:br/>
              <w:t>x</w:t>
            </w:r>
          </w:p>
        </w:tc>
        <w:tc>
          <w:tcPr>
            <w:tcW w:w="1021"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7 266</w:t>
            </w:r>
            <w:r>
              <w:br/>
              <w:t>7 266</w:t>
            </w:r>
            <w:r>
              <w:br/>
              <w:t>x</w:t>
            </w:r>
          </w:p>
        </w:tc>
        <w:tc>
          <w:tcPr>
            <w:tcW w:w="1021"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8 504</w:t>
            </w:r>
            <w:r>
              <w:br/>
              <w:t>8 504</w:t>
            </w:r>
            <w:r>
              <w:br/>
              <w:t>x</w:t>
            </w:r>
          </w:p>
        </w:tc>
        <w:tc>
          <w:tcPr>
            <w:tcW w:w="1021"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3 384</w:t>
            </w:r>
            <w:r>
              <w:br/>
              <w:t>3 384</w:t>
            </w:r>
            <w:r>
              <w:br/>
              <w:t>x</w:t>
            </w:r>
          </w:p>
        </w:tc>
        <w:tc>
          <w:tcPr>
            <w:tcW w:w="1021"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3 375</w:t>
            </w:r>
            <w:r>
              <w:br/>
              <w:t>2 269</w:t>
            </w:r>
            <w:r>
              <w:br/>
              <w:t>1 106</w:t>
            </w:r>
          </w:p>
        </w:tc>
        <w:tc>
          <w:tcPr>
            <w:tcW w:w="1021"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5 234</w:t>
            </w:r>
            <w:r>
              <w:br/>
              <w:t>3 785</w:t>
            </w:r>
            <w:r>
              <w:br/>
              <w:t>1 449</w:t>
            </w:r>
          </w:p>
        </w:tc>
      </w:tr>
    </w:tbl>
    <w:p w:rsidR="00000000" w:rsidRDefault="00000000">
      <w:pPr>
        <w:spacing w:before="240" w:line="240" w:lineRule="auto"/>
        <w:rPr>
          <w:rFonts w:eastAsia="KaiTi_GB2312" w:hint="eastAsia"/>
          <w:spacing w:val="0"/>
        </w:rPr>
      </w:pPr>
      <w:r>
        <w:rPr>
          <w:rFonts w:eastAsia="KaiTi_GB2312" w:hint="eastAsia"/>
          <w:spacing w:val="0"/>
          <w:u w:val="single"/>
        </w:rPr>
        <w:t>资料来源</w:t>
      </w:r>
      <w:r>
        <w:rPr>
          <w:rFonts w:eastAsia="KaiTi_GB2312" w:hint="eastAsia"/>
          <w:spacing w:val="0"/>
        </w:rPr>
        <w:t>：教育信息协会。</w:t>
      </w:r>
    </w:p>
    <w:p w:rsidR="00000000" w:rsidRDefault="00000000">
      <w:pPr>
        <w:spacing w:line="240" w:lineRule="auto"/>
        <w:rPr>
          <w:rFonts w:eastAsia="KaiTi_GB2312" w:hint="eastAsia"/>
          <w:spacing w:val="0"/>
          <w:sz w:val="22"/>
          <w:szCs w:val="22"/>
        </w:rPr>
      </w:pPr>
      <w:r>
        <w:rPr>
          <w:rFonts w:hint="eastAsia"/>
        </w:rPr>
        <w:tab/>
        <w:t xml:space="preserve">  </w:t>
      </w:r>
      <w:r>
        <w:rPr>
          <w:u w:val="single"/>
        </w:rPr>
        <w:t>a</w:t>
      </w:r>
      <w:r>
        <w:rPr>
          <w:rFonts w:hint="eastAsia"/>
        </w:rPr>
        <w:t>/</w:t>
      </w:r>
      <w:r>
        <w:rPr>
          <w:rFonts w:hint="eastAsia"/>
          <w:sz w:val="22"/>
          <w:szCs w:val="22"/>
        </w:rPr>
        <w:t xml:space="preserve">  </w:t>
      </w:r>
      <w:r>
        <w:rPr>
          <w:rFonts w:eastAsia="KaiTi_GB2312" w:hint="eastAsia"/>
          <w:spacing w:val="0"/>
          <w:sz w:val="22"/>
          <w:szCs w:val="22"/>
        </w:rPr>
        <w:t>初等学校和特殊学校提供的教育。从</w:t>
      </w:r>
      <w:r>
        <w:rPr>
          <w:rFonts w:eastAsia="KaiTi_GB2312" w:hint="eastAsia"/>
          <w:spacing w:val="0"/>
          <w:sz w:val="22"/>
          <w:szCs w:val="22"/>
        </w:rPr>
        <w:t>1999/2000</w:t>
      </w:r>
      <w:r>
        <w:rPr>
          <w:rFonts w:eastAsia="KaiTi_GB2312" w:hint="eastAsia"/>
          <w:spacing w:val="0"/>
          <w:sz w:val="22"/>
          <w:szCs w:val="22"/>
        </w:rPr>
        <w:t>学年起，补习学校也将能够提供补充</w:t>
      </w:r>
      <w:r>
        <w:rPr>
          <w:rFonts w:eastAsia="KaiTi_GB2312"/>
          <w:spacing w:val="0"/>
          <w:sz w:val="22"/>
          <w:szCs w:val="22"/>
        </w:rPr>
        <w:br/>
      </w:r>
      <w:r>
        <w:rPr>
          <w:rFonts w:eastAsia="KaiTi_GB2312" w:hint="eastAsia"/>
          <w:spacing w:val="0"/>
          <w:sz w:val="22"/>
          <w:szCs w:val="22"/>
        </w:rPr>
        <w:tab/>
      </w:r>
      <w:r>
        <w:rPr>
          <w:rFonts w:eastAsia="KaiTi_GB2312" w:hint="eastAsia"/>
          <w:spacing w:val="0"/>
          <w:sz w:val="22"/>
          <w:szCs w:val="22"/>
        </w:rPr>
        <w:tab/>
        <w:t xml:space="preserve">  </w:t>
      </w:r>
      <w:r>
        <w:rPr>
          <w:rFonts w:eastAsia="KaiTi_GB2312" w:hint="eastAsia"/>
          <w:spacing w:val="0"/>
          <w:sz w:val="22"/>
          <w:szCs w:val="22"/>
        </w:rPr>
        <w:t>教育。</w:t>
      </w:r>
    </w:p>
    <w:p w:rsidR="00000000" w:rsidRDefault="00000000">
      <w:pPr>
        <w:spacing w:after="320" w:line="240" w:lineRule="auto"/>
        <w:rPr>
          <w:rFonts w:eastAsia="KaiTi_GB2312" w:hint="eastAsia"/>
          <w:spacing w:val="0"/>
          <w:sz w:val="22"/>
          <w:szCs w:val="22"/>
        </w:rPr>
      </w:pPr>
      <w:r>
        <w:rPr>
          <w:rFonts w:hint="eastAsia"/>
        </w:rPr>
        <w:tab/>
        <w:t xml:space="preserve">  </w:t>
      </w:r>
      <w:r>
        <w:rPr>
          <w:u w:val="single"/>
        </w:rPr>
        <w:t>b</w:t>
      </w:r>
      <w:r>
        <w:rPr>
          <w:rFonts w:hint="eastAsia"/>
        </w:rPr>
        <w:t>/</w:t>
      </w:r>
      <w:r>
        <w:rPr>
          <w:rFonts w:hint="eastAsia"/>
          <w:sz w:val="22"/>
          <w:szCs w:val="22"/>
        </w:rPr>
        <w:t xml:space="preserve">  </w:t>
      </w:r>
      <w:r>
        <w:rPr>
          <w:rFonts w:eastAsia="KaiTi_GB2312" w:hint="eastAsia"/>
          <w:spacing w:val="0"/>
          <w:sz w:val="22"/>
          <w:szCs w:val="22"/>
        </w:rPr>
        <w:t>初等学校提供的补充性初等教育课程也可以在特殊学校、中等职业学校、综合中等</w:t>
      </w:r>
      <w:r>
        <w:rPr>
          <w:rFonts w:eastAsia="KaiTi_GB2312"/>
          <w:spacing w:val="0"/>
          <w:sz w:val="22"/>
          <w:szCs w:val="22"/>
        </w:rPr>
        <w:br/>
      </w:r>
      <w:r>
        <w:rPr>
          <w:rFonts w:eastAsia="KaiTi_GB2312" w:hint="eastAsia"/>
          <w:spacing w:val="0"/>
          <w:sz w:val="22"/>
          <w:szCs w:val="22"/>
        </w:rPr>
        <w:tab/>
      </w:r>
      <w:r>
        <w:rPr>
          <w:rFonts w:eastAsia="KaiTi_GB2312" w:hint="eastAsia"/>
          <w:spacing w:val="0"/>
          <w:sz w:val="22"/>
          <w:szCs w:val="22"/>
        </w:rPr>
        <w:tab/>
        <w:t xml:space="preserve">  </w:t>
      </w:r>
      <w:r>
        <w:rPr>
          <w:rFonts w:eastAsia="KaiTi_GB2312" w:hint="eastAsia"/>
          <w:spacing w:val="0"/>
          <w:sz w:val="22"/>
          <w:szCs w:val="22"/>
        </w:rPr>
        <w:t>学校、中等行业学校和中等职业学校提供。</w:t>
      </w:r>
    </w:p>
    <w:p w:rsidR="00000000" w:rsidRDefault="00000000">
      <w:pPr>
        <w:rPr>
          <w:rFonts w:hint="eastAsia"/>
        </w:rPr>
      </w:pPr>
      <w:r>
        <w:rPr>
          <w:rFonts w:hint="eastAsia"/>
        </w:rPr>
        <w:tab/>
        <w:t xml:space="preserve">620.  </w:t>
      </w:r>
      <w:r>
        <w:rPr>
          <w:rFonts w:hint="eastAsia"/>
        </w:rPr>
        <w:t>初等学校</w:t>
      </w:r>
      <w:r>
        <w:rPr>
          <w:rFonts w:hint="eastAsia"/>
        </w:rPr>
        <w:t>(</w:t>
      </w:r>
      <w:r>
        <w:rPr>
          <w:rFonts w:hint="eastAsia"/>
        </w:rPr>
        <w:t>向特殊学校的儿童</w:t>
      </w:r>
      <w:r>
        <w:rPr>
          <w:rFonts w:hint="eastAsia"/>
        </w:rPr>
        <w:t>)</w:t>
      </w:r>
      <w:r>
        <w:rPr>
          <w:rFonts w:hint="eastAsia"/>
        </w:rPr>
        <w:t>提供的补充教育和特殊学校</w:t>
      </w:r>
      <w:r>
        <w:rPr>
          <w:rFonts w:hint="eastAsia"/>
        </w:rPr>
        <w:t>(</w:t>
      </w:r>
      <w:r>
        <w:rPr>
          <w:rFonts w:hint="eastAsia"/>
        </w:rPr>
        <w:t>向实践学校的学生和向在比初等学校或特殊学校九年级低一年级完成义务教育或没有上完九年级的学生</w:t>
      </w:r>
      <w:r>
        <w:rPr>
          <w:rFonts w:hint="eastAsia"/>
        </w:rPr>
        <w:t>)</w:t>
      </w:r>
      <w:r>
        <w:rPr>
          <w:rFonts w:hint="eastAsia"/>
        </w:rPr>
        <w:t>提供的补充教育制约于教育、青年和体育部的指示。</w:t>
      </w:r>
      <w:r>
        <w:rPr>
          <w:rStyle w:val="EndnoteReference"/>
        </w:rPr>
        <w:endnoteReference w:id="371"/>
      </w:r>
      <w:r>
        <w:rPr>
          <w:rFonts w:hint="eastAsia"/>
        </w:rPr>
        <w:t xml:space="preserve">  </w:t>
      </w:r>
      <w:r>
        <w:rPr>
          <w:rFonts w:hint="eastAsia"/>
        </w:rPr>
        <w:t>课程申请的录取条件是完成义务教育和地区教育法</w:t>
      </w:r>
      <w:r>
        <w:rPr>
          <w:rFonts w:hint="eastAsia"/>
          <w:spacing w:val="-50"/>
        </w:rPr>
        <w:t>―</w:t>
      </w:r>
      <w:r>
        <w:rPr>
          <w:rFonts w:hint="eastAsia"/>
        </w:rPr>
        <w:t>―心理咨询办公室提出建议。在上课之前，学校核实申请人的知识程度和能力水平，以便评估该申请人是否适于上全部课程或者是否能够通过独立学习取得最后考试所需要的知识。补充初等教育课程为期一个学年。根据《国家教育管理和地方管理法》，开办这些课程的费用由经批准的具有小学和特殊学校管辖权的学校管理局支付。</w:t>
      </w:r>
    </w:p>
    <w:p w:rsidR="00000000" w:rsidRDefault="00000000">
      <w:pPr>
        <w:rPr>
          <w:rFonts w:hint="eastAsia"/>
        </w:rPr>
      </w:pPr>
      <w:r>
        <w:rPr>
          <w:rFonts w:hint="eastAsia"/>
        </w:rPr>
        <w:tab/>
        <w:t xml:space="preserve">621.  </w:t>
      </w:r>
      <w:r>
        <w:rPr>
          <w:rFonts w:hint="eastAsia"/>
        </w:rPr>
        <w:t>学校系统还保证为教育身心严重残疾的儿童创造尽可能最好的条件。对</w:t>
      </w:r>
      <w:r>
        <w:rPr>
          <w:rFonts w:hint="eastAsia"/>
        </w:rPr>
        <w:t>1995</w:t>
      </w:r>
      <w:r>
        <w:rPr>
          <w:rFonts w:hint="eastAsia"/>
        </w:rPr>
        <w:t>年《学校法》的修正案，除了其他事项以外，对《关于减少身心残疾的不利后果的措施的国民计划》</w:t>
      </w:r>
      <w:r>
        <w:rPr>
          <w:rStyle w:val="EndnoteReference"/>
        </w:rPr>
        <w:endnoteReference w:id="372"/>
      </w:r>
      <w:r>
        <w:rPr>
          <w:rFonts w:hint="eastAsia"/>
        </w:rPr>
        <w:t xml:space="preserve"> </w:t>
      </w:r>
      <w:r>
        <w:rPr>
          <w:rFonts w:hint="eastAsia"/>
        </w:rPr>
        <w:t>中提出的一项最艰巨的任务作出了反应：为《学校法》准许免除义务教育的特别严重残疾的儿童安排广义上的教育，使这些儿童也可以行使其接受教育的权利。”</w:t>
      </w:r>
    </w:p>
    <w:p w:rsidR="00000000" w:rsidRDefault="00000000">
      <w:pPr>
        <w:rPr>
          <w:rFonts w:hint="eastAsia"/>
        </w:rPr>
      </w:pPr>
      <w:r>
        <w:rPr>
          <w:rFonts w:hint="eastAsia"/>
        </w:rPr>
        <w:tab/>
        <w:t xml:space="preserve">622.  </w:t>
      </w:r>
      <w:r>
        <w:rPr>
          <w:rFonts w:hint="eastAsia"/>
        </w:rPr>
        <w:t>关于免除义务教育的《学校法》</w:t>
      </w:r>
      <w:r>
        <w:rPr>
          <w:rFonts w:hint="eastAsia"/>
        </w:rPr>
        <w:t>37</w:t>
      </w:r>
      <w:r>
        <w:rPr>
          <w:rFonts w:hint="eastAsia"/>
        </w:rPr>
        <w:t>条原先规定：“全国委员会应免除由于智力状况而无法接受教育的儿童的义务教育”，而在新的《学校法》草案中，这一条规定改成新的案文：“根据专家评估并经儿童法定代理人同意，学校管理局局长可在一段时间内免除身心严重残疾儿童的义务教育。他应同时规定一种与该儿童的身心能力相适应的教育形式。”</w:t>
      </w:r>
    </w:p>
    <w:p w:rsidR="00000000" w:rsidRDefault="00000000">
      <w:pPr>
        <w:rPr>
          <w:rFonts w:hint="eastAsia"/>
          <w:lang w:val="fr-CH"/>
        </w:rPr>
      </w:pPr>
      <w:r>
        <w:rPr>
          <w:rFonts w:hint="eastAsia"/>
        </w:rPr>
        <w:tab/>
        <w:t>623.  1995</w:t>
      </w:r>
      <w:r>
        <w:rPr>
          <w:rFonts w:hint="eastAsia"/>
        </w:rPr>
        <w:t>年，《学校法》修正案规定，智力严重残疾的儿童在上补习学校或被免除义务教育之前，可以接受一至三年的准备性教育</w:t>
      </w:r>
      <w:r>
        <w:rPr>
          <w:rFonts w:hint="eastAsia"/>
        </w:rPr>
        <w:t>(</w:t>
      </w:r>
      <w:r>
        <w:rPr>
          <w:rFonts w:hint="eastAsia"/>
        </w:rPr>
        <w:t>所谓的补习学校的准备级教育</w:t>
      </w:r>
      <w:r>
        <w:rPr>
          <w:rFonts w:hint="eastAsia"/>
        </w:rPr>
        <w:t>)</w:t>
      </w:r>
      <w:r>
        <w:rPr>
          <w:rFonts w:hint="eastAsia"/>
        </w:rPr>
        <w:t>。另外还以此方式设立了孤僻</w:t>
      </w:r>
      <w:r>
        <w:rPr>
          <w:rFonts w:hint="eastAsia"/>
          <w:lang w:val="fr-CH"/>
        </w:rPr>
        <w:t>症学生特殊班和聋哑人和盲人特殊班。</w:t>
      </w:r>
    </w:p>
    <w:p w:rsidR="00000000" w:rsidRDefault="00000000">
      <w:pPr>
        <w:spacing w:after="320"/>
        <w:rPr>
          <w:rFonts w:hint="eastAsia"/>
          <w:lang w:val="fr-CH"/>
        </w:rPr>
      </w:pPr>
      <w:r>
        <w:rPr>
          <w:rFonts w:hint="eastAsia"/>
          <w:lang w:val="fr-CH"/>
        </w:rPr>
        <w:tab/>
        <w:t>624.  1998</w:t>
      </w:r>
      <w:r>
        <w:rPr>
          <w:rFonts w:hint="eastAsia"/>
          <w:lang w:val="fr-CH"/>
        </w:rPr>
        <w:t>年，教育、青年和体育部通过副部长的决定</w:t>
      </w:r>
      <w:r>
        <w:rPr>
          <w:rFonts w:hint="eastAsia"/>
          <w:lang w:val="fr-CH"/>
        </w:rPr>
        <w:t xml:space="preserve"> </w:t>
      </w:r>
      <w:r>
        <w:rPr>
          <w:rStyle w:val="EndnoteReference"/>
          <w:lang w:val="fr-CH"/>
        </w:rPr>
        <w:endnoteReference w:id="373"/>
      </w:r>
      <w:r>
        <w:rPr>
          <w:rFonts w:hint="eastAsia"/>
          <w:lang w:val="fr-CH"/>
        </w:rPr>
        <w:t xml:space="preserve"> </w:t>
      </w:r>
      <w:r>
        <w:rPr>
          <w:rFonts w:hint="eastAsia"/>
          <w:lang w:val="fr-CH"/>
        </w:rPr>
        <w:t>在初等学校</w:t>
      </w:r>
      <w:r>
        <w:rPr>
          <w:rFonts w:hint="eastAsia"/>
          <w:lang w:val="fr-CH"/>
        </w:rPr>
        <w:t xml:space="preserve"> </w:t>
      </w:r>
      <w:r>
        <w:rPr>
          <w:rStyle w:val="EndnoteReference"/>
          <w:lang w:val="fr-CH"/>
        </w:rPr>
        <w:endnoteReference w:id="374"/>
      </w:r>
      <w:r>
        <w:rPr>
          <w:rFonts w:hint="eastAsia"/>
          <w:lang w:val="fr-CH"/>
        </w:rPr>
        <w:t xml:space="preserve"> </w:t>
      </w:r>
      <w:r>
        <w:rPr>
          <w:rFonts w:hint="eastAsia"/>
          <w:lang w:val="fr-CH"/>
        </w:rPr>
        <w:t>或特殊学校</w:t>
      </w:r>
      <w:r>
        <w:rPr>
          <w:rFonts w:hint="eastAsia"/>
          <w:lang w:val="fr-CH"/>
        </w:rPr>
        <w:t xml:space="preserve"> </w:t>
      </w:r>
      <w:r>
        <w:rPr>
          <w:rStyle w:val="EndnoteReference"/>
          <w:lang w:val="fr-CH"/>
        </w:rPr>
        <w:endnoteReference w:id="375"/>
      </w:r>
      <w:r>
        <w:rPr>
          <w:rFonts w:hint="eastAsia"/>
          <w:lang w:val="fr-CH"/>
        </w:rPr>
        <w:t xml:space="preserve"> </w:t>
      </w:r>
      <w:r>
        <w:rPr>
          <w:rFonts w:hint="eastAsia"/>
          <w:lang w:val="fr-CH"/>
        </w:rPr>
        <w:t>一级扩大身心残疾比较严重的人接受补充初等教育的机会。补习学校和特殊学校执行这项决定的方法主要是，特殊学校或补习学校根据《学校法》第</w:t>
      </w:r>
      <w:r>
        <w:rPr>
          <w:rFonts w:hint="eastAsia"/>
          <w:lang w:val="fr-CH"/>
        </w:rPr>
        <w:t xml:space="preserve">58 </w:t>
      </w:r>
      <w:r>
        <w:rPr>
          <w:lang w:val="fr-CH"/>
        </w:rPr>
        <w:t>a</w:t>
      </w:r>
      <w:r>
        <w:rPr>
          <w:rFonts w:hint="eastAsia"/>
          <w:lang w:val="fr-CH"/>
        </w:rPr>
        <w:t>节在试验的基础上开办取得教育的课程。</w:t>
      </w:r>
    </w:p>
    <w:p w:rsidR="00000000" w:rsidRDefault="00000000">
      <w:pPr>
        <w:pStyle w:val="Heading4"/>
        <w:rPr>
          <w:rFonts w:hint="eastAsia"/>
          <w:lang w:val="fr-CH"/>
        </w:rPr>
      </w:pPr>
      <w:r>
        <w:rPr>
          <w:rFonts w:hint="eastAsia"/>
          <w:lang w:val="fr-CH"/>
        </w:rPr>
        <w:t>第</w:t>
      </w:r>
      <w:r>
        <w:rPr>
          <w:rFonts w:hint="eastAsia"/>
          <w:lang w:val="fr-CH"/>
        </w:rPr>
        <w:t>2</w:t>
      </w:r>
      <w:r>
        <w:rPr>
          <w:rFonts w:hint="eastAsia"/>
          <w:lang w:val="fr-CH"/>
        </w:rPr>
        <w:t>款</w:t>
      </w:r>
      <w:r>
        <w:rPr>
          <w:lang w:val="fr-CH"/>
        </w:rPr>
        <w:t>(e)</w:t>
      </w:r>
      <w:r>
        <w:rPr>
          <w:rFonts w:hint="eastAsia"/>
          <w:lang w:val="fr-CH"/>
        </w:rPr>
        <w:t>项</w:t>
      </w:r>
    </w:p>
    <w:p w:rsidR="00000000" w:rsidRDefault="00000000">
      <w:pPr>
        <w:rPr>
          <w:rFonts w:hint="eastAsia"/>
          <w:lang w:val="fr-CH"/>
        </w:rPr>
      </w:pPr>
      <w:r>
        <w:rPr>
          <w:rFonts w:hint="eastAsia"/>
          <w:lang w:val="fr-CH"/>
        </w:rPr>
        <w:tab/>
        <w:t xml:space="preserve">625.  </w:t>
      </w:r>
      <w:r>
        <w:rPr>
          <w:rFonts w:hint="eastAsia"/>
          <w:lang w:val="fr-CH"/>
        </w:rPr>
        <w:t>一个重要的国际合作方案是达芬奇方案</w:t>
      </w:r>
      <w:r>
        <w:rPr>
          <w:rFonts w:hint="eastAsia"/>
          <w:lang w:val="fr-CH"/>
        </w:rPr>
        <w:t xml:space="preserve"> </w:t>
      </w:r>
      <w:r>
        <w:rPr>
          <w:rStyle w:val="EndnoteReference"/>
          <w:lang w:val="fr-CH"/>
        </w:rPr>
        <w:endnoteReference w:id="376"/>
      </w:r>
      <w:r>
        <w:rPr>
          <w:rFonts w:hint="eastAsia"/>
          <w:lang w:val="fr-CH"/>
        </w:rPr>
        <w:t>，目的是通过国家教育项目</w:t>
      </w:r>
      <w:r>
        <w:rPr>
          <w:rFonts w:hint="eastAsia"/>
        </w:rPr>
        <w:t>支持</w:t>
      </w:r>
      <w:r>
        <w:rPr>
          <w:rFonts w:hint="eastAsia"/>
          <w:lang w:val="fr-CH"/>
        </w:rPr>
        <w:t>发展教育系统的质量、创新和一种欧洲层面以及职业教育的实践。各项目由欧洲委员会判断和评估。伙伴的国际合作条件始终是重要的</w:t>
      </w:r>
      <w:r>
        <w:rPr>
          <w:rFonts w:hint="eastAsia"/>
          <w:spacing w:val="-50"/>
          <w:lang w:val="fr-CH"/>
        </w:rPr>
        <w:t>―</w:t>
      </w:r>
      <w:r>
        <w:rPr>
          <w:rFonts w:hint="eastAsia"/>
          <w:lang w:val="fr-CH"/>
        </w:rPr>
        <w:t>―申请人必须为执行其项目找到两个伙伴，其中至少一个伙伴必须来自欧洲联盟。除了教育机构以外，公司、劳工局、社会伙伴</w:t>
      </w:r>
      <w:r>
        <w:rPr>
          <w:rFonts w:hint="eastAsia"/>
          <w:lang w:val="fr-CH"/>
        </w:rPr>
        <w:t>(</w:t>
      </w:r>
      <w:r>
        <w:rPr>
          <w:rFonts w:hint="eastAsia"/>
          <w:lang w:val="fr-CH"/>
        </w:rPr>
        <w:t>即工会和雇主组织</w:t>
      </w:r>
      <w:r>
        <w:rPr>
          <w:rFonts w:hint="eastAsia"/>
          <w:lang w:val="fr-CH"/>
        </w:rPr>
        <w:t>)</w:t>
      </w:r>
      <w:r>
        <w:rPr>
          <w:rFonts w:hint="eastAsia"/>
          <w:lang w:val="fr-CH"/>
        </w:rPr>
        <w:t>和非营利性非政府组织也可以申请该方案的支持。捷克共和国自</w:t>
      </w:r>
      <w:r>
        <w:rPr>
          <w:rFonts w:hint="eastAsia"/>
          <w:lang w:val="fr-CH"/>
        </w:rPr>
        <w:t>1997</w:t>
      </w:r>
      <w:r>
        <w:rPr>
          <w:rFonts w:hint="eastAsia"/>
          <w:lang w:val="fr-CH"/>
        </w:rPr>
        <w:t>年底开始参加该方案。</w:t>
      </w:r>
    </w:p>
    <w:p w:rsidR="00000000" w:rsidRDefault="00000000">
      <w:pPr>
        <w:rPr>
          <w:rFonts w:hint="eastAsia"/>
        </w:rPr>
      </w:pPr>
      <w:r>
        <w:rPr>
          <w:rFonts w:hint="eastAsia"/>
          <w:lang w:val="fr-CH"/>
        </w:rPr>
        <w:tab/>
        <w:t xml:space="preserve">626.  </w:t>
      </w:r>
      <w:r>
        <w:rPr>
          <w:rFonts w:hint="eastAsia"/>
          <w:lang w:val="fr-CH"/>
        </w:rPr>
        <w:t>在报告期间，参加</w:t>
      </w:r>
      <w:r>
        <w:t xml:space="preserve">Tempus </w:t>
      </w:r>
      <w:r>
        <w:rPr>
          <w:rFonts w:hint="eastAsia"/>
        </w:rPr>
        <w:t>法尔方案是捷克中学后学校的一个重要事件；该方案支付学生、教师和年青社会工作者在外国大学的学习费用。</w:t>
      </w:r>
      <w:r>
        <w:rPr>
          <w:rFonts w:hint="eastAsia"/>
        </w:rPr>
        <w:t>1999</w:t>
      </w:r>
      <w:r>
        <w:rPr>
          <w:rFonts w:hint="eastAsia"/>
        </w:rPr>
        <w:t>年，这项与多数欧洲伙伴的合作转入苏格拉底方案。</w:t>
      </w:r>
    </w:p>
    <w:p w:rsidR="00000000" w:rsidRDefault="00000000">
      <w:pPr>
        <w:rPr>
          <w:rFonts w:hint="eastAsia"/>
        </w:rPr>
      </w:pPr>
      <w:r>
        <w:rPr>
          <w:rFonts w:hint="eastAsia"/>
        </w:rPr>
        <w:tab/>
        <w:t>627.  1994</w:t>
      </w:r>
      <w:r>
        <w:rPr>
          <w:rFonts w:hint="eastAsia"/>
        </w:rPr>
        <w:t>年，在欧洲法尔方案的支持下，劳动和社会事务部长设立了全国教育基金，该基金于</w:t>
      </w:r>
      <w:r>
        <w:rPr>
          <w:rFonts w:hint="eastAsia"/>
        </w:rPr>
        <w:t>1999</w:t>
      </w:r>
      <w:r>
        <w:rPr>
          <w:rFonts w:hint="eastAsia"/>
        </w:rPr>
        <w:t>年转入公共服务社。其任务是通过开发捷克共和国的人力资源来支持改造社会和经济并支持融入欧洲的进程，并通过支持所有各种形式的继续教育来推动发展终身教育。</w:t>
      </w:r>
    </w:p>
    <w:p w:rsidR="00000000" w:rsidRDefault="00000000">
      <w:pPr>
        <w:rPr>
          <w:rFonts w:hint="eastAsia"/>
        </w:rPr>
      </w:pPr>
      <w:r>
        <w:rPr>
          <w:rFonts w:hint="eastAsia"/>
        </w:rPr>
        <w:tab/>
        <w:t xml:space="preserve">628.  </w:t>
      </w:r>
      <w:r>
        <w:rPr>
          <w:rFonts w:hint="eastAsia"/>
        </w:rPr>
        <w:t>学校系统的运转和发展由教育、青年和体育部负责，因为按照所谓的《职权法》</w:t>
      </w:r>
      <w:r>
        <w:rPr>
          <w:rStyle w:val="EndnoteReference"/>
        </w:rPr>
        <w:endnoteReference w:id="377"/>
      </w:r>
      <w:r>
        <w:rPr>
          <w:rFonts w:hint="eastAsia"/>
        </w:rPr>
        <w:t xml:space="preserve"> </w:t>
      </w:r>
      <w:r>
        <w:rPr>
          <w:rFonts w:hint="eastAsia"/>
        </w:rPr>
        <w:t>第</w:t>
      </w:r>
      <w:r>
        <w:rPr>
          <w:rFonts w:hint="eastAsia"/>
        </w:rPr>
        <w:t>7</w:t>
      </w:r>
      <w:r>
        <w:rPr>
          <w:rFonts w:hint="eastAsia"/>
        </w:rPr>
        <w:t>节，该部是主管学前设施、学校设施、小学、中学和中学后学校并主管科学政策、研究和发展包括这方面国际合作的中央国家行政机构。</w:t>
      </w:r>
    </w:p>
    <w:p w:rsidR="00000000" w:rsidRDefault="00000000">
      <w:pPr>
        <w:rPr>
          <w:rFonts w:hint="eastAsia"/>
        </w:rPr>
      </w:pPr>
      <w:r>
        <w:rPr>
          <w:rFonts w:hint="eastAsia"/>
        </w:rPr>
        <w:tab/>
        <w:t xml:space="preserve">629.  </w:t>
      </w:r>
      <w:r>
        <w:rPr>
          <w:rFonts w:hint="eastAsia"/>
        </w:rPr>
        <w:t>《国家教育管理和地方教育管理法》规定的各级程序确保对创建和发展学校系统负责，该法令第</w:t>
      </w:r>
      <w:r>
        <w:rPr>
          <w:rFonts w:hint="eastAsia"/>
        </w:rPr>
        <w:t>3</w:t>
      </w:r>
      <w:r>
        <w:rPr>
          <w:rFonts w:hint="eastAsia"/>
        </w:rPr>
        <w:t>节规定了学校校长的职责，第</w:t>
      </w:r>
      <w:r>
        <w:rPr>
          <w:rFonts w:hint="eastAsia"/>
        </w:rPr>
        <w:t>5</w:t>
      </w:r>
      <w:r>
        <w:rPr>
          <w:rFonts w:hint="eastAsia"/>
        </w:rPr>
        <w:t>至第</w:t>
      </w:r>
      <w:r>
        <w:rPr>
          <w:rFonts w:hint="eastAsia"/>
        </w:rPr>
        <w:t>11</w:t>
      </w:r>
      <w:r>
        <w:rPr>
          <w:rFonts w:hint="eastAsia"/>
        </w:rPr>
        <w:t>节规定了学校管理局的职责，第</w:t>
      </w:r>
      <w:r>
        <w:rPr>
          <w:rFonts w:hint="eastAsia"/>
        </w:rPr>
        <w:t>12</w:t>
      </w:r>
      <w:r>
        <w:rPr>
          <w:rFonts w:hint="eastAsia"/>
        </w:rPr>
        <w:t>至第</w:t>
      </w:r>
      <w:r>
        <w:rPr>
          <w:rFonts w:hint="eastAsia"/>
        </w:rPr>
        <w:t>13</w:t>
      </w:r>
      <w:r>
        <w:t>(c)</w:t>
      </w:r>
      <w:r>
        <w:rPr>
          <w:rFonts w:hint="eastAsia"/>
        </w:rPr>
        <w:t>节规定了教育部的职责，第</w:t>
      </w:r>
      <w:r>
        <w:rPr>
          <w:rFonts w:hint="eastAsia"/>
        </w:rPr>
        <w:t>14</w:t>
      </w:r>
      <w:r>
        <w:rPr>
          <w:rFonts w:hint="eastAsia"/>
        </w:rPr>
        <w:t>和第</w:t>
      </w:r>
      <w:r>
        <w:rPr>
          <w:rFonts w:hint="eastAsia"/>
        </w:rPr>
        <w:t>15</w:t>
      </w:r>
      <w:r>
        <w:rPr>
          <w:rFonts w:hint="eastAsia"/>
        </w:rPr>
        <w:t>节规定了市政当局的职责。根据该法令第</w:t>
      </w:r>
      <w:r>
        <w:rPr>
          <w:rFonts w:hint="eastAsia"/>
        </w:rPr>
        <w:t>13</w:t>
      </w:r>
      <w:r>
        <w:t>(a)</w:t>
      </w:r>
      <w:r>
        <w:rPr>
          <w:rFonts w:hint="eastAsia"/>
        </w:rPr>
        <w:t>节第</w:t>
      </w:r>
      <w:r>
        <w:rPr>
          <w:rFonts w:hint="eastAsia"/>
        </w:rPr>
        <w:t>2</w:t>
      </w:r>
      <w:r>
        <w:rPr>
          <w:rFonts w:hint="eastAsia"/>
        </w:rPr>
        <w:t>段，学校的创建人通过指定的国家教育管理机构，作为申请学校分类或改变分类的一部分，向教育、青年和体育部提出教育大纲，供批准。《学校法》第</w:t>
      </w:r>
      <w:r>
        <w:rPr>
          <w:rFonts w:hint="eastAsia"/>
        </w:rPr>
        <w:t>11</w:t>
      </w:r>
      <w:r>
        <w:rPr>
          <w:rFonts w:hint="eastAsia"/>
        </w:rPr>
        <w:t>节也阐明确保学校系统的发展，指定中等职业学校的创建人担负某些任务，规定他们有责任向青年人提供职业培训，有义务为发展学生的能力和主动性创造积极的条件，并应参与解散、划分或合并这种学校。</w:t>
      </w:r>
    </w:p>
    <w:p w:rsidR="00000000" w:rsidRDefault="00000000">
      <w:pPr>
        <w:rPr>
          <w:rFonts w:hint="eastAsia"/>
        </w:rPr>
      </w:pPr>
      <w:r>
        <w:rPr>
          <w:rFonts w:hint="eastAsia"/>
        </w:rPr>
        <w:tab/>
        <w:t xml:space="preserve">630.  </w:t>
      </w:r>
      <w:r>
        <w:rPr>
          <w:rFonts w:hint="eastAsia"/>
        </w:rPr>
        <w:t>《学校法》规定了中学生的经济和物质保障，其中也包括专业文法学校和中等职业学校的学生的奖学金。第</w:t>
      </w:r>
      <w:r>
        <w:rPr>
          <w:rFonts w:hint="eastAsia"/>
        </w:rPr>
        <w:t>24</w:t>
      </w:r>
      <w:r>
        <w:rPr>
          <w:rFonts w:hint="eastAsia"/>
        </w:rPr>
        <w:t>节第</w:t>
      </w:r>
      <w:r>
        <w:rPr>
          <w:rFonts w:hint="eastAsia"/>
        </w:rPr>
        <w:t>2</w:t>
      </w:r>
      <w:r>
        <w:rPr>
          <w:rFonts w:hint="eastAsia"/>
        </w:rPr>
        <w:t>段规定，可以按照其社会状况和成绩，向专业文学学校和中等职业学校的学生提供奖学金和物质保障。物质保障特别包括食品和住房。奖学金和物质保障可以从国家预算资金或从各组织的资金中提供。放假期间也可以提供保障。</w:t>
      </w:r>
    </w:p>
    <w:p w:rsidR="00000000" w:rsidRDefault="00000000">
      <w:pPr>
        <w:rPr>
          <w:rFonts w:hint="eastAsia"/>
        </w:rPr>
      </w:pPr>
      <w:r>
        <w:rPr>
          <w:rFonts w:hint="eastAsia"/>
        </w:rPr>
        <w:tab/>
        <w:t xml:space="preserve">631.  </w:t>
      </w:r>
      <w:r>
        <w:rPr>
          <w:rFonts w:hint="eastAsia"/>
        </w:rPr>
        <w:t>通过教育部向按照《国家教育管理和地方教育管理法》第</w:t>
      </w:r>
      <w:r>
        <w:rPr>
          <w:rFonts w:hint="eastAsia"/>
        </w:rPr>
        <w:t>12</w:t>
      </w:r>
      <w:r>
        <w:rPr>
          <w:rFonts w:hint="eastAsia"/>
        </w:rPr>
        <w:t>节或按照《学校法》第</w:t>
      </w:r>
      <w:r>
        <w:rPr>
          <w:rFonts w:hint="eastAsia"/>
        </w:rPr>
        <w:t>12</w:t>
      </w:r>
      <w:r>
        <w:rPr>
          <w:rFonts w:hint="eastAsia"/>
        </w:rPr>
        <w:t>节设立的学校提供的财政资源，落实为教师创造物质条件。国立学校里的教师和社会工作者的工资参照《关于预算资助的组织和某些其他组织和机构中后备工作的工资和报酬法》。</w:t>
      </w:r>
    </w:p>
    <w:p w:rsidR="00000000" w:rsidRDefault="00000000">
      <w:pPr>
        <w:rPr>
          <w:rFonts w:hint="eastAsia"/>
        </w:rPr>
      </w:pPr>
      <w:r>
        <w:rPr>
          <w:rFonts w:hint="eastAsia"/>
        </w:rPr>
        <w:tab/>
        <w:t xml:space="preserve">632.  </w:t>
      </w:r>
      <w:r>
        <w:rPr>
          <w:rFonts w:hint="eastAsia"/>
        </w:rPr>
        <w:t>教育工作者的工资低于公共部门雇员的平均工资</w:t>
      </w:r>
      <w:r>
        <w:rPr>
          <w:rFonts w:hint="eastAsia"/>
        </w:rPr>
        <w:t>(</w:t>
      </w:r>
      <w:r>
        <w:rPr>
          <w:rFonts w:hint="eastAsia"/>
        </w:rPr>
        <w:t>见关于《公约》第</w:t>
      </w:r>
      <w:r>
        <w:rPr>
          <w:rFonts w:hint="eastAsia"/>
        </w:rPr>
        <w:t>7</w:t>
      </w:r>
      <w:r>
        <w:rPr>
          <w:rFonts w:hint="eastAsia"/>
        </w:rPr>
        <w:t>条的说明和表格</w:t>
      </w:r>
      <w:r>
        <w:rPr>
          <w:rFonts w:hint="eastAsia"/>
        </w:rPr>
        <w:t>)</w:t>
      </w:r>
      <w:r>
        <w:rPr>
          <w:rFonts w:hint="eastAsia"/>
        </w:rPr>
        <w:t>，这与他们的平均教育水平相反</w:t>
      </w:r>
      <w:r>
        <w:rPr>
          <w:rFonts w:hint="eastAsia"/>
        </w:rPr>
        <w:t>(</w:t>
      </w:r>
      <w:r>
        <w:rPr>
          <w:rFonts w:hint="eastAsia"/>
        </w:rPr>
        <w:t>担任所有各级教师的条件是完成中学后教育</w:t>
      </w:r>
      <w:r>
        <w:rPr>
          <w:rFonts w:hint="eastAsia"/>
        </w:rPr>
        <w:t>)</w:t>
      </w:r>
      <w:r>
        <w:rPr>
          <w:rFonts w:hint="eastAsia"/>
        </w:rPr>
        <w:t>。人们往往援引这一事实作为教育领域女性化的理由和许多师范学校毕业生跳出教育领域工作的理由。工作时间较短和假期较长的优点并不能弥补较低的工资水平。然而，工资水平较低并不仅仅是教育领域的问题，而且还是公共部门其他领域的问题</w:t>
      </w:r>
      <w:r>
        <w:rPr>
          <w:rFonts w:hint="eastAsia"/>
        </w:rPr>
        <w:t>(</w:t>
      </w:r>
      <w:r>
        <w:rPr>
          <w:rFonts w:hint="eastAsia"/>
        </w:rPr>
        <w:t>保健、文化、国家行政、特别是地方一级等</w:t>
      </w:r>
      <w:r>
        <w:rPr>
          <w:rFonts w:hint="eastAsia"/>
        </w:rPr>
        <w:t>)</w:t>
      </w:r>
      <w:r>
        <w:rPr>
          <w:rFonts w:hint="eastAsia"/>
        </w:rPr>
        <w:t>。</w:t>
      </w:r>
    </w:p>
    <w:p w:rsidR="00000000" w:rsidRDefault="00000000">
      <w:pPr>
        <w:spacing w:after="320"/>
        <w:rPr>
          <w:rFonts w:hint="eastAsia"/>
        </w:rPr>
      </w:pPr>
      <w:r>
        <w:rPr>
          <w:rFonts w:hint="eastAsia"/>
        </w:rPr>
        <w:tab/>
        <w:t xml:space="preserve">633.  </w:t>
      </w:r>
      <w:r>
        <w:rPr>
          <w:rFonts w:hint="eastAsia"/>
        </w:rPr>
        <w:t>一项政府法规</w:t>
      </w:r>
      <w:r>
        <w:rPr>
          <w:rFonts w:hint="eastAsia"/>
        </w:rPr>
        <w:t xml:space="preserve"> </w:t>
      </w:r>
      <w:r>
        <w:rPr>
          <w:rStyle w:val="EndnoteReference"/>
        </w:rPr>
        <w:endnoteReference w:id="378"/>
      </w:r>
      <w:r>
        <w:rPr>
          <w:rFonts w:hint="eastAsia"/>
        </w:rPr>
        <w:t xml:space="preserve"> </w:t>
      </w:r>
      <w:r>
        <w:rPr>
          <w:rFonts w:hint="eastAsia"/>
        </w:rPr>
        <w:t>规定了向私立学校、学前机构和学校机构提供补贴的条件和水平。</w:t>
      </w:r>
    </w:p>
    <w:p w:rsidR="00000000" w:rsidRDefault="00000000">
      <w:pPr>
        <w:pStyle w:val="Heading3"/>
        <w:spacing w:after="160"/>
        <w:rPr>
          <w:rFonts w:hint="eastAsia"/>
          <w:sz w:val="22"/>
          <w:u w:val="none"/>
        </w:rPr>
      </w:pPr>
      <w:r>
        <w:rPr>
          <w:rFonts w:hint="eastAsia"/>
        </w:rPr>
        <w:t>教育开支、占国内生产总值的比例和占国家预算开支的比例</w:t>
      </w:r>
      <w:r>
        <w:br/>
      </w:r>
      <w:r>
        <w:rPr>
          <w:rFonts w:hint="eastAsia"/>
          <w:sz w:val="22"/>
          <w:u w:val="none"/>
        </w:rPr>
        <w:t>(</w:t>
      </w:r>
      <w:r>
        <w:rPr>
          <w:rFonts w:hint="eastAsia"/>
          <w:sz w:val="22"/>
          <w:u w:val="none"/>
        </w:rPr>
        <w:t>以十亿捷克克朗计</w:t>
      </w:r>
      <w:r>
        <w:rPr>
          <w:rFonts w:hint="eastAsia"/>
          <w:sz w:val="22"/>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8"/>
        <w:gridCol w:w="960"/>
        <w:gridCol w:w="960"/>
        <w:gridCol w:w="960"/>
        <w:gridCol w:w="1080"/>
        <w:gridCol w:w="1080"/>
        <w:gridCol w:w="1063"/>
      </w:tblGrid>
      <w:tr w:rsidR="00000000">
        <w:tblPrEx>
          <w:tblCellMar>
            <w:top w:w="0" w:type="dxa"/>
            <w:bottom w:w="0" w:type="dxa"/>
          </w:tblCellMar>
        </w:tblPrEx>
        <w:tc>
          <w:tcPr>
            <w:tcW w:w="3468" w:type="dxa"/>
          </w:tcPr>
          <w:p w:rsidR="00000000" w:rsidRDefault="00000000">
            <w:pPr>
              <w:spacing w:before="60" w:line="312" w:lineRule="auto"/>
              <w:jc w:val="center"/>
              <w:rPr>
                <w:rFonts w:hint="eastAsia"/>
              </w:rPr>
            </w:pPr>
          </w:p>
        </w:tc>
        <w:tc>
          <w:tcPr>
            <w:tcW w:w="960" w:type="dxa"/>
          </w:tcPr>
          <w:p w:rsidR="00000000" w:rsidRDefault="00000000">
            <w:pPr>
              <w:spacing w:before="60" w:line="312" w:lineRule="auto"/>
              <w:jc w:val="center"/>
              <w:rPr>
                <w:rFonts w:hint="eastAsia"/>
                <w:b/>
                <w:bCs/>
                <w:sz w:val="22"/>
              </w:rPr>
            </w:pPr>
            <w:r>
              <w:rPr>
                <w:rFonts w:hint="eastAsia"/>
                <w:b/>
                <w:bCs/>
                <w:sz w:val="22"/>
              </w:rPr>
              <w:t>1993</w:t>
            </w:r>
          </w:p>
        </w:tc>
        <w:tc>
          <w:tcPr>
            <w:tcW w:w="960" w:type="dxa"/>
          </w:tcPr>
          <w:p w:rsidR="00000000" w:rsidRDefault="00000000">
            <w:pPr>
              <w:spacing w:before="60" w:line="312" w:lineRule="auto"/>
              <w:jc w:val="center"/>
              <w:rPr>
                <w:rFonts w:hint="eastAsia"/>
                <w:b/>
                <w:bCs/>
                <w:sz w:val="22"/>
              </w:rPr>
            </w:pPr>
            <w:r>
              <w:rPr>
                <w:rFonts w:hint="eastAsia"/>
                <w:b/>
                <w:bCs/>
                <w:sz w:val="22"/>
              </w:rPr>
              <w:t>1994</w:t>
            </w:r>
          </w:p>
        </w:tc>
        <w:tc>
          <w:tcPr>
            <w:tcW w:w="960" w:type="dxa"/>
          </w:tcPr>
          <w:p w:rsidR="00000000" w:rsidRDefault="00000000">
            <w:pPr>
              <w:spacing w:before="60" w:line="312" w:lineRule="auto"/>
              <w:jc w:val="center"/>
              <w:rPr>
                <w:rFonts w:hint="eastAsia"/>
                <w:b/>
                <w:bCs/>
                <w:sz w:val="22"/>
              </w:rPr>
            </w:pPr>
            <w:r>
              <w:rPr>
                <w:rFonts w:hint="eastAsia"/>
                <w:b/>
                <w:bCs/>
                <w:sz w:val="22"/>
              </w:rPr>
              <w:t>1995</w:t>
            </w:r>
          </w:p>
        </w:tc>
        <w:tc>
          <w:tcPr>
            <w:tcW w:w="1080" w:type="dxa"/>
          </w:tcPr>
          <w:p w:rsidR="00000000" w:rsidRDefault="00000000">
            <w:pPr>
              <w:spacing w:before="60" w:line="312" w:lineRule="auto"/>
              <w:jc w:val="center"/>
              <w:rPr>
                <w:rFonts w:hint="eastAsia"/>
                <w:b/>
                <w:bCs/>
                <w:sz w:val="22"/>
              </w:rPr>
            </w:pPr>
            <w:r>
              <w:rPr>
                <w:rFonts w:hint="eastAsia"/>
                <w:b/>
                <w:bCs/>
                <w:sz w:val="22"/>
              </w:rPr>
              <w:t>1996</w:t>
            </w:r>
          </w:p>
        </w:tc>
        <w:tc>
          <w:tcPr>
            <w:tcW w:w="1080" w:type="dxa"/>
          </w:tcPr>
          <w:p w:rsidR="00000000" w:rsidRDefault="00000000">
            <w:pPr>
              <w:spacing w:before="60" w:line="312" w:lineRule="auto"/>
              <w:jc w:val="center"/>
              <w:rPr>
                <w:rFonts w:hint="eastAsia"/>
                <w:b/>
                <w:bCs/>
                <w:sz w:val="22"/>
              </w:rPr>
            </w:pPr>
            <w:r>
              <w:rPr>
                <w:rFonts w:hint="eastAsia"/>
                <w:b/>
                <w:bCs/>
                <w:sz w:val="22"/>
              </w:rPr>
              <w:t>1997</w:t>
            </w:r>
          </w:p>
        </w:tc>
        <w:tc>
          <w:tcPr>
            <w:tcW w:w="1063" w:type="dxa"/>
          </w:tcPr>
          <w:p w:rsidR="00000000" w:rsidRDefault="00000000">
            <w:pPr>
              <w:spacing w:before="60" w:line="312" w:lineRule="auto"/>
              <w:jc w:val="center"/>
              <w:rPr>
                <w:rFonts w:hint="eastAsia"/>
                <w:b/>
                <w:bCs/>
                <w:sz w:val="22"/>
              </w:rPr>
            </w:pPr>
            <w:r>
              <w:rPr>
                <w:rFonts w:hint="eastAsia"/>
                <w:b/>
                <w:bCs/>
                <w:sz w:val="22"/>
              </w:rPr>
              <w:t>1998</w:t>
            </w:r>
          </w:p>
        </w:tc>
      </w:tr>
      <w:tr w:rsidR="00000000">
        <w:tblPrEx>
          <w:tblCellMar>
            <w:top w:w="0" w:type="dxa"/>
            <w:bottom w:w="0" w:type="dxa"/>
          </w:tblCellMar>
        </w:tblPrEx>
        <w:tc>
          <w:tcPr>
            <w:tcW w:w="3468" w:type="dxa"/>
          </w:tcPr>
          <w:p w:rsidR="00000000" w:rsidRDefault="00000000">
            <w:pPr>
              <w:spacing w:before="60" w:line="312" w:lineRule="auto"/>
              <w:rPr>
                <w:rFonts w:hint="eastAsia"/>
                <w:sz w:val="21"/>
              </w:rPr>
            </w:pPr>
            <w:r>
              <w:rPr>
                <w:rFonts w:hint="eastAsia"/>
                <w:sz w:val="21"/>
              </w:rPr>
              <w:t>国内生产总值</w:t>
            </w:r>
            <w:r>
              <w:rPr>
                <w:rFonts w:hint="eastAsia"/>
                <w:sz w:val="21"/>
              </w:rPr>
              <w:t xml:space="preserve"> </w:t>
            </w:r>
            <w:r>
              <w:rPr>
                <w:sz w:val="21"/>
                <w:u w:val="single"/>
              </w:rPr>
              <w:t>a</w:t>
            </w:r>
            <w:r>
              <w:rPr>
                <w:rFonts w:hint="eastAsia"/>
                <w:sz w:val="21"/>
              </w:rPr>
              <w:t>/</w:t>
            </w:r>
          </w:p>
        </w:tc>
        <w:tc>
          <w:tcPr>
            <w:tcW w:w="960" w:type="dxa"/>
          </w:tcPr>
          <w:p w:rsidR="00000000" w:rsidRDefault="00000000">
            <w:pPr>
              <w:tabs>
                <w:tab w:val="decimal" w:pos="492"/>
              </w:tabs>
              <w:spacing w:before="60" w:line="312" w:lineRule="auto"/>
              <w:rPr>
                <w:rFonts w:hint="eastAsia"/>
                <w:sz w:val="21"/>
              </w:rPr>
            </w:pPr>
            <w:r>
              <w:rPr>
                <w:rFonts w:hint="eastAsia"/>
                <w:sz w:val="21"/>
              </w:rPr>
              <w:t>1,002.3</w:t>
            </w:r>
          </w:p>
        </w:tc>
        <w:tc>
          <w:tcPr>
            <w:tcW w:w="960" w:type="dxa"/>
          </w:tcPr>
          <w:p w:rsidR="00000000" w:rsidRDefault="00000000">
            <w:pPr>
              <w:tabs>
                <w:tab w:val="decimal" w:pos="492"/>
              </w:tabs>
              <w:spacing w:before="60" w:line="312" w:lineRule="auto"/>
              <w:rPr>
                <w:rFonts w:hint="eastAsia"/>
                <w:sz w:val="21"/>
              </w:rPr>
            </w:pPr>
            <w:r>
              <w:rPr>
                <w:rFonts w:hint="eastAsia"/>
                <w:sz w:val="21"/>
              </w:rPr>
              <w:t>1,148.6</w:t>
            </w:r>
          </w:p>
        </w:tc>
        <w:tc>
          <w:tcPr>
            <w:tcW w:w="960" w:type="dxa"/>
          </w:tcPr>
          <w:p w:rsidR="00000000" w:rsidRDefault="00000000">
            <w:pPr>
              <w:tabs>
                <w:tab w:val="decimal" w:pos="492"/>
              </w:tabs>
              <w:spacing w:before="60" w:line="312" w:lineRule="auto"/>
              <w:rPr>
                <w:rFonts w:hint="eastAsia"/>
                <w:sz w:val="21"/>
              </w:rPr>
            </w:pPr>
            <w:r>
              <w:rPr>
                <w:rFonts w:hint="eastAsia"/>
                <w:sz w:val="21"/>
              </w:rPr>
              <w:t>1,348.7</w:t>
            </w:r>
          </w:p>
        </w:tc>
        <w:tc>
          <w:tcPr>
            <w:tcW w:w="1080" w:type="dxa"/>
          </w:tcPr>
          <w:p w:rsidR="00000000" w:rsidRDefault="00000000">
            <w:pPr>
              <w:tabs>
                <w:tab w:val="decimal" w:pos="492"/>
              </w:tabs>
              <w:spacing w:before="60" w:line="312" w:lineRule="auto"/>
              <w:rPr>
                <w:rFonts w:hint="eastAsia"/>
                <w:sz w:val="21"/>
              </w:rPr>
            </w:pPr>
            <w:r>
              <w:rPr>
                <w:rFonts w:hint="eastAsia"/>
                <w:sz w:val="21"/>
              </w:rPr>
              <w:t>1,532.6</w:t>
            </w:r>
          </w:p>
        </w:tc>
        <w:tc>
          <w:tcPr>
            <w:tcW w:w="1080" w:type="dxa"/>
          </w:tcPr>
          <w:p w:rsidR="00000000" w:rsidRDefault="00000000">
            <w:pPr>
              <w:tabs>
                <w:tab w:val="decimal" w:pos="492"/>
              </w:tabs>
              <w:spacing w:before="60" w:line="312" w:lineRule="auto"/>
              <w:rPr>
                <w:rFonts w:hint="eastAsia"/>
                <w:sz w:val="21"/>
              </w:rPr>
            </w:pPr>
            <w:r>
              <w:rPr>
                <w:rFonts w:hint="eastAsia"/>
                <w:sz w:val="21"/>
              </w:rPr>
              <w:t>1,649.5</w:t>
            </w:r>
          </w:p>
        </w:tc>
        <w:tc>
          <w:tcPr>
            <w:tcW w:w="1063" w:type="dxa"/>
          </w:tcPr>
          <w:p w:rsidR="00000000" w:rsidRDefault="00000000">
            <w:pPr>
              <w:tabs>
                <w:tab w:val="decimal" w:pos="492"/>
              </w:tabs>
              <w:spacing w:before="60" w:line="312" w:lineRule="auto"/>
              <w:rPr>
                <w:rFonts w:hint="eastAsia"/>
                <w:sz w:val="21"/>
              </w:rPr>
            </w:pPr>
            <w:r>
              <w:rPr>
                <w:rFonts w:hint="eastAsia"/>
                <w:sz w:val="21"/>
              </w:rPr>
              <w:t>1,770.7</w:t>
            </w:r>
          </w:p>
        </w:tc>
      </w:tr>
      <w:tr w:rsidR="00000000">
        <w:tblPrEx>
          <w:tblCellMar>
            <w:top w:w="0" w:type="dxa"/>
            <w:bottom w:w="0" w:type="dxa"/>
          </w:tblCellMar>
        </w:tblPrEx>
        <w:tc>
          <w:tcPr>
            <w:tcW w:w="3468" w:type="dxa"/>
          </w:tcPr>
          <w:p w:rsidR="00000000" w:rsidRDefault="00000000">
            <w:pPr>
              <w:spacing w:before="60" w:line="312" w:lineRule="auto"/>
              <w:rPr>
                <w:sz w:val="21"/>
              </w:rPr>
            </w:pPr>
            <w:r>
              <w:rPr>
                <w:rFonts w:hint="eastAsia"/>
                <w:sz w:val="21"/>
              </w:rPr>
              <w:t>教育开支</w:t>
            </w:r>
            <w:r>
              <w:rPr>
                <w:rFonts w:hint="eastAsia"/>
                <w:sz w:val="21"/>
              </w:rPr>
              <w:t xml:space="preserve"> </w:t>
            </w:r>
            <w:r>
              <w:rPr>
                <w:sz w:val="21"/>
                <w:u w:val="single"/>
              </w:rPr>
              <w:t>b</w:t>
            </w:r>
            <w:r>
              <w:rPr>
                <w:sz w:val="21"/>
              </w:rPr>
              <w:t>/</w:t>
            </w:r>
          </w:p>
        </w:tc>
        <w:tc>
          <w:tcPr>
            <w:tcW w:w="960" w:type="dxa"/>
          </w:tcPr>
          <w:p w:rsidR="00000000" w:rsidRDefault="00000000">
            <w:pPr>
              <w:tabs>
                <w:tab w:val="decimal" w:pos="492"/>
              </w:tabs>
              <w:spacing w:before="60" w:line="312" w:lineRule="auto"/>
              <w:rPr>
                <w:rFonts w:hint="eastAsia"/>
                <w:sz w:val="21"/>
              </w:rPr>
            </w:pPr>
            <w:r>
              <w:rPr>
                <w:rFonts w:hint="eastAsia"/>
                <w:sz w:val="21"/>
              </w:rPr>
              <w:t>53.6</w:t>
            </w:r>
          </w:p>
        </w:tc>
        <w:tc>
          <w:tcPr>
            <w:tcW w:w="960" w:type="dxa"/>
          </w:tcPr>
          <w:p w:rsidR="00000000" w:rsidRDefault="00000000">
            <w:pPr>
              <w:tabs>
                <w:tab w:val="decimal" w:pos="492"/>
              </w:tabs>
              <w:spacing w:before="60" w:line="312" w:lineRule="auto"/>
              <w:rPr>
                <w:rFonts w:hint="eastAsia"/>
                <w:sz w:val="21"/>
              </w:rPr>
            </w:pPr>
            <w:r>
              <w:rPr>
                <w:rFonts w:hint="eastAsia"/>
                <w:sz w:val="21"/>
              </w:rPr>
              <w:t>63.2</w:t>
            </w:r>
          </w:p>
        </w:tc>
        <w:tc>
          <w:tcPr>
            <w:tcW w:w="960" w:type="dxa"/>
          </w:tcPr>
          <w:p w:rsidR="00000000" w:rsidRDefault="00000000">
            <w:pPr>
              <w:tabs>
                <w:tab w:val="decimal" w:pos="492"/>
              </w:tabs>
              <w:spacing w:before="60" w:line="312" w:lineRule="auto"/>
              <w:rPr>
                <w:rFonts w:hint="eastAsia"/>
                <w:sz w:val="21"/>
              </w:rPr>
            </w:pPr>
            <w:r>
              <w:rPr>
                <w:rFonts w:hint="eastAsia"/>
                <w:sz w:val="21"/>
              </w:rPr>
              <w:t>71.9</w:t>
            </w:r>
          </w:p>
        </w:tc>
        <w:tc>
          <w:tcPr>
            <w:tcW w:w="1080" w:type="dxa"/>
          </w:tcPr>
          <w:p w:rsidR="00000000" w:rsidRDefault="00000000">
            <w:pPr>
              <w:tabs>
                <w:tab w:val="decimal" w:pos="492"/>
              </w:tabs>
              <w:spacing w:before="60" w:line="312" w:lineRule="auto"/>
              <w:rPr>
                <w:rFonts w:hint="eastAsia"/>
                <w:sz w:val="21"/>
              </w:rPr>
            </w:pPr>
            <w:r>
              <w:rPr>
                <w:rFonts w:hint="eastAsia"/>
                <w:sz w:val="21"/>
              </w:rPr>
              <w:t>81.7</w:t>
            </w:r>
          </w:p>
        </w:tc>
        <w:tc>
          <w:tcPr>
            <w:tcW w:w="1080" w:type="dxa"/>
          </w:tcPr>
          <w:p w:rsidR="00000000" w:rsidRDefault="00000000">
            <w:pPr>
              <w:tabs>
                <w:tab w:val="decimal" w:pos="492"/>
              </w:tabs>
              <w:spacing w:before="60" w:line="312" w:lineRule="auto"/>
              <w:rPr>
                <w:rFonts w:hint="eastAsia"/>
                <w:sz w:val="21"/>
              </w:rPr>
            </w:pPr>
            <w:r>
              <w:rPr>
                <w:rFonts w:hint="eastAsia"/>
                <w:sz w:val="21"/>
              </w:rPr>
              <w:t>78.9</w:t>
            </w:r>
          </w:p>
        </w:tc>
        <w:tc>
          <w:tcPr>
            <w:tcW w:w="1063" w:type="dxa"/>
          </w:tcPr>
          <w:p w:rsidR="00000000" w:rsidRDefault="00000000">
            <w:pPr>
              <w:tabs>
                <w:tab w:val="decimal" w:pos="492"/>
              </w:tabs>
              <w:spacing w:before="60" w:line="312" w:lineRule="auto"/>
              <w:rPr>
                <w:rFonts w:hint="eastAsia"/>
                <w:sz w:val="21"/>
              </w:rPr>
            </w:pPr>
            <w:r>
              <w:rPr>
                <w:rFonts w:hint="eastAsia"/>
                <w:sz w:val="21"/>
              </w:rPr>
              <w:t>80.3</w:t>
            </w:r>
          </w:p>
        </w:tc>
      </w:tr>
      <w:tr w:rsidR="00000000">
        <w:tblPrEx>
          <w:tblCellMar>
            <w:top w:w="0" w:type="dxa"/>
            <w:bottom w:w="0" w:type="dxa"/>
          </w:tblCellMar>
        </w:tblPrEx>
        <w:tc>
          <w:tcPr>
            <w:tcW w:w="3468" w:type="dxa"/>
          </w:tcPr>
          <w:p w:rsidR="00000000" w:rsidRDefault="00000000">
            <w:pPr>
              <w:spacing w:before="60" w:line="312" w:lineRule="auto"/>
              <w:rPr>
                <w:rFonts w:hint="eastAsia"/>
                <w:sz w:val="21"/>
              </w:rPr>
            </w:pPr>
            <w:r>
              <w:rPr>
                <w:rFonts w:hint="eastAsia"/>
                <w:sz w:val="21"/>
              </w:rPr>
              <w:t>其中，来自以下方面的预算：</w:t>
            </w:r>
          </w:p>
        </w:tc>
        <w:tc>
          <w:tcPr>
            <w:tcW w:w="960" w:type="dxa"/>
          </w:tcPr>
          <w:p w:rsidR="00000000" w:rsidRDefault="00000000">
            <w:pPr>
              <w:tabs>
                <w:tab w:val="decimal" w:pos="492"/>
              </w:tabs>
              <w:spacing w:before="60" w:line="312" w:lineRule="auto"/>
              <w:rPr>
                <w:rFonts w:hint="eastAsia"/>
                <w:sz w:val="21"/>
              </w:rPr>
            </w:pPr>
          </w:p>
        </w:tc>
        <w:tc>
          <w:tcPr>
            <w:tcW w:w="960" w:type="dxa"/>
          </w:tcPr>
          <w:p w:rsidR="00000000" w:rsidRDefault="00000000">
            <w:pPr>
              <w:tabs>
                <w:tab w:val="decimal" w:pos="492"/>
              </w:tabs>
              <w:spacing w:before="60" w:line="312" w:lineRule="auto"/>
              <w:rPr>
                <w:rFonts w:hint="eastAsia"/>
                <w:sz w:val="21"/>
              </w:rPr>
            </w:pPr>
          </w:p>
        </w:tc>
        <w:tc>
          <w:tcPr>
            <w:tcW w:w="960" w:type="dxa"/>
          </w:tcPr>
          <w:p w:rsidR="00000000" w:rsidRDefault="00000000">
            <w:pPr>
              <w:tabs>
                <w:tab w:val="decimal" w:pos="492"/>
              </w:tabs>
              <w:spacing w:before="60" w:line="312" w:lineRule="auto"/>
              <w:rPr>
                <w:rFonts w:hint="eastAsia"/>
                <w:sz w:val="21"/>
              </w:rPr>
            </w:pPr>
          </w:p>
        </w:tc>
        <w:tc>
          <w:tcPr>
            <w:tcW w:w="1080" w:type="dxa"/>
          </w:tcPr>
          <w:p w:rsidR="00000000" w:rsidRDefault="00000000">
            <w:pPr>
              <w:tabs>
                <w:tab w:val="decimal" w:pos="492"/>
              </w:tabs>
              <w:spacing w:before="60" w:line="312" w:lineRule="auto"/>
              <w:rPr>
                <w:rFonts w:hint="eastAsia"/>
                <w:sz w:val="21"/>
              </w:rPr>
            </w:pPr>
          </w:p>
        </w:tc>
        <w:tc>
          <w:tcPr>
            <w:tcW w:w="1080" w:type="dxa"/>
          </w:tcPr>
          <w:p w:rsidR="00000000" w:rsidRDefault="00000000">
            <w:pPr>
              <w:tabs>
                <w:tab w:val="decimal" w:pos="492"/>
              </w:tabs>
              <w:spacing w:before="60" w:line="312" w:lineRule="auto"/>
              <w:rPr>
                <w:rFonts w:hint="eastAsia"/>
                <w:sz w:val="21"/>
              </w:rPr>
            </w:pPr>
          </w:p>
        </w:tc>
        <w:tc>
          <w:tcPr>
            <w:tcW w:w="1063" w:type="dxa"/>
          </w:tcPr>
          <w:p w:rsidR="00000000" w:rsidRDefault="00000000">
            <w:pPr>
              <w:tabs>
                <w:tab w:val="decimal" w:pos="492"/>
              </w:tabs>
              <w:spacing w:before="60" w:line="312" w:lineRule="auto"/>
              <w:rPr>
                <w:rFonts w:hint="eastAsia"/>
                <w:sz w:val="21"/>
              </w:rPr>
            </w:pPr>
          </w:p>
        </w:tc>
      </w:tr>
      <w:tr w:rsidR="00000000">
        <w:tblPrEx>
          <w:tblCellMar>
            <w:top w:w="0" w:type="dxa"/>
            <w:bottom w:w="0" w:type="dxa"/>
          </w:tblCellMar>
        </w:tblPrEx>
        <w:tc>
          <w:tcPr>
            <w:tcW w:w="3468" w:type="dxa"/>
          </w:tcPr>
          <w:p w:rsidR="00000000" w:rsidRDefault="00000000">
            <w:pPr>
              <w:spacing w:before="60" w:line="312" w:lineRule="auto"/>
              <w:ind w:left="510"/>
              <w:rPr>
                <w:rFonts w:hint="eastAsia"/>
                <w:sz w:val="21"/>
              </w:rPr>
            </w:pPr>
            <w:r>
              <w:rPr>
                <w:rFonts w:hint="eastAsia"/>
                <w:sz w:val="21"/>
              </w:rPr>
              <w:t>教育部</w:t>
            </w:r>
          </w:p>
        </w:tc>
        <w:tc>
          <w:tcPr>
            <w:tcW w:w="960" w:type="dxa"/>
          </w:tcPr>
          <w:p w:rsidR="00000000" w:rsidRDefault="00000000">
            <w:pPr>
              <w:tabs>
                <w:tab w:val="decimal" w:pos="492"/>
              </w:tabs>
              <w:spacing w:before="60" w:line="312" w:lineRule="auto"/>
              <w:rPr>
                <w:rFonts w:hint="eastAsia"/>
                <w:sz w:val="21"/>
              </w:rPr>
            </w:pPr>
            <w:r>
              <w:rPr>
                <w:rFonts w:hint="eastAsia"/>
                <w:sz w:val="21"/>
              </w:rPr>
              <w:t>41.1</w:t>
            </w:r>
          </w:p>
        </w:tc>
        <w:tc>
          <w:tcPr>
            <w:tcW w:w="960" w:type="dxa"/>
          </w:tcPr>
          <w:p w:rsidR="00000000" w:rsidRDefault="00000000">
            <w:pPr>
              <w:tabs>
                <w:tab w:val="decimal" w:pos="492"/>
              </w:tabs>
              <w:spacing w:before="60" w:line="312" w:lineRule="auto"/>
              <w:rPr>
                <w:rFonts w:hint="eastAsia"/>
                <w:sz w:val="21"/>
              </w:rPr>
            </w:pPr>
            <w:r>
              <w:rPr>
                <w:rFonts w:hint="eastAsia"/>
                <w:sz w:val="21"/>
              </w:rPr>
              <w:t>43.2</w:t>
            </w:r>
          </w:p>
        </w:tc>
        <w:tc>
          <w:tcPr>
            <w:tcW w:w="960" w:type="dxa"/>
          </w:tcPr>
          <w:p w:rsidR="00000000" w:rsidRDefault="00000000">
            <w:pPr>
              <w:tabs>
                <w:tab w:val="decimal" w:pos="492"/>
              </w:tabs>
              <w:spacing w:before="60" w:line="312" w:lineRule="auto"/>
              <w:rPr>
                <w:rFonts w:hint="eastAsia"/>
                <w:sz w:val="21"/>
              </w:rPr>
            </w:pPr>
            <w:r>
              <w:rPr>
                <w:rFonts w:hint="eastAsia"/>
                <w:sz w:val="21"/>
              </w:rPr>
              <w:t>49.3</w:t>
            </w:r>
          </w:p>
        </w:tc>
        <w:tc>
          <w:tcPr>
            <w:tcW w:w="1080" w:type="dxa"/>
          </w:tcPr>
          <w:p w:rsidR="00000000" w:rsidRDefault="00000000">
            <w:pPr>
              <w:tabs>
                <w:tab w:val="decimal" w:pos="492"/>
              </w:tabs>
              <w:spacing w:before="60" w:line="312" w:lineRule="auto"/>
              <w:rPr>
                <w:rFonts w:hint="eastAsia"/>
                <w:sz w:val="21"/>
              </w:rPr>
            </w:pPr>
            <w:r>
              <w:rPr>
                <w:rFonts w:hint="eastAsia"/>
                <w:sz w:val="21"/>
              </w:rPr>
              <w:t>63.8</w:t>
            </w:r>
          </w:p>
        </w:tc>
        <w:tc>
          <w:tcPr>
            <w:tcW w:w="1080" w:type="dxa"/>
          </w:tcPr>
          <w:p w:rsidR="00000000" w:rsidRDefault="00000000">
            <w:pPr>
              <w:tabs>
                <w:tab w:val="decimal" w:pos="492"/>
              </w:tabs>
              <w:spacing w:before="60" w:line="312" w:lineRule="auto"/>
              <w:rPr>
                <w:rFonts w:hint="eastAsia"/>
                <w:sz w:val="21"/>
              </w:rPr>
            </w:pPr>
            <w:r>
              <w:rPr>
                <w:rFonts w:hint="eastAsia"/>
                <w:sz w:val="21"/>
              </w:rPr>
              <w:t>62.8</w:t>
            </w:r>
          </w:p>
        </w:tc>
        <w:tc>
          <w:tcPr>
            <w:tcW w:w="1063" w:type="dxa"/>
          </w:tcPr>
          <w:p w:rsidR="00000000" w:rsidRDefault="00000000">
            <w:pPr>
              <w:tabs>
                <w:tab w:val="decimal" w:pos="492"/>
              </w:tabs>
              <w:spacing w:before="60" w:line="312" w:lineRule="auto"/>
              <w:rPr>
                <w:rFonts w:hint="eastAsia"/>
                <w:sz w:val="21"/>
              </w:rPr>
            </w:pPr>
            <w:r>
              <w:rPr>
                <w:rFonts w:hint="eastAsia"/>
                <w:sz w:val="21"/>
              </w:rPr>
              <w:t>63.9</w:t>
            </w:r>
          </w:p>
        </w:tc>
      </w:tr>
      <w:tr w:rsidR="00000000">
        <w:tblPrEx>
          <w:tblCellMar>
            <w:top w:w="0" w:type="dxa"/>
            <w:bottom w:w="0" w:type="dxa"/>
          </w:tblCellMar>
        </w:tblPrEx>
        <w:tc>
          <w:tcPr>
            <w:tcW w:w="3468" w:type="dxa"/>
          </w:tcPr>
          <w:p w:rsidR="00000000" w:rsidRDefault="00000000">
            <w:pPr>
              <w:spacing w:before="60" w:line="312" w:lineRule="auto"/>
              <w:ind w:left="510"/>
              <w:rPr>
                <w:rFonts w:hint="eastAsia"/>
                <w:sz w:val="21"/>
              </w:rPr>
            </w:pPr>
            <w:r>
              <w:rPr>
                <w:rFonts w:hint="eastAsia"/>
                <w:sz w:val="21"/>
              </w:rPr>
              <w:t>经济部</w:t>
            </w:r>
          </w:p>
        </w:tc>
        <w:tc>
          <w:tcPr>
            <w:tcW w:w="960" w:type="dxa"/>
          </w:tcPr>
          <w:p w:rsidR="00000000" w:rsidRDefault="00000000">
            <w:pPr>
              <w:tabs>
                <w:tab w:val="decimal" w:pos="492"/>
              </w:tabs>
              <w:spacing w:before="60" w:line="312" w:lineRule="auto"/>
              <w:rPr>
                <w:rFonts w:hint="eastAsia"/>
                <w:sz w:val="21"/>
              </w:rPr>
            </w:pPr>
            <w:r>
              <w:rPr>
                <w:rFonts w:hint="eastAsia"/>
                <w:sz w:val="21"/>
              </w:rPr>
              <w:t>-</w:t>
            </w:r>
          </w:p>
        </w:tc>
        <w:tc>
          <w:tcPr>
            <w:tcW w:w="960" w:type="dxa"/>
          </w:tcPr>
          <w:p w:rsidR="00000000" w:rsidRDefault="00000000">
            <w:pPr>
              <w:tabs>
                <w:tab w:val="decimal" w:pos="492"/>
              </w:tabs>
              <w:spacing w:before="60" w:line="312" w:lineRule="auto"/>
              <w:rPr>
                <w:rFonts w:hint="eastAsia"/>
                <w:sz w:val="21"/>
              </w:rPr>
            </w:pPr>
            <w:r>
              <w:rPr>
                <w:rFonts w:hint="eastAsia"/>
                <w:sz w:val="21"/>
              </w:rPr>
              <w:t>5.7</w:t>
            </w:r>
          </w:p>
        </w:tc>
        <w:tc>
          <w:tcPr>
            <w:tcW w:w="960" w:type="dxa"/>
          </w:tcPr>
          <w:p w:rsidR="00000000" w:rsidRDefault="00000000">
            <w:pPr>
              <w:tabs>
                <w:tab w:val="decimal" w:pos="492"/>
              </w:tabs>
              <w:spacing w:before="60" w:line="312" w:lineRule="auto"/>
              <w:rPr>
                <w:rFonts w:hint="eastAsia"/>
                <w:sz w:val="21"/>
              </w:rPr>
            </w:pPr>
            <w:r>
              <w:rPr>
                <w:rFonts w:hint="eastAsia"/>
                <w:sz w:val="21"/>
              </w:rPr>
              <w:t>6.4</w:t>
            </w:r>
          </w:p>
        </w:tc>
        <w:tc>
          <w:tcPr>
            <w:tcW w:w="1080" w:type="dxa"/>
          </w:tcPr>
          <w:p w:rsidR="00000000" w:rsidRDefault="00000000">
            <w:pPr>
              <w:tabs>
                <w:tab w:val="decimal" w:pos="492"/>
              </w:tabs>
              <w:spacing w:before="60" w:line="312" w:lineRule="auto"/>
              <w:rPr>
                <w:rFonts w:hint="eastAsia"/>
                <w:sz w:val="21"/>
              </w:rPr>
            </w:pPr>
            <w:r>
              <w:rPr>
                <w:rFonts w:hint="eastAsia"/>
                <w:sz w:val="21"/>
              </w:rPr>
              <w:t>-</w:t>
            </w:r>
          </w:p>
        </w:tc>
        <w:tc>
          <w:tcPr>
            <w:tcW w:w="1080" w:type="dxa"/>
          </w:tcPr>
          <w:p w:rsidR="00000000" w:rsidRDefault="00000000">
            <w:pPr>
              <w:tabs>
                <w:tab w:val="decimal" w:pos="492"/>
              </w:tabs>
              <w:spacing w:before="60" w:line="312" w:lineRule="auto"/>
              <w:rPr>
                <w:rFonts w:hint="eastAsia"/>
                <w:sz w:val="21"/>
              </w:rPr>
            </w:pPr>
            <w:r>
              <w:rPr>
                <w:rFonts w:hint="eastAsia"/>
                <w:sz w:val="21"/>
              </w:rPr>
              <w:t>-</w:t>
            </w:r>
          </w:p>
        </w:tc>
        <w:tc>
          <w:tcPr>
            <w:tcW w:w="1063" w:type="dxa"/>
          </w:tcPr>
          <w:p w:rsidR="00000000" w:rsidRDefault="00000000">
            <w:pPr>
              <w:tabs>
                <w:tab w:val="decimal" w:pos="492"/>
              </w:tabs>
              <w:spacing w:before="60" w:line="312" w:lineRule="auto"/>
              <w:rPr>
                <w:rFonts w:hint="eastAsia"/>
                <w:sz w:val="21"/>
              </w:rPr>
            </w:pPr>
            <w:r>
              <w:rPr>
                <w:rFonts w:hint="eastAsia"/>
                <w:sz w:val="21"/>
              </w:rPr>
              <w:t>-</w:t>
            </w:r>
          </w:p>
        </w:tc>
      </w:tr>
      <w:tr w:rsidR="00000000">
        <w:tblPrEx>
          <w:tblCellMar>
            <w:top w:w="0" w:type="dxa"/>
            <w:bottom w:w="0" w:type="dxa"/>
          </w:tblCellMar>
        </w:tblPrEx>
        <w:tc>
          <w:tcPr>
            <w:tcW w:w="3468" w:type="dxa"/>
          </w:tcPr>
          <w:p w:rsidR="00000000" w:rsidRDefault="00000000">
            <w:pPr>
              <w:spacing w:before="60" w:line="312" w:lineRule="auto"/>
              <w:ind w:left="510"/>
              <w:rPr>
                <w:rFonts w:hint="eastAsia"/>
                <w:sz w:val="21"/>
              </w:rPr>
            </w:pPr>
            <w:r>
              <w:rPr>
                <w:rFonts w:hint="eastAsia"/>
                <w:sz w:val="21"/>
              </w:rPr>
              <w:t>卫生部</w:t>
            </w:r>
          </w:p>
        </w:tc>
        <w:tc>
          <w:tcPr>
            <w:tcW w:w="960" w:type="dxa"/>
          </w:tcPr>
          <w:p w:rsidR="00000000" w:rsidRDefault="00000000">
            <w:pPr>
              <w:tabs>
                <w:tab w:val="decimal" w:pos="492"/>
              </w:tabs>
              <w:spacing w:before="60" w:line="312" w:lineRule="auto"/>
              <w:rPr>
                <w:rFonts w:hint="eastAsia"/>
                <w:sz w:val="21"/>
              </w:rPr>
            </w:pPr>
            <w:r>
              <w:rPr>
                <w:rFonts w:hint="eastAsia"/>
                <w:sz w:val="21"/>
              </w:rPr>
              <w:t>0.7</w:t>
            </w:r>
          </w:p>
        </w:tc>
        <w:tc>
          <w:tcPr>
            <w:tcW w:w="960" w:type="dxa"/>
          </w:tcPr>
          <w:p w:rsidR="00000000" w:rsidRDefault="00000000">
            <w:pPr>
              <w:tabs>
                <w:tab w:val="decimal" w:pos="492"/>
              </w:tabs>
              <w:spacing w:before="60" w:line="312" w:lineRule="auto"/>
              <w:rPr>
                <w:rFonts w:hint="eastAsia"/>
                <w:sz w:val="21"/>
              </w:rPr>
            </w:pPr>
            <w:r>
              <w:rPr>
                <w:rFonts w:hint="eastAsia"/>
                <w:sz w:val="21"/>
              </w:rPr>
              <w:t>0.8</w:t>
            </w:r>
          </w:p>
        </w:tc>
        <w:tc>
          <w:tcPr>
            <w:tcW w:w="960" w:type="dxa"/>
          </w:tcPr>
          <w:p w:rsidR="00000000" w:rsidRDefault="00000000">
            <w:pPr>
              <w:tabs>
                <w:tab w:val="decimal" w:pos="492"/>
              </w:tabs>
              <w:spacing w:before="60" w:line="312" w:lineRule="auto"/>
              <w:rPr>
                <w:rFonts w:hint="eastAsia"/>
                <w:sz w:val="21"/>
              </w:rPr>
            </w:pPr>
            <w:r>
              <w:rPr>
                <w:rFonts w:hint="eastAsia"/>
                <w:sz w:val="21"/>
              </w:rPr>
              <w:t>0.9</w:t>
            </w:r>
          </w:p>
        </w:tc>
        <w:tc>
          <w:tcPr>
            <w:tcW w:w="1080" w:type="dxa"/>
          </w:tcPr>
          <w:p w:rsidR="00000000" w:rsidRDefault="00000000">
            <w:pPr>
              <w:tabs>
                <w:tab w:val="decimal" w:pos="492"/>
              </w:tabs>
              <w:spacing w:before="60" w:line="312" w:lineRule="auto"/>
              <w:rPr>
                <w:rFonts w:hint="eastAsia"/>
                <w:sz w:val="21"/>
              </w:rPr>
            </w:pPr>
            <w:r>
              <w:rPr>
                <w:rFonts w:hint="eastAsia"/>
                <w:sz w:val="21"/>
              </w:rPr>
              <w:t>-</w:t>
            </w:r>
          </w:p>
        </w:tc>
        <w:tc>
          <w:tcPr>
            <w:tcW w:w="1080" w:type="dxa"/>
          </w:tcPr>
          <w:p w:rsidR="00000000" w:rsidRDefault="00000000">
            <w:pPr>
              <w:tabs>
                <w:tab w:val="decimal" w:pos="492"/>
              </w:tabs>
              <w:spacing w:before="60" w:line="312" w:lineRule="auto"/>
              <w:rPr>
                <w:rFonts w:hint="eastAsia"/>
                <w:sz w:val="21"/>
              </w:rPr>
            </w:pPr>
            <w:r>
              <w:rPr>
                <w:rFonts w:hint="eastAsia"/>
                <w:sz w:val="21"/>
              </w:rPr>
              <w:t>-</w:t>
            </w:r>
          </w:p>
        </w:tc>
        <w:tc>
          <w:tcPr>
            <w:tcW w:w="1063" w:type="dxa"/>
          </w:tcPr>
          <w:p w:rsidR="00000000" w:rsidRDefault="00000000">
            <w:pPr>
              <w:tabs>
                <w:tab w:val="decimal" w:pos="492"/>
              </w:tabs>
              <w:spacing w:before="60" w:line="312" w:lineRule="auto"/>
              <w:rPr>
                <w:rFonts w:hint="eastAsia"/>
                <w:sz w:val="21"/>
              </w:rPr>
            </w:pPr>
            <w:r>
              <w:rPr>
                <w:rFonts w:hint="eastAsia"/>
                <w:sz w:val="21"/>
              </w:rPr>
              <w:t>-</w:t>
            </w:r>
          </w:p>
        </w:tc>
      </w:tr>
      <w:tr w:rsidR="00000000">
        <w:tblPrEx>
          <w:tblCellMar>
            <w:top w:w="0" w:type="dxa"/>
            <w:bottom w:w="0" w:type="dxa"/>
          </w:tblCellMar>
        </w:tblPrEx>
        <w:tc>
          <w:tcPr>
            <w:tcW w:w="3468" w:type="dxa"/>
          </w:tcPr>
          <w:p w:rsidR="00000000" w:rsidRDefault="00000000">
            <w:pPr>
              <w:spacing w:before="60" w:line="312" w:lineRule="auto"/>
              <w:ind w:left="510"/>
              <w:rPr>
                <w:rFonts w:hint="eastAsia"/>
                <w:sz w:val="21"/>
              </w:rPr>
            </w:pPr>
            <w:r>
              <w:rPr>
                <w:rFonts w:hint="eastAsia"/>
                <w:sz w:val="21"/>
              </w:rPr>
              <w:t>农业部</w:t>
            </w:r>
          </w:p>
        </w:tc>
        <w:tc>
          <w:tcPr>
            <w:tcW w:w="960" w:type="dxa"/>
          </w:tcPr>
          <w:p w:rsidR="00000000" w:rsidRDefault="00000000">
            <w:pPr>
              <w:tabs>
                <w:tab w:val="decimal" w:pos="492"/>
              </w:tabs>
              <w:spacing w:before="60" w:line="312" w:lineRule="auto"/>
              <w:rPr>
                <w:rFonts w:hint="eastAsia"/>
                <w:sz w:val="21"/>
              </w:rPr>
            </w:pPr>
            <w:r>
              <w:rPr>
                <w:rFonts w:hint="eastAsia"/>
                <w:sz w:val="21"/>
              </w:rPr>
              <w:t>0.7</w:t>
            </w:r>
          </w:p>
        </w:tc>
        <w:tc>
          <w:tcPr>
            <w:tcW w:w="960" w:type="dxa"/>
          </w:tcPr>
          <w:p w:rsidR="00000000" w:rsidRDefault="00000000">
            <w:pPr>
              <w:tabs>
                <w:tab w:val="decimal" w:pos="492"/>
              </w:tabs>
              <w:spacing w:before="60" w:line="312" w:lineRule="auto"/>
              <w:rPr>
                <w:rFonts w:hint="eastAsia"/>
                <w:sz w:val="21"/>
              </w:rPr>
            </w:pPr>
            <w:r>
              <w:rPr>
                <w:rFonts w:hint="eastAsia"/>
                <w:sz w:val="21"/>
              </w:rPr>
              <w:t>1.4</w:t>
            </w:r>
          </w:p>
        </w:tc>
        <w:tc>
          <w:tcPr>
            <w:tcW w:w="960" w:type="dxa"/>
          </w:tcPr>
          <w:p w:rsidR="00000000" w:rsidRDefault="00000000">
            <w:pPr>
              <w:tabs>
                <w:tab w:val="decimal" w:pos="492"/>
              </w:tabs>
              <w:spacing w:before="60" w:line="312" w:lineRule="auto"/>
              <w:rPr>
                <w:rFonts w:hint="eastAsia"/>
                <w:sz w:val="21"/>
              </w:rPr>
            </w:pPr>
            <w:r>
              <w:rPr>
                <w:rFonts w:hint="eastAsia"/>
                <w:sz w:val="21"/>
              </w:rPr>
              <w:t>1.5</w:t>
            </w:r>
          </w:p>
        </w:tc>
        <w:tc>
          <w:tcPr>
            <w:tcW w:w="1080" w:type="dxa"/>
          </w:tcPr>
          <w:p w:rsidR="00000000" w:rsidRDefault="00000000">
            <w:pPr>
              <w:tabs>
                <w:tab w:val="decimal" w:pos="492"/>
              </w:tabs>
              <w:spacing w:before="60" w:line="312" w:lineRule="auto"/>
              <w:rPr>
                <w:rFonts w:hint="eastAsia"/>
                <w:sz w:val="21"/>
              </w:rPr>
            </w:pPr>
            <w:r>
              <w:rPr>
                <w:rFonts w:hint="eastAsia"/>
                <w:sz w:val="21"/>
              </w:rPr>
              <w:t>1.8</w:t>
            </w:r>
          </w:p>
        </w:tc>
        <w:tc>
          <w:tcPr>
            <w:tcW w:w="1080" w:type="dxa"/>
          </w:tcPr>
          <w:p w:rsidR="00000000" w:rsidRDefault="00000000">
            <w:pPr>
              <w:tabs>
                <w:tab w:val="decimal" w:pos="492"/>
              </w:tabs>
              <w:spacing w:before="60" w:line="312" w:lineRule="auto"/>
              <w:rPr>
                <w:rFonts w:hint="eastAsia"/>
                <w:sz w:val="21"/>
              </w:rPr>
            </w:pPr>
            <w:r>
              <w:rPr>
                <w:rFonts w:hint="eastAsia"/>
                <w:sz w:val="21"/>
              </w:rPr>
              <w:t>1.6</w:t>
            </w:r>
          </w:p>
        </w:tc>
        <w:tc>
          <w:tcPr>
            <w:tcW w:w="1063" w:type="dxa"/>
          </w:tcPr>
          <w:p w:rsidR="00000000" w:rsidRDefault="00000000">
            <w:pPr>
              <w:tabs>
                <w:tab w:val="decimal" w:pos="492"/>
              </w:tabs>
              <w:spacing w:before="60" w:line="312" w:lineRule="auto"/>
              <w:rPr>
                <w:rFonts w:hint="eastAsia"/>
                <w:sz w:val="21"/>
              </w:rPr>
            </w:pPr>
            <w:r>
              <w:rPr>
                <w:rFonts w:hint="eastAsia"/>
                <w:sz w:val="21"/>
              </w:rPr>
              <w:t>1.5</w:t>
            </w:r>
          </w:p>
        </w:tc>
      </w:tr>
      <w:tr w:rsidR="00000000">
        <w:tblPrEx>
          <w:tblCellMar>
            <w:top w:w="0" w:type="dxa"/>
            <w:bottom w:w="0" w:type="dxa"/>
          </w:tblCellMar>
        </w:tblPrEx>
        <w:tc>
          <w:tcPr>
            <w:tcW w:w="3468" w:type="dxa"/>
          </w:tcPr>
          <w:p w:rsidR="00000000" w:rsidRDefault="00000000">
            <w:pPr>
              <w:spacing w:before="60" w:line="312" w:lineRule="auto"/>
              <w:ind w:left="510"/>
              <w:rPr>
                <w:rFonts w:hint="eastAsia"/>
                <w:sz w:val="21"/>
              </w:rPr>
            </w:pPr>
            <w:r>
              <w:rPr>
                <w:rFonts w:hint="eastAsia"/>
                <w:sz w:val="21"/>
              </w:rPr>
              <w:t>国防部</w:t>
            </w:r>
          </w:p>
        </w:tc>
        <w:tc>
          <w:tcPr>
            <w:tcW w:w="960" w:type="dxa"/>
          </w:tcPr>
          <w:p w:rsidR="00000000" w:rsidRDefault="00000000">
            <w:pPr>
              <w:tabs>
                <w:tab w:val="decimal" w:pos="492"/>
              </w:tabs>
              <w:spacing w:before="60" w:line="312" w:lineRule="auto"/>
              <w:rPr>
                <w:rFonts w:hint="eastAsia"/>
                <w:sz w:val="21"/>
              </w:rPr>
            </w:pPr>
            <w:r>
              <w:rPr>
                <w:rFonts w:hint="eastAsia"/>
                <w:sz w:val="21"/>
              </w:rPr>
              <w:t>-</w:t>
            </w:r>
          </w:p>
        </w:tc>
        <w:tc>
          <w:tcPr>
            <w:tcW w:w="960" w:type="dxa"/>
          </w:tcPr>
          <w:p w:rsidR="00000000" w:rsidRDefault="00000000">
            <w:pPr>
              <w:tabs>
                <w:tab w:val="decimal" w:pos="492"/>
              </w:tabs>
              <w:spacing w:before="60" w:line="312" w:lineRule="auto"/>
              <w:rPr>
                <w:rFonts w:hint="eastAsia"/>
                <w:sz w:val="21"/>
              </w:rPr>
            </w:pPr>
            <w:r>
              <w:rPr>
                <w:rFonts w:hint="eastAsia"/>
                <w:sz w:val="21"/>
              </w:rPr>
              <w:t>-</w:t>
            </w:r>
          </w:p>
        </w:tc>
        <w:tc>
          <w:tcPr>
            <w:tcW w:w="960" w:type="dxa"/>
          </w:tcPr>
          <w:p w:rsidR="00000000" w:rsidRDefault="00000000">
            <w:pPr>
              <w:tabs>
                <w:tab w:val="decimal" w:pos="492"/>
              </w:tabs>
              <w:spacing w:before="60" w:line="312" w:lineRule="auto"/>
              <w:rPr>
                <w:rFonts w:hint="eastAsia"/>
                <w:sz w:val="21"/>
              </w:rPr>
            </w:pPr>
            <w:r>
              <w:rPr>
                <w:rFonts w:hint="eastAsia"/>
                <w:sz w:val="21"/>
              </w:rPr>
              <w:t>-</w:t>
            </w:r>
          </w:p>
        </w:tc>
        <w:tc>
          <w:tcPr>
            <w:tcW w:w="1080" w:type="dxa"/>
          </w:tcPr>
          <w:p w:rsidR="00000000" w:rsidRDefault="00000000">
            <w:pPr>
              <w:tabs>
                <w:tab w:val="decimal" w:pos="492"/>
              </w:tabs>
              <w:spacing w:before="60" w:line="312" w:lineRule="auto"/>
              <w:rPr>
                <w:rFonts w:hint="eastAsia"/>
                <w:sz w:val="21"/>
              </w:rPr>
            </w:pPr>
            <w:r>
              <w:rPr>
                <w:rFonts w:hint="eastAsia"/>
                <w:sz w:val="21"/>
              </w:rPr>
              <w:t>-</w:t>
            </w:r>
          </w:p>
        </w:tc>
        <w:tc>
          <w:tcPr>
            <w:tcW w:w="1080" w:type="dxa"/>
          </w:tcPr>
          <w:p w:rsidR="00000000" w:rsidRDefault="00000000">
            <w:pPr>
              <w:tabs>
                <w:tab w:val="decimal" w:pos="492"/>
              </w:tabs>
              <w:spacing w:before="60" w:line="312" w:lineRule="auto"/>
              <w:rPr>
                <w:rFonts w:hint="eastAsia"/>
                <w:sz w:val="21"/>
              </w:rPr>
            </w:pPr>
            <w:r>
              <w:rPr>
                <w:rFonts w:hint="eastAsia"/>
                <w:sz w:val="21"/>
              </w:rPr>
              <w:t>0.8</w:t>
            </w:r>
          </w:p>
        </w:tc>
        <w:tc>
          <w:tcPr>
            <w:tcW w:w="1063" w:type="dxa"/>
          </w:tcPr>
          <w:p w:rsidR="00000000" w:rsidRDefault="00000000">
            <w:pPr>
              <w:tabs>
                <w:tab w:val="decimal" w:pos="492"/>
              </w:tabs>
              <w:spacing w:before="60" w:line="312" w:lineRule="auto"/>
              <w:rPr>
                <w:rFonts w:hint="eastAsia"/>
                <w:sz w:val="21"/>
              </w:rPr>
            </w:pPr>
            <w:r>
              <w:rPr>
                <w:rFonts w:hint="eastAsia"/>
                <w:sz w:val="21"/>
              </w:rPr>
              <w:t>1.0</w:t>
            </w:r>
          </w:p>
        </w:tc>
      </w:tr>
      <w:tr w:rsidR="00000000">
        <w:tblPrEx>
          <w:tblCellMar>
            <w:top w:w="0" w:type="dxa"/>
            <w:bottom w:w="0" w:type="dxa"/>
          </w:tblCellMar>
        </w:tblPrEx>
        <w:tc>
          <w:tcPr>
            <w:tcW w:w="3468" w:type="dxa"/>
          </w:tcPr>
          <w:p w:rsidR="00000000" w:rsidRDefault="00000000">
            <w:pPr>
              <w:spacing w:before="60" w:line="312" w:lineRule="auto"/>
              <w:ind w:left="510"/>
              <w:rPr>
                <w:rFonts w:hint="eastAsia"/>
                <w:sz w:val="21"/>
              </w:rPr>
            </w:pPr>
            <w:r>
              <w:rPr>
                <w:rFonts w:hint="eastAsia"/>
                <w:sz w:val="21"/>
              </w:rPr>
              <w:t>市政当局</w:t>
            </w:r>
          </w:p>
        </w:tc>
        <w:tc>
          <w:tcPr>
            <w:tcW w:w="960" w:type="dxa"/>
          </w:tcPr>
          <w:p w:rsidR="00000000" w:rsidRDefault="00000000">
            <w:pPr>
              <w:tabs>
                <w:tab w:val="decimal" w:pos="492"/>
              </w:tabs>
              <w:spacing w:before="60" w:line="312" w:lineRule="auto"/>
              <w:rPr>
                <w:rFonts w:hint="eastAsia"/>
                <w:sz w:val="21"/>
              </w:rPr>
            </w:pPr>
            <w:r>
              <w:rPr>
                <w:rFonts w:hint="eastAsia"/>
                <w:sz w:val="21"/>
              </w:rPr>
              <w:t>11.1</w:t>
            </w:r>
          </w:p>
        </w:tc>
        <w:tc>
          <w:tcPr>
            <w:tcW w:w="960" w:type="dxa"/>
          </w:tcPr>
          <w:p w:rsidR="00000000" w:rsidRDefault="00000000">
            <w:pPr>
              <w:tabs>
                <w:tab w:val="decimal" w:pos="492"/>
              </w:tabs>
              <w:spacing w:before="60" w:line="312" w:lineRule="auto"/>
              <w:rPr>
                <w:rFonts w:hint="eastAsia"/>
                <w:sz w:val="21"/>
              </w:rPr>
            </w:pPr>
            <w:r>
              <w:rPr>
                <w:rFonts w:hint="eastAsia"/>
                <w:sz w:val="21"/>
              </w:rPr>
              <w:t>12.1</w:t>
            </w:r>
          </w:p>
        </w:tc>
        <w:tc>
          <w:tcPr>
            <w:tcW w:w="960" w:type="dxa"/>
          </w:tcPr>
          <w:p w:rsidR="00000000" w:rsidRDefault="00000000">
            <w:pPr>
              <w:tabs>
                <w:tab w:val="decimal" w:pos="492"/>
              </w:tabs>
              <w:spacing w:before="60" w:line="312" w:lineRule="auto"/>
              <w:rPr>
                <w:rFonts w:hint="eastAsia"/>
                <w:sz w:val="21"/>
              </w:rPr>
            </w:pPr>
            <w:r>
              <w:rPr>
                <w:rFonts w:hint="eastAsia"/>
                <w:sz w:val="21"/>
              </w:rPr>
              <w:t>13.7</w:t>
            </w:r>
          </w:p>
        </w:tc>
        <w:tc>
          <w:tcPr>
            <w:tcW w:w="1080" w:type="dxa"/>
          </w:tcPr>
          <w:p w:rsidR="00000000" w:rsidRDefault="00000000">
            <w:pPr>
              <w:tabs>
                <w:tab w:val="decimal" w:pos="492"/>
              </w:tabs>
              <w:spacing w:before="60" w:line="312" w:lineRule="auto"/>
              <w:rPr>
                <w:rFonts w:hint="eastAsia"/>
                <w:sz w:val="21"/>
              </w:rPr>
            </w:pPr>
            <w:r>
              <w:rPr>
                <w:rFonts w:hint="eastAsia"/>
                <w:sz w:val="21"/>
              </w:rPr>
              <w:t>16.1</w:t>
            </w:r>
          </w:p>
        </w:tc>
        <w:tc>
          <w:tcPr>
            <w:tcW w:w="1080" w:type="dxa"/>
          </w:tcPr>
          <w:p w:rsidR="00000000" w:rsidRDefault="00000000">
            <w:pPr>
              <w:tabs>
                <w:tab w:val="decimal" w:pos="492"/>
              </w:tabs>
              <w:spacing w:before="60" w:line="312" w:lineRule="auto"/>
              <w:rPr>
                <w:rFonts w:hint="eastAsia"/>
                <w:sz w:val="21"/>
              </w:rPr>
            </w:pPr>
            <w:r>
              <w:rPr>
                <w:rFonts w:hint="eastAsia"/>
                <w:sz w:val="21"/>
              </w:rPr>
              <w:t>13.7</w:t>
            </w:r>
          </w:p>
        </w:tc>
        <w:tc>
          <w:tcPr>
            <w:tcW w:w="1063" w:type="dxa"/>
          </w:tcPr>
          <w:p w:rsidR="00000000" w:rsidRDefault="00000000">
            <w:pPr>
              <w:tabs>
                <w:tab w:val="decimal" w:pos="492"/>
              </w:tabs>
              <w:spacing w:before="60" w:line="312" w:lineRule="auto"/>
              <w:rPr>
                <w:rFonts w:hint="eastAsia"/>
                <w:sz w:val="21"/>
              </w:rPr>
            </w:pPr>
            <w:r>
              <w:rPr>
                <w:rFonts w:hint="eastAsia"/>
                <w:sz w:val="21"/>
              </w:rPr>
              <w:t>13.9</w:t>
            </w:r>
          </w:p>
        </w:tc>
      </w:tr>
      <w:tr w:rsidR="00000000">
        <w:tblPrEx>
          <w:tblCellMar>
            <w:top w:w="0" w:type="dxa"/>
            <w:bottom w:w="0" w:type="dxa"/>
          </w:tblCellMar>
        </w:tblPrEx>
        <w:tc>
          <w:tcPr>
            <w:tcW w:w="3468" w:type="dxa"/>
          </w:tcPr>
          <w:p w:rsidR="00000000" w:rsidRDefault="00000000">
            <w:pPr>
              <w:spacing w:before="60" w:line="312" w:lineRule="auto"/>
              <w:rPr>
                <w:rFonts w:hint="eastAsia"/>
                <w:sz w:val="21"/>
              </w:rPr>
            </w:pPr>
            <w:r>
              <w:rPr>
                <w:rFonts w:hint="eastAsia"/>
                <w:sz w:val="21"/>
              </w:rPr>
              <w:t>其中，社会保障和健康保险开支</w:t>
            </w:r>
          </w:p>
        </w:tc>
        <w:tc>
          <w:tcPr>
            <w:tcW w:w="960" w:type="dxa"/>
          </w:tcPr>
          <w:p w:rsidR="00000000" w:rsidRDefault="00000000">
            <w:pPr>
              <w:tabs>
                <w:tab w:val="decimal" w:pos="492"/>
              </w:tabs>
              <w:spacing w:before="60" w:line="312" w:lineRule="auto"/>
              <w:rPr>
                <w:rFonts w:hint="eastAsia"/>
                <w:sz w:val="21"/>
              </w:rPr>
            </w:pPr>
            <w:r>
              <w:rPr>
                <w:rFonts w:hint="eastAsia"/>
                <w:sz w:val="21"/>
              </w:rPr>
              <w:t>6.8</w:t>
            </w:r>
          </w:p>
        </w:tc>
        <w:tc>
          <w:tcPr>
            <w:tcW w:w="960" w:type="dxa"/>
          </w:tcPr>
          <w:p w:rsidR="00000000" w:rsidRDefault="00000000">
            <w:pPr>
              <w:tabs>
                <w:tab w:val="decimal" w:pos="492"/>
              </w:tabs>
              <w:spacing w:before="60" w:line="312" w:lineRule="auto"/>
              <w:rPr>
                <w:rFonts w:hint="eastAsia"/>
                <w:sz w:val="21"/>
              </w:rPr>
            </w:pPr>
            <w:r>
              <w:rPr>
                <w:rFonts w:hint="eastAsia"/>
                <w:sz w:val="21"/>
              </w:rPr>
              <w:t>9.1</w:t>
            </w:r>
          </w:p>
        </w:tc>
        <w:tc>
          <w:tcPr>
            <w:tcW w:w="960" w:type="dxa"/>
          </w:tcPr>
          <w:p w:rsidR="00000000" w:rsidRDefault="00000000">
            <w:pPr>
              <w:tabs>
                <w:tab w:val="decimal" w:pos="492"/>
              </w:tabs>
              <w:spacing w:before="60" w:line="312" w:lineRule="auto"/>
              <w:rPr>
                <w:rFonts w:hint="eastAsia"/>
                <w:sz w:val="21"/>
              </w:rPr>
            </w:pPr>
            <w:r>
              <w:rPr>
                <w:rFonts w:hint="eastAsia"/>
                <w:sz w:val="21"/>
              </w:rPr>
              <w:t>10.5</w:t>
            </w:r>
          </w:p>
        </w:tc>
        <w:tc>
          <w:tcPr>
            <w:tcW w:w="1080" w:type="dxa"/>
          </w:tcPr>
          <w:p w:rsidR="00000000" w:rsidRDefault="00000000">
            <w:pPr>
              <w:tabs>
                <w:tab w:val="decimal" w:pos="492"/>
              </w:tabs>
              <w:spacing w:before="60" w:line="312" w:lineRule="auto"/>
              <w:rPr>
                <w:rFonts w:hint="eastAsia"/>
                <w:sz w:val="21"/>
              </w:rPr>
            </w:pPr>
            <w:r>
              <w:rPr>
                <w:rFonts w:hint="eastAsia"/>
                <w:sz w:val="21"/>
              </w:rPr>
              <w:t>11.8</w:t>
            </w:r>
          </w:p>
        </w:tc>
        <w:tc>
          <w:tcPr>
            <w:tcW w:w="1080" w:type="dxa"/>
          </w:tcPr>
          <w:p w:rsidR="00000000" w:rsidRDefault="00000000">
            <w:pPr>
              <w:tabs>
                <w:tab w:val="decimal" w:pos="492"/>
              </w:tabs>
              <w:spacing w:before="60" w:line="312" w:lineRule="auto"/>
              <w:rPr>
                <w:rFonts w:hint="eastAsia"/>
                <w:sz w:val="21"/>
              </w:rPr>
            </w:pPr>
            <w:r>
              <w:rPr>
                <w:rFonts w:hint="eastAsia"/>
                <w:sz w:val="21"/>
              </w:rPr>
              <w:t>12.1</w:t>
            </w:r>
          </w:p>
        </w:tc>
        <w:tc>
          <w:tcPr>
            <w:tcW w:w="1063" w:type="dxa"/>
          </w:tcPr>
          <w:p w:rsidR="00000000" w:rsidRDefault="00000000">
            <w:pPr>
              <w:tabs>
                <w:tab w:val="decimal" w:pos="492"/>
              </w:tabs>
              <w:spacing w:before="60" w:line="312" w:lineRule="auto"/>
              <w:rPr>
                <w:rFonts w:hint="eastAsia"/>
                <w:sz w:val="21"/>
              </w:rPr>
            </w:pPr>
            <w:r>
              <w:rPr>
                <w:rFonts w:hint="eastAsia"/>
                <w:sz w:val="21"/>
              </w:rPr>
              <w:t>12.3</w:t>
            </w:r>
          </w:p>
        </w:tc>
      </w:tr>
      <w:tr w:rsidR="00000000">
        <w:tblPrEx>
          <w:tblCellMar>
            <w:top w:w="0" w:type="dxa"/>
            <w:bottom w:w="0" w:type="dxa"/>
          </w:tblCellMar>
        </w:tblPrEx>
        <w:tc>
          <w:tcPr>
            <w:tcW w:w="3468" w:type="dxa"/>
          </w:tcPr>
          <w:p w:rsidR="00000000" w:rsidRDefault="00000000">
            <w:pPr>
              <w:spacing w:before="60" w:line="312" w:lineRule="auto"/>
              <w:rPr>
                <w:rFonts w:hint="eastAsia"/>
                <w:sz w:val="21"/>
              </w:rPr>
            </w:pPr>
            <w:r>
              <w:rPr>
                <w:rFonts w:hint="eastAsia"/>
                <w:sz w:val="21"/>
              </w:rPr>
              <w:t>占国内生产总值的比例</w:t>
            </w:r>
          </w:p>
        </w:tc>
        <w:tc>
          <w:tcPr>
            <w:tcW w:w="960" w:type="dxa"/>
          </w:tcPr>
          <w:p w:rsidR="00000000" w:rsidRDefault="00000000">
            <w:pPr>
              <w:tabs>
                <w:tab w:val="decimal" w:pos="492"/>
              </w:tabs>
              <w:spacing w:before="60" w:line="312" w:lineRule="auto"/>
              <w:rPr>
                <w:rFonts w:hint="eastAsia"/>
                <w:sz w:val="21"/>
              </w:rPr>
            </w:pPr>
            <w:r>
              <w:rPr>
                <w:rFonts w:hint="eastAsia"/>
                <w:sz w:val="21"/>
              </w:rPr>
              <w:t>0.7</w:t>
            </w:r>
          </w:p>
        </w:tc>
        <w:tc>
          <w:tcPr>
            <w:tcW w:w="960" w:type="dxa"/>
          </w:tcPr>
          <w:p w:rsidR="00000000" w:rsidRDefault="00000000">
            <w:pPr>
              <w:tabs>
                <w:tab w:val="decimal" w:pos="492"/>
              </w:tabs>
              <w:spacing w:before="60" w:line="312" w:lineRule="auto"/>
              <w:rPr>
                <w:rFonts w:hint="eastAsia"/>
                <w:sz w:val="21"/>
              </w:rPr>
            </w:pPr>
            <w:r>
              <w:rPr>
                <w:rFonts w:hint="eastAsia"/>
                <w:sz w:val="21"/>
              </w:rPr>
              <w:t>0.8</w:t>
            </w:r>
          </w:p>
        </w:tc>
        <w:tc>
          <w:tcPr>
            <w:tcW w:w="960" w:type="dxa"/>
          </w:tcPr>
          <w:p w:rsidR="00000000" w:rsidRDefault="00000000">
            <w:pPr>
              <w:tabs>
                <w:tab w:val="decimal" w:pos="492"/>
              </w:tabs>
              <w:spacing w:before="60" w:line="312" w:lineRule="auto"/>
              <w:rPr>
                <w:rFonts w:hint="eastAsia"/>
                <w:sz w:val="21"/>
              </w:rPr>
            </w:pPr>
            <w:r>
              <w:rPr>
                <w:rFonts w:hint="eastAsia"/>
                <w:sz w:val="21"/>
              </w:rPr>
              <w:t>0.8</w:t>
            </w:r>
          </w:p>
        </w:tc>
        <w:tc>
          <w:tcPr>
            <w:tcW w:w="1080" w:type="dxa"/>
          </w:tcPr>
          <w:p w:rsidR="00000000" w:rsidRDefault="00000000">
            <w:pPr>
              <w:tabs>
                <w:tab w:val="decimal" w:pos="492"/>
              </w:tabs>
              <w:spacing w:before="60" w:line="312" w:lineRule="auto"/>
              <w:rPr>
                <w:rFonts w:hint="eastAsia"/>
                <w:sz w:val="21"/>
              </w:rPr>
            </w:pPr>
            <w:r>
              <w:rPr>
                <w:rFonts w:hint="eastAsia"/>
                <w:sz w:val="21"/>
              </w:rPr>
              <w:t>0.8</w:t>
            </w:r>
          </w:p>
        </w:tc>
        <w:tc>
          <w:tcPr>
            <w:tcW w:w="1080" w:type="dxa"/>
          </w:tcPr>
          <w:p w:rsidR="00000000" w:rsidRDefault="00000000">
            <w:pPr>
              <w:tabs>
                <w:tab w:val="decimal" w:pos="492"/>
              </w:tabs>
              <w:spacing w:before="60" w:line="312" w:lineRule="auto"/>
              <w:rPr>
                <w:rFonts w:hint="eastAsia"/>
                <w:sz w:val="21"/>
              </w:rPr>
            </w:pPr>
            <w:r>
              <w:rPr>
                <w:rFonts w:hint="eastAsia"/>
                <w:sz w:val="21"/>
              </w:rPr>
              <w:t>0.7</w:t>
            </w:r>
          </w:p>
        </w:tc>
        <w:tc>
          <w:tcPr>
            <w:tcW w:w="1063" w:type="dxa"/>
          </w:tcPr>
          <w:p w:rsidR="00000000" w:rsidRDefault="00000000">
            <w:pPr>
              <w:tabs>
                <w:tab w:val="decimal" w:pos="492"/>
              </w:tabs>
              <w:spacing w:before="60" w:line="312" w:lineRule="auto"/>
              <w:rPr>
                <w:rFonts w:hint="eastAsia"/>
                <w:sz w:val="21"/>
              </w:rPr>
            </w:pPr>
            <w:r>
              <w:rPr>
                <w:rFonts w:hint="eastAsia"/>
                <w:sz w:val="21"/>
              </w:rPr>
              <w:t>0.7</w:t>
            </w:r>
          </w:p>
        </w:tc>
      </w:tr>
      <w:tr w:rsidR="00000000">
        <w:tblPrEx>
          <w:tblCellMar>
            <w:top w:w="0" w:type="dxa"/>
            <w:bottom w:w="0" w:type="dxa"/>
          </w:tblCellMar>
        </w:tblPrEx>
        <w:tc>
          <w:tcPr>
            <w:tcW w:w="3468" w:type="dxa"/>
          </w:tcPr>
          <w:p w:rsidR="00000000" w:rsidRDefault="00000000">
            <w:pPr>
              <w:spacing w:before="60" w:line="312" w:lineRule="auto"/>
              <w:rPr>
                <w:rFonts w:ascii="Time New Roman" w:eastAsia="SimHei" w:hAnsi="Time New Roman" w:hint="eastAsia"/>
                <w:sz w:val="21"/>
              </w:rPr>
            </w:pPr>
            <w:r>
              <w:rPr>
                <w:rFonts w:ascii="Time New Roman" w:eastAsia="SimHei" w:hAnsi="Time New Roman" w:hint="eastAsia"/>
                <w:sz w:val="21"/>
              </w:rPr>
              <w:t>教育开支占国内生产总值的比例</w:t>
            </w:r>
          </w:p>
        </w:tc>
        <w:tc>
          <w:tcPr>
            <w:tcW w:w="960" w:type="dxa"/>
          </w:tcPr>
          <w:p w:rsidR="00000000" w:rsidRDefault="00000000">
            <w:pPr>
              <w:tabs>
                <w:tab w:val="decimal" w:pos="492"/>
              </w:tabs>
              <w:spacing w:before="60" w:line="312" w:lineRule="auto"/>
              <w:rPr>
                <w:rFonts w:ascii="Time New Roman" w:eastAsia="SimHei" w:hAnsi="Time New Roman" w:hint="eastAsia"/>
                <w:sz w:val="21"/>
              </w:rPr>
            </w:pPr>
            <w:r>
              <w:rPr>
                <w:rFonts w:ascii="Time New Roman" w:eastAsia="SimHei" w:hAnsi="Time New Roman" w:hint="eastAsia"/>
                <w:b/>
                <w:sz w:val="21"/>
              </w:rPr>
              <w:t>5</w:t>
            </w:r>
            <w:r>
              <w:rPr>
                <w:rFonts w:ascii="Time New Roman" w:eastAsia="SimHei" w:hAnsi="Time New Roman" w:hint="eastAsia"/>
                <w:sz w:val="21"/>
              </w:rPr>
              <w:t>.</w:t>
            </w:r>
            <w:r>
              <w:rPr>
                <w:rFonts w:ascii="Time New Roman" w:eastAsia="SimHei" w:hAnsi="Time New Roman" w:hint="eastAsia"/>
                <w:b/>
                <w:sz w:val="21"/>
              </w:rPr>
              <w:t>3</w:t>
            </w:r>
          </w:p>
        </w:tc>
        <w:tc>
          <w:tcPr>
            <w:tcW w:w="960" w:type="dxa"/>
          </w:tcPr>
          <w:p w:rsidR="00000000" w:rsidRDefault="00000000">
            <w:pPr>
              <w:tabs>
                <w:tab w:val="decimal" w:pos="492"/>
              </w:tabs>
              <w:spacing w:before="60" w:line="312" w:lineRule="auto"/>
              <w:rPr>
                <w:rFonts w:ascii="Time New Roman" w:eastAsia="SimHei" w:hAnsi="Time New Roman" w:hint="eastAsia"/>
                <w:sz w:val="21"/>
              </w:rPr>
            </w:pPr>
            <w:r>
              <w:rPr>
                <w:rFonts w:ascii="Time New Roman" w:eastAsia="SimHei" w:hAnsi="Time New Roman" w:hint="eastAsia"/>
                <w:b/>
                <w:sz w:val="21"/>
              </w:rPr>
              <w:t>5</w:t>
            </w:r>
            <w:r>
              <w:rPr>
                <w:rFonts w:ascii="Time New Roman" w:eastAsia="SimHei" w:hAnsi="Time New Roman" w:hint="eastAsia"/>
                <w:sz w:val="21"/>
              </w:rPr>
              <w:t>.</w:t>
            </w:r>
            <w:r>
              <w:rPr>
                <w:rFonts w:ascii="Time New Roman" w:eastAsia="SimHei" w:hAnsi="Time New Roman" w:hint="eastAsia"/>
                <w:b/>
                <w:sz w:val="21"/>
              </w:rPr>
              <w:t>5</w:t>
            </w:r>
          </w:p>
        </w:tc>
        <w:tc>
          <w:tcPr>
            <w:tcW w:w="960" w:type="dxa"/>
          </w:tcPr>
          <w:p w:rsidR="00000000" w:rsidRDefault="00000000">
            <w:pPr>
              <w:tabs>
                <w:tab w:val="decimal" w:pos="492"/>
              </w:tabs>
              <w:spacing w:before="60" w:line="312" w:lineRule="auto"/>
              <w:rPr>
                <w:rFonts w:ascii="Time New Roman" w:eastAsia="SimHei" w:hAnsi="Time New Roman" w:hint="eastAsia"/>
                <w:sz w:val="21"/>
              </w:rPr>
            </w:pPr>
            <w:r>
              <w:rPr>
                <w:rFonts w:ascii="Time New Roman" w:eastAsia="SimHei" w:hAnsi="Time New Roman" w:hint="eastAsia"/>
                <w:b/>
                <w:sz w:val="21"/>
              </w:rPr>
              <w:t>5</w:t>
            </w:r>
            <w:r>
              <w:rPr>
                <w:rFonts w:ascii="Time New Roman" w:eastAsia="SimHei" w:hAnsi="Time New Roman" w:hint="eastAsia"/>
                <w:sz w:val="21"/>
              </w:rPr>
              <w:t>.</w:t>
            </w:r>
            <w:r>
              <w:rPr>
                <w:rFonts w:ascii="Time New Roman" w:eastAsia="SimHei" w:hAnsi="Time New Roman" w:hint="eastAsia"/>
                <w:b/>
                <w:sz w:val="21"/>
              </w:rPr>
              <w:t>3</w:t>
            </w:r>
          </w:p>
        </w:tc>
        <w:tc>
          <w:tcPr>
            <w:tcW w:w="1080" w:type="dxa"/>
          </w:tcPr>
          <w:p w:rsidR="00000000" w:rsidRDefault="00000000">
            <w:pPr>
              <w:tabs>
                <w:tab w:val="decimal" w:pos="492"/>
              </w:tabs>
              <w:spacing w:before="60" w:line="312" w:lineRule="auto"/>
              <w:rPr>
                <w:rFonts w:ascii="Time New Roman" w:eastAsia="SimHei" w:hAnsi="Time New Roman" w:hint="eastAsia"/>
                <w:sz w:val="21"/>
              </w:rPr>
            </w:pPr>
            <w:r>
              <w:rPr>
                <w:rFonts w:ascii="Time New Roman" w:eastAsia="SimHei" w:hAnsi="Time New Roman" w:hint="eastAsia"/>
                <w:b/>
                <w:sz w:val="21"/>
              </w:rPr>
              <w:t>5</w:t>
            </w:r>
            <w:r>
              <w:rPr>
                <w:rFonts w:ascii="Time New Roman" w:eastAsia="SimHei" w:hAnsi="Time New Roman" w:hint="eastAsia"/>
                <w:sz w:val="21"/>
              </w:rPr>
              <w:t>.</w:t>
            </w:r>
            <w:r>
              <w:rPr>
                <w:rFonts w:ascii="Time New Roman" w:eastAsia="SimHei" w:hAnsi="Time New Roman" w:hint="eastAsia"/>
                <w:b/>
                <w:sz w:val="21"/>
              </w:rPr>
              <w:t>3</w:t>
            </w:r>
          </w:p>
        </w:tc>
        <w:tc>
          <w:tcPr>
            <w:tcW w:w="1080" w:type="dxa"/>
          </w:tcPr>
          <w:p w:rsidR="00000000" w:rsidRDefault="00000000">
            <w:pPr>
              <w:tabs>
                <w:tab w:val="decimal" w:pos="492"/>
              </w:tabs>
              <w:spacing w:before="60" w:line="312" w:lineRule="auto"/>
              <w:rPr>
                <w:rFonts w:ascii="Time New Roman" w:eastAsia="SimHei" w:hAnsi="Time New Roman" w:hint="eastAsia"/>
                <w:sz w:val="21"/>
              </w:rPr>
            </w:pPr>
            <w:r>
              <w:rPr>
                <w:rFonts w:ascii="Time New Roman" w:eastAsia="SimHei" w:hAnsi="Time New Roman" w:hint="eastAsia"/>
                <w:b/>
                <w:sz w:val="21"/>
              </w:rPr>
              <w:t>4</w:t>
            </w:r>
            <w:r>
              <w:rPr>
                <w:rFonts w:ascii="Time New Roman" w:eastAsia="SimHei" w:hAnsi="Time New Roman" w:hint="eastAsia"/>
                <w:sz w:val="21"/>
              </w:rPr>
              <w:t>.</w:t>
            </w:r>
            <w:r>
              <w:rPr>
                <w:rFonts w:ascii="Time New Roman" w:eastAsia="SimHei" w:hAnsi="Time New Roman" w:hint="eastAsia"/>
                <w:b/>
                <w:sz w:val="21"/>
              </w:rPr>
              <w:t>8</w:t>
            </w:r>
          </w:p>
        </w:tc>
        <w:tc>
          <w:tcPr>
            <w:tcW w:w="1063" w:type="dxa"/>
          </w:tcPr>
          <w:p w:rsidR="00000000" w:rsidRDefault="00000000">
            <w:pPr>
              <w:tabs>
                <w:tab w:val="decimal" w:pos="492"/>
              </w:tabs>
              <w:spacing w:before="60" w:line="312" w:lineRule="auto"/>
              <w:rPr>
                <w:rFonts w:ascii="Time New Roman" w:eastAsia="SimHei" w:hAnsi="Time New Roman" w:hint="eastAsia"/>
                <w:sz w:val="21"/>
              </w:rPr>
            </w:pPr>
            <w:r>
              <w:rPr>
                <w:rFonts w:ascii="Time New Roman" w:eastAsia="SimHei" w:hAnsi="Time New Roman" w:hint="eastAsia"/>
                <w:b/>
                <w:sz w:val="21"/>
              </w:rPr>
              <w:t>4</w:t>
            </w:r>
            <w:r>
              <w:rPr>
                <w:rFonts w:ascii="Time New Roman" w:eastAsia="SimHei" w:hAnsi="Time New Roman" w:hint="eastAsia"/>
                <w:sz w:val="21"/>
              </w:rPr>
              <w:t>.</w:t>
            </w:r>
            <w:r>
              <w:rPr>
                <w:rFonts w:ascii="Time New Roman" w:eastAsia="SimHei" w:hAnsi="Time New Roman" w:hint="eastAsia"/>
                <w:b/>
                <w:sz w:val="21"/>
              </w:rPr>
              <w:t>6</w:t>
            </w:r>
          </w:p>
        </w:tc>
      </w:tr>
      <w:tr w:rsidR="00000000">
        <w:tblPrEx>
          <w:tblCellMar>
            <w:top w:w="0" w:type="dxa"/>
            <w:bottom w:w="0" w:type="dxa"/>
          </w:tblCellMar>
        </w:tblPrEx>
        <w:tc>
          <w:tcPr>
            <w:tcW w:w="3468" w:type="dxa"/>
          </w:tcPr>
          <w:p w:rsidR="00000000" w:rsidRDefault="00000000">
            <w:pPr>
              <w:spacing w:before="60" w:line="312" w:lineRule="auto"/>
              <w:rPr>
                <w:rFonts w:hint="eastAsia"/>
                <w:sz w:val="21"/>
              </w:rPr>
            </w:pPr>
            <w:r>
              <w:rPr>
                <w:rFonts w:hint="eastAsia"/>
                <w:sz w:val="21"/>
              </w:rPr>
              <w:t>国家预算开支，总计</w:t>
            </w:r>
          </w:p>
        </w:tc>
        <w:tc>
          <w:tcPr>
            <w:tcW w:w="960" w:type="dxa"/>
          </w:tcPr>
          <w:p w:rsidR="00000000" w:rsidRDefault="00000000">
            <w:pPr>
              <w:tabs>
                <w:tab w:val="decimal" w:pos="492"/>
              </w:tabs>
              <w:spacing w:before="60" w:line="312" w:lineRule="auto"/>
              <w:rPr>
                <w:rFonts w:hint="eastAsia"/>
                <w:sz w:val="21"/>
              </w:rPr>
            </w:pPr>
            <w:r>
              <w:rPr>
                <w:rFonts w:hint="eastAsia"/>
                <w:sz w:val="21"/>
              </w:rPr>
              <w:t>356.9</w:t>
            </w:r>
          </w:p>
        </w:tc>
        <w:tc>
          <w:tcPr>
            <w:tcW w:w="960" w:type="dxa"/>
          </w:tcPr>
          <w:p w:rsidR="00000000" w:rsidRDefault="00000000">
            <w:pPr>
              <w:tabs>
                <w:tab w:val="decimal" w:pos="492"/>
              </w:tabs>
              <w:spacing w:before="60" w:line="312" w:lineRule="auto"/>
              <w:rPr>
                <w:rFonts w:hint="eastAsia"/>
                <w:sz w:val="21"/>
              </w:rPr>
            </w:pPr>
            <w:r>
              <w:rPr>
                <w:rFonts w:hint="eastAsia"/>
                <w:sz w:val="21"/>
              </w:rPr>
              <w:t>380.1</w:t>
            </w:r>
          </w:p>
        </w:tc>
        <w:tc>
          <w:tcPr>
            <w:tcW w:w="960" w:type="dxa"/>
          </w:tcPr>
          <w:p w:rsidR="00000000" w:rsidRDefault="00000000">
            <w:pPr>
              <w:tabs>
                <w:tab w:val="decimal" w:pos="492"/>
              </w:tabs>
              <w:spacing w:before="60" w:line="312" w:lineRule="auto"/>
              <w:rPr>
                <w:rFonts w:hint="eastAsia"/>
                <w:sz w:val="21"/>
              </w:rPr>
            </w:pPr>
            <w:r>
              <w:rPr>
                <w:rFonts w:hint="eastAsia"/>
                <w:sz w:val="21"/>
              </w:rPr>
              <w:t>432.7</w:t>
            </w:r>
          </w:p>
        </w:tc>
        <w:tc>
          <w:tcPr>
            <w:tcW w:w="1080" w:type="dxa"/>
          </w:tcPr>
          <w:p w:rsidR="00000000" w:rsidRDefault="00000000">
            <w:pPr>
              <w:tabs>
                <w:tab w:val="decimal" w:pos="492"/>
              </w:tabs>
              <w:spacing w:before="60" w:line="312" w:lineRule="auto"/>
              <w:rPr>
                <w:rFonts w:hint="eastAsia"/>
                <w:sz w:val="21"/>
              </w:rPr>
            </w:pPr>
            <w:r>
              <w:rPr>
                <w:rFonts w:hint="eastAsia"/>
                <w:sz w:val="21"/>
              </w:rPr>
              <w:t>484.4</w:t>
            </w:r>
          </w:p>
        </w:tc>
        <w:tc>
          <w:tcPr>
            <w:tcW w:w="1080" w:type="dxa"/>
          </w:tcPr>
          <w:p w:rsidR="00000000" w:rsidRDefault="00000000">
            <w:pPr>
              <w:tabs>
                <w:tab w:val="decimal" w:pos="492"/>
              </w:tabs>
              <w:spacing w:before="60" w:line="312" w:lineRule="auto"/>
              <w:rPr>
                <w:rFonts w:hint="eastAsia"/>
                <w:sz w:val="21"/>
              </w:rPr>
            </w:pPr>
            <w:r>
              <w:rPr>
                <w:rFonts w:hint="eastAsia"/>
                <w:sz w:val="21"/>
              </w:rPr>
              <w:t>524.7</w:t>
            </w:r>
          </w:p>
        </w:tc>
        <w:tc>
          <w:tcPr>
            <w:tcW w:w="1063" w:type="dxa"/>
          </w:tcPr>
          <w:p w:rsidR="00000000" w:rsidRDefault="00000000">
            <w:pPr>
              <w:tabs>
                <w:tab w:val="decimal" w:pos="492"/>
              </w:tabs>
              <w:spacing w:before="60" w:line="312" w:lineRule="auto"/>
              <w:rPr>
                <w:rFonts w:hint="eastAsia"/>
                <w:sz w:val="21"/>
              </w:rPr>
            </w:pPr>
            <w:r>
              <w:rPr>
                <w:rFonts w:hint="eastAsia"/>
                <w:sz w:val="21"/>
              </w:rPr>
              <w:t>566.7</w:t>
            </w:r>
          </w:p>
        </w:tc>
      </w:tr>
      <w:tr w:rsidR="00000000">
        <w:tblPrEx>
          <w:tblCellMar>
            <w:top w:w="0" w:type="dxa"/>
            <w:bottom w:w="0" w:type="dxa"/>
          </w:tblCellMar>
        </w:tblPrEx>
        <w:tc>
          <w:tcPr>
            <w:tcW w:w="3468" w:type="dxa"/>
          </w:tcPr>
          <w:p w:rsidR="00000000" w:rsidRDefault="00000000">
            <w:pPr>
              <w:spacing w:before="60" w:line="312" w:lineRule="auto"/>
              <w:rPr>
                <w:rFonts w:hint="eastAsia"/>
                <w:sz w:val="21"/>
              </w:rPr>
            </w:pPr>
            <w:r>
              <w:rPr>
                <w:rFonts w:hint="eastAsia"/>
                <w:sz w:val="21"/>
              </w:rPr>
              <w:t>开支占国家预算的百分比</w:t>
            </w:r>
          </w:p>
        </w:tc>
        <w:tc>
          <w:tcPr>
            <w:tcW w:w="960" w:type="dxa"/>
          </w:tcPr>
          <w:p w:rsidR="00000000" w:rsidRDefault="00000000">
            <w:pPr>
              <w:tabs>
                <w:tab w:val="decimal" w:pos="492"/>
              </w:tabs>
              <w:spacing w:before="60" w:line="312" w:lineRule="auto"/>
              <w:rPr>
                <w:rFonts w:hint="eastAsia"/>
                <w:sz w:val="21"/>
              </w:rPr>
            </w:pPr>
            <w:r>
              <w:rPr>
                <w:rFonts w:hint="eastAsia"/>
                <w:sz w:val="21"/>
              </w:rPr>
              <w:t>15.0</w:t>
            </w:r>
          </w:p>
        </w:tc>
        <w:tc>
          <w:tcPr>
            <w:tcW w:w="960" w:type="dxa"/>
          </w:tcPr>
          <w:p w:rsidR="00000000" w:rsidRDefault="00000000">
            <w:pPr>
              <w:tabs>
                <w:tab w:val="decimal" w:pos="492"/>
              </w:tabs>
              <w:spacing w:before="60" w:line="312" w:lineRule="auto"/>
              <w:rPr>
                <w:rFonts w:hint="eastAsia"/>
                <w:sz w:val="21"/>
              </w:rPr>
            </w:pPr>
            <w:r>
              <w:rPr>
                <w:rFonts w:hint="eastAsia"/>
                <w:sz w:val="21"/>
              </w:rPr>
              <w:t>16.6</w:t>
            </w:r>
          </w:p>
        </w:tc>
        <w:tc>
          <w:tcPr>
            <w:tcW w:w="960" w:type="dxa"/>
          </w:tcPr>
          <w:p w:rsidR="00000000" w:rsidRDefault="00000000">
            <w:pPr>
              <w:tabs>
                <w:tab w:val="decimal" w:pos="492"/>
              </w:tabs>
              <w:spacing w:before="60" w:line="312" w:lineRule="auto"/>
              <w:rPr>
                <w:rFonts w:hint="eastAsia"/>
                <w:sz w:val="21"/>
              </w:rPr>
            </w:pPr>
            <w:r>
              <w:rPr>
                <w:rFonts w:hint="eastAsia"/>
                <w:sz w:val="21"/>
              </w:rPr>
              <w:t>16.6</w:t>
            </w:r>
          </w:p>
        </w:tc>
        <w:tc>
          <w:tcPr>
            <w:tcW w:w="1080" w:type="dxa"/>
          </w:tcPr>
          <w:p w:rsidR="00000000" w:rsidRDefault="00000000">
            <w:pPr>
              <w:tabs>
                <w:tab w:val="decimal" w:pos="492"/>
              </w:tabs>
              <w:spacing w:before="60" w:line="312" w:lineRule="auto"/>
              <w:rPr>
                <w:rFonts w:hint="eastAsia"/>
                <w:sz w:val="21"/>
              </w:rPr>
            </w:pPr>
            <w:r>
              <w:rPr>
                <w:rFonts w:hint="eastAsia"/>
                <w:sz w:val="21"/>
              </w:rPr>
              <w:t>16.9</w:t>
            </w:r>
          </w:p>
        </w:tc>
        <w:tc>
          <w:tcPr>
            <w:tcW w:w="1080" w:type="dxa"/>
          </w:tcPr>
          <w:p w:rsidR="00000000" w:rsidRDefault="00000000">
            <w:pPr>
              <w:tabs>
                <w:tab w:val="decimal" w:pos="492"/>
              </w:tabs>
              <w:spacing w:before="60" w:line="312" w:lineRule="auto"/>
              <w:rPr>
                <w:rFonts w:hint="eastAsia"/>
                <w:sz w:val="21"/>
              </w:rPr>
            </w:pPr>
            <w:r>
              <w:rPr>
                <w:rFonts w:hint="eastAsia"/>
                <w:sz w:val="21"/>
              </w:rPr>
              <w:t>15.0</w:t>
            </w:r>
          </w:p>
        </w:tc>
        <w:tc>
          <w:tcPr>
            <w:tcW w:w="1063" w:type="dxa"/>
          </w:tcPr>
          <w:p w:rsidR="00000000" w:rsidRDefault="00000000">
            <w:pPr>
              <w:tabs>
                <w:tab w:val="decimal" w:pos="492"/>
              </w:tabs>
              <w:spacing w:before="60" w:line="312" w:lineRule="auto"/>
              <w:rPr>
                <w:rFonts w:hint="eastAsia"/>
                <w:sz w:val="21"/>
              </w:rPr>
            </w:pPr>
            <w:r>
              <w:rPr>
                <w:rFonts w:hint="eastAsia"/>
                <w:sz w:val="21"/>
              </w:rPr>
              <w:t>14.2</w:t>
            </w:r>
          </w:p>
        </w:tc>
      </w:tr>
    </w:tbl>
    <w:p w:rsidR="00000000" w:rsidRDefault="00000000">
      <w:pPr>
        <w:pStyle w:val="EndnoteText"/>
        <w:rPr>
          <w:rFonts w:hint="eastAsia"/>
        </w:rPr>
      </w:pPr>
    </w:p>
    <w:p w:rsidR="00000000" w:rsidRDefault="00000000">
      <w:pPr>
        <w:spacing w:line="264" w:lineRule="auto"/>
        <w:rPr>
          <w:rFonts w:eastAsia="KaiTi_GB2312" w:hint="eastAsia"/>
          <w:snapToGrid/>
          <w:spacing w:val="0"/>
        </w:rPr>
      </w:pPr>
      <w:r>
        <w:rPr>
          <w:rFonts w:eastAsia="KaiTi_GB2312"/>
          <w:snapToGrid/>
          <w:spacing w:val="0"/>
          <w:sz w:val="21"/>
          <w:u w:val="single"/>
        </w:rPr>
        <w:t>a</w:t>
      </w:r>
      <w:r>
        <w:rPr>
          <w:rFonts w:eastAsia="KaiTi_GB2312" w:hint="eastAsia"/>
          <w:snapToGrid/>
          <w:spacing w:val="0"/>
          <w:sz w:val="21"/>
        </w:rPr>
        <w:t>/</w:t>
      </w:r>
      <w:r>
        <w:rPr>
          <w:rFonts w:eastAsia="KaiTi_GB2312"/>
          <w:snapToGrid/>
          <w:spacing w:val="0"/>
        </w:rPr>
        <w:tab/>
      </w:r>
      <w:r>
        <w:rPr>
          <w:rFonts w:eastAsia="KaiTi_GB2312" w:hint="eastAsia"/>
          <w:snapToGrid/>
          <w:spacing w:val="0"/>
          <w:lang w:val="fr-CH"/>
        </w:rPr>
        <w:t>自</w:t>
      </w:r>
      <w:r>
        <w:rPr>
          <w:rFonts w:eastAsia="KaiTi_GB2312" w:hint="eastAsia"/>
          <w:snapToGrid/>
          <w:spacing w:val="0"/>
        </w:rPr>
        <w:t>1994</w:t>
      </w:r>
      <w:r>
        <w:rPr>
          <w:rFonts w:eastAsia="KaiTi_GB2312" w:hint="eastAsia"/>
          <w:snapToGrid/>
          <w:spacing w:val="0"/>
          <w:lang w:val="fr-CH"/>
        </w:rPr>
        <w:t>年起计算国内生产总值的新方法。</w:t>
      </w:r>
    </w:p>
    <w:p w:rsidR="00000000" w:rsidRDefault="00000000">
      <w:pPr>
        <w:spacing w:line="264" w:lineRule="auto"/>
        <w:ind w:left="525" w:hanging="525"/>
        <w:rPr>
          <w:rFonts w:eastAsia="KaiTi_GB2312" w:hint="eastAsia"/>
          <w:lang w:val="fr-CH"/>
        </w:rPr>
      </w:pPr>
      <w:r>
        <w:rPr>
          <w:rFonts w:eastAsia="KaiTi_GB2312"/>
          <w:snapToGrid/>
          <w:sz w:val="21"/>
          <w:u w:val="single"/>
        </w:rPr>
        <w:t>b</w:t>
      </w:r>
      <w:r>
        <w:rPr>
          <w:rFonts w:eastAsia="KaiTi_GB2312" w:hint="eastAsia"/>
          <w:snapToGrid/>
          <w:sz w:val="21"/>
        </w:rPr>
        <w:t>/</w:t>
      </w:r>
      <w:r>
        <w:rPr>
          <w:rFonts w:eastAsia="KaiTi_GB2312" w:hint="eastAsia"/>
          <w:snapToGrid/>
        </w:rPr>
        <w:tab/>
      </w:r>
      <w:r>
        <w:rPr>
          <w:rFonts w:eastAsia="KaiTi_GB2312" w:hint="eastAsia"/>
          <w:snapToGrid/>
          <w:lang w:val="fr-CH"/>
        </w:rPr>
        <w:t>教育方面的公共开支，即教育部、市政当局和其他部委的开支，包括私立学校和教区学校的开支，但不包括私立机构、学生和家长的开支。</w:t>
      </w:r>
    </w:p>
    <w:p w:rsidR="00000000" w:rsidRDefault="00000000">
      <w:pPr>
        <w:pStyle w:val="Heading4"/>
        <w:spacing w:before="320"/>
        <w:rPr>
          <w:rFonts w:hint="eastAsia"/>
          <w:lang w:val="fr-CH"/>
        </w:rPr>
      </w:pPr>
      <w:r>
        <w:rPr>
          <w:rFonts w:hint="eastAsia"/>
          <w:lang w:val="fr-CH"/>
        </w:rPr>
        <w:t>第</w:t>
      </w:r>
      <w:r>
        <w:rPr>
          <w:rFonts w:hint="eastAsia"/>
          <w:lang w:val="fr-CH"/>
        </w:rPr>
        <w:t>3</w:t>
      </w:r>
      <w:r>
        <w:rPr>
          <w:rFonts w:hint="eastAsia"/>
          <w:lang w:val="fr-CH"/>
        </w:rPr>
        <w:t>款和第</w:t>
      </w:r>
      <w:r>
        <w:rPr>
          <w:rFonts w:hint="eastAsia"/>
          <w:lang w:val="fr-CH"/>
        </w:rPr>
        <w:t>4</w:t>
      </w:r>
      <w:r>
        <w:rPr>
          <w:rFonts w:hint="eastAsia"/>
          <w:lang w:val="fr-CH"/>
        </w:rPr>
        <w:t>款</w:t>
      </w:r>
    </w:p>
    <w:p w:rsidR="00000000" w:rsidRDefault="00000000">
      <w:pPr>
        <w:rPr>
          <w:rFonts w:hint="eastAsia"/>
          <w:lang w:val="fr-CH"/>
        </w:rPr>
      </w:pPr>
      <w:r>
        <w:rPr>
          <w:rFonts w:hint="eastAsia"/>
          <w:lang w:val="fr-CH"/>
        </w:rPr>
        <w:tab/>
        <w:t xml:space="preserve">634.  </w:t>
      </w:r>
      <w:r>
        <w:rPr>
          <w:rFonts w:hint="eastAsia"/>
          <w:lang w:val="fr-CH"/>
        </w:rPr>
        <w:t>捷克共和国学校系统中除了国立学校以外，还有其他学校</w:t>
      </w:r>
      <w:r>
        <w:rPr>
          <w:rFonts w:hint="eastAsia"/>
          <w:spacing w:val="-50"/>
          <w:lang w:val="fr-CH"/>
        </w:rPr>
        <w:t>―</w:t>
      </w:r>
      <w:r>
        <w:rPr>
          <w:rFonts w:hint="eastAsia"/>
          <w:lang w:val="fr-CH"/>
        </w:rPr>
        <w:t>―教区学校和私立学校，学生或家长可以自由选择。根据《学校法》第</w:t>
      </w:r>
      <w:r>
        <w:rPr>
          <w:rFonts w:hint="eastAsia"/>
          <w:lang w:val="fr-CH"/>
        </w:rPr>
        <w:t>57</w:t>
      </w:r>
      <w:r>
        <w:rPr>
          <w:lang w:val="fr-CH"/>
        </w:rPr>
        <w:t>(a)</w:t>
      </w:r>
      <w:r>
        <w:rPr>
          <w:rFonts w:hint="eastAsia"/>
          <w:lang w:val="fr-CH"/>
        </w:rPr>
        <w:t>节和本第</w:t>
      </w:r>
      <w:r>
        <w:rPr>
          <w:rFonts w:hint="eastAsia"/>
          <w:lang w:val="fr-CH"/>
        </w:rPr>
        <w:t>57</w:t>
      </w:r>
      <w:r>
        <w:rPr>
          <w:lang w:val="fr-CH"/>
        </w:rPr>
        <w:t>(b)</w:t>
      </w:r>
      <w:r>
        <w:rPr>
          <w:rFonts w:hint="eastAsia"/>
          <w:lang w:val="fr-CH"/>
        </w:rPr>
        <w:t>节，如果学生的法定代理人准备选择公共机构设立的学校以外的学校，他们可以选择这些学校。该法令第</w:t>
      </w:r>
      <w:r>
        <w:rPr>
          <w:rFonts w:hint="eastAsia"/>
          <w:lang w:val="fr-CH"/>
        </w:rPr>
        <w:t>57</w:t>
      </w:r>
      <w:r>
        <w:rPr>
          <w:lang w:val="fr-CH"/>
        </w:rPr>
        <w:t>(c)</w:t>
      </w:r>
      <w:r>
        <w:rPr>
          <w:rFonts w:hint="eastAsia"/>
          <w:lang w:val="fr-CH"/>
        </w:rPr>
        <w:t>节保证，不论是何人设立的学校，所有学校的教育都相等。上述规定也给这些学校带来了一定程度的独立性，同时保留国家对所提供教育水平的检查，因此这种教育符合国家对人口教育水平的要求。</w:t>
      </w:r>
    </w:p>
    <w:p w:rsidR="00000000" w:rsidRDefault="00000000">
      <w:pPr>
        <w:rPr>
          <w:rFonts w:hint="eastAsia"/>
          <w:lang w:val="fr-CH"/>
        </w:rPr>
      </w:pPr>
      <w:r>
        <w:rPr>
          <w:rFonts w:hint="eastAsia"/>
          <w:lang w:val="fr-CH"/>
        </w:rPr>
        <w:tab/>
        <w:t xml:space="preserve">635.  </w:t>
      </w:r>
      <w:r>
        <w:rPr>
          <w:rFonts w:hint="eastAsia"/>
          <w:lang w:val="fr-CH"/>
        </w:rPr>
        <w:t>新的《学校法》实质性大纲宣布，总的目的是培养和教育，这也保障了教育的质量。基本目的是发展与个人年龄相称的个性，其方法是传授适当的个人生活和公民生活的知识和技能、在社会发展过程中形成的文化和价值观，尊重容忍、自由和责任等欧洲文化传统和价值观、民主原则和人权价值。这些普遍的教育宗旨适用于我国所有各级学校的教育和培养，即初等、中等和中学后职业学校或其他学校机构，并同样适用于任何人设立的学校。</w:t>
      </w:r>
    </w:p>
    <w:p w:rsidR="00000000" w:rsidRDefault="00000000">
      <w:pPr>
        <w:rPr>
          <w:rFonts w:hint="eastAsia"/>
        </w:rPr>
      </w:pPr>
      <w:r>
        <w:rPr>
          <w:rFonts w:hint="eastAsia"/>
          <w:lang w:val="fr-CH"/>
        </w:rPr>
        <w:tab/>
        <w:t xml:space="preserve">636.  </w:t>
      </w:r>
      <w:r>
        <w:rPr>
          <w:rFonts w:hint="eastAsia"/>
          <w:lang w:val="fr-CH"/>
        </w:rPr>
        <w:t>教育和培养的宗旨是各级和各类学校教育计划的组成部分。新的《学校法》实质性大纲和正在拟订的法规中有几个专门的段落述及保护儿童、学生或其法定代理人的权利，同时尊重对捷克共和国具有</w:t>
      </w:r>
      <w:r>
        <w:rPr>
          <w:rFonts w:hint="eastAsia"/>
        </w:rPr>
        <w:t>拘束力的国际条约的条款：《儿童权利公约》、《欧洲保护人权和基本自由公约》、《消除对妇女一切形式歧视公约》等。该法令草案还规定了学校和学校机构以及学生或其法定代理人的权利和义务，保障在国立初等和中等学校里接受免费教育的权利和按照该法令规定的范围和条件接受宗教教育的权利，保障所有人不分性别、宗教、种族等的平等权利。该法令草案还禁止一切形式的歧视，并规定保护和遵守所有儿童</w:t>
      </w:r>
      <w:r>
        <w:rPr>
          <w:rFonts w:hint="eastAsia"/>
        </w:rPr>
        <w:t>/</w:t>
      </w:r>
      <w:r>
        <w:rPr>
          <w:rFonts w:hint="eastAsia"/>
        </w:rPr>
        <w:t>学生的权利和义务、而不分性别。有关执行法规和法令将本着同样的精神制定或修正。</w:t>
      </w:r>
    </w:p>
    <w:p w:rsidR="00000000" w:rsidRDefault="00000000">
      <w:pPr>
        <w:rPr>
          <w:rFonts w:hint="eastAsia"/>
        </w:rPr>
      </w:pPr>
      <w:r>
        <w:rPr>
          <w:rFonts w:hint="eastAsia"/>
        </w:rPr>
        <w:tab/>
        <w:t xml:space="preserve">637.  </w:t>
      </w:r>
      <w:r>
        <w:rPr>
          <w:rFonts w:hint="eastAsia"/>
        </w:rPr>
        <w:t>非国立学校如果满足《国家教育管理和地方教育管理法》第</w:t>
      </w:r>
      <w:r>
        <w:rPr>
          <w:rFonts w:hint="eastAsia"/>
        </w:rPr>
        <w:t>13</w:t>
      </w:r>
      <w:r>
        <w:t>(b)</w:t>
      </w:r>
      <w:r>
        <w:rPr>
          <w:rFonts w:hint="eastAsia"/>
        </w:rPr>
        <w:t>节中的要求，则纳入教育部学校网。纳入学校网并因而有资格取得国家资助的条件包括教学计划和教学大纲或教育宗旨得到教育部的批准，由该部保证符合国家要求。</w:t>
      </w:r>
    </w:p>
    <w:p w:rsidR="00000000" w:rsidRDefault="00000000">
      <w:pPr>
        <w:rPr>
          <w:rFonts w:hint="eastAsia"/>
        </w:rPr>
      </w:pPr>
      <w:r>
        <w:rPr>
          <w:rFonts w:hint="eastAsia"/>
        </w:rPr>
        <w:tab/>
        <w:t xml:space="preserve">638.  </w:t>
      </w:r>
      <w:r>
        <w:rPr>
          <w:rFonts w:hint="eastAsia"/>
        </w:rPr>
        <w:t>然而在这一方面，必须指出，法律规定的登记教会</w:t>
      </w:r>
      <w:r>
        <w:rPr>
          <w:rFonts w:hint="eastAsia"/>
        </w:rPr>
        <w:t>(10,000</w:t>
      </w:r>
      <w:r>
        <w:rPr>
          <w:rFonts w:hint="eastAsia"/>
        </w:rPr>
        <w:t>名成员</w:t>
      </w:r>
      <w:r>
        <w:rPr>
          <w:rFonts w:hint="eastAsia"/>
        </w:rPr>
        <w:t>)</w:t>
      </w:r>
      <w:r>
        <w:rPr>
          <w:rFonts w:hint="eastAsia"/>
        </w:rPr>
        <w:t>的条件不允许设立教会学校，也不得在义务教育范围内要求遵守未经登记的教会或宗教团体的内部准则</w:t>
      </w:r>
      <w:r>
        <w:rPr>
          <w:rFonts w:hint="eastAsia"/>
        </w:rPr>
        <w:t xml:space="preserve"> </w:t>
      </w:r>
      <w:r>
        <w:rPr>
          <w:rStyle w:val="EndnoteReference"/>
        </w:rPr>
        <w:endnoteReference w:id="379"/>
      </w:r>
      <w:r>
        <w:rPr>
          <w:rFonts w:hint="eastAsia"/>
        </w:rPr>
        <w:t>。但教会和宗教团体为了履行其使命，可以按照具有普遍拘束力的法规规定的条件传授宗教并设立自己的学校。个人或其他法律实体根据《学校法》设立私立学校的权利决不受登记教会和宗教团体的条件的影响。</w:t>
      </w:r>
    </w:p>
    <w:p w:rsidR="00000000" w:rsidRDefault="00000000">
      <w:pPr>
        <w:rPr>
          <w:rFonts w:hint="eastAsia"/>
        </w:rPr>
      </w:pPr>
      <w:r>
        <w:rPr>
          <w:rFonts w:hint="eastAsia"/>
        </w:rPr>
        <w:tab/>
        <w:t xml:space="preserve">639.  </w:t>
      </w:r>
      <w:r>
        <w:rPr>
          <w:rFonts w:hint="eastAsia"/>
        </w:rPr>
        <w:t>根据规定向私立学校和机构提供补贴的条件和水平的政府法规</w:t>
      </w:r>
      <w:r>
        <w:rPr>
          <w:rFonts w:hint="eastAsia"/>
        </w:rPr>
        <w:t xml:space="preserve"> </w:t>
      </w:r>
      <w:r>
        <w:rPr>
          <w:rStyle w:val="EndnoteReference"/>
        </w:rPr>
        <w:endnoteReference w:id="380"/>
      </w:r>
      <w:r>
        <w:rPr>
          <w:rFonts w:hint="eastAsia"/>
        </w:rPr>
        <w:t>，如果学校已纳入学校网络并在每年</w:t>
      </w:r>
      <w:r>
        <w:rPr>
          <w:rFonts w:hint="eastAsia"/>
        </w:rPr>
        <w:t>11</w:t>
      </w:r>
      <w:r>
        <w:rPr>
          <w:rFonts w:hint="eastAsia"/>
        </w:rPr>
        <w:t>月底就下一学年提供补贴问题与学校管理局签订一项合同，则有资格取得国家补贴。国家提供补贴，用于资助与培养和教育并与学校正常运转有关的非投资性开支。补贴金额是按照实际学生人数与国家规定的学校中每个学生的标准金额的百分比确定的。如果有身心残疾儿童上学，学校得到捷克学校视察组的良好评价</w:t>
      </w:r>
      <w:r>
        <w:rPr>
          <w:rFonts w:hint="eastAsia"/>
        </w:rPr>
        <w:t xml:space="preserve"> </w:t>
      </w:r>
      <w:r>
        <w:rPr>
          <w:rStyle w:val="EndnoteReference"/>
        </w:rPr>
        <w:endnoteReference w:id="381"/>
      </w:r>
      <w:r>
        <w:rPr>
          <w:rFonts w:hint="eastAsia"/>
        </w:rPr>
        <w:t xml:space="preserve"> </w:t>
      </w:r>
      <w:r>
        <w:rPr>
          <w:rFonts w:hint="eastAsia"/>
        </w:rPr>
        <w:t>并按照法令规定的其他情况，补贴金额则增加。基础私立学校和教区学校的基本补贴是标准金额的</w:t>
      </w:r>
      <w:r>
        <w:rPr>
          <w:rFonts w:hint="eastAsia"/>
        </w:rPr>
        <w:t>60%</w:t>
      </w:r>
      <w:r>
        <w:rPr>
          <w:rFonts w:hint="eastAsia"/>
        </w:rPr>
        <w:t>，中心学校是国立学校学生金额的</w:t>
      </w:r>
      <w:r>
        <w:rPr>
          <w:rFonts w:hint="eastAsia"/>
        </w:rPr>
        <w:t>40%</w:t>
      </w:r>
      <w:r>
        <w:rPr>
          <w:rFonts w:hint="eastAsia"/>
        </w:rPr>
        <w:t>。</w:t>
      </w:r>
    </w:p>
    <w:p w:rsidR="00000000" w:rsidRDefault="00000000">
      <w:pPr>
        <w:spacing w:after="320"/>
        <w:rPr>
          <w:rFonts w:hint="eastAsia"/>
        </w:rPr>
      </w:pPr>
      <w:r>
        <w:rPr>
          <w:rFonts w:hint="eastAsia"/>
        </w:rPr>
        <w:tab/>
        <w:t xml:space="preserve">640.  </w:t>
      </w:r>
      <w:r>
        <w:rPr>
          <w:rFonts w:hint="eastAsia"/>
        </w:rPr>
        <w:t>不论学校是何人所建立，所有各类初等和中等学校的教育质量均由捷克学校视察组评估和检查。</w:t>
      </w:r>
    </w:p>
    <w:p w:rsidR="00000000" w:rsidRDefault="00000000">
      <w:pPr>
        <w:pStyle w:val="Heading3"/>
        <w:spacing w:after="160"/>
        <w:rPr>
          <w:rFonts w:hint="eastAsia"/>
        </w:rPr>
      </w:pPr>
      <w:r>
        <w:rPr>
          <w:rFonts w:hint="eastAsia"/>
        </w:rPr>
        <w:t>教区学校和私立学校</w:t>
      </w:r>
      <w:r>
        <w:rPr>
          <w:rFonts w:hint="eastAsia"/>
          <w:spacing w:val="-50"/>
        </w:rPr>
        <w:t>―</w:t>
      </w:r>
      <w:r>
        <w:rPr>
          <w:rFonts w:hint="eastAsia"/>
        </w:rPr>
        <w:t>―学校数目、学生和教师人数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1"/>
        <w:gridCol w:w="975"/>
        <w:gridCol w:w="1199"/>
        <w:gridCol w:w="1318"/>
        <w:gridCol w:w="1318"/>
        <w:gridCol w:w="1318"/>
        <w:gridCol w:w="1182"/>
      </w:tblGrid>
      <w:tr w:rsidR="00000000">
        <w:tblPrEx>
          <w:tblCellMar>
            <w:top w:w="0" w:type="dxa"/>
            <w:bottom w:w="0" w:type="dxa"/>
          </w:tblCellMar>
        </w:tblPrEx>
        <w:tc>
          <w:tcPr>
            <w:tcW w:w="2261" w:type="dxa"/>
          </w:tcPr>
          <w:p w:rsidR="00000000" w:rsidRDefault="00000000">
            <w:pPr>
              <w:spacing w:before="120" w:line="312" w:lineRule="auto"/>
              <w:rPr>
                <w:rFonts w:hint="eastAsia"/>
                <w:sz w:val="21"/>
              </w:rPr>
            </w:pPr>
          </w:p>
        </w:tc>
        <w:tc>
          <w:tcPr>
            <w:tcW w:w="975" w:type="dxa"/>
          </w:tcPr>
          <w:p w:rsidR="00000000" w:rsidRDefault="00000000">
            <w:pPr>
              <w:spacing w:before="120" w:line="312" w:lineRule="auto"/>
              <w:jc w:val="center"/>
              <w:rPr>
                <w:rFonts w:hint="eastAsia"/>
                <w:b/>
                <w:bCs/>
                <w:sz w:val="21"/>
              </w:rPr>
            </w:pPr>
            <w:r>
              <w:rPr>
                <w:rFonts w:hint="eastAsia"/>
                <w:b/>
                <w:bCs/>
                <w:sz w:val="21"/>
              </w:rPr>
              <w:t>1990/91</w:t>
            </w:r>
          </w:p>
        </w:tc>
        <w:tc>
          <w:tcPr>
            <w:tcW w:w="1199" w:type="dxa"/>
          </w:tcPr>
          <w:p w:rsidR="00000000" w:rsidRDefault="00000000">
            <w:pPr>
              <w:spacing w:before="120" w:line="312" w:lineRule="auto"/>
              <w:jc w:val="center"/>
              <w:rPr>
                <w:rFonts w:hint="eastAsia"/>
                <w:b/>
                <w:bCs/>
                <w:sz w:val="21"/>
              </w:rPr>
            </w:pPr>
            <w:r>
              <w:rPr>
                <w:rFonts w:hint="eastAsia"/>
                <w:b/>
                <w:bCs/>
                <w:sz w:val="21"/>
              </w:rPr>
              <w:t>1994/95</w:t>
            </w:r>
          </w:p>
        </w:tc>
        <w:tc>
          <w:tcPr>
            <w:tcW w:w="1318" w:type="dxa"/>
          </w:tcPr>
          <w:p w:rsidR="00000000" w:rsidRDefault="00000000">
            <w:pPr>
              <w:spacing w:before="120" w:line="312" w:lineRule="auto"/>
              <w:jc w:val="center"/>
              <w:rPr>
                <w:rFonts w:hint="eastAsia"/>
                <w:b/>
                <w:bCs/>
                <w:sz w:val="21"/>
              </w:rPr>
            </w:pPr>
            <w:r>
              <w:rPr>
                <w:rFonts w:hint="eastAsia"/>
                <w:b/>
                <w:bCs/>
                <w:sz w:val="21"/>
              </w:rPr>
              <w:t>1995/96</w:t>
            </w:r>
          </w:p>
        </w:tc>
        <w:tc>
          <w:tcPr>
            <w:tcW w:w="1318" w:type="dxa"/>
          </w:tcPr>
          <w:p w:rsidR="00000000" w:rsidRDefault="00000000">
            <w:pPr>
              <w:spacing w:before="120" w:line="312" w:lineRule="auto"/>
              <w:jc w:val="center"/>
              <w:rPr>
                <w:rFonts w:hint="eastAsia"/>
                <w:b/>
                <w:bCs/>
                <w:sz w:val="21"/>
              </w:rPr>
            </w:pPr>
            <w:r>
              <w:rPr>
                <w:rFonts w:hint="eastAsia"/>
                <w:b/>
                <w:bCs/>
                <w:sz w:val="21"/>
              </w:rPr>
              <w:t>1996/97</w:t>
            </w:r>
          </w:p>
        </w:tc>
        <w:tc>
          <w:tcPr>
            <w:tcW w:w="1318" w:type="dxa"/>
          </w:tcPr>
          <w:p w:rsidR="00000000" w:rsidRDefault="00000000">
            <w:pPr>
              <w:spacing w:before="120" w:line="312" w:lineRule="auto"/>
              <w:jc w:val="center"/>
              <w:rPr>
                <w:rFonts w:hint="eastAsia"/>
                <w:b/>
                <w:bCs/>
                <w:sz w:val="21"/>
              </w:rPr>
            </w:pPr>
            <w:r>
              <w:rPr>
                <w:rFonts w:hint="eastAsia"/>
                <w:b/>
                <w:bCs/>
                <w:sz w:val="21"/>
              </w:rPr>
              <w:t>1997/98</w:t>
            </w:r>
          </w:p>
        </w:tc>
        <w:tc>
          <w:tcPr>
            <w:tcW w:w="1182" w:type="dxa"/>
          </w:tcPr>
          <w:p w:rsidR="00000000" w:rsidRDefault="00000000">
            <w:pPr>
              <w:spacing w:before="120" w:line="312" w:lineRule="auto"/>
              <w:jc w:val="center"/>
              <w:rPr>
                <w:rFonts w:hint="eastAsia"/>
                <w:b/>
                <w:bCs/>
                <w:sz w:val="21"/>
              </w:rPr>
            </w:pPr>
            <w:r>
              <w:rPr>
                <w:rFonts w:hint="eastAsia"/>
                <w:b/>
                <w:bCs/>
                <w:sz w:val="21"/>
              </w:rPr>
              <w:t>1998/99</w:t>
            </w:r>
          </w:p>
        </w:tc>
      </w:tr>
      <w:tr w:rsidR="00000000">
        <w:tblPrEx>
          <w:tblCellMar>
            <w:top w:w="0" w:type="dxa"/>
            <w:bottom w:w="0" w:type="dxa"/>
          </w:tblCellMar>
        </w:tblPrEx>
        <w:tc>
          <w:tcPr>
            <w:tcW w:w="2261" w:type="dxa"/>
          </w:tcPr>
          <w:p w:rsidR="00000000" w:rsidRDefault="00000000">
            <w:pPr>
              <w:spacing w:before="60" w:line="312" w:lineRule="auto"/>
              <w:rPr>
                <w:rFonts w:ascii="Time New Roman" w:eastAsia="SimHei" w:hAnsi="Time New Roman" w:hint="eastAsia"/>
                <w:sz w:val="21"/>
              </w:rPr>
            </w:pPr>
            <w:r>
              <w:rPr>
                <w:rFonts w:ascii="Time New Roman" w:eastAsia="SimHei" w:hAnsi="Time New Roman" w:hint="eastAsia"/>
                <w:sz w:val="21"/>
              </w:rPr>
              <w:t>初等学校</w:t>
            </w:r>
          </w:p>
        </w:tc>
        <w:tc>
          <w:tcPr>
            <w:tcW w:w="975" w:type="dxa"/>
          </w:tcPr>
          <w:p w:rsidR="00000000" w:rsidRDefault="00000000">
            <w:pPr>
              <w:spacing w:before="60" w:line="312" w:lineRule="auto"/>
              <w:jc w:val="right"/>
              <w:rPr>
                <w:rFonts w:hint="eastAsia"/>
                <w:sz w:val="21"/>
              </w:rPr>
            </w:pPr>
          </w:p>
        </w:tc>
        <w:tc>
          <w:tcPr>
            <w:tcW w:w="1199" w:type="dxa"/>
          </w:tcPr>
          <w:p w:rsidR="00000000" w:rsidRDefault="00000000">
            <w:pPr>
              <w:spacing w:before="60" w:line="312" w:lineRule="auto"/>
              <w:jc w:val="right"/>
              <w:rPr>
                <w:rFonts w:hint="eastAsia"/>
                <w:sz w:val="21"/>
              </w:rPr>
            </w:pPr>
          </w:p>
        </w:tc>
        <w:tc>
          <w:tcPr>
            <w:tcW w:w="1318" w:type="dxa"/>
          </w:tcPr>
          <w:p w:rsidR="00000000" w:rsidRDefault="00000000">
            <w:pPr>
              <w:spacing w:before="60" w:line="312" w:lineRule="auto"/>
              <w:jc w:val="right"/>
              <w:rPr>
                <w:rFonts w:hint="eastAsia"/>
                <w:sz w:val="21"/>
              </w:rPr>
            </w:pPr>
          </w:p>
        </w:tc>
        <w:tc>
          <w:tcPr>
            <w:tcW w:w="1318" w:type="dxa"/>
          </w:tcPr>
          <w:p w:rsidR="00000000" w:rsidRDefault="00000000">
            <w:pPr>
              <w:spacing w:before="60" w:line="312" w:lineRule="auto"/>
              <w:jc w:val="right"/>
              <w:rPr>
                <w:rFonts w:hint="eastAsia"/>
                <w:sz w:val="21"/>
              </w:rPr>
            </w:pPr>
          </w:p>
        </w:tc>
        <w:tc>
          <w:tcPr>
            <w:tcW w:w="1318" w:type="dxa"/>
          </w:tcPr>
          <w:p w:rsidR="00000000" w:rsidRDefault="00000000">
            <w:pPr>
              <w:spacing w:before="60" w:line="312" w:lineRule="auto"/>
              <w:jc w:val="right"/>
              <w:rPr>
                <w:rFonts w:hint="eastAsia"/>
                <w:sz w:val="21"/>
              </w:rPr>
            </w:pPr>
          </w:p>
        </w:tc>
        <w:tc>
          <w:tcPr>
            <w:tcW w:w="1182" w:type="dxa"/>
          </w:tcPr>
          <w:p w:rsidR="00000000" w:rsidRDefault="00000000">
            <w:pPr>
              <w:spacing w:before="60" w:line="312" w:lineRule="auto"/>
              <w:jc w:val="right"/>
              <w:rPr>
                <w:rFonts w:hint="eastAsia"/>
                <w:sz w:val="21"/>
              </w:rPr>
            </w:pP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学校</w:t>
            </w:r>
          </w:p>
        </w:tc>
        <w:tc>
          <w:tcPr>
            <w:tcW w:w="975" w:type="dxa"/>
          </w:tcPr>
          <w:p w:rsidR="00000000" w:rsidRDefault="00000000">
            <w:pPr>
              <w:spacing w:before="60" w:line="312" w:lineRule="auto"/>
              <w:ind w:right="227"/>
              <w:jc w:val="right"/>
              <w:rPr>
                <w:rFonts w:hint="eastAsia"/>
                <w:sz w:val="21"/>
              </w:rPr>
            </w:pPr>
            <w:r>
              <w:rPr>
                <w:rFonts w:hint="eastAsia"/>
                <w:sz w:val="21"/>
              </w:rPr>
              <w:t>3</w:t>
            </w:r>
          </w:p>
        </w:tc>
        <w:tc>
          <w:tcPr>
            <w:tcW w:w="1199" w:type="dxa"/>
          </w:tcPr>
          <w:p w:rsidR="00000000" w:rsidRDefault="00000000">
            <w:pPr>
              <w:spacing w:before="60" w:line="312" w:lineRule="auto"/>
              <w:ind w:right="227"/>
              <w:jc w:val="right"/>
              <w:rPr>
                <w:rFonts w:hint="eastAsia"/>
                <w:sz w:val="21"/>
              </w:rPr>
            </w:pPr>
            <w:r>
              <w:rPr>
                <w:rFonts w:hint="eastAsia"/>
                <w:sz w:val="21"/>
              </w:rPr>
              <w:t>53</w:t>
            </w:r>
          </w:p>
        </w:tc>
        <w:tc>
          <w:tcPr>
            <w:tcW w:w="1318" w:type="dxa"/>
          </w:tcPr>
          <w:p w:rsidR="00000000" w:rsidRDefault="00000000">
            <w:pPr>
              <w:spacing w:before="60" w:line="312" w:lineRule="auto"/>
              <w:ind w:right="284"/>
              <w:jc w:val="right"/>
              <w:rPr>
                <w:rFonts w:hint="eastAsia"/>
                <w:sz w:val="21"/>
              </w:rPr>
            </w:pPr>
            <w:r>
              <w:rPr>
                <w:rFonts w:hint="eastAsia"/>
                <w:sz w:val="21"/>
              </w:rPr>
              <w:t>55</w:t>
            </w:r>
          </w:p>
        </w:tc>
        <w:tc>
          <w:tcPr>
            <w:tcW w:w="1318" w:type="dxa"/>
          </w:tcPr>
          <w:p w:rsidR="00000000" w:rsidRDefault="00000000">
            <w:pPr>
              <w:spacing w:before="60" w:line="312" w:lineRule="auto"/>
              <w:ind w:right="227"/>
              <w:jc w:val="right"/>
              <w:rPr>
                <w:rFonts w:hint="eastAsia"/>
                <w:sz w:val="21"/>
              </w:rPr>
            </w:pPr>
            <w:r>
              <w:rPr>
                <w:rFonts w:hint="eastAsia"/>
                <w:sz w:val="21"/>
              </w:rPr>
              <w:t>50</w:t>
            </w:r>
          </w:p>
        </w:tc>
        <w:tc>
          <w:tcPr>
            <w:tcW w:w="1318" w:type="dxa"/>
          </w:tcPr>
          <w:p w:rsidR="00000000" w:rsidRDefault="00000000">
            <w:pPr>
              <w:spacing w:before="60" w:line="312" w:lineRule="auto"/>
              <w:ind w:right="227"/>
              <w:jc w:val="right"/>
              <w:rPr>
                <w:rFonts w:hint="eastAsia"/>
                <w:sz w:val="21"/>
              </w:rPr>
            </w:pPr>
            <w:r>
              <w:rPr>
                <w:rFonts w:hint="eastAsia"/>
                <w:sz w:val="21"/>
              </w:rPr>
              <w:t>51</w:t>
            </w:r>
          </w:p>
        </w:tc>
        <w:tc>
          <w:tcPr>
            <w:tcW w:w="1182" w:type="dxa"/>
          </w:tcPr>
          <w:p w:rsidR="00000000" w:rsidRDefault="00000000">
            <w:pPr>
              <w:spacing w:before="60" w:line="312" w:lineRule="auto"/>
              <w:ind w:right="170"/>
              <w:jc w:val="right"/>
              <w:rPr>
                <w:rFonts w:hint="eastAsia"/>
                <w:sz w:val="21"/>
              </w:rPr>
            </w:pPr>
            <w:r>
              <w:rPr>
                <w:rFonts w:hint="eastAsia"/>
                <w:sz w:val="21"/>
              </w:rPr>
              <w:t>55</w:t>
            </w: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学生</w:t>
            </w:r>
          </w:p>
        </w:tc>
        <w:tc>
          <w:tcPr>
            <w:tcW w:w="975" w:type="dxa"/>
          </w:tcPr>
          <w:p w:rsidR="00000000" w:rsidRDefault="00000000">
            <w:pPr>
              <w:spacing w:before="60" w:line="312" w:lineRule="auto"/>
              <w:ind w:right="227"/>
              <w:jc w:val="right"/>
              <w:rPr>
                <w:rFonts w:hint="eastAsia"/>
                <w:sz w:val="21"/>
              </w:rPr>
            </w:pPr>
            <w:r>
              <w:rPr>
                <w:rFonts w:hint="eastAsia"/>
                <w:sz w:val="21"/>
              </w:rPr>
              <w:t>472</w:t>
            </w:r>
          </w:p>
        </w:tc>
        <w:tc>
          <w:tcPr>
            <w:tcW w:w="1199" w:type="dxa"/>
          </w:tcPr>
          <w:p w:rsidR="00000000" w:rsidRDefault="00000000">
            <w:pPr>
              <w:spacing w:before="60" w:line="312" w:lineRule="auto"/>
              <w:ind w:right="227"/>
              <w:jc w:val="right"/>
              <w:rPr>
                <w:rFonts w:hint="eastAsia"/>
                <w:sz w:val="21"/>
              </w:rPr>
            </w:pPr>
            <w:r>
              <w:rPr>
                <w:rFonts w:hint="eastAsia"/>
                <w:sz w:val="21"/>
              </w:rPr>
              <w:t>4,137</w:t>
            </w:r>
          </w:p>
        </w:tc>
        <w:tc>
          <w:tcPr>
            <w:tcW w:w="1318" w:type="dxa"/>
          </w:tcPr>
          <w:p w:rsidR="00000000" w:rsidRDefault="00000000">
            <w:pPr>
              <w:spacing w:before="60" w:line="312" w:lineRule="auto"/>
              <w:ind w:right="284"/>
              <w:jc w:val="right"/>
              <w:rPr>
                <w:rFonts w:hint="eastAsia"/>
                <w:sz w:val="21"/>
              </w:rPr>
            </w:pPr>
            <w:r>
              <w:rPr>
                <w:rFonts w:hint="eastAsia"/>
                <w:sz w:val="21"/>
              </w:rPr>
              <w:t>4,354</w:t>
            </w:r>
          </w:p>
        </w:tc>
        <w:tc>
          <w:tcPr>
            <w:tcW w:w="1318" w:type="dxa"/>
          </w:tcPr>
          <w:p w:rsidR="00000000" w:rsidRDefault="00000000">
            <w:pPr>
              <w:spacing w:before="60" w:line="312" w:lineRule="auto"/>
              <w:ind w:right="227"/>
              <w:jc w:val="right"/>
              <w:rPr>
                <w:rFonts w:hint="eastAsia"/>
                <w:sz w:val="21"/>
              </w:rPr>
            </w:pPr>
            <w:r>
              <w:rPr>
                <w:rFonts w:hint="eastAsia"/>
                <w:sz w:val="21"/>
              </w:rPr>
              <w:t>4,718</w:t>
            </w:r>
          </w:p>
        </w:tc>
        <w:tc>
          <w:tcPr>
            <w:tcW w:w="1318" w:type="dxa"/>
          </w:tcPr>
          <w:p w:rsidR="00000000" w:rsidRDefault="00000000">
            <w:pPr>
              <w:spacing w:before="60" w:line="312" w:lineRule="auto"/>
              <w:ind w:right="227"/>
              <w:jc w:val="right"/>
              <w:rPr>
                <w:rFonts w:hint="eastAsia"/>
                <w:sz w:val="21"/>
              </w:rPr>
            </w:pPr>
            <w:r>
              <w:rPr>
                <w:rFonts w:hint="eastAsia"/>
                <w:sz w:val="21"/>
              </w:rPr>
              <w:t>5,281</w:t>
            </w:r>
          </w:p>
        </w:tc>
        <w:tc>
          <w:tcPr>
            <w:tcW w:w="1182" w:type="dxa"/>
          </w:tcPr>
          <w:p w:rsidR="00000000" w:rsidRDefault="00000000">
            <w:pPr>
              <w:spacing w:before="60" w:line="312" w:lineRule="auto"/>
              <w:ind w:right="170"/>
              <w:jc w:val="right"/>
              <w:rPr>
                <w:rFonts w:hint="eastAsia"/>
                <w:sz w:val="21"/>
              </w:rPr>
            </w:pPr>
            <w:r>
              <w:rPr>
                <w:rFonts w:hint="eastAsia"/>
                <w:sz w:val="21"/>
              </w:rPr>
              <w:t>5,795</w:t>
            </w: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教师</w:t>
            </w:r>
          </w:p>
        </w:tc>
        <w:tc>
          <w:tcPr>
            <w:tcW w:w="975" w:type="dxa"/>
          </w:tcPr>
          <w:p w:rsidR="00000000" w:rsidRDefault="00000000">
            <w:pPr>
              <w:spacing w:before="60" w:line="312" w:lineRule="auto"/>
              <w:ind w:right="227"/>
              <w:jc w:val="right"/>
              <w:rPr>
                <w:rFonts w:hint="eastAsia"/>
                <w:sz w:val="21"/>
              </w:rPr>
            </w:pPr>
            <w:r>
              <w:rPr>
                <w:rFonts w:hint="eastAsia"/>
                <w:sz w:val="21"/>
              </w:rPr>
              <w:t>-</w:t>
            </w:r>
          </w:p>
        </w:tc>
        <w:tc>
          <w:tcPr>
            <w:tcW w:w="1199" w:type="dxa"/>
          </w:tcPr>
          <w:p w:rsidR="00000000" w:rsidRDefault="00000000">
            <w:pPr>
              <w:spacing w:before="60" w:line="312" w:lineRule="auto"/>
              <w:ind w:right="227"/>
              <w:jc w:val="right"/>
              <w:rPr>
                <w:rFonts w:hint="eastAsia"/>
                <w:sz w:val="21"/>
              </w:rPr>
            </w:pPr>
            <w:r>
              <w:rPr>
                <w:rFonts w:hint="eastAsia"/>
                <w:sz w:val="21"/>
              </w:rPr>
              <w:t>427</w:t>
            </w:r>
          </w:p>
        </w:tc>
        <w:tc>
          <w:tcPr>
            <w:tcW w:w="1318" w:type="dxa"/>
          </w:tcPr>
          <w:p w:rsidR="00000000" w:rsidRDefault="00000000">
            <w:pPr>
              <w:spacing w:before="60" w:line="312" w:lineRule="auto"/>
              <w:ind w:right="284"/>
              <w:jc w:val="right"/>
              <w:rPr>
                <w:rFonts w:hint="eastAsia"/>
                <w:sz w:val="21"/>
              </w:rPr>
            </w:pPr>
            <w:r>
              <w:rPr>
                <w:rFonts w:hint="eastAsia"/>
                <w:sz w:val="21"/>
              </w:rPr>
              <w:t>500</w:t>
            </w:r>
          </w:p>
        </w:tc>
        <w:tc>
          <w:tcPr>
            <w:tcW w:w="1318" w:type="dxa"/>
          </w:tcPr>
          <w:p w:rsidR="00000000" w:rsidRDefault="00000000">
            <w:pPr>
              <w:spacing w:before="60" w:line="312" w:lineRule="auto"/>
              <w:ind w:right="227"/>
              <w:jc w:val="right"/>
              <w:rPr>
                <w:rFonts w:hint="eastAsia"/>
                <w:sz w:val="21"/>
              </w:rPr>
            </w:pPr>
            <w:r>
              <w:rPr>
                <w:rFonts w:hint="eastAsia"/>
                <w:sz w:val="21"/>
              </w:rPr>
              <w:t>500</w:t>
            </w:r>
          </w:p>
        </w:tc>
        <w:tc>
          <w:tcPr>
            <w:tcW w:w="1318" w:type="dxa"/>
          </w:tcPr>
          <w:p w:rsidR="00000000" w:rsidRDefault="00000000">
            <w:pPr>
              <w:spacing w:before="60" w:line="312" w:lineRule="auto"/>
              <w:ind w:right="227"/>
              <w:jc w:val="right"/>
              <w:rPr>
                <w:rFonts w:hint="eastAsia"/>
                <w:sz w:val="21"/>
              </w:rPr>
            </w:pPr>
            <w:r>
              <w:rPr>
                <w:rFonts w:hint="eastAsia"/>
                <w:sz w:val="21"/>
              </w:rPr>
              <w:t>549</w:t>
            </w:r>
          </w:p>
        </w:tc>
        <w:tc>
          <w:tcPr>
            <w:tcW w:w="1182" w:type="dxa"/>
          </w:tcPr>
          <w:p w:rsidR="00000000" w:rsidRDefault="00000000">
            <w:pPr>
              <w:spacing w:before="60" w:line="312" w:lineRule="auto"/>
              <w:ind w:right="170"/>
              <w:jc w:val="right"/>
              <w:rPr>
                <w:rFonts w:hint="eastAsia"/>
                <w:sz w:val="21"/>
              </w:rPr>
            </w:pPr>
            <w:r>
              <w:rPr>
                <w:rFonts w:hint="eastAsia"/>
                <w:sz w:val="21"/>
              </w:rPr>
              <w:t>589</w:t>
            </w:r>
          </w:p>
        </w:tc>
      </w:tr>
      <w:tr w:rsidR="00000000">
        <w:tblPrEx>
          <w:tblCellMar>
            <w:top w:w="0" w:type="dxa"/>
            <w:bottom w:w="0" w:type="dxa"/>
          </w:tblCellMar>
        </w:tblPrEx>
        <w:tc>
          <w:tcPr>
            <w:tcW w:w="2261" w:type="dxa"/>
          </w:tcPr>
          <w:p w:rsidR="00000000" w:rsidRDefault="00000000">
            <w:pPr>
              <w:spacing w:before="60" w:line="312" w:lineRule="auto"/>
              <w:rPr>
                <w:rFonts w:ascii="Time New Roman" w:eastAsia="SimHei" w:hAnsi="Time New Roman" w:hint="eastAsia"/>
                <w:sz w:val="21"/>
              </w:rPr>
            </w:pPr>
            <w:r>
              <w:rPr>
                <w:rFonts w:ascii="Time New Roman" w:eastAsia="SimHei" w:hAnsi="Time New Roman" w:hint="eastAsia"/>
                <w:sz w:val="21"/>
              </w:rPr>
              <w:t>文法学校</w:t>
            </w:r>
          </w:p>
        </w:tc>
        <w:tc>
          <w:tcPr>
            <w:tcW w:w="975" w:type="dxa"/>
          </w:tcPr>
          <w:p w:rsidR="00000000" w:rsidRDefault="00000000">
            <w:pPr>
              <w:spacing w:before="60" w:line="312" w:lineRule="auto"/>
              <w:ind w:right="227"/>
              <w:jc w:val="right"/>
              <w:rPr>
                <w:rFonts w:hint="eastAsia"/>
                <w:sz w:val="21"/>
              </w:rPr>
            </w:pPr>
          </w:p>
        </w:tc>
        <w:tc>
          <w:tcPr>
            <w:tcW w:w="1199" w:type="dxa"/>
          </w:tcPr>
          <w:p w:rsidR="00000000" w:rsidRDefault="00000000">
            <w:pPr>
              <w:spacing w:before="60" w:line="312" w:lineRule="auto"/>
              <w:ind w:right="227"/>
              <w:jc w:val="right"/>
              <w:rPr>
                <w:rFonts w:hint="eastAsia"/>
                <w:sz w:val="21"/>
              </w:rPr>
            </w:pPr>
          </w:p>
        </w:tc>
        <w:tc>
          <w:tcPr>
            <w:tcW w:w="1318" w:type="dxa"/>
          </w:tcPr>
          <w:p w:rsidR="00000000" w:rsidRDefault="00000000">
            <w:pPr>
              <w:spacing w:before="60" w:line="312" w:lineRule="auto"/>
              <w:ind w:right="284"/>
              <w:jc w:val="right"/>
              <w:rPr>
                <w:rFonts w:hint="eastAsia"/>
                <w:sz w:val="21"/>
              </w:rPr>
            </w:pPr>
          </w:p>
        </w:tc>
        <w:tc>
          <w:tcPr>
            <w:tcW w:w="1318" w:type="dxa"/>
          </w:tcPr>
          <w:p w:rsidR="00000000" w:rsidRDefault="00000000">
            <w:pPr>
              <w:spacing w:before="60" w:line="312" w:lineRule="auto"/>
              <w:ind w:right="227"/>
              <w:jc w:val="right"/>
              <w:rPr>
                <w:rFonts w:hint="eastAsia"/>
                <w:sz w:val="21"/>
              </w:rPr>
            </w:pPr>
          </w:p>
        </w:tc>
        <w:tc>
          <w:tcPr>
            <w:tcW w:w="1318" w:type="dxa"/>
          </w:tcPr>
          <w:p w:rsidR="00000000" w:rsidRDefault="00000000">
            <w:pPr>
              <w:spacing w:before="60" w:line="312" w:lineRule="auto"/>
              <w:ind w:right="227"/>
              <w:jc w:val="right"/>
              <w:rPr>
                <w:rFonts w:hint="eastAsia"/>
                <w:sz w:val="21"/>
              </w:rPr>
            </w:pPr>
          </w:p>
        </w:tc>
        <w:tc>
          <w:tcPr>
            <w:tcW w:w="1182" w:type="dxa"/>
          </w:tcPr>
          <w:p w:rsidR="00000000" w:rsidRDefault="00000000">
            <w:pPr>
              <w:spacing w:before="60" w:line="312" w:lineRule="auto"/>
              <w:ind w:right="170"/>
              <w:jc w:val="right"/>
              <w:rPr>
                <w:rFonts w:hint="eastAsia"/>
                <w:sz w:val="21"/>
              </w:rPr>
            </w:pP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学校</w:t>
            </w:r>
          </w:p>
        </w:tc>
        <w:tc>
          <w:tcPr>
            <w:tcW w:w="975" w:type="dxa"/>
          </w:tcPr>
          <w:p w:rsidR="00000000" w:rsidRDefault="00000000">
            <w:pPr>
              <w:spacing w:before="60" w:line="312" w:lineRule="auto"/>
              <w:ind w:right="227"/>
              <w:jc w:val="right"/>
              <w:rPr>
                <w:rFonts w:hint="eastAsia"/>
                <w:sz w:val="21"/>
              </w:rPr>
            </w:pPr>
            <w:r>
              <w:rPr>
                <w:rFonts w:hint="eastAsia"/>
                <w:sz w:val="21"/>
              </w:rPr>
              <w:t>2</w:t>
            </w:r>
          </w:p>
        </w:tc>
        <w:tc>
          <w:tcPr>
            <w:tcW w:w="1199" w:type="dxa"/>
          </w:tcPr>
          <w:p w:rsidR="00000000" w:rsidRDefault="00000000">
            <w:pPr>
              <w:spacing w:before="60" w:line="312" w:lineRule="auto"/>
              <w:ind w:right="227"/>
              <w:jc w:val="right"/>
              <w:rPr>
                <w:rFonts w:hint="eastAsia"/>
                <w:sz w:val="21"/>
              </w:rPr>
            </w:pPr>
            <w:r>
              <w:rPr>
                <w:rFonts w:hint="eastAsia"/>
                <w:sz w:val="21"/>
              </w:rPr>
              <w:t>73</w:t>
            </w:r>
          </w:p>
        </w:tc>
        <w:tc>
          <w:tcPr>
            <w:tcW w:w="1318" w:type="dxa"/>
          </w:tcPr>
          <w:p w:rsidR="00000000" w:rsidRDefault="00000000">
            <w:pPr>
              <w:spacing w:before="60" w:line="312" w:lineRule="auto"/>
              <w:ind w:right="284"/>
              <w:jc w:val="right"/>
              <w:rPr>
                <w:rFonts w:hint="eastAsia"/>
                <w:sz w:val="21"/>
              </w:rPr>
            </w:pPr>
            <w:r>
              <w:rPr>
                <w:rFonts w:hint="eastAsia"/>
                <w:sz w:val="21"/>
              </w:rPr>
              <w:t>79</w:t>
            </w:r>
          </w:p>
        </w:tc>
        <w:tc>
          <w:tcPr>
            <w:tcW w:w="1318" w:type="dxa"/>
          </w:tcPr>
          <w:p w:rsidR="00000000" w:rsidRDefault="00000000">
            <w:pPr>
              <w:spacing w:before="60" w:line="312" w:lineRule="auto"/>
              <w:ind w:right="227"/>
              <w:jc w:val="right"/>
              <w:rPr>
                <w:rFonts w:hint="eastAsia"/>
                <w:sz w:val="21"/>
              </w:rPr>
            </w:pPr>
            <w:r>
              <w:rPr>
                <w:rFonts w:hint="eastAsia"/>
                <w:sz w:val="21"/>
              </w:rPr>
              <w:t>84</w:t>
            </w:r>
          </w:p>
        </w:tc>
        <w:tc>
          <w:tcPr>
            <w:tcW w:w="1318" w:type="dxa"/>
          </w:tcPr>
          <w:p w:rsidR="00000000" w:rsidRDefault="00000000">
            <w:pPr>
              <w:spacing w:before="60" w:line="312" w:lineRule="auto"/>
              <w:ind w:right="227"/>
              <w:jc w:val="right"/>
              <w:rPr>
                <w:rFonts w:hint="eastAsia"/>
                <w:sz w:val="21"/>
              </w:rPr>
            </w:pPr>
            <w:r>
              <w:rPr>
                <w:rFonts w:hint="eastAsia"/>
                <w:sz w:val="21"/>
              </w:rPr>
              <w:t>64</w:t>
            </w:r>
          </w:p>
        </w:tc>
        <w:tc>
          <w:tcPr>
            <w:tcW w:w="1182" w:type="dxa"/>
          </w:tcPr>
          <w:p w:rsidR="00000000" w:rsidRDefault="00000000">
            <w:pPr>
              <w:spacing w:before="60" w:line="312" w:lineRule="auto"/>
              <w:ind w:right="170"/>
              <w:jc w:val="right"/>
              <w:rPr>
                <w:rFonts w:hint="eastAsia"/>
                <w:sz w:val="21"/>
              </w:rPr>
            </w:pPr>
            <w:r>
              <w:rPr>
                <w:rFonts w:hint="eastAsia"/>
                <w:sz w:val="21"/>
              </w:rPr>
              <w:t>78</w:t>
            </w: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学生</w:t>
            </w:r>
          </w:p>
        </w:tc>
        <w:tc>
          <w:tcPr>
            <w:tcW w:w="975" w:type="dxa"/>
          </w:tcPr>
          <w:p w:rsidR="00000000" w:rsidRDefault="00000000">
            <w:pPr>
              <w:spacing w:before="60" w:line="312" w:lineRule="auto"/>
              <w:ind w:right="227"/>
              <w:jc w:val="right"/>
              <w:rPr>
                <w:rFonts w:hint="eastAsia"/>
                <w:sz w:val="21"/>
              </w:rPr>
            </w:pPr>
            <w:r>
              <w:rPr>
                <w:rFonts w:hint="eastAsia"/>
                <w:sz w:val="21"/>
              </w:rPr>
              <w:t>162</w:t>
            </w:r>
          </w:p>
        </w:tc>
        <w:tc>
          <w:tcPr>
            <w:tcW w:w="1199" w:type="dxa"/>
          </w:tcPr>
          <w:p w:rsidR="00000000" w:rsidRDefault="00000000">
            <w:pPr>
              <w:spacing w:before="60" w:line="312" w:lineRule="auto"/>
              <w:ind w:right="227"/>
              <w:jc w:val="right"/>
              <w:rPr>
                <w:rFonts w:hint="eastAsia"/>
                <w:sz w:val="21"/>
              </w:rPr>
            </w:pPr>
            <w:r>
              <w:rPr>
                <w:rFonts w:hint="eastAsia"/>
                <w:sz w:val="21"/>
              </w:rPr>
              <w:t>13,576</w:t>
            </w:r>
          </w:p>
        </w:tc>
        <w:tc>
          <w:tcPr>
            <w:tcW w:w="1318" w:type="dxa"/>
          </w:tcPr>
          <w:p w:rsidR="00000000" w:rsidRDefault="00000000">
            <w:pPr>
              <w:spacing w:before="60" w:line="312" w:lineRule="auto"/>
              <w:ind w:right="284"/>
              <w:jc w:val="right"/>
              <w:rPr>
                <w:rFonts w:hint="eastAsia"/>
                <w:sz w:val="21"/>
              </w:rPr>
            </w:pPr>
            <w:r>
              <w:rPr>
                <w:rFonts w:hint="eastAsia"/>
                <w:sz w:val="21"/>
              </w:rPr>
              <w:t>15,124</w:t>
            </w:r>
          </w:p>
        </w:tc>
        <w:tc>
          <w:tcPr>
            <w:tcW w:w="1318" w:type="dxa"/>
          </w:tcPr>
          <w:p w:rsidR="00000000" w:rsidRDefault="00000000">
            <w:pPr>
              <w:spacing w:before="60" w:line="312" w:lineRule="auto"/>
              <w:ind w:right="227"/>
              <w:jc w:val="right"/>
              <w:rPr>
                <w:rFonts w:hint="eastAsia"/>
                <w:sz w:val="21"/>
              </w:rPr>
            </w:pPr>
            <w:r>
              <w:rPr>
                <w:rFonts w:hint="eastAsia"/>
                <w:sz w:val="21"/>
              </w:rPr>
              <w:t>14,488</w:t>
            </w:r>
          </w:p>
        </w:tc>
        <w:tc>
          <w:tcPr>
            <w:tcW w:w="1318" w:type="dxa"/>
          </w:tcPr>
          <w:p w:rsidR="00000000" w:rsidRDefault="00000000">
            <w:pPr>
              <w:spacing w:before="60" w:line="312" w:lineRule="auto"/>
              <w:ind w:right="227"/>
              <w:jc w:val="right"/>
              <w:rPr>
                <w:rFonts w:hint="eastAsia"/>
                <w:sz w:val="21"/>
              </w:rPr>
            </w:pPr>
            <w:r>
              <w:rPr>
                <w:rFonts w:hint="eastAsia"/>
                <w:sz w:val="21"/>
              </w:rPr>
              <w:t>14,026</w:t>
            </w:r>
          </w:p>
        </w:tc>
        <w:tc>
          <w:tcPr>
            <w:tcW w:w="1182" w:type="dxa"/>
          </w:tcPr>
          <w:p w:rsidR="00000000" w:rsidRDefault="00000000">
            <w:pPr>
              <w:spacing w:before="60" w:line="312" w:lineRule="auto"/>
              <w:ind w:right="170"/>
              <w:jc w:val="right"/>
              <w:rPr>
                <w:rFonts w:hint="eastAsia"/>
                <w:sz w:val="21"/>
              </w:rPr>
            </w:pPr>
            <w:r>
              <w:rPr>
                <w:rFonts w:hint="eastAsia"/>
                <w:sz w:val="21"/>
              </w:rPr>
              <w:t>13,605</w:t>
            </w: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教师</w:t>
            </w:r>
          </w:p>
        </w:tc>
        <w:tc>
          <w:tcPr>
            <w:tcW w:w="975" w:type="dxa"/>
          </w:tcPr>
          <w:p w:rsidR="00000000" w:rsidRDefault="00000000">
            <w:pPr>
              <w:spacing w:before="60" w:line="312" w:lineRule="auto"/>
              <w:ind w:right="227"/>
              <w:jc w:val="right"/>
              <w:rPr>
                <w:rFonts w:hint="eastAsia"/>
                <w:sz w:val="21"/>
              </w:rPr>
            </w:pPr>
            <w:r>
              <w:rPr>
                <w:rFonts w:hint="eastAsia"/>
                <w:sz w:val="21"/>
              </w:rPr>
              <w:t>37</w:t>
            </w:r>
          </w:p>
        </w:tc>
        <w:tc>
          <w:tcPr>
            <w:tcW w:w="1199" w:type="dxa"/>
          </w:tcPr>
          <w:p w:rsidR="00000000" w:rsidRDefault="00000000">
            <w:pPr>
              <w:spacing w:before="60" w:line="312" w:lineRule="auto"/>
              <w:ind w:right="227"/>
              <w:jc w:val="right"/>
              <w:rPr>
                <w:rFonts w:hint="eastAsia"/>
                <w:sz w:val="21"/>
              </w:rPr>
            </w:pPr>
            <w:r>
              <w:rPr>
                <w:rFonts w:hint="eastAsia"/>
                <w:sz w:val="21"/>
              </w:rPr>
              <w:t>2,058</w:t>
            </w:r>
          </w:p>
        </w:tc>
        <w:tc>
          <w:tcPr>
            <w:tcW w:w="1318" w:type="dxa"/>
          </w:tcPr>
          <w:p w:rsidR="00000000" w:rsidRDefault="00000000">
            <w:pPr>
              <w:spacing w:before="60" w:line="312" w:lineRule="auto"/>
              <w:ind w:right="284"/>
              <w:jc w:val="right"/>
              <w:rPr>
                <w:rFonts w:hint="eastAsia"/>
                <w:sz w:val="21"/>
              </w:rPr>
            </w:pPr>
            <w:r>
              <w:rPr>
                <w:rFonts w:hint="eastAsia"/>
                <w:sz w:val="21"/>
              </w:rPr>
              <w:t>2,353</w:t>
            </w:r>
          </w:p>
        </w:tc>
        <w:tc>
          <w:tcPr>
            <w:tcW w:w="1318" w:type="dxa"/>
          </w:tcPr>
          <w:p w:rsidR="00000000" w:rsidRDefault="00000000">
            <w:pPr>
              <w:spacing w:before="60" w:line="312" w:lineRule="auto"/>
              <w:ind w:right="227"/>
              <w:jc w:val="right"/>
              <w:rPr>
                <w:rFonts w:hint="eastAsia"/>
                <w:sz w:val="21"/>
              </w:rPr>
            </w:pPr>
            <w:r>
              <w:rPr>
                <w:rFonts w:hint="eastAsia"/>
                <w:sz w:val="21"/>
              </w:rPr>
              <w:t>2,212</w:t>
            </w:r>
          </w:p>
        </w:tc>
        <w:tc>
          <w:tcPr>
            <w:tcW w:w="1318" w:type="dxa"/>
          </w:tcPr>
          <w:p w:rsidR="00000000" w:rsidRDefault="00000000">
            <w:pPr>
              <w:spacing w:before="60" w:line="312" w:lineRule="auto"/>
              <w:ind w:right="227"/>
              <w:jc w:val="right"/>
              <w:rPr>
                <w:rFonts w:hint="eastAsia"/>
                <w:sz w:val="21"/>
              </w:rPr>
            </w:pPr>
            <w:r>
              <w:rPr>
                <w:rFonts w:hint="eastAsia"/>
                <w:sz w:val="21"/>
              </w:rPr>
              <w:t>1,965</w:t>
            </w:r>
          </w:p>
        </w:tc>
        <w:tc>
          <w:tcPr>
            <w:tcW w:w="1182" w:type="dxa"/>
          </w:tcPr>
          <w:p w:rsidR="00000000" w:rsidRDefault="00000000">
            <w:pPr>
              <w:spacing w:before="60" w:line="312" w:lineRule="auto"/>
              <w:ind w:right="170"/>
              <w:jc w:val="right"/>
              <w:rPr>
                <w:rFonts w:hint="eastAsia"/>
                <w:sz w:val="21"/>
              </w:rPr>
            </w:pPr>
            <w:r>
              <w:rPr>
                <w:rFonts w:hint="eastAsia"/>
                <w:sz w:val="21"/>
              </w:rPr>
              <w:t>1,842</w:t>
            </w:r>
          </w:p>
        </w:tc>
      </w:tr>
      <w:tr w:rsidR="00000000">
        <w:tblPrEx>
          <w:tblCellMar>
            <w:top w:w="0" w:type="dxa"/>
            <w:bottom w:w="0" w:type="dxa"/>
          </w:tblCellMar>
        </w:tblPrEx>
        <w:tc>
          <w:tcPr>
            <w:tcW w:w="2261" w:type="dxa"/>
          </w:tcPr>
          <w:p w:rsidR="00000000" w:rsidRDefault="00000000">
            <w:pPr>
              <w:spacing w:before="60" w:line="312" w:lineRule="auto"/>
              <w:rPr>
                <w:rFonts w:ascii="Time New Roman" w:eastAsia="SimHei" w:hAnsi="Time New Roman" w:hint="eastAsia"/>
                <w:sz w:val="21"/>
              </w:rPr>
            </w:pPr>
            <w:r>
              <w:rPr>
                <w:rFonts w:ascii="Time New Roman" w:eastAsia="SimHei" w:hAnsi="Time New Roman" w:hint="eastAsia"/>
                <w:sz w:val="21"/>
              </w:rPr>
              <w:t>中等技术学校</w:t>
            </w:r>
          </w:p>
        </w:tc>
        <w:tc>
          <w:tcPr>
            <w:tcW w:w="975" w:type="dxa"/>
          </w:tcPr>
          <w:p w:rsidR="00000000" w:rsidRDefault="00000000">
            <w:pPr>
              <w:spacing w:before="60" w:line="312" w:lineRule="auto"/>
              <w:ind w:right="227"/>
              <w:jc w:val="right"/>
              <w:rPr>
                <w:rFonts w:hint="eastAsia"/>
                <w:sz w:val="21"/>
              </w:rPr>
            </w:pPr>
          </w:p>
        </w:tc>
        <w:tc>
          <w:tcPr>
            <w:tcW w:w="1199" w:type="dxa"/>
          </w:tcPr>
          <w:p w:rsidR="00000000" w:rsidRDefault="00000000">
            <w:pPr>
              <w:spacing w:before="60" w:line="312" w:lineRule="auto"/>
              <w:ind w:right="227"/>
              <w:jc w:val="right"/>
              <w:rPr>
                <w:rFonts w:hint="eastAsia"/>
                <w:sz w:val="21"/>
              </w:rPr>
            </w:pPr>
          </w:p>
        </w:tc>
        <w:tc>
          <w:tcPr>
            <w:tcW w:w="1318" w:type="dxa"/>
          </w:tcPr>
          <w:p w:rsidR="00000000" w:rsidRDefault="00000000">
            <w:pPr>
              <w:spacing w:before="60" w:line="312" w:lineRule="auto"/>
              <w:ind w:right="284"/>
              <w:jc w:val="right"/>
              <w:rPr>
                <w:rFonts w:hint="eastAsia"/>
                <w:sz w:val="21"/>
              </w:rPr>
            </w:pPr>
          </w:p>
        </w:tc>
        <w:tc>
          <w:tcPr>
            <w:tcW w:w="1318" w:type="dxa"/>
          </w:tcPr>
          <w:p w:rsidR="00000000" w:rsidRDefault="00000000">
            <w:pPr>
              <w:spacing w:before="60" w:line="312" w:lineRule="auto"/>
              <w:ind w:right="227"/>
              <w:jc w:val="right"/>
              <w:rPr>
                <w:rFonts w:hint="eastAsia"/>
                <w:sz w:val="21"/>
              </w:rPr>
            </w:pPr>
          </w:p>
        </w:tc>
        <w:tc>
          <w:tcPr>
            <w:tcW w:w="1318" w:type="dxa"/>
          </w:tcPr>
          <w:p w:rsidR="00000000" w:rsidRDefault="00000000">
            <w:pPr>
              <w:spacing w:before="60" w:line="312" w:lineRule="auto"/>
              <w:ind w:right="227"/>
              <w:jc w:val="right"/>
              <w:rPr>
                <w:rFonts w:hint="eastAsia"/>
                <w:sz w:val="21"/>
              </w:rPr>
            </w:pPr>
          </w:p>
        </w:tc>
        <w:tc>
          <w:tcPr>
            <w:tcW w:w="1182" w:type="dxa"/>
          </w:tcPr>
          <w:p w:rsidR="00000000" w:rsidRDefault="00000000">
            <w:pPr>
              <w:spacing w:before="60" w:line="312" w:lineRule="auto"/>
              <w:ind w:right="170"/>
              <w:jc w:val="right"/>
              <w:rPr>
                <w:rFonts w:hint="eastAsia"/>
                <w:sz w:val="21"/>
              </w:rPr>
            </w:pP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学校</w:t>
            </w:r>
          </w:p>
        </w:tc>
        <w:tc>
          <w:tcPr>
            <w:tcW w:w="975" w:type="dxa"/>
          </w:tcPr>
          <w:p w:rsidR="00000000" w:rsidRDefault="00000000">
            <w:pPr>
              <w:spacing w:before="60" w:line="312" w:lineRule="auto"/>
              <w:ind w:right="227"/>
              <w:jc w:val="right"/>
              <w:rPr>
                <w:rFonts w:hint="eastAsia"/>
                <w:sz w:val="21"/>
              </w:rPr>
            </w:pPr>
            <w:r>
              <w:rPr>
                <w:rFonts w:hint="eastAsia"/>
                <w:sz w:val="21"/>
              </w:rPr>
              <w:t>4</w:t>
            </w:r>
          </w:p>
        </w:tc>
        <w:tc>
          <w:tcPr>
            <w:tcW w:w="1199" w:type="dxa"/>
          </w:tcPr>
          <w:p w:rsidR="00000000" w:rsidRDefault="00000000">
            <w:pPr>
              <w:spacing w:before="60" w:line="312" w:lineRule="auto"/>
              <w:ind w:right="227"/>
              <w:jc w:val="right"/>
              <w:rPr>
                <w:rFonts w:hint="eastAsia"/>
                <w:sz w:val="21"/>
              </w:rPr>
            </w:pPr>
            <w:r>
              <w:rPr>
                <w:rFonts w:hint="eastAsia"/>
                <w:sz w:val="21"/>
              </w:rPr>
              <w:t>292</w:t>
            </w:r>
          </w:p>
        </w:tc>
        <w:tc>
          <w:tcPr>
            <w:tcW w:w="1318" w:type="dxa"/>
          </w:tcPr>
          <w:p w:rsidR="00000000" w:rsidRDefault="00000000">
            <w:pPr>
              <w:spacing w:before="60" w:line="312" w:lineRule="auto"/>
              <w:ind w:right="284"/>
              <w:jc w:val="right"/>
              <w:rPr>
                <w:rFonts w:hint="eastAsia"/>
                <w:sz w:val="21"/>
              </w:rPr>
            </w:pPr>
            <w:r>
              <w:rPr>
                <w:rFonts w:hint="eastAsia"/>
                <w:sz w:val="21"/>
              </w:rPr>
              <w:t>313</w:t>
            </w:r>
          </w:p>
        </w:tc>
        <w:tc>
          <w:tcPr>
            <w:tcW w:w="1318" w:type="dxa"/>
          </w:tcPr>
          <w:p w:rsidR="00000000" w:rsidRDefault="00000000">
            <w:pPr>
              <w:spacing w:before="60" w:line="312" w:lineRule="auto"/>
              <w:ind w:right="227"/>
              <w:jc w:val="right"/>
              <w:rPr>
                <w:rFonts w:hint="eastAsia"/>
                <w:sz w:val="21"/>
              </w:rPr>
            </w:pPr>
            <w:r>
              <w:rPr>
                <w:rFonts w:hint="eastAsia"/>
                <w:sz w:val="21"/>
              </w:rPr>
              <w:t>328</w:t>
            </w:r>
          </w:p>
        </w:tc>
        <w:tc>
          <w:tcPr>
            <w:tcW w:w="1318" w:type="dxa"/>
          </w:tcPr>
          <w:p w:rsidR="00000000" w:rsidRDefault="00000000">
            <w:pPr>
              <w:spacing w:before="60" w:line="312" w:lineRule="auto"/>
              <w:ind w:right="227"/>
              <w:jc w:val="right"/>
              <w:rPr>
                <w:rFonts w:hint="eastAsia"/>
                <w:sz w:val="21"/>
              </w:rPr>
            </w:pPr>
            <w:r>
              <w:rPr>
                <w:rFonts w:hint="eastAsia"/>
                <w:sz w:val="21"/>
              </w:rPr>
              <w:t>285</w:t>
            </w:r>
          </w:p>
        </w:tc>
        <w:tc>
          <w:tcPr>
            <w:tcW w:w="1182" w:type="dxa"/>
          </w:tcPr>
          <w:p w:rsidR="00000000" w:rsidRDefault="00000000">
            <w:pPr>
              <w:spacing w:before="60" w:line="312" w:lineRule="auto"/>
              <w:ind w:right="170"/>
              <w:jc w:val="right"/>
              <w:rPr>
                <w:rFonts w:hint="eastAsia"/>
                <w:sz w:val="21"/>
              </w:rPr>
            </w:pPr>
            <w:r>
              <w:rPr>
                <w:rFonts w:hint="eastAsia"/>
                <w:sz w:val="21"/>
              </w:rPr>
              <w:t>255</w:t>
            </w: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学生</w:t>
            </w:r>
          </w:p>
        </w:tc>
        <w:tc>
          <w:tcPr>
            <w:tcW w:w="975" w:type="dxa"/>
          </w:tcPr>
          <w:p w:rsidR="00000000" w:rsidRDefault="00000000">
            <w:pPr>
              <w:spacing w:before="60" w:line="312" w:lineRule="auto"/>
              <w:ind w:right="227"/>
              <w:jc w:val="right"/>
              <w:rPr>
                <w:rFonts w:hint="eastAsia"/>
                <w:sz w:val="21"/>
              </w:rPr>
            </w:pPr>
            <w:r>
              <w:rPr>
                <w:rFonts w:hint="eastAsia"/>
                <w:sz w:val="21"/>
              </w:rPr>
              <w:t>160</w:t>
            </w:r>
          </w:p>
        </w:tc>
        <w:tc>
          <w:tcPr>
            <w:tcW w:w="1199" w:type="dxa"/>
          </w:tcPr>
          <w:p w:rsidR="00000000" w:rsidRDefault="00000000">
            <w:pPr>
              <w:spacing w:before="60" w:line="312" w:lineRule="auto"/>
              <w:ind w:right="227"/>
              <w:jc w:val="right"/>
              <w:rPr>
                <w:rFonts w:hint="eastAsia"/>
                <w:sz w:val="21"/>
              </w:rPr>
            </w:pPr>
            <w:r>
              <w:rPr>
                <w:rFonts w:hint="eastAsia"/>
                <w:sz w:val="21"/>
              </w:rPr>
              <w:t>44,483</w:t>
            </w:r>
          </w:p>
        </w:tc>
        <w:tc>
          <w:tcPr>
            <w:tcW w:w="1318" w:type="dxa"/>
          </w:tcPr>
          <w:p w:rsidR="00000000" w:rsidRDefault="00000000">
            <w:pPr>
              <w:spacing w:before="60" w:line="312" w:lineRule="auto"/>
              <w:ind w:right="284"/>
              <w:jc w:val="right"/>
              <w:rPr>
                <w:rFonts w:hint="eastAsia"/>
                <w:sz w:val="21"/>
              </w:rPr>
            </w:pPr>
            <w:r>
              <w:rPr>
                <w:rFonts w:hint="eastAsia"/>
                <w:sz w:val="21"/>
              </w:rPr>
              <w:t>50,446</w:t>
            </w:r>
          </w:p>
        </w:tc>
        <w:tc>
          <w:tcPr>
            <w:tcW w:w="1318" w:type="dxa"/>
          </w:tcPr>
          <w:p w:rsidR="00000000" w:rsidRDefault="00000000">
            <w:pPr>
              <w:spacing w:before="60" w:line="312" w:lineRule="auto"/>
              <w:ind w:right="227"/>
              <w:jc w:val="right"/>
              <w:rPr>
                <w:rFonts w:hint="eastAsia"/>
                <w:sz w:val="21"/>
              </w:rPr>
            </w:pPr>
            <w:r>
              <w:rPr>
                <w:rFonts w:hint="eastAsia"/>
                <w:sz w:val="21"/>
              </w:rPr>
              <w:t>37,657</w:t>
            </w:r>
          </w:p>
        </w:tc>
        <w:tc>
          <w:tcPr>
            <w:tcW w:w="1318" w:type="dxa"/>
          </w:tcPr>
          <w:p w:rsidR="00000000" w:rsidRDefault="00000000">
            <w:pPr>
              <w:spacing w:before="60" w:line="312" w:lineRule="auto"/>
              <w:ind w:right="227"/>
              <w:jc w:val="right"/>
              <w:rPr>
                <w:rFonts w:hint="eastAsia"/>
                <w:sz w:val="21"/>
              </w:rPr>
            </w:pPr>
            <w:r>
              <w:rPr>
                <w:rFonts w:hint="eastAsia"/>
                <w:sz w:val="21"/>
              </w:rPr>
              <w:t>31,775</w:t>
            </w:r>
          </w:p>
        </w:tc>
        <w:tc>
          <w:tcPr>
            <w:tcW w:w="1182" w:type="dxa"/>
          </w:tcPr>
          <w:p w:rsidR="00000000" w:rsidRDefault="00000000">
            <w:pPr>
              <w:spacing w:before="60" w:line="312" w:lineRule="auto"/>
              <w:ind w:right="170"/>
              <w:jc w:val="right"/>
              <w:rPr>
                <w:rFonts w:hint="eastAsia"/>
                <w:sz w:val="21"/>
              </w:rPr>
            </w:pPr>
            <w:r>
              <w:rPr>
                <w:rFonts w:hint="eastAsia"/>
                <w:sz w:val="21"/>
              </w:rPr>
              <w:t>25,570</w:t>
            </w:r>
          </w:p>
        </w:tc>
      </w:tr>
      <w:tr w:rsidR="00000000">
        <w:tblPrEx>
          <w:tblCellMar>
            <w:top w:w="0" w:type="dxa"/>
            <w:bottom w:w="0" w:type="dxa"/>
          </w:tblCellMar>
        </w:tblPrEx>
        <w:tc>
          <w:tcPr>
            <w:tcW w:w="2261" w:type="dxa"/>
          </w:tcPr>
          <w:p w:rsidR="00000000" w:rsidRDefault="00000000">
            <w:pPr>
              <w:spacing w:before="60" w:line="312" w:lineRule="auto"/>
              <w:rPr>
                <w:rFonts w:hint="eastAsia"/>
                <w:sz w:val="21"/>
              </w:rPr>
            </w:pPr>
            <w:r>
              <w:rPr>
                <w:rFonts w:hint="eastAsia"/>
                <w:sz w:val="21"/>
              </w:rPr>
              <w:t>教师</w:t>
            </w:r>
            <w:r>
              <w:rPr>
                <w:rFonts w:hint="eastAsia"/>
                <w:sz w:val="21"/>
              </w:rPr>
              <w:t>(</w:t>
            </w:r>
            <w:r>
              <w:rPr>
                <w:rFonts w:hint="eastAsia"/>
                <w:sz w:val="21"/>
              </w:rPr>
              <w:t>专职和兼职</w:t>
            </w:r>
            <w:r>
              <w:rPr>
                <w:rFonts w:hint="eastAsia"/>
                <w:sz w:val="21"/>
              </w:rPr>
              <w:t>)</w:t>
            </w:r>
          </w:p>
        </w:tc>
        <w:tc>
          <w:tcPr>
            <w:tcW w:w="975" w:type="dxa"/>
          </w:tcPr>
          <w:p w:rsidR="00000000" w:rsidRDefault="00000000">
            <w:pPr>
              <w:spacing w:before="60" w:line="312" w:lineRule="auto"/>
              <w:ind w:right="227"/>
              <w:jc w:val="right"/>
              <w:rPr>
                <w:rFonts w:hint="eastAsia"/>
                <w:sz w:val="21"/>
              </w:rPr>
            </w:pPr>
            <w:r>
              <w:rPr>
                <w:rFonts w:hint="eastAsia"/>
                <w:sz w:val="21"/>
              </w:rPr>
              <w:t>42</w:t>
            </w:r>
          </w:p>
        </w:tc>
        <w:tc>
          <w:tcPr>
            <w:tcW w:w="1199" w:type="dxa"/>
          </w:tcPr>
          <w:p w:rsidR="00000000" w:rsidRDefault="00000000">
            <w:pPr>
              <w:spacing w:before="60" w:line="312" w:lineRule="auto"/>
              <w:ind w:right="227"/>
              <w:jc w:val="right"/>
              <w:rPr>
                <w:rFonts w:hint="eastAsia"/>
                <w:sz w:val="21"/>
              </w:rPr>
            </w:pPr>
            <w:r>
              <w:rPr>
                <w:rFonts w:hint="eastAsia"/>
                <w:sz w:val="21"/>
              </w:rPr>
              <w:t>7,058</w:t>
            </w:r>
          </w:p>
        </w:tc>
        <w:tc>
          <w:tcPr>
            <w:tcW w:w="1318" w:type="dxa"/>
          </w:tcPr>
          <w:p w:rsidR="00000000" w:rsidRDefault="00000000">
            <w:pPr>
              <w:spacing w:before="60" w:line="312" w:lineRule="auto"/>
              <w:ind w:right="284"/>
              <w:jc w:val="right"/>
              <w:rPr>
                <w:rFonts w:hint="eastAsia"/>
                <w:sz w:val="21"/>
              </w:rPr>
            </w:pPr>
            <w:r>
              <w:rPr>
                <w:rFonts w:hint="eastAsia"/>
                <w:sz w:val="21"/>
              </w:rPr>
              <w:t>8,005</w:t>
            </w:r>
          </w:p>
        </w:tc>
        <w:tc>
          <w:tcPr>
            <w:tcW w:w="1318" w:type="dxa"/>
          </w:tcPr>
          <w:p w:rsidR="00000000" w:rsidRDefault="00000000">
            <w:pPr>
              <w:spacing w:before="60" w:line="312" w:lineRule="auto"/>
              <w:ind w:right="227"/>
              <w:jc w:val="right"/>
              <w:rPr>
                <w:rFonts w:hint="eastAsia"/>
                <w:sz w:val="21"/>
              </w:rPr>
            </w:pPr>
            <w:r>
              <w:rPr>
                <w:rFonts w:hint="eastAsia"/>
                <w:sz w:val="21"/>
              </w:rPr>
              <w:t>6,469</w:t>
            </w:r>
          </w:p>
        </w:tc>
        <w:tc>
          <w:tcPr>
            <w:tcW w:w="1318" w:type="dxa"/>
          </w:tcPr>
          <w:p w:rsidR="00000000" w:rsidRDefault="00000000">
            <w:pPr>
              <w:spacing w:before="60" w:line="312" w:lineRule="auto"/>
              <w:ind w:right="227"/>
              <w:jc w:val="right"/>
              <w:rPr>
                <w:rFonts w:hint="eastAsia"/>
                <w:sz w:val="21"/>
              </w:rPr>
            </w:pPr>
            <w:r>
              <w:rPr>
                <w:rFonts w:hint="eastAsia"/>
                <w:sz w:val="21"/>
              </w:rPr>
              <w:t>4,974</w:t>
            </w:r>
          </w:p>
        </w:tc>
        <w:tc>
          <w:tcPr>
            <w:tcW w:w="1182" w:type="dxa"/>
          </w:tcPr>
          <w:p w:rsidR="00000000" w:rsidRDefault="00000000">
            <w:pPr>
              <w:spacing w:before="60" w:line="312" w:lineRule="auto"/>
              <w:ind w:right="170"/>
              <w:jc w:val="right"/>
              <w:rPr>
                <w:rFonts w:hint="eastAsia"/>
                <w:sz w:val="21"/>
              </w:rPr>
            </w:pPr>
            <w:r>
              <w:rPr>
                <w:rFonts w:hint="eastAsia"/>
                <w:sz w:val="21"/>
              </w:rPr>
              <w:t>4,295</w:t>
            </w:r>
          </w:p>
        </w:tc>
      </w:tr>
    </w:tbl>
    <w:p w:rsidR="00000000" w:rsidRDefault="00000000">
      <w:pPr>
        <w:pStyle w:val="FootnoteText"/>
        <w:spacing w:before="160"/>
        <w:rPr>
          <w:rFonts w:hint="eastAsia"/>
          <w:sz w:val="21"/>
        </w:rPr>
      </w:pPr>
      <w:r>
        <w:rPr>
          <w:rFonts w:hint="eastAsia"/>
          <w:sz w:val="21"/>
          <w:u w:val="single"/>
        </w:rPr>
        <w:t>资料来源</w:t>
      </w:r>
      <w:r>
        <w:rPr>
          <w:rFonts w:hint="eastAsia"/>
          <w:sz w:val="21"/>
        </w:rPr>
        <w:t>：《</w:t>
      </w:r>
      <w:r>
        <w:rPr>
          <w:rFonts w:hint="eastAsia"/>
          <w:sz w:val="21"/>
        </w:rPr>
        <w:t>1999</w:t>
      </w:r>
      <w:r>
        <w:rPr>
          <w:rFonts w:hint="eastAsia"/>
          <w:sz w:val="21"/>
        </w:rPr>
        <w:t>年捷克共和国统计年鉴》。</w:t>
      </w:r>
    </w:p>
    <w:p w:rsidR="00000000" w:rsidRDefault="00000000">
      <w:pPr>
        <w:pStyle w:val="Heading3"/>
        <w:spacing w:before="240"/>
        <w:rPr>
          <w:rFonts w:hint="eastAsia"/>
        </w:rPr>
      </w:pPr>
      <w:r>
        <w:rPr>
          <w:rFonts w:hint="eastAsia"/>
        </w:rPr>
        <w:t>第</w:t>
      </w:r>
      <w:r>
        <w:rPr>
          <w:rFonts w:hint="eastAsia"/>
        </w:rPr>
        <w:t xml:space="preserve"> 14 </w:t>
      </w:r>
      <w:r>
        <w:rPr>
          <w:rFonts w:hint="eastAsia"/>
        </w:rPr>
        <w:t>条</w:t>
      </w:r>
    </w:p>
    <w:p w:rsidR="00000000" w:rsidRDefault="00000000">
      <w:pPr>
        <w:rPr>
          <w:rFonts w:hint="eastAsia"/>
        </w:rPr>
      </w:pPr>
      <w:r>
        <w:rPr>
          <w:rFonts w:hint="eastAsia"/>
        </w:rPr>
        <w:tab/>
        <w:t xml:space="preserve">641.  </w:t>
      </w:r>
      <w:r>
        <w:rPr>
          <w:rFonts w:hint="eastAsia"/>
        </w:rPr>
        <w:t>这一条不适用捷克共和国，因为捷克共和国确实确保免费的义务初等教育。这项权利来自上述《宪章》第</w:t>
      </w:r>
      <w:r>
        <w:rPr>
          <w:rFonts w:hint="eastAsia"/>
        </w:rPr>
        <w:t>13</w:t>
      </w:r>
      <w:r>
        <w:rPr>
          <w:rFonts w:hint="eastAsia"/>
        </w:rPr>
        <w:t>条和《初等学校、中等学校和中学后职业学校系统法》</w:t>
      </w:r>
      <w:r>
        <w:rPr>
          <w:rFonts w:hint="eastAsia"/>
        </w:rPr>
        <w:t>(</w:t>
      </w:r>
      <w:r>
        <w:rPr>
          <w:rFonts w:hint="eastAsia"/>
        </w:rPr>
        <w:t>《学校法》</w:t>
      </w:r>
      <w:r>
        <w:rPr>
          <w:rFonts w:hint="eastAsia"/>
        </w:rPr>
        <w:t>)</w:t>
      </w:r>
      <w:r>
        <w:rPr>
          <w:rFonts w:hint="eastAsia"/>
        </w:rPr>
        <w:t>第</w:t>
      </w:r>
      <w:r>
        <w:rPr>
          <w:rFonts w:hint="eastAsia"/>
        </w:rPr>
        <w:t>4</w:t>
      </w:r>
      <w:r>
        <w:rPr>
          <w:rFonts w:hint="eastAsia"/>
        </w:rPr>
        <w:t>节第</w:t>
      </w:r>
      <w:r>
        <w:rPr>
          <w:rFonts w:hint="eastAsia"/>
        </w:rPr>
        <w:t>1</w:t>
      </w:r>
      <w:r>
        <w:rPr>
          <w:rFonts w:hint="eastAsia"/>
        </w:rPr>
        <w:t>段。按照《宪章》第</w:t>
      </w:r>
      <w:r>
        <w:rPr>
          <w:rFonts w:hint="eastAsia"/>
        </w:rPr>
        <w:t>33</w:t>
      </w:r>
      <w:r>
        <w:rPr>
          <w:rFonts w:hint="eastAsia"/>
        </w:rPr>
        <w:t>条和《学校法》第</w:t>
      </w:r>
      <w:r>
        <w:rPr>
          <w:rFonts w:hint="eastAsia"/>
        </w:rPr>
        <w:t>4</w:t>
      </w:r>
      <w:r>
        <w:rPr>
          <w:rFonts w:hint="eastAsia"/>
        </w:rPr>
        <w:t>节第</w:t>
      </w:r>
      <w:r>
        <w:rPr>
          <w:rFonts w:hint="eastAsia"/>
        </w:rPr>
        <w:t>1</w:t>
      </w:r>
      <w:r>
        <w:rPr>
          <w:rFonts w:hint="eastAsia"/>
        </w:rPr>
        <w:t>段，免费义务教育在捷克共和国得到落实</w:t>
      </w:r>
    </w:p>
    <w:p w:rsidR="00000000" w:rsidRDefault="00000000">
      <w:pPr>
        <w:pStyle w:val="Heading3"/>
        <w:rPr>
          <w:rFonts w:hint="eastAsia"/>
        </w:rPr>
      </w:pPr>
      <w:r>
        <w:rPr>
          <w:rFonts w:hint="eastAsia"/>
        </w:rPr>
        <w:t>第</w:t>
      </w:r>
      <w:r>
        <w:rPr>
          <w:rFonts w:hint="eastAsia"/>
        </w:rPr>
        <w:t xml:space="preserve"> 15 </w:t>
      </w:r>
      <w:r>
        <w:rPr>
          <w:rFonts w:hint="eastAsia"/>
        </w:rPr>
        <w:t>条</w:t>
      </w:r>
    </w:p>
    <w:p w:rsidR="00000000" w:rsidRDefault="00000000">
      <w:pPr>
        <w:rPr>
          <w:rFonts w:hint="eastAsia"/>
        </w:rPr>
      </w:pPr>
      <w:r>
        <w:rPr>
          <w:rFonts w:hint="eastAsia"/>
        </w:rPr>
        <w:tab/>
        <w:t xml:space="preserve">642.  </w:t>
      </w:r>
      <w:r>
        <w:rPr>
          <w:rFonts w:hint="eastAsia"/>
        </w:rPr>
        <w:t>保护《公约》第十五条所列权利的基本文书，是《基本权利和自由宪章》。</w:t>
      </w:r>
    </w:p>
    <w:p w:rsidR="00000000" w:rsidRDefault="00000000">
      <w:pPr>
        <w:rPr>
          <w:rFonts w:hint="eastAsia"/>
        </w:rPr>
      </w:pPr>
      <w:r>
        <w:rPr>
          <w:rFonts w:hint="eastAsia"/>
        </w:rPr>
        <w:tab/>
      </w:r>
      <w:r>
        <w:rPr>
          <w:rFonts w:hint="eastAsia"/>
        </w:rPr>
        <w:t>该宪章第</w:t>
      </w:r>
      <w:r>
        <w:rPr>
          <w:rFonts w:hint="eastAsia"/>
        </w:rPr>
        <w:t>15</w:t>
      </w:r>
      <w:r>
        <w:rPr>
          <w:rFonts w:hint="eastAsia"/>
        </w:rPr>
        <w:t>条规定：</w:t>
      </w:r>
    </w:p>
    <w:p w:rsidR="00000000" w:rsidRDefault="00000000">
      <w:pPr>
        <w:pStyle w:val="x0"/>
        <w:rPr>
          <w:rFonts w:hint="eastAsia"/>
        </w:rPr>
      </w:pPr>
      <w:r>
        <w:rPr>
          <w:rFonts w:hint="eastAsia"/>
        </w:rPr>
        <w:t>“</w:t>
      </w:r>
      <w:r>
        <w:rPr>
          <w:rFonts w:hint="eastAsia"/>
        </w:rPr>
        <w:t>(1)</w:t>
      </w:r>
      <w:r>
        <w:rPr>
          <w:rFonts w:hint="eastAsia"/>
        </w:rPr>
        <w:tab/>
      </w:r>
      <w:r>
        <w:rPr>
          <w:rFonts w:hint="eastAsia"/>
        </w:rPr>
        <w:t>思想、信仰及宗教信仰自由受到保障。人人都有权改变其宗教或信仰或不信奉任何宗教。</w:t>
      </w:r>
    </w:p>
    <w:p w:rsidR="00000000" w:rsidRDefault="00000000">
      <w:pPr>
        <w:pStyle w:val="x0"/>
        <w:rPr>
          <w:rFonts w:hint="eastAsia"/>
        </w:rPr>
      </w:pPr>
      <w:r>
        <w:rPr>
          <w:rFonts w:hint="eastAsia"/>
        </w:rPr>
        <w:t>“</w:t>
      </w:r>
      <w:r>
        <w:rPr>
          <w:rFonts w:hint="eastAsia"/>
        </w:rPr>
        <w:t>(2)</w:t>
      </w:r>
      <w:r>
        <w:rPr>
          <w:rFonts w:hint="eastAsia"/>
        </w:rPr>
        <w:tab/>
      </w:r>
      <w:r>
        <w:rPr>
          <w:rFonts w:hint="eastAsia"/>
        </w:rPr>
        <w:t>学术研究和艺术创造自由受到保障。</w:t>
      </w:r>
    </w:p>
    <w:p w:rsidR="00000000" w:rsidRDefault="00000000">
      <w:pPr>
        <w:pStyle w:val="x0"/>
        <w:rPr>
          <w:rFonts w:hint="eastAsia"/>
        </w:rPr>
      </w:pPr>
      <w:r>
        <w:rPr>
          <w:rFonts w:hint="eastAsia"/>
        </w:rPr>
        <w:t>“</w:t>
      </w:r>
      <w:r>
        <w:rPr>
          <w:rFonts w:hint="eastAsia"/>
        </w:rPr>
        <w:t>(3)</w:t>
      </w:r>
      <w:r>
        <w:rPr>
          <w:rFonts w:hint="eastAsia"/>
        </w:rPr>
        <w:tab/>
      </w:r>
      <w:r>
        <w:rPr>
          <w:rFonts w:hint="eastAsia"/>
        </w:rPr>
        <w:t>如果服兵役与某人的良心或宗教信仰相抵触，就不得迫使该人服兵役。详细条款将在一项法律中得到订立。”</w:t>
      </w:r>
    </w:p>
    <w:p w:rsidR="00000000" w:rsidRDefault="00000000">
      <w:pPr>
        <w:rPr>
          <w:rFonts w:hint="eastAsia"/>
        </w:rPr>
      </w:pPr>
      <w:r>
        <w:rPr>
          <w:rFonts w:hint="eastAsia"/>
        </w:rPr>
        <w:tab/>
      </w:r>
      <w:r>
        <w:rPr>
          <w:rFonts w:hint="eastAsia"/>
        </w:rPr>
        <w:t>《宪章》第</w:t>
      </w:r>
      <w:r>
        <w:rPr>
          <w:rFonts w:hint="eastAsia"/>
        </w:rPr>
        <w:t>17</w:t>
      </w:r>
      <w:r>
        <w:rPr>
          <w:rFonts w:hint="eastAsia"/>
        </w:rPr>
        <w:t>条：</w:t>
      </w:r>
    </w:p>
    <w:p w:rsidR="00000000" w:rsidRDefault="00000000">
      <w:pPr>
        <w:pStyle w:val="x0"/>
        <w:rPr>
          <w:rFonts w:hint="eastAsia"/>
        </w:rPr>
      </w:pPr>
      <w:r>
        <w:rPr>
          <w:rFonts w:hint="eastAsia"/>
        </w:rPr>
        <w:t>“</w:t>
      </w:r>
      <w:r>
        <w:rPr>
          <w:rFonts w:hint="eastAsia"/>
        </w:rPr>
        <w:t>(1)</w:t>
      </w:r>
      <w:r>
        <w:rPr>
          <w:rFonts w:hint="eastAsia"/>
        </w:rPr>
        <w:tab/>
      </w:r>
      <w:r>
        <w:rPr>
          <w:rFonts w:hint="eastAsia"/>
        </w:rPr>
        <w:t>言论自由和了解情况权受到保障。</w:t>
      </w:r>
    </w:p>
    <w:p w:rsidR="00000000" w:rsidRDefault="00000000">
      <w:pPr>
        <w:pStyle w:val="x0"/>
        <w:rPr>
          <w:rFonts w:hint="eastAsia"/>
        </w:rPr>
      </w:pPr>
      <w:r>
        <w:rPr>
          <w:rFonts w:hint="eastAsia"/>
        </w:rPr>
        <w:t>“</w:t>
      </w:r>
      <w:r>
        <w:rPr>
          <w:rFonts w:hint="eastAsia"/>
        </w:rPr>
        <w:t>(2)</w:t>
      </w:r>
      <w:r>
        <w:rPr>
          <w:rFonts w:hint="eastAsia"/>
        </w:rPr>
        <w:tab/>
      </w:r>
      <w:r>
        <w:rPr>
          <w:rFonts w:hint="eastAsia"/>
        </w:rPr>
        <w:t>人人都有权以口头或书面方式、在报刊上、在电视台、或以任何其他方式发表自己的看法，还有权自由地寻求、收取和传播见解和信息，不受国界的约束。</w:t>
      </w:r>
    </w:p>
    <w:p w:rsidR="00000000" w:rsidRDefault="00000000">
      <w:pPr>
        <w:pStyle w:val="x0"/>
        <w:rPr>
          <w:rFonts w:hint="eastAsia"/>
        </w:rPr>
      </w:pPr>
      <w:r>
        <w:rPr>
          <w:rFonts w:hint="eastAsia"/>
        </w:rPr>
        <w:t>“</w:t>
      </w:r>
      <w:r>
        <w:rPr>
          <w:rFonts w:hint="eastAsia"/>
        </w:rPr>
        <w:t>(3)</w:t>
      </w:r>
      <w:r>
        <w:rPr>
          <w:rFonts w:hint="eastAsia"/>
        </w:rPr>
        <w:tab/>
      </w:r>
      <w:r>
        <w:rPr>
          <w:rFonts w:hint="eastAsia"/>
        </w:rPr>
        <w:t>审查受到禁止。</w:t>
      </w:r>
    </w:p>
    <w:p w:rsidR="00000000" w:rsidRDefault="00000000">
      <w:pPr>
        <w:pStyle w:val="x0"/>
        <w:rPr>
          <w:rFonts w:hint="eastAsia"/>
        </w:rPr>
      </w:pPr>
      <w:r>
        <w:rPr>
          <w:rFonts w:hint="eastAsia"/>
        </w:rPr>
        <w:t>“</w:t>
      </w:r>
      <w:r>
        <w:rPr>
          <w:rFonts w:hint="eastAsia"/>
        </w:rPr>
        <w:t>(4)</w:t>
      </w:r>
      <w:r>
        <w:rPr>
          <w:rFonts w:hint="eastAsia"/>
        </w:rPr>
        <w:tab/>
      </w:r>
      <w:r>
        <w:rPr>
          <w:rFonts w:hint="eastAsia"/>
        </w:rPr>
        <w:t>在民主国家有必要采取措施，维护他人的权利和自由，保卫国家安全，维护治安、公共健康或道德的情况下，可依法对言论自由和寻求及传播信息的权利加以限制。</w:t>
      </w:r>
    </w:p>
    <w:p w:rsidR="00000000" w:rsidRDefault="00000000">
      <w:pPr>
        <w:pStyle w:val="x0"/>
        <w:rPr>
          <w:rFonts w:hint="eastAsia"/>
        </w:rPr>
      </w:pPr>
      <w:r>
        <w:rPr>
          <w:rFonts w:hint="eastAsia"/>
        </w:rPr>
        <w:t>“</w:t>
      </w:r>
      <w:r>
        <w:rPr>
          <w:rFonts w:hint="eastAsia"/>
        </w:rPr>
        <w:t>(5)</w:t>
      </w:r>
      <w:r>
        <w:rPr>
          <w:rFonts w:hint="eastAsia"/>
        </w:rPr>
        <w:tab/>
      </w:r>
      <w:r>
        <w:rPr>
          <w:rFonts w:hint="eastAsia"/>
        </w:rPr>
        <w:t>国家机构和区域自治机构须以恰当方式介绍其活动情况。介绍情况所依据的条件以及这方面的具体做法，由法律加以规定。”</w:t>
      </w:r>
    </w:p>
    <w:p w:rsidR="00000000" w:rsidRDefault="00000000">
      <w:pPr>
        <w:rPr>
          <w:rFonts w:hint="eastAsia"/>
        </w:rPr>
      </w:pPr>
      <w:r>
        <w:rPr>
          <w:rFonts w:hint="eastAsia"/>
        </w:rPr>
        <w:tab/>
      </w:r>
      <w:r>
        <w:rPr>
          <w:rFonts w:hint="eastAsia"/>
        </w:rPr>
        <w:t>《宪章》第</w:t>
      </w:r>
      <w:r>
        <w:rPr>
          <w:rFonts w:hint="eastAsia"/>
        </w:rPr>
        <w:t>25</w:t>
      </w:r>
      <w:r>
        <w:rPr>
          <w:rFonts w:hint="eastAsia"/>
        </w:rPr>
        <w:t>条：</w:t>
      </w:r>
    </w:p>
    <w:p w:rsidR="00000000" w:rsidRDefault="00000000">
      <w:pPr>
        <w:pStyle w:val="x0"/>
        <w:rPr>
          <w:rFonts w:hint="eastAsia"/>
        </w:rPr>
      </w:pPr>
      <w:r>
        <w:rPr>
          <w:rFonts w:hint="eastAsia"/>
        </w:rPr>
        <w:t>“</w:t>
      </w:r>
      <w:r>
        <w:rPr>
          <w:rFonts w:hint="eastAsia"/>
        </w:rPr>
        <w:t>(1)</w:t>
      </w:r>
      <w:r>
        <w:rPr>
          <w:rFonts w:hint="eastAsia"/>
        </w:rPr>
        <w:tab/>
      </w:r>
      <w:r>
        <w:rPr>
          <w:rFonts w:hint="eastAsia"/>
        </w:rPr>
        <w:t>属于少数民族的公民有资格得到全面发展，具体来说，有权与其他少数群体成员一道，发展本民族文化；有权以本民族语言传播并接收信息；有权建立民族团体。详细条款将由法律加以订立。</w:t>
      </w:r>
    </w:p>
    <w:p w:rsidR="00000000" w:rsidRDefault="00000000">
      <w:pPr>
        <w:pStyle w:val="x0"/>
        <w:rPr>
          <w:rFonts w:hint="eastAsia"/>
        </w:rPr>
      </w:pPr>
      <w:r>
        <w:rPr>
          <w:rFonts w:hint="eastAsia"/>
        </w:rPr>
        <w:t>“</w:t>
      </w:r>
      <w:r>
        <w:rPr>
          <w:rFonts w:hint="eastAsia"/>
        </w:rPr>
        <w:t>(2)</w:t>
      </w:r>
      <w:r>
        <w:rPr>
          <w:rFonts w:hint="eastAsia"/>
        </w:rPr>
        <w:tab/>
      </w:r>
      <w:r>
        <w:rPr>
          <w:rFonts w:hint="eastAsia"/>
        </w:rPr>
        <w:t>属于少数民族和族裔群体的公民还依据法律规定的条件，享有以下权利：</w:t>
      </w:r>
    </w:p>
    <w:p w:rsidR="00000000" w:rsidRDefault="00000000">
      <w:pPr>
        <w:pStyle w:val="x0"/>
        <w:numPr>
          <w:ilvl w:val="0"/>
          <w:numId w:val="902"/>
        </w:numPr>
        <w:adjustRightInd w:val="0"/>
        <w:ind w:left="2018"/>
        <w:rPr>
          <w:rFonts w:hint="eastAsia"/>
        </w:rPr>
      </w:pPr>
      <w:r>
        <w:rPr>
          <w:rFonts w:hint="eastAsia"/>
        </w:rPr>
        <w:t>接受用本民族语言提供的教育，</w:t>
      </w:r>
    </w:p>
    <w:p w:rsidR="00000000" w:rsidRDefault="00000000">
      <w:pPr>
        <w:pStyle w:val="x0"/>
        <w:numPr>
          <w:ilvl w:val="0"/>
          <w:numId w:val="902"/>
        </w:numPr>
        <w:adjustRightInd w:val="0"/>
        <w:ind w:left="2018"/>
        <w:rPr>
          <w:rFonts w:hint="eastAsia"/>
        </w:rPr>
      </w:pPr>
      <w:r>
        <w:rPr>
          <w:rFonts w:hint="eastAsia"/>
        </w:rPr>
        <w:t>用本民族语言同政府工作人员交涉，</w:t>
      </w:r>
    </w:p>
    <w:p w:rsidR="00000000" w:rsidRDefault="00000000">
      <w:pPr>
        <w:pStyle w:val="x0"/>
        <w:numPr>
          <w:ilvl w:val="0"/>
          <w:numId w:val="902"/>
        </w:numPr>
        <w:adjustRightInd w:val="0"/>
        <w:ind w:left="2018"/>
        <w:rPr>
          <w:rFonts w:hint="eastAsia"/>
        </w:rPr>
      </w:pPr>
      <w:r>
        <w:rPr>
          <w:rFonts w:hint="eastAsia"/>
        </w:rPr>
        <w:t>参与解决与少数民族和少数族裔群体相关的事项。”</w:t>
      </w:r>
    </w:p>
    <w:p w:rsidR="00000000" w:rsidRDefault="00000000">
      <w:pPr>
        <w:rPr>
          <w:rFonts w:hint="eastAsia"/>
        </w:rPr>
      </w:pPr>
      <w:r>
        <w:rPr>
          <w:rFonts w:hint="eastAsia"/>
        </w:rPr>
        <w:tab/>
      </w:r>
      <w:r>
        <w:rPr>
          <w:rFonts w:hint="eastAsia"/>
        </w:rPr>
        <w:t>《宪章》第</w:t>
      </w:r>
      <w:r>
        <w:rPr>
          <w:rFonts w:hint="eastAsia"/>
        </w:rPr>
        <w:t>34</w:t>
      </w:r>
      <w:r>
        <w:rPr>
          <w:rFonts w:hint="eastAsia"/>
        </w:rPr>
        <w:t>条：</w:t>
      </w:r>
    </w:p>
    <w:p w:rsidR="00000000" w:rsidRDefault="00000000">
      <w:pPr>
        <w:pStyle w:val="x0"/>
        <w:rPr>
          <w:rFonts w:hint="eastAsia"/>
        </w:rPr>
      </w:pPr>
      <w:r>
        <w:rPr>
          <w:rFonts w:hint="eastAsia"/>
        </w:rPr>
        <w:t>“</w:t>
      </w:r>
      <w:r>
        <w:rPr>
          <w:rFonts w:hint="eastAsia"/>
        </w:rPr>
        <w:t>(1)</w:t>
      </w:r>
      <w:r>
        <w:rPr>
          <w:rFonts w:hint="eastAsia"/>
        </w:rPr>
        <w:tab/>
      </w:r>
      <w:r>
        <w:rPr>
          <w:rFonts w:hint="eastAsia"/>
        </w:rPr>
        <w:t>公民对其智力创造成果享有的权利受到法律保护。</w:t>
      </w:r>
    </w:p>
    <w:p w:rsidR="00000000" w:rsidRDefault="00000000">
      <w:pPr>
        <w:pStyle w:val="x0"/>
        <w:rPr>
          <w:rFonts w:hint="eastAsia"/>
        </w:rPr>
      </w:pPr>
      <w:r>
        <w:rPr>
          <w:rFonts w:hint="eastAsia"/>
        </w:rPr>
        <w:t>“</w:t>
      </w:r>
      <w:r>
        <w:rPr>
          <w:rFonts w:hint="eastAsia"/>
        </w:rPr>
        <w:t>(2)</w:t>
      </w:r>
      <w:r>
        <w:rPr>
          <w:rFonts w:hint="eastAsia"/>
        </w:rPr>
        <w:tab/>
      </w:r>
      <w:r>
        <w:rPr>
          <w:rFonts w:hint="eastAsia"/>
        </w:rPr>
        <w:t>利用和享受国家的文化财富的权利在法律规定的条件之下受到保障。”</w:t>
      </w:r>
    </w:p>
    <w:p w:rsidR="00000000" w:rsidRDefault="00000000">
      <w:pPr>
        <w:spacing w:after="320"/>
        <w:rPr>
          <w:rFonts w:hint="eastAsia"/>
        </w:rPr>
      </w:pPr>
      <w:r>
        <w:rPr>
          <w:rFonts w:hint="eastAsia"/>
        </w:rPr>
        <w:tab/>
        <w:t xml:space="preserve">643.  </w:t>
      </w:r>
      <w:r>
        <w:rPr>
          <w:rFonts w:hint="eastAsia"/>
        </w:rPr>
        <w:t>没有对文化财富的概念作进一步界定。据认为，文化财富一方面是指所谓的文化遗产，即以往创造的具有文化价值的事物；另一方面是指文化产物，例如当代创造的艺术作品和表演艺术等。</w:t>
      </w:r>
    </w:p>
    <w:p w:rsidR="00000000" w:rsidRDefault="00000000">
      <w:pPr>
        <w:pStyle w:val="Heading4"/>
        <w:rPr>
          <w:rFonts w:hint="eastAsia"/>
        </w:rPr>
      </w:pPr>
      <w:r>
        <w:rPr>
          <w:rFonts w:hint="eastAsia"/>
        </w:rPr>
        <w:t>参与文化生活的权利</w:t>
      </w:r>
    </w:p>
    <w:p w:rsidR="00000000" w:rsidRDefault="00000000">
      <w:pPr>
        <w:pStyle w:val="Heading4"/>
        <w:ind w:left="510"/>
        <w:rPr>
          <w:rFonts w:hint="eastAsia"/>
        </w:rPr>
      </w:pPr>
      <w:r>
        <w:rPr>
          <w:rFonts w:hint="eastAsia"/>
        </w:rPr>
        <w:t>法律框架</w:t>
      </w:r>
    </w:p>
    <w:p w:rsidR="00000000" w:rsidRDefault="00000000">
      <w:pPr>
        <w:rPr>
          <w:rFonts w:hint="eastAsia"/>
        </w:rPr>
      </w:pPr>
      <w:r>
        <w:rPr>
          <w:rFonts w:hint="eastAsia"/>
        </w:rPr>
        <w:tab/>
        <w:t xml:space="preserve">644.  </w:t>
      </w:r>
      <w:r>
        <w:rPr>
          <w:rFonts w:hint="eastAsia"/>
        </w:rPr>
        <w:t>捷克共和国是下列与文化有关的国际公约的缔约国：</w:t>
      </w:r>
    </w:p>
    <w:p w:rsidR="00000000" w:rsidRDefault="00000000">
      <w:pPr>
        <w:pStyle w:val="ad"/>
        <w:rPr>
          <w:rFonts w:hint="eastAsia"/>
        </w:rPr>
      </w:pPr>
      <w:r>
        <w:rPr>
          <w:rFonts w:hint="eastAsia"/>
        </w:rPr>
        <w:t>《保护世界文化和自然遗产公约》</w:t>
      </w:r>
      <w:r>
        <w:rPr>
          <w:rStyle w:val="EndnoteReference"/>
        </w:rPr>
        <w:endnoteReference w:id="382"/>
      </w:r>
      <w:r>
        <w:rPr>
          <w:rFonts w:hint="eastAsia"/>
        </w:rPr>
        <w:t>；</w:t>
      </w:r>
    </w:p>
    <w:p w:rsidR="00000000" w:rsidRDefault="00000000">
      <w:pPr>
        <w:pStyle w:val="ad"/>
        <w:rPr>
          <w:rFonts w:hint="eastAsia"/>
        </w:rPr>
      </w:pPr>
      <w:r>
        <w:rPr>
          <w:rFonts w:hint="eastAsia"/>
        </w:rPr>
        <w:t>《关于禁止和防止非法进出口文化财产和非法转让其所有权的方法的公约》</w:t>
      </w:r>
      <w:r>
        <w:rPr>
          <w:rStyle w:val="EndnoteReference"/>
        </w:rPr>
        <w:endnoteReference w:id="383"/>
      </w:r>
      <w:r>
        <w:rPr>
          <w:rFonts w:hint="eastAsia"/>
        </w:rPr>
        <w:t>，</w:t>
      </w:r>
    </w:p>
    <w:p w:rsidR="00000000" w:rsidRDefault="00000000">
      <w:pPr>
        <w:pStyle w:val="ad"/>
        <w:rPr>
          <w:rFonts w:hint="eastAsia"/>
        </w:rPr>
      </w:pPr>
      <w:r>
        <w:rPr>
          <w:rFonts w:hint="eastAsia"/>
        </w:rPr>
        <w:t>《关于发生武装冲突时保护文化财产的公约》及其《议定书》</w:t>
      </w:r>
      <w:r>
        <w:rPr>
          <w:rStyle w:val="EndnoteReference"/>
        </w:rPr>
        <w:endnoteReference w:id="384"/>
      </w:r>
      <w:r>
        <w:rPr>
          <w:rFonts w:hint="eastAsia"/>
        </w:rPr>
        <w:t>，</w:t>
      </w:r>
    </w:p>
    <w:p w:rsidR="00000000" w:rsidRDefault="00000000">
      <w:pPr>
        <w:pStyle w:val="ad"/>
        <w:rPr>
          <w:rFonts w:hint="eastAsia"/>
        </w:rPr>
      </w:pPr>
      <w:r>
        <w:rPr>
          <w:rFonts w:hint="eastAsia"/>
        </w:rPr>
        <w:t>《国家间交换官方出版物和政府文件公约》，以及《国际间交换出版物公约》</w:t>
      </w:r>
      <w:r>
        <w:rPr>
          <w:rStyle w:val="EndnoteReference"/>
        </w:rPr>
        <w:endnoteReference w:id="385"/>
      </w:r>
      <w:r>
        <w:rPr>
          <w:rFonts w:hint="eastAsia"/>
        </w:rPr>
        <w:t>，</w:t>
      </w:r>
    </w:p>
    <w:p w:rsidR="00000000" w:rsidRDefault="00000000">
      <w:pPr>
        <w:pStyle w:val="ad"/>
        <w:rPr>
          <w:rFonts w:hint="eastAsia"/>
        </w:rPr>
      </w:pPr>
      <w:r>
        <w:rPr>
          <w:rFonts w:hint="eastAsia"/>
        </w:rPr>
        <w:t>《关于教育、科学和文化物品的进口的协定》及其《议定书》</w:t>
      </w:r>
      <w:r>
        <w:rPr>
          <w:rStyle w:val="EndnoteReference"/>
        </w:rPr>
        <w:endnoteReference w:id="386"/>
      </w:r>
      <w:r>
        <w:rPr>
          <w:rFonts w:hint="eastAsia"/>
        </w:rPr>
        <w:t>。</w:t>
      </w:r>
    </w:p>
    <w:p w:rsidR="00000000" w:rsidRDefault="00000000">
      <w:pPr>
        <w:spacing w:after="320"/>
        <w:rPr>
          <w:rFonts w:hint="eastAsia"/>
        </w:rPr>
      </w:pPr>
      <w:r>
        <w:rPr>
          <w:rFonts w:hint="eastAsia"/>
        </w:rPr>
        <w:tab/>
        <w:t xml:space="preserve">645.  </w:t>
      </w:r>
      <w:r>
        <w:rPr>
          <w:rFonts w:hint="eastAsia"/>
        </w:rPr>
        <w:t>文化创作工作和活动在各个领域也受一些法规的管理，这些法规可分为保护文化遗产法规</w:t>
      </w:r>
      <w:r>
        <w:rPr>
          <w:rFonts w:hint="eastAsia"/>
        </w:rPr>
        <w:t xml:space="preserve"> </w:t>
      </w:r>
      <w:r>
        <w:rPr>
          <w:rStyle w:val="EndnoteReference"/>
        </w:rPr>
        <w:endnoteReference w:id="387"/>
      </w:r>
      <w:r>
        <w:rPr>
          <w:rFonts w:hint="eastAsia"/>
        </w:rPr>
        <w:t xml:space="preserve"> </w:t>
      </w:r>
      <w:r>
        <w:rPr>
          <w:rFonts w:hint="eastAsia"/>
        </w:rPr>
        <w:t>和保护传媒文化法规</w:t>
      </w:r>
      <w:r>
        <w:rPr>
          <w:rFonts w:hint="eastAsia"/>
        </w:rPr>
        <w:t xml:space="preserve"> </w:t>
      </w:r>
      <w:r>
        <w:rPr>
          <w:rStyle w:val="EndnoteReference"/>
        </w:rPr>
        <w:endnoteReference w:id="388"/>
      </w:r>
      <w:r>
        <w:rPr>
          <w:rFonts w:hint="eastAsia"/>
        </w:rPr>
        <w:t>。</w:t>
      </w:r>
    </w:p>
    <w:p w:rsidR="00000000" w:rsidRDefault="00000000">
      <w:pPr>
        <w:pStyle w:val="Heading4"/>
        <w:ind w:left="510"/>
        <w:rPr>
          <w:rFonts w:hint="eastAsia"/>
        </w:rPr>
      </w:pPr>
      <w:r>
        <w:rPr>
          <w:rFonts w:hint="eastAsia"/>
        </w:rPr>
        <w:t>文化领域的国家管理和地方自我管理</w:t>
      </w:r>
    </w:p>
    <w:p w:rsidR="00000000" w:rsidRDefault="00000000">
      <w:pPr>
        <w:rPr>
          <w:rFonts w:hint="eastAsia"/>
          <w:lang w:val="fr-CH"/>
        </w:rPr>
      </w:pPr>
      <w:r>
        <w:rPr>
          <w:rFonts w:hint="eastAsia"/>
        </w:rPr>
        <w:tab/>
        <w:t xml:space="preserve">646.  </w:t>
      </w:r>
      <w:r>
        <w:rPr>
          <w:rFonts w:hint="eastAsia"/>
        </w:rPr>
        <w:t>在捷克共和国的国家管理体系中，依据《部级单位组建法》，与文化有关的事项由文化部管辖</w:t>
      </w:r>
      <w:r>
        <w:rPr>
          <w:rFonts w:hint="eastAsia"/>
        </w:rPr>
        <w:t xml:space="preserve"> </w:t>
      </w:r>
      <w:r>
        <w:rPr>
          <w:rStyle w:val="EndnoteReference"/>
        </w:rPr>
        <w:endnoteReference w:id="389"/>
      </w:r>
      <w:r>
        <w:rPr>
          <w:rFonts w:hint="eastAsia"/>
        </w:rPr>
        <w:t>。文化部属于国家中央管理机构，负责管理：艺术、文化教育活动、古迹</w:t>
      </w:r>
      <w:r>
        <w:rPr>
          <w:rFonts w:hint="eastAsia"/>
        </w:rPr>
        <w:t> </w:t>
      </w:r>
      <w:r>
        <w:rPr>
          <w:rFonts w:hint="eastAsia"/>
          <w:lang w:val="fr-CH"/>
        </w:rPr>
        <w:t>；与教会和宗教团体有关的事项</w:t>
      </w:r>
      <w:r>
        <w:rPr>
          <w:rFonts w:hint="eastAsia"/>
          <w:lang w:val="fr-CH"/>
        </w:rPr>
        <w:t> </w:t>
      </w:r>
      <w:r>
        <w:rPr>
          <w:rFonts w:hint="eastAsia"/>
          <w:lang w:val="fr-CH"/>
        </w:rPr>
        <w:t>；新闻事项，包括非定期印刷品以及其他书籍和资料的出版</w:t>
      </w:r>
      <w:r>
        <w:rPr>
          <w:rFonts w:hint="eastAsia"/>
          <w:lang w:val="fr-CH"/>
        </w:rPr>
        <w:t> </w:t>
      </w:r>
      <w:r>
        <w:rPr>
          <w:rFonts w:hint="eastAsia"/>
          <w:lang w:val="fr-CH"/>
        </w:rPr>
        <w:t>；无线电和电视广播，除非某项特别的法令另行规定</w:t>
      </w:r>
      <w:r>
        <w:rPr>
          <w:rFonts w:hint="eastAsia"/>
          <w:lang w:val="fr-CH"/>
        </w:rPr>
        <w:t> </w:t>
      </w:r>
      <w:r>
        <w:rPr>
          <w:rFonts w:hint="eastAsia"/>
          <w:lang w:val="fr-CH"/>
        </w:rPr>
        <w:t>；还负责执行版权法，以及文化领域的作品的制作和交易等。这项法规规定，文化部在其实质性管辖范围内，还负责履行捷克共和国参加的国际条约之下的义务，以及因参加国际组织而引起的义务。文化部的活动源自一项基本文件，即捷克共和国文化政策概览，该文件题为《国家更为切实有效地扶持文化事业的战略》</w:t>
      </w:r>
      <w:r>
        <w:rPr>
          <w:rStyle w:val="EndnoteReference"/>
          <w:lang w:val="fr-CH"/>
        </w:rPr>
        <w:endnoteReference w:id="390"/>
      </w:r>
      <w:r>
        <w:rPr>
          <w:rFonts w:hint="eastAsia"/>
          <w:lang w:val="fr-CH"/>
        </w:rPr>
        <w:t>。</w:t>
      </w:r>
    </w:p>
    <w:p w:rsidR="00000000" w:rsidRDefault="00000000">
      <w:pPr>
        <w:rPr>
          <w:rFonts w:hint="eastAsia"/>
          <w:lang w:val="fr-CH"/>
        </w:rPr>
      </w:pPr>
      <w:r>
        <w:rPr>
          <w:rFonts w:hint="eastAsia"/>
          <w:lang w:val="fr-CH"/>
        </w:rPr>
        <w:tab/>
        <w:t xml:space="preserve">647.  </w:t>
      </w:r>
      <w:r>
        <w:rPr>
          <w:rFonts w:hint="eastAsia"/>
          <w:lang w:val="fr-CH"/>
        </w:rPr>
        <w:t>文化部建立了</w:t>
      </w:r>
      <w:r>
        <w:rPr>
          <w:rFonts w:hint="eastAsia"/>
          <w:lang w:val="fr-CH"/>
        </w:rPr>
        <w:t>81</w:t>
      </w:r>
      <w:r>
        <w:rPr>
          <w:rFonts w:hint="eastAsia"/>
          <w:lang w:val="fr-CH"/>
        </w:rPr>
        <w:t>个得到国家补贴大型组织</w:t>
      </w:r>
      <w:r>
        <w:rPr>
          <w:rFonts w:hint="eastAsia"/>
          <w:lang w:val="fr-CH"/>
        </w:rPr>
        <w:t>(</w:t>
      </w:r>
      <w:r>
        <w:rPr>
          <w:rFonts w:hint="eastAsia"/>
          <w:lang w:val="fr-CH"/>
        </w:rPr>
        <w:t>截至</w:t>
      </w:r>
      <w:r>
        <w:rPr>
          <w:rFonts w:hint="eastAsia"/>
          <w:lang w:val="fr-CH"/>
        </w:rPr>
        <w:t>1999</w:t>
      </w:r>
      <w:r>
        <w:rPr>
          <w:rFonts w:hint="eastAsia"/>
          <w:lang w:val="fr-CH"/>
        </w:rPr>
        <w:t>年</w:t>
      </w:r>
      <w:r>
        <w:rPr>
          <w:rFonts w:hint="eastAsia"/>
          <w:lang w:val="fr-CH"/>
        </w:rPr>
        <w:t>12</w:t>
      </w:r>
      <w:r>
        <w:rPr>
          <w:rFonts w:hint="eastAsia"/>
          <w:lang w:val="fr-CH"/>
        </w:rPr>
        <w:t>月</w:t>
      </w:r>
      <w:r>
        <w:rPr>
          <w:rFonts w:hint="eastAsia"/>
          <w:lang w:val="fr-CH"/>
        </w:rPr>
        <w:t>31</w:t>
      </w:r>
      <w:r>
        <w:rPr>
          <w:rFonts w:hint="eastAsia"/>
          <w:lang w:val="fr-CH"/>
        </w:rPr>
        <w:t>日</w:t>
      </w:r>
      <w:r>
        <w:rPr>
          <w:rFonts w:hint="eastAsia"/>
          <w:lang w:val="fr-CH"/>
        </w:rPr>
        <w:t>)</w:t>
      </w:r>
      <w:r>
        <w:rPr>
          <w:rFonts w:hint="eastAsia"/>
          <w:lang w:val="fr-CH"/>
        </w:rPr>
        <w:t>，这些组织使公民们能够享受和利用文化财富，它们是：博物馆和美术馆、负责保护古迹的专门组织、图书馆、国家电影档案馆、国家文学纪念馆</w:t>
      </w:r>
      <w:r>
        <w:rPr>
          <w:rFonts w:hint="eastAsia"/>
          <w:lang w:val="fr-CH"/>
        </w:rPr>
        <w:t>(</w:t>
      </w:r>
      <w:r>
        <w:rPr>
          <w:rFonts w:hint="eastAsia"/>
          <w:lang w:val="fr-CH"/>
        </w:rPr>
        <w:t>国家文学档案馆</w:t>
      </w:r>
      <w:r>
        <w:rPr>
          <w:rFonts w:hint="eastAsia"/>
          <w:lang w:val="fr-CH"/>
        </w:rPr>
        <w:t>)</w:t>
      </w:r>
      <w:r>
        <w:rPr>
          <w:rFonts w:hint="eastAsia"/>
          <w:lang w:val="fr-CH"/>
        </w:rPr>
        <w:t>、捷克交响乐团、国家剧院、民间文化研究所、</w:t>
      </w:r>
      <w:r>
        <w:rPr>
          <w:rFonts w:hint="eastAsia"/>
        </w:rPr>
        <w:t>戏剧</w:t>
      </w:r>
      <w:r>
        <w:rPr>
          <w:rFonts w:hint="eastAsia"/>
          <w:lang w:val="fr-CH"/>
        </w:rPr>
        <w:t>研究所、地方文化信息和咨询中心，以及其他机构等。</w:t>
      </w:r>
    </w:p>
    <w:p w:rsidR="00000000" w:rsidRDefault="00000000">
      <w:pPr>
        <w:rPr>
          <w:rFonts w:hint="eastAsia"/>
          <w:lang w:val="fr-CH"/>
        </w:rPr>
      </w:pPr>
      <w:r>
        <w:rPr>
          <w:rFonts w:hint="eastAsia"/>
          <w:lang w:val="fr-CH"/>
        </w:rPr>
        <w:tab/>
        <w:t xml:space="preserve">648.  </w:t>
      </w:r>
      <w:r>
        <w:rPr>
          <w:rFonts w:hint="eastAsia"/>
          <w:lang w:val="fr-CH"/>
        </w:rPr>
        <w:t>文化部依照“国家更为切实有效地扶持文化事业的战略”，有选择地通过提供补助和执行方案，资助自然人和法律实体的文化项目和文化教育项目，这些实体为不是由文化部建立的公民协会、教会和宗教团体以及文化机构等，并且还在例外情况下向企业实体提供资助。文化部还在古迹保护等事项上发挥国家中心管理机构的作用，并同其他机构和部门一道为文化和文化财富领域的科学和研究活动供资。</w:t>
      </w:r>
    </w:p>
    <w:p w:rsidR="00000000" w:rsidRDefault="00000000">
      <w:pPr>
        <w:rPr>
          <w:rFonts w:hint="eastAsia"/>
          <w:lang w:val="fr-CH"/>
        </w:rPr>
      </w:pPr>
      <w:r>
        <w:rPr>
          <w:rFonts w:hint="eastAsia"/>
          <w:lang w:val="fr-CH"/>
        </w:rPr>
        <w:tab/>
        <w:t xml:space="preserve">649.  </w:t>
      </w:r>
      <w:r>
        <w:rPr>
          <w:rFonts w:hint="eastAsia"/>
          <w:lang w:val="fr-CH"/>
        </w:rPr>
        <w:t>区级机构，即捷克共和国国家机关所属的基本地方单位，也在文化领域实行某种程度的管辖，这些机构依据《地方机构法》得到设立</w:t>
      </w:r>
      <w:r>
        <w:rPr>
          <w:rFonts w:hint="eastAsia"/>
          <w:lang w:val="fr-CH"/>
        </w:rPr>
        <w:t xml:space="preserve"> </w:t>
      </w:r>
      <w:r>
        <w:rPr>
          <w:rStyle w:val="EndnoteReference"/>
          <w:lang w:val="fr-CH"/>
        </w:rPr>
        <w:endnoteReference w:id="391"/>
      </w:r>
      <w:r>
        <w:rPr>
          <w:rFonts w:hint="eastAsia"/>
          <w:lang w:val="fr-CH"/>
        </w:rPr>
        <w:t>。区机构负责设立其他文化设施</w:t>
      </w:r>
      <w:r>
        <w:rPr>
          <w:rFonts w:hint="eastAsia"/>
          <w:lang w:val="fr-CH"/>
        </w:rPr>
        <w:t>(</w:t>
      </w:r>
      <w:r>
        <w:rPr>
          <w:rFonts w:hint="eastAsia"/>
          <w:lang w:val="fr-CH"/>
        </w:rPr>
        <w:t>如区博物馆和美术馆以及公共图书馆等</w:t>
      </w:r>
      <w:r>
        <w:rPr>
          <w:rFonts w:hint="eastAsia"/>
          <w:lang w:val="fr-CH"/>
        </w:rPr>
        <w:t>)</w:t>
      </w:r>
      <w:r>
        <w:rPr>
          <w:rFonts w:hint="eastAsia"/>
          <w:lang w:val="fr-CH"/>
        </w:rPr>
        <w:t>。这些机构在保护遗迹</w:t>
      </w:r>
      <w:r>
        <w:rPr>
          <w:rFonts w:hint="eastAsia"/>
          <w:lang w:val="fr-CH"/>
        </w:rPr>
        <w:t>(</w:t>
      </w:r>
      <w:r>
        <w:rPr>
          <w:rFonts w:hint="eastAsia"/>
          <w:lang w:val="fr-CH"/>
        </w:rPr>
        <w:t>古建筑和文物</w:t>
      </w:r>
      <w:r>
        <w:rPr>
          <w:rFonts w:hint="eastAsia"/>
          <w:lang w:val="fr-CH"/>
        </w:rPr>
        <w:t>)</w:t>
      </w:r>
      <w:r>
        <w:rPr>
          <w:rFonts w:hint="eastAsia"/>
          <w:lang w:val="fr-CH"/>
        </w:rPr>
        <w:t>方面发挥着不可替代的作用。</w:t>
      </w:r>
    </w:p>
    <w:p w:rsidR="00000000" w:rsidRDefault="00000000">
      <w:pPr>
        <w:spacing w:after="320"/>
        <w:rPr>
          <w:rFonts w:hint="eastAsia"/>
          <w:lang w:val="fr-CH"/>
        </w:rPr>
      </w:pPr>
      <w:r>
        <w:rPr>
          <w:rFonts w:hint="eastAsia"/>
          <w:lang w:val="fr-CH"/>
        </w:rPr>
        <w:tab/>
        <w:t xml:space="preserve">650.  </w:t>
      </w:r>
      <w:r>
        <w:rPr>
          <w:rFonts w:hint="eastAsia"/>
          <w:lang w:val="fr-CH"/>
        </w:rPr>
        <w:t>自治市在保护文化方面起着重要作用，它们在独立权限范围内，可以设立</w:t>
      </w:r>
      <w:r>
        <w:rPr>
          <w:rFonts w:hint="eastAsia"/>
          <w:lang w:val="fr-CH"/>
        </w:rPr>
        <w:t>(</w:t>
      </w:r>
      <w:r>
        <w:rPr>
          <w:rFonts w:hint="eastAsia"/>
          <w:lang w:val="fr-CH"/>
        </w:rPr>
        <w:t>或解散</w:t>
      </w:r>
      <w:r>
        <w:rPr>
          <w:rFonts w:hint="eastAsia"/>
          <w:lang w:val="fr-CH"/>
        </w:rPr>
        <w:t>)</w:t>
      </w:r>
      <w:r>
        <w:rPr>
          <w:rFonts w:hint="eastAsia"/>
          <w:lang w:val="fr-CH"/>
        </w:rPr>
        <w:t>文化机构，向这些机构供资，或资助其他法律实体如公民协会的文化项目。《自治市法》</w:t>
      </w:r>
      <w:r>
        <w:rPr>
          <w:rStyle w:val="EndnoteReference"/>
          <w:lang w:val="fr-CH"/>
        </w:rPr>
        <w:endnoteReference w:id="392"/>
      </w:r>
      <w:r>
        <w:rPr>
          <w:rFonts w:hint="eastAsia"/>
          <w:lang w:val="fr-CH"/>
        </w:rPr>
        <w:t xml:space="preserve"> </w:t>
      </w:r>
      <w:r>
        <w:rPr>
          <w:rFonts w:hint="eastAsia"/>
          <w:lang w:val="fr-CH"/>
        </w:rPr>
        <w:t>规定，自治市的独立管辖权包括承担文化领域的任务，但不行使国家行政机关的职能。自治市还可以承担部分资金，参与修复其管辖区域内的文物，包括不归其所有的文物，自治市还在文物所在区域的划定以及文物保护方面拥有某些权力。</w:t>
      </w:r>
    </w:p>
    <w:p w:rsidR="00000000" w:rsidRDefault="00000000">
      <w:pPr>
        <w:pStyle w:val="Heading4"/>
        <w:ind w:left="500"/>
        <w:rPr>
          <w:rFonts w:hint="eastAsia"/>
          <w:lang w:val="fr-CH"/>
        </w:rPr>
      </w:pPr>
      <w:r>
        <w:rPr>
          <w:rFonts w:hint="eastAsia"/>
          <w:lang w:val="fr-CH"/>
        </w:rPr>
        <w:t>供</w:t>
      </w:r>
      <w:r>
        <w:rPr>
          <w:rFonts w:hint="eastAsia"/>
          <w:lang w:val="fr-CH"/>
        </w:rPr>
        <w:t xml:space="preserve">  </w:t>
      </w:r>
      <w:r>
        <w:rPr>
          <w:rFonts w:hint="eastAsia"/>
          <w:lang w:val="fr-CH"/>
        </w:rPr>
        <w:t>资</w:t>
      </w:r>
    </w:p>
    <w:p w:rsidR="00000000" w:rsidRDefault="00000000">
      <w:pPr>
        <w:rPr>
          <w:rFonts w:hint="eastAsia"/>
          <w:lang w:val="fr-CH"/>
        </w:rPr>
      </w:pPr>
      <w:r>
        <w:rPr>
          <w:rFonts w:hint="eastAsia"/>
          <w:lang w:val="fr-CH"/>
        </w:rPr>
        <w:tab/>
        <w:t xml:space="preserve">651.  </w:t>
      </w:r>
      <w:r>
        <w:rPr>
          <w:rFonts w:hint="eastAsia"/>
          <w:lang w:val="fr-CH"/>
        </w:rPr>
        <w:t>政府预算方面的基本法律文件，是《国家预算规则》</w:t>
      </w:r>
      <w:r>
        <w:rPr>
          <w:rStyle w:val="EndnoteReference"/>
          <w:lang w:val="fr-CH"/>
        </w:rPr>
        <w:endnoteReference w:id="393"/>
      </w:r>
      <w:r>
        <w:rPr>
          <w:rFonts w:hint="eastAsia"/>
          <w:lang w:val="fr-CH"/>
        </w:rPr>
        <w:t>，该文书也适用于文化事业经费的提供。其他法律还包括《国家预算法》</w:t>
      </w:r>
      <w:r>
        <w:rPr>
          <w:rFonts w:hint="eastAsia"/>
          <w:spacing w:val="-50"/>
          <w:lang w:val="fr-CH"/>
        </w:rPr>
        <w:t>―</w:t>
      </w:r>
      <w:r>
        <w:rPr>
          <w:rFonts w:hint="eastAsia"/>
          <w:lang w:val="fr-CH"/>
        </w:rPr>
        <w:t>―该法规每年由议会批准，以及捷克共和国财政部的一些次级条例。</w:t>
      </w:r>
    </w:p>
    <w:p w:rsidR="00000000" w:rsidRDefault="00000000">
      <w:pPr>
        <w:rPr>
          <w:rFonts w:hint="eastAsia"/>
          <w:lang w:val="fr-CH"/>
        </w:rPr>
      </w:pPr>
      <w:r>
        <w:rPr>
          <w:rFonts w:hint="eastAsia"/>
          <w:lang w:val="fr-CH"/>
        </w:rPr>
        <w:tab/>
        <w:t xml:space="preserve">652.  </w:t>
      </w:r>
      <w:r>
        <w:rPr>
          <w:rFonts w:hint="eastAsia"/>
          <w:lang w:val="fr-CH"/>
        </w:rPr>
        <w:t>国家文化开支列于“文化部”这一预算项目。该项目为文化部建立的享受补贴的组织的活动供资，还向文物所有人提供捐款，以修复这些文物，并向各城市提供捐款，以修复依据有关条例被宣布为市级</w:t>
      </w:r>
      <w:r>
        <w:rPr>
          <w:rFonts w:hint="eastAsia"/>
          <w:lang w:val="fr-CH"/>
        </w:rPr>
        <w:t>(</w:t>
      </w:r>
      <w:r>
        <w:rPr>
          <w:rFonts w:hint="eastAsia"/>
          <w:lang w:val="fr-CH"/>
        </w:rPr>
        <w:t>村级</w:t>
      </w:r>
      <w:r>
        <w:rPr>
          <w:rFonts w:hint="eastAsia"/>
          <w:lang w:val="fr-CH"/>
        </w:rPr>
        <w:t>)</w:t>
      </w:r>
      <w:r>
        <w:rPr>
          <w:rFonts w:hint="eastAsia"/>
          <w:lang w:val="fr-CH"/>
        </w:rPr>
        <w:t>文物保护单位的文物。这一预算项目之下有少量经费以赠款形式提供，用来资助由自然人和不是由文化部建立的法律实体提交的非营利文化项目的执行。此外，这一预算项目之下的资金还用来资助教会和宗教团体，以及为科学和研究活动及旨在扶持文化事业的某些其他特殊活动提供补贴。</w:t>
      </w:r>
    </w:p>
    <w:p w:rsidR="00000000" w:rsidRDefault="00000000">
      <w:pPr>
        <w:spacing w:after="320"/>
        <w:rPr>
          <w:rFonts w:hint="eastAsia"/>
          <w:lang w:val="fr-CH"/>
        </w:rPr>
      </w:pPr>
      <w:r>
        <w:rPr>
          <w:rFonts w:hint="eastAsia"/>
          <w:lang w:val="fr-CH"/>
        </w:rPr>
        <w:tab/>
        <w:t xml:space="preserve">653.  </w:t>
      </w:r>
      <w:r>
        <w:rPr>
          <w:rFonts w:hint="eastAsia"/>
          <w:lang w:val="fr-CH"/>
        </w:rPr>
        <w:t>文化开支还来自公共资金，这些资金列于一个单独的国家预算项目，即“地方机构管理的文化事业”。这些资金由地方行政部门</w:t>
      </w:r>
      <w:r>
        <w:rPr>
          <w:rFonts w:hint="eastAsia"/>
          <w:lang w:val="fr-CH"/>
        </w:rPr>
        <w:t>(</w:t>
      </w:r>
      <w:r>
        <w:rPr>
          <w:rFonts w:hint="eastAsia"/>
          <w:lang w:val="fr-CH"/>
        </w:rPr>
        <w:t>区级机构</w:t>
      </w:r>
      <w:r>
        <w:rPr>
          <w:rFonts w:hint="eastAsia"/>
          <w:lang w:val="fr-CH"/>
        </w:rPr>
        <w:t>)</w:t>
      </w:r>
      <w:r>
        <w:rPr>
          <w:rFonts w:hint="eastAsia"/>
          <w:lang w:val="fr-CH"/>
        </w:rPr>
        <w:t>和自治机构</w:t>
      </w:r>
      <w:r>
        <w:rPr>
          <w:rFonts w:hint="eastAsia"/>
          <w:lang w:val="fr-CH"/>
        </w:rPr>
        <w:t>(</w:t>
      </w:r>
      <w:r>
        <w:rPr>
          <w:rFonts w:hint="eastAsia"/>
          <w:lang w:val="fr-CH"/>
        </w:rPr>
        <w:t>自治市和其他城市</w:t>
      </w:r>
      <w:r>
        <w:rPr>
          <w:rFonts w:hint="eastAsia"/>
          <w:lang w:val="fr-CH"/>
        </w:rPr>
        <w:t>)</w:t>
      </w:r>
      <w:r>
        <w:rPr>
          <w:rFonts w:hint="eastAsia"/>
          <w:lang w:val="fr-CH"/>
        </w:rPr>
        <w:t>用于文化事业。</w:t>
      </w:r>
    </w:p>
    <w:p w:rsidR="00000000" w:rsidRDefault="00000000">
      <w:pPr>
        <w:pStyle w:val="Heading3"/>
        <w:rPr>
          <w:rFonts w:hint="eastAsia"/>
          <w:u w:val="none"/>
          <w:lang w:val="fr-CH"/>
        </w:rPr>
      </w:pPr>
      <w:r>
        <w:rPr>
          <w:rFonts w:hint="eastAsia"/>
          <w:lang w:val="fr-CH"/>
        </w:rPr>
        <w:t>由国家预算提供的文化开支</w:t>
      </w:r>
      <w:r>
        <w:rPr>
          <w:lang w:val="fr-CH"/>
        </w:rPr>
        <w:br/>
      </w:r>
      <w:r>
        <w:rPr>
          <w:rFonts w:hint="eastAsia"/>
          <w:u w:val="none"/>
          <w:lang w:val="fr-CH"/>
        </w:rPr>
        <w:t>(</w:t>
      </w:r>
      <w:r>
        <w:rPr>
          <w:rFonts w:hint="eastAsia"/>
          <w:u w:val="none"/>
          <w:lang w:val="fr-CH"/>
        </w:rPr>
        <w:t>单位：千捷克克朗</w:t>
      </w:r>
      <w:r>
        <w:rPr>
          <w:rFonts w:hint="eastAsia"/>
          <w:u w:val="none"/>
          <w:lang w:val="fr-CH"/>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8"/>
        <w:gridCol w:w="3840"/>
        <w:gridCol w:w="3343"/>
      </w:tblGrid>
      <w:tr w:rsidR="00000000">
        <w:tblPrEx>
          <w:tblCellMar>
            <w:top w:w="0" w:type="dxa"/>
            <w:bottom w:w="0" w:type="dxa"/>
          </w:tblCellMar>
        </w:tblPrEx>
        <w:tc>
          <w:tcPr>
            <w:tcW w:w="2388" w:type="dxa"/>
          </w:tcPr>
          <w:p w:rsidR="00000000" w:rsidRDefault="00000000">
            <w:pPr>
              <w:spacing w:before="60" w:line="312" w:lineRule="auto"/>
              <w:jc w:val="center"/>
              <w:rPr>
                <w:rFonts w:hint="eastAsia"/>
                <w:sz w:val="21"/>
                <w:lang w:val="fr-CH"/>
              </w:rPr>
            </w:pPr>
            <w:r>
              <w:rPr>
                <w:rFonts w:hint="eastAsia"/>
                <w:sz w:val="21"/>
                <w:lang w:val="fr-CH"/>
              </w:rPr>
              <w:t>年</w:t>
            </w:r>
            <w:r>
              <w:rPr>
                <w:rFonts w:hint="eastAsia"/>
                <w:sz w:val="21"/>
                <w:lang w:val="fr-CH"/>
              </w:rPr>
              <w:t xml:space="preserve">  </w:t>
            </w:r>
            <w:r>
              <w:rPr>
                <w:rFonts w:hint="eastAsia"/>
                <w:sz w:val="21"/>
                <w:lang w:val="fr-CH"/>
              </w:rPr>
              <w:t>份</w:t>
            </w:r>
          </w:p>
        </w:tc>
        <w:tc>
          <w:tcPr>
            <w:tcW w:w="3840" w:type="dxa"/>
          </w:tcPr>
          <w:p w:rsidR="00000000" w:rsidRDefault="00000000">
            <w:pPr>
              <w:spacing w:before="60" w:line="312" w:lineRule="auto"/>
              <w:jc w:val="center"/>
              <w:rPr>
                <w:rFonts w:hint="eastAsia"/>
                <w:sz w:val="21"/>
                <w:lang w:val="fr-CH"/>
              </w:rPr>
            </w:pPr>
            <w:r>
              <w:rPr>
                <w:rFonts w:hint="eastAsia"/>
                <w:sz w:val="21"/>
                <w:lang w:val="fr-CH"/>
              </w:rPr>
              <w:t>“文化部”项目</w:t>
            </w:r>
          </w:p>
        </w:tc>
        <w:tc>
          <w:tcPr>
            <w:tcW w:w="3343" w:type="dxa"/>
          </w:tcPr>
          <w:p w:rsidR="00000000" w:rsidRDefault="00000000">
            <w:pPr>
              <w:spacing w:before="60" w:line="312" w:lineRule="auto"/>
              <w:jc w:val="center"/>
              <w:rPr>
                <w:rFonts w:hint="eastAsia"/>
                <w:sz w:val="21"/>
                <w:lang w:val="fr-CH"/>
              </w:rPr>
            </w:pPr>
            <w:r>
              <w:rPr>
                <w:rFonts w:hint="eastAsia"/>
                <w:sz w:val="21"/>
                <w:lang w:val="fr-CH"/>
              </w:rPr>
              <w:t>“地方机构管理的</w:t>
            </w:r>
            <w:r>
              <w:rPr>
                <w:sz w:val="21"/>
                <w:lang w:val="fr-CH"/>
              </w:rPr>
              <w:br/>
            </w:r>
            <w:r>
              <w:rPr>
                <w:rFonts w:hint="eastAsia"/>
                <w:sz w:val="21"/>
                <w:lang w:val="fr-CH"/>
              </w:rPr>
              <w:t>文化事业”项目</w:t>
            </w:r>
          </w:p>
        </w:tc>
      </w:tr>
      <w:tr w:rsidR="00000000">
        <w:tblPrEx>
          <w:tblCellMar>
            <w:top w:w="0" w:type="dxa"/>
            <w:bottom w:w="0" w:type="dxa"/>
          </w:tblCellMar>
        </w:tblPrEx>
        <w:tc>
          <w:tcPr>
            <w:tcW w:w="2388" w:type="dxa"/>
          </w:tcPr>
          <w:p w:rsidR="00000000" w:rsidRDefault="00000000">
            <w:pPr>
              <w:spacing w:before="60" w:line="312" w:lineRule="auto"/>
              <w:jc w:val="center"/>
              <w:rPr>
                <w:rFonts w:hint="eastAsia"/>
                <w:sz w:val="21"/>
                <w:lang w:val="fr-CH"/>
              </w:rPr>
            </w:pPr>
            <w:r>
              <w:rPr>
                <w:rFonts w:hint="eastAsia"/>
                <w:sz w:val="21"/>
                <w:lang w:val="fr-CH"/>
              </w:rPr>
              <w:t>1993</w:t>
            </w:r>
          </w:p>
        </w:tc>
        <w:tc>
          <w:tcPr>
            <w:tcW w:w="3840" w:type="dxa"/>
          </w:tcPr>
          <w:p w:rsidR="00000000" w:rsidRDefault="00000000">
            <w:pPr>
              <w:spacing w:before="60" w:line="312" w:lineRule="auto"/>
              <w:jc w:val="center"/>
              <w:rPr>
                <w:rFonts w:hint="eastAsia"/>
                <w:sz w:val="21"/>
                <w:lang w:val="fr-CH"/>
              </w:rPr>
            </w:pPr>
            <w:r>
              <w:rPr>
                <w:rFonts w:hint="eastAsia"/>
                <w:sz w:val="21"/>
                <w:lang w:val="fr-CH"/>
              </w:rPr>
              <w:t>2,405,635</w:t>
            </w:r>
          </w:p>
        </w:tc>
        <w:tc>
          <w:tcPr>
            <w:tcW w:w="3343" w:type="dxa"/>
          </w:tcPr>
          <w:p w:rsidR="00000000" w:rsidRDefault="00000000">
            <w:pPr>
              <w:spacing w:before="60" w:line="312" w:lineRule="auto"/>
              <w:jc w:val="center"/>
              <w:rPr>
                <w:rFonts w:hint="eastAsia"/>
                <w:sz w:val="21"/>
                <w:lang w:val="fr-CH"/>
              </w:rPr>
            </w:pPr>
            <w:r>
              <w:rPr>
                <w:rFonts w:hint="eastAsia"/>
                <w:sz w:val="21"/>
                <w:lang w:val="fr-CH"/>
              </w:rPr>
              <w:t>3,955,984</w:t>
            </w:r>
          </w:p>
        </w:tc>
      </w:tr>
      <w:tr w:rsidR="00000000">
        <w:tblPrEx>
          <w:tblCellMar>
            <w:top w:w="0" w:type="dxa"/>
            <w:bottom w:w="0" w:type="dxa"/>
          </w:tblCellMar>
        </w:tblPrEx>
        <w:tc>
          <w:tcPr>
            <w:tcW w:w="2388" w:type="dxa"/>
          </w:tcPr>
          <w:p w:rsidR="00000000" w:rsidRDefault="00000000">
            <w:pPr>
              <w:spacing w:before="60" w:line="312" w:lineRule="auto"/>
              <w:jc w:val="center"/>
              <w:rPr>
                <w:rFonts w:hint="eastAsia"/>
                <w:sz w:val="21"/>
                <w:lang w:val="fr-CH"/>
              </w:rPr>
            </w:pPr>
            <w:r>
              <w:rPr>
                <w:rFonts w:hint="eastAsia"/>
                <w:sz w:val="21"/>
                <w:lang w:val="fr-CH"/>
              </w:rPr>
              <w:t>1994</w:t>
            </w:r>
          </w:p>
        </w:tc>
        <w:tc>
          <w:tcPr>
            <w:tcW w:w="3840" w:type="dxa"/>
          </w:tcPr>
          <w:p w:rsidR="00000000" w:rsidRDefault="00000000">
            <w:pPr>
              <w:spacing w:before="60" w:line="312" w:lineRule="auto"/>
              <w:jc w:val="center"/>
              <w:rPr>
                <w:rFonts w:hint="eastAsia"/>
                <w:sz w:val="21"/>
                <w:lang w:val="fr-CH"/>
              </w:rPr>
            </w:pPr>
            <w:r>
              <w:rPr>
                <w:rFonts w:hint="eastAsia"/>
                <w:sz w:val="21"/>
                <w:lang w:val="fr-CH"/>
              </w:rPr>
              <w:t>2,971,808</w:t>
            </w:r>
          </w:p>
        </w:tc>
        <w:tc>
          <w:tcPr>
            <w:tcW w:w="3343" w:type="dxa"/>
          </w:tcPr>
          <w:p w:rsidR="00000000" w:rsidRDefault="00000000">
            <w:pPr>
              <w:spacing w:before="60" w:line="312" w:lineRule="auto"/>
              <w:jc w:val="center"/>
              <w:rPr>
                <w:rFonts w:hint="eastAsia"/>
                <w:sz w:val="21"/>
                <w:lang w:val="fr-CH"/>
              </w:rPr>
            </w:pPr>
            <w:r>
              <w:rPr>
                <w:rFonts w:hint="eastAsia"/>
                <w:sz w:val="21"/>
                <w:lang w:val="fr-CH"/>
              </w:rPr>
              <w:t>5,187,325</w:t>
            </w:r>
          </w:p>
        </w:tc>
      </w:tr>
      <w:tr w:rsidR="00000000">
        <w:tblPrEx>
          <w:tblCellMar>
            <w:top w:w="0" w:type="dxa"/>
            <w:bottom w:w="0" w:type="dxa"/>
          </w:tblCellMar>
        </w:tblPrEx>
        <w:tc>
          <w:tcPr>
            <w:tcW w:w="2388" w:type="dxa"/>
          </w:tcPr>
          <w:p w:rsidR="00000000" w:rsidRDefault="00000000">
            <w:pPr>
              <w:spacing w:before="60" w:line="312" w:lineRule="auto"/>
              <w:jc w:val="center"/>
              <w:rPr>
                <w:rFonts w:hint="eastAsia"/>
                <w:sz w:val="21"/>
                <w:lang w:val="fr-CH"/>
              </w:rPr>
            </w:pPr>
            <w:r>
              <w:rPr>
                <w:rFonts w:hint="eastAsia"/>
                <w:sz w:val="21"/>
                <w:lang w:val="fr-CH"/>
              </w:rPr>
              <w:t>1995</w:t>
            </w:r>
          </w:p>
        </w:tc>
        <w:tc>
          <w:tcPr>
            <w:tcW w:w="3840" w:type="dxa"/>
          </w:tcPr>
          <w:p w:rsidR="00000000" w:rsidRDefault="00000000">
            <w:pPr>
              <w:spacing w:before="60" w:line="312" w:lineRule="auto"/>
              <w:jc w:val="center"/>
              <w:rPr>
                <w:rFonts w:hint="eastAsia"/>
                <w:sz w:val="21"/>
                <w:lang w:val="fr-CH"/>
              </w:rPr>
            </w:pPr>
            <w:r>
              <w:rPr>
                <w:rFonts w:hint="eastAsia"/>
                <w:sz w:val="21"/>
                <w:lang w:val="fr-CH"/>
              </w:rPr>
              <w:t>3,320,429</w:t>
            </w:r>
          </w:p>
        </w:tc>
        <w:tc>
          <w:tcPr>
            <w:tcW w:w="3343" w:type="dxa"/>
          </w:tcPr>
          <w:p w:rsidR="00000000" w:rsidRDefault="00000000">
            <w:pPr>
              <w:spacing w:before="60" w:line="312" w:lineRule="auto"/>
              <w:jc w:val="center"/>
              <w:rPr>
                <w:rFonts w:hint="eastAsia"/>
                <w:sz w:val="21"/>
                <w:lang w:val="fr-CH"/>
              </w:rPr>
            </w:pPr>
            <w:r>
              <w:rPr>
                <w:rFonts w:hint="eastAsia"/>
                <w:sz w:val="21"/>
                <w:lang w:val="fr-CH"/>
              </w:rPr>
              <w:t>6,400,000</w:t>
            </w:r>
          </w:p>
        </w:tc>
      </w:tr>
      <w:tr w:rsidR="00000000">
        <w:tblPrEx>
          <w:tblCellMar>
            <w:top w:w="0" w:type="dxa"/>
            <w:bottom w:w="0" w:type="dxa"/>
          </w:tblCellMar>
        </w:tblPrEx>
        <w:tc>
          <w:tcPr>
            <w:tcW w:w="2388" w:type="dxa"/>
          </w:tcPr>
          <w:p w:rsidR="00000000" w:rsidRDefault="00000000">
            <w:pPr>
              <w:spacing w:before="60" w:line="312" w:lineRule="auto"/>
              <w:jc w:val="center"/>
              <w:rPr>
                <w:rFonts w:hint="eastAsia"/>
                <w:sz w:val="21"/>
                <w:lang w:val="fr-CH"/>
              </w:rPr>
            </w:pPr>
            <w:r>
              <w:rPr>
                <w:rFonts w:hint="eastAsia"/>
                <w:sz w:val="21"/>
                <w:lang w:val="fr-CH"/>
              </w:rPr>
              <w:t>1996</w:t>
            </w:r>
          </w:p>
        </w:tc>
        <w:tc>
          <w:tcPr>
            <w:tcW w:w="3840" w:type="dxa"/>
          </w:tcPr>
          <w:p w:rsidR="00000000" w:rsidRDefault="00000000">
            <w:pPr>
              <w:spacing w:before="60" w:line="312" w:lineRule="auto"/>
              <w:jc w:val="center"/>
              <w:rPr>
                <w:rFonts w:hint="eastAsia"/>
                <w:sz w:val="21"/>
                <w:lang w:val="fr-CH"/>
              </w:rPr>
            </w:pPr>
            <w:r>
              <w:rPr>
                <w:rFonts w:hint="eastAsia"/>
                <w:sz w:val="21"/>
                <w:lang w:val="fr-CH"/>
              </w:rPr>
              <w:t>3,529,776</w:t>
            </w:r>
          </w:p>
        </w:tc>
        <w:tc>
          <w:tcPr>
            <w:tcW w:w="3343" w:type="dxa"/>
          </w:tcPr>
          <w:p w:rsidR="00000000" w:rsidRDefault="00000000">
            <w:pPr>
              <w:spacing w:before="60" w:line="312" w:lineRule="auto"/>
              <w:jc w:val="center"/>
              <w:rPr>
                <w:rFonts w:hint="eastAsia"/>
                <w:sz w:val="21"/>
                <w:lang w:val="fr-CH"/>
              </w:rPr>
            </w:pPr>
            <w:r>
              <w:rPr>
                <w:rFonts w:hint="eastAsia"/>
                <w:sz w:val="21"/>
                <w:lang w:val="fr-CH"/>
              </w:rPr>
              <w:t>7,500,000</w:t>
            </w:r>
          </w:p>
        </w:tc>
      </w:tr>
      <w:tr w:rsidR="00000000">
        <w:tblPrEx>
          <w:tblCellMar>
            <w:top w:w="0" w:type="dxa"/>
            <w:bottom w:w="0" w:type="dxa"/>
          </w:tblCellMar>
        </w:tblPrEx>
        <w:tc>
          <w:tcPr>
            <w:tcW w:w="2388" w:type="dxa"/>
          </w:tcPr>
          <w:p w:rsidR="00000000" w:rsidRDefault="00000000">
            <w:pPr>
              <w:spacing w:before="60" w:line="312" w:lineRule="auto"/>
              <w:jc w:val="center"/>
              <w:rPr>
                <w:rFonts w:hint="eastAsia"/>
                <w:sz w:val="21"/>
                <w:lang w:val="fr-CH"/>
              </w:rPr>
            </w:pPr>
            <w:r>
              <w:rPr>
                <w:rFonts w:hint="eastAsia"/>
                <w:sz w:val="21"/>
                <w:lang w:val="fr-CH"/>
              </w:rPr>
              <w:t>1997</w:t>
            </w:r>
          </w:p>
        </w:tc>
        <w:tc>
          <w:tcPr>
            <w:tcW w:w="3840" w:type="dxa"/>
          </w:tcPr>
          <w:p w:rsidR="00000000" w:rsidRDefault="00000000">
            <w:pPr>
              <w:spacing w:before="60" w:line="312" w:lineRule="auto"/>
              <w:jc w:val="center"/>
              <w:rPr>
                <w:rFonts w:hint="eastAsia"/>
                <w:sz w:val="21"/>
                <w:lang w:val="fr-CH"/>
              </w:rPr>
            </w:pPr>
            <w:r>
              <w:rPr>
                <w:rFonts w:hint="eastAsia"/>
                <w:sz w:val="21"/>
                <w:lang w:val="fr-CH"/>
              </w:rPr>
              <w:t>3,776,307</w:t>
            </w:r>
          </w:p>
        </w:tc>
        <w:tc>
          <w:tcPr>
            <w:tcW w:w="3343" w:type="dxa"/>
          </w:tcPr>
          <w:p w:rsidR="00000000" w:rsidRDefault="00000000">
            <w:pPr>
              <w:spacing w:before="60" w:line="312" w:lineRule="auto"/>
              <w:jc w:val="center"/>
              <w:rPr>
                <w:rFonts w:hint="eastAsia"/>
                <w:sz w:val="21"/>
                <w:lang w:val="fr-CH"/>
              </w:rPr>
            </w:pPr>
            <w:r>
              <w:rPr>
                <w:rFonts w:hint="eastAsia"/>
                <w:sz w:val="21"/>
                <w:lang w:val="fr-CH"/>
              </w:rPr>
              <w:t>7,648,087</w:t>
            </w:r>
          </w:p>
        </w:tc>
      </w:tr>
      <w:tr w:rsidR="00000000">
        <w:tblPrEx>
          <w:tblCellMar>
            <w:top w:w="0" w:type="dxa"/>
            <w:bottom w:w="0" w:type="dxa"/>
          </w:tblCellMar>
        </w:tblPrEx>
        <w:tc>
          <w:tcPr>
            <w:tcW w:w="2388" w:type="dxa"/>
          </w:tcPr>
          <w:p w:rsidR="00000000" w:rsidRDefault="00000000">
            <w:pPr>
              <w:spacing w:before="60" w:line="312" w:lineRule="auto"/>
              <w:jc w:val="center"/>
              <w:rPr>
                <w:rFonts w:hint="eastAsia"/>
                <w:sz w:val="21"/>
                <w:lang w:val="fr-CH"/>
              </w:rPr>
            </w:pPr>
            <w:r>
              <w:rPr>
                <w:rFonts w:hint="eastAsia"/>
                <w:sz w:val="21"/>
                <w:lang w:val="fr-CH"/>
              </w:rPr>
              <w:t>1998</w:t>
            </w:r>
          </w:p>
        </w:tc>
        <w:tc>
          <w:tcPr>
            <w:tcW w:w="3840" w:type="dxa"/>
          </w:tcPr>
          <w:p w:rsidR="00000000" w:rsidRDefault="00000000">
            <w:pPr>
              <w:spacing w:before="60" w:line="312" w:lineRule="auto"/>
              <w:jc w:val="center"/>
              <w:rPr>
                <w:rFonts w:hint="eastAsia"/>
                <w:sz w:val="21"/>
                <w:lang w:val="fr-CH"/>
              </w:rPr>
            </w:pPr>
            <w:r>
              <w:rPr>
                <w:rFonts w:hint="eastAsia"/>
                <w:sz w:val="21"/>
                <w:lang w:val="fr-CH"/>
              </w:rPr>
              <w:t>4,397,464</w:t>
            </w:r>
          </w:p>
        </w:tc>
        <w:tc>
          <w:tcPr>
            <w:tcW w:w="3343" w:type="dxa"/>
          </w:tcPr>
          <w:p w:rsidR="00000000" w:rsidRDefault="00000000">
            <w:pPr>
              <w:spacing w:before="60" w:line="312" w:lineRule="auto"/>
              <w:jc w:val="center"/>
              <w:rPr>
                <w:rFonts w:hint="eastAsia"/>
                <w:sz w:val="21"/>
                <w:lang w:val="fr-CH"/>
              </w:rPr>
            </w:pPr>
            <w:r>
              <w:rPr>
                <w:rFonts w:hint="eastAsia"/>
                <w:sz w:val="21"/>
                <w:lang w:val="fr-CH"/>
              </w:rPr>
              <w:t>8,018,090</w:t>
            </w:r>
          </w:p>
        </w:tc>
      </w:tr>
    </w:tbl>
    <w:p w:rsidR="00000000" w:rsidRDefault="00000000">
      <w:pPr>
        <w:pStyle w:val="EndnoteText"/>
        <w:spacing w:before="240" w:after="320"/>
        <w:rPr>
          <w:rFonts w:hint="eastAsia"/>
          <w:sz w:val="21"/>
          <w:lang w:val="fr-CH"/>
        </w:rPr>
      </w:pPr>
      <w:r>
        <w:rPr>
          <w:rFonts w:hint="eastAsia"/>
          <w:sz w:val="21"/>
          <w:u w:val="single"/>
          <w:lang w:val="fr-CH"/>
        </w:rPr>
        <w:t>资料来源</w:t>
      </w:r>
      <w:r>
        <w:rPr>
          <w:sz w:val="21"/>
          <w:lang w:val="fr-CH"/>
        </w:rPr>
        <w:t> </w:t>
      </w:r>
      <w:r>
        <w:rPr>
          <w:rFonts w:hint="eastAsia"/>
          <w:sz w:val="21"/>
          <w:lang w:val="fr-CH"/>
        </w:rPr>
        <w:t>：文化部。</w:t>
      </w:r>
    </w:p>
    <w:p w:rsidR="00000000" w:rsidRDefault="00000000">
      <w:pPr>
        <w:rPr>
          <w:rFonts w:hint="eastAsia"/>
          <w:lang w:val="fr-CH"/>
        </w:rPr>
      </w:pPr>
      <w:r>
        <w:rPr>
          <w:rFonts w:hint="eastAsia"/>
          <w:lang w:val="fr-CH"/>
        </w:rPr>
        <w:tab/>
        <w:t xml:space="preserve">654.  </w:t>
      </w:r>
      <w:r>
        <w:rPr>
          <w:rFonts w:hint="eastAsia"/>
          <w:lang w:val="fr-CH"/>
        </w:rPr>
        <w:t>私营企业部门在开展赞助和捐助活动过程中，也提供经费扶持文化事业，但目前尚无这方面的统计资料。税收条例规定，支持文化活动的自然人和法律实体可享受一些优惠条件。</w:t>
      </w:r>
      <w:r>
        <w:rPr>
          <w:rStyle w:val="EndnoteReference"/>
          <w:lang w:val="fr-CH"/>
        </w:rPr>
        <w:endnoteReference w:id="394"/>
      </w:r>
      <w:r>
        <w:rPr>
          <w:rFonts w:hint="eastAsia"/>
          <w:lang w:val="fr-CH"/>
        </w:rPr>
        <w:t xml:space="preserve"> </w:t>
      </w:r>
      <w:r>
        <w:rPr>
          <w:rFonts w:hint="eastAsia"/>
          <w:lang w:val="fr-CH"/>
        </w:rPr>
        <w:t>据文化部估计，捐助者向由政府管理部门设立的文化机构提供的捐赠，占这些机构活动的总开支不到</w:t>
      </w:r>
      <w:r>
        <w:rPr>
          <w:rFonts w:hint="eastAsia"/>
          <w:lang w:val="fr-CH"/>
        </w:rPr>
        <w:t>2%</w:t>
      </w:r>
      <w:r>
        <w:rPr>
          <w:rFonts w:hint="eastAsia"/>
          <w:lang w:val="fr-CH"/>
        </w:rPr>
        <w:t>。</w:t>
      </w:r>
    </w:p>
    <w:p w:rsidR="00000000" w:rsidRDefault="00000000">
      <w:pPr>
        <w:spacing w:after="320"/>
        <w:rPr>
          <w:rFonts w:hint="eastAsia"/>
        </w:rPr>
      </w:pPr>
      <w:r>
        <w:rPr>
          <w:rFonts w:hint="eastAsia"/>
          <w:lang w:val="fr-CH"/>
        </w:rPr>
        <w:tab/>
        <w:t xml:space="preserve">655.  </w:t>
      </w:r>
      <w:r>
        <w:rPr>
          <w:rFonts w:hint="eastAsia"/>
          <w:lang w:val="fr-CH"/>
        </w:rPr>
        <w:t>到</w:t>
      </w:r>
      <w:r>
        <w:rPr>
          <w:rFonts w:hint="eastAsia"/>
          <w:lang w:val="fr-CH"/>
        </w:rPr>
        <w:t>1998</w:t>
      </w:r>
      <w:r>
        <w:rPr>
          <w:rFonts w:hint="eastAsia"/>
          <w:lang w:val="fr-CH"/>
        </w:rPr>
        <w:t>年为止，捷克共和国共有</w:t>
      </w:r>
      <w:r>
        <w:rPr>
          <w:rFonts w:hint="eastAsia"/>
          <w:lang w:val="fr-CH"/>
        </w:rPr>
        <w:t>5,000</w:t>
      </w:r>
      <w:r>
        <w:rPr>
          <w:rFonts w:hint="eastAsia"/>
          <w:lang w:val="fr-CH"/>
        </w:rPr>
        <w:t>多个基金会，其中，约有</w:t>
      </w:r>
      <w:r>
        <w:rPr>
          <w:rFonts w:hint="eastAsia"/>
          <w:lang w:val="fr-CH"/>
        </w:rPr>
        <w:t>250</w:t>
      </w:r>
      <w:r>
        <w:rPr>
          <w:rFonts w:hint="eastAsia"/>
          <w:lang w:val="fr-CH"/>
        </w:rPr>
        <w:t>个基金会从事文化活动。但是，多数基金会自己并不拥有能够产生收入，据以支持文化活动的资产，因而主要从其他渠道，包括政府渠道获取其项目所需的经费。鉴于这一情况，</w:t>
      </w:r>
      <w:r>
        <w:rPr>
          <w:rFonts w:hint="eastAsia"/>
          <w:lang w:val="fr-CH"/>
        </w:rPr>
        <w:t>1997</w:t>
      </w:r>
      <w:r>
        <w:rPr>
          <w:rFonts w:hint="eastAsia"/>
          <w:lang w:val="fr-CH"/>
        </w:rPr>
        <w:t>年，通过了一部新的《基金会和基本法》，</w:t>
      </w:r>
      <w:r>
        <w:rPr>
          <w:rStyle w:val="EndnoteReference"/>
          <w:lang w:val="fr-CH"/>
        </w:rPr>
        <w:endnoteReference w:id="395"/>
      </w:r>
      <w:r>
        <w:rPr>
          <w:rFonts w:hint="eastAsia"/>
          <w:lang w:val="fr-CH"/>
        </w:rPr>
        <w:t xml:space="preserve"> </w:t>
      </w:r>
      <w:r>
        <w:rPr>
          <w:rFonts w:hint="eastAsia"/>
        </w:rPr>
        <w:t>该法规对基金会的设立作了规定，并于</w:t>
      </w:r>
      <w:r>
        <w:rPr>
          <w:rFonts w:hint="eastAsia"/>
        </w:rPr>
        <w:t>1998</w:t>
      </w:r>
      <w:r>
        <w:rPr>
          <w:rFonts w:hint="eastAsia"/>
        </w:rPr>
        <w:t>年使现有基金会实行转变，为基金会的设立规定了一个必要条件：基金会拥有自己的注册资本，资本最低数额由《基金会和基本金法》确定，赞助文化活动和项目所需经费，来自这些资本的收入。这部法规还使基本金筹集机构得到设立，这些机构不必拥有任何资产，作为筹资机构开展活动。在文化领域开展活动的许多基金会都转变为基本金筹集机构。这部法规为基金会和基本金筹集机构规定的义务还确保这些机构的筹资和其他活动有更高的透明度。</w:t>
      </w:r>
    </w:p>
    <w:p w:rsidR="00000000" w:rsidRDefault="00000000">
      <w:pPr>
        <w:pStyle w:val="Heading4"/>
        <w:ind w:left="510"/>
        <w:rPr>
          <w:rFonts w:hint="eastAsia"/>
        </w:rPr>
      </w:pPr>
      <w:r>
        <w:rPr>
          <w:rFonts w:hint="eastAsia"/>
        </w:rPr>
        <w:t>体制结构</w:t>
      </w:r>
    </w:p>
    <w:p w:rsidR="00000000" w:rsidRDefault="00000000">
      <w:pPr>
        <w:rPr>
          <w:rFonts w:hint="eastAsia"/>
        </w:rPr>
      </w:pPr>
      <w:r>
        <w:rPr>
          <w:rFonts w:hint="eastAsia"/>
        </w:rPr>
        <w:tab/>
        <w:t xml:space="preserve">656.  </w:t>
      </w:r>
      <w:r>
        <w:rPr>
          <w:rFonts w:hint="eastAsia"/>
        </w:rPr>
        <w:t>博物馆、纪念馆和美术馆</w:t>
      </w:r>
      <w:r>
        <w:rPr>
          <w:rFonts w:hint="eastAsia"/>
        </w:rPr>
        <w:t>(</w:t>
      </w:r>
      <w:r>
        <w:rPr>
          <w:rFonts w:hint="eastAsia"/>
        </w:rPr>
        <w:t>视觉艺术陈列馆</w:t>
      </w:r>
      <w:r>
        <w:rPr>
          <w:rFonts w:hint="eastAsia"/>
        </w:rPr>
        <w:t>)</w:t>
      </w:r>
      <w:r>
        <w:rPr>
          <w:rFonts w:hint="eastAsia"/>
        </w:rPr>
        <w:t>。一部特别的《博物馆和美术馆法》以及《布拉格国家美术馆法》</w:t>
      </w:r>
      <w:r>
        <w:rPr>
          <w:rStyle w:val="EndnoteReference"/>
        </w:rPr>
        <w:endnoteReference w:id="396"/>
      </w:r>
      <w:r>
        <w:rPr>
          <w:rFonts w:hint="eastAsia"/>
        </w:rPr>
        <w:t xml:space="preserve"> </w:t>
      </w:r>
      <w:r>
        <w:rPr>
          <w:rFonts w:hint="eastAsia"/>
        </w:rPr>
        <w:t>对博物馆和美术馆的活动作了规定。</w:t>
      </w:r>
    </w:p>
    <w:p w:rsidR="00000000" w:rsidRDefault="00000000">
      <w:pPr>
        <w:rPr>
          <w:rFonts w:hint="eastAsia"/>
        </w:rPr>
      </w:pPr>
      <w:r>
        <w:rPr>
          <w:rFonts w:hint="eastAsia"/>
        </w:rPr>
        <w:tab/>
        <w:t xml:space="preserve">657.  </w:t>
      </w:r>
      <w:r>
        <w:rPr>
          <w:rFonts w:hint="eastAsia"/>
        </w:rPr>
        <w:t>文化部建立了</w:t>
      </w:r>
      <w:r>
        <w:rPr>
          <w:rFonts w:hint="eastAsia"/>
        </w:rPr>
        <w:t>44</w:t>
      </w:r>
      <w:r>
        <w:rPr>
          <w:rFonts w:hint="eastAsia"/>
        </w:rPr>
        <w:t>个博物馆和美术馆；另有</w:t>
      </w:r>
      <w:r>
        <w:rPr>
          <w:rFonts w:hint="eastAsia"/>
        </w:rPr>
        <w:t>12</w:t>
      </w:r>
      <w:r>
        <w:rPr>
          <w:rFonts w:hint="eastAsia"/>
        </w:rPr>
        <w:t>个博物馆和美术馆由其他部级机关建立。还有</w:t>
      </w:r>
      <w:r>
        <w:rPr>
          <w:rFonts w:hint="eastAsia"/>
        </w:rPr>
        <w:t>81</w:t>
      </w:r>
      <w:r>
        <w:rPr>
          <w:rFonts w:hint="eastAsia"/>
        </w:rPr>
        <w:t>个博物馆、美术馆和纪念馆</w:t>
      </w:r>
      <w:r>
        <w:rPr>
          <w:rFonts w:hint="eastAsia"/>
        </w:rPr>
        <w:t xml:space="preserve"> </w:t>
      </w:r>
      <w:r>
        <w:rPr>
          <w:rStyle w:val="EndnoteReference"/>
        </w:rPr>
        <w:endnoteReference w:id="397"/>
      </w:r>
      <w:r>
        <w:rPr>
          <w:rFonts w:hint="eastAsia"/>
        </w:rPr>
        <w:t xml:space="preserve"> </w:t>
      </w:r>
      <w:r>
        <w:rPr>
          <w:rFonts w:hint="eastAsia"/>
        </w:rPr>
        <w:t>由地方主管机构</w:t>
      </w:r>
      <w:r>
        <w:rPr>
          <w:rFonts w:hint="eastAsia"/>
        </w:rPr>
        <w:t>(</w:t>
      </w:r>
      <w:r>
        <w:rPr>
          <w:rFonts w:hint="eastAsia"/>
        </w:rPr>
        <w:t>区级机构</w:t>
      </w:r>
      <w:r>
        <w:rPr>
          <w:rFonts w:hint="eastAsia"/>
        </w:rPr>
        <w:t>)</w:t>
      </w:r>
      <w:r>
        <w:rPr>
          <w:rFonts w:hint="eastAsia"/>
        </w:rPr>
        <w:t>建立，这些馆室往往在地方设有分馆。此外，还有</w:t>
      </w:r>
      <w:r>
        <w:rPr>
          <w:rFonts w:hint="eastAsia"/>
        </w:rPr>
        <w:t>175</w:t>
      </w:r>
      <w:r>
        <w:rPr>
          <w:rFonts w:hint="eastAsia"/>
        </w:rPr>
        <w:t>个博物馆、美术馆和纪念馆由一般城市和自治市建立。所有这些馆室均向公众开放。</w:t>
      </w:r>
    </w:p>
    <w:p w:rsidR="00000000" w:rsidRDefault="00000000">
      <w:pPr>
        <w:rPr>
          <w:rFonts w:hint="eastAsia"/>
        </w:rPr>
      </w:pPr>
      <w:r>
        <w:rPr>
          <w:rFonts w:hint="eastAsia"/>
        </w:rPr>
        <w:tab/>
        <w:t xml:space="preserve">658.  </w:t>
      </w:r>
      <w:r>
        <w:rPr>
          <w:rFonts w:hint="eastAsia"/>
        </w:rPr>
        <w:t>除了上述博物馆和美术馆以外，企业实体、教会和宗教团体或公民团体以及个人也开办了一些博物馆，这三者开办的博物馆的数字分别为</w:t>
      </w:r>
      <w:r>
        <w:rPr>
          <w:rFonts w:hint="eastAsia"/>
        </w:rPr>
        <w:t>35</w:t>
      </w:r>
      <w:r>
        <w:rPr>
          <w:rFonts w:hint="eastAsia"/>
        </w:rPr>
        <w:t>、</w:t>
      </w:r>
      <w:r>
        <w:rPr>
          <w:rFonts w:hint="eastAsia"/>
        </w:rPr>
        <w:t>20</w:t>
      </w:r>
      <w:r>
        <w:rPr>
          <w:rFonts w:hint="eastAsia"/>
        </w:rPr>
        <w:t>、</w:t>
      </w:r>
      <w:r>
        <w:rPr>
          <w:rFonts w:hint="eastAsia"/>
        </w:rPr>
        <w:t>13</w:t>
      </w:r>
      <w:r>
        <w:rPr>
          <w:rFonts w:hint="eastAsia"/>
        </w:rPr>
        <w:t>。</w:t>
      </w:r>
    </w:p>
    <w:p w:rsidR="00000000" w:rsidRDefault="00000000">
      <w:pPr>
        <w:rPr>
          <w:rFonts w:hint="eastAsia"/>
        </w:rPr>
      </w:pPr>
      <w:r>
        <w:rPr>
          <w:rFonts w:hint="eastAsia"/>
        </w:rPr>
        <w:tab/>
        <w:t>659.  1998</w:t>
      </w:r>
      <w:r>
        <w:rPr>
          <w:rFonts w:hint="eastAsia"/>
        </w:rPr>
        <w:t>年，文化部在它开办的博物馆和纪念馆的运转和活动方面所花经费为</w:t>
      </w:r>
      <w:r>
        <w:rPr>
          <w:rFonts w:hint="eastAsia"/>
        </w:rPr>
        <w:t>442,280,000</w:t>
      </w:r>
      <w:r>
        <w:rPr>
          <w:rFonts w:hint="eastAsia"/>
        </w:rPr>
        <w:t>捷克克朗，在美术馆</w:t>
      </w:r>
      <w:r>
        <w:rPr>
          <w:rFonts w:hint="eastAsia"/>
        </w:rPr>
        <w:t>(</w:t>
      </w:r>
      <w:r>
        <w:rPr>
          <w:rFonts w:hint="eastAsia"/>
        </w:rPr>
        <w:t>艺术博物馆</w:t>
      </w:r>
      <w:r>
        <w:rPr>
          <w:rFonts w:hint="eastAsia"/>
        </w:rPr>
        <w:t>)</w:t>
      </w:r>
      <w:r>
        <w:rPr>
          <w:rFonts w:hint="eastAsia"/>
        </w:rPr>
        <w:t>方面所花经费为</w:t>
      </w:r>
      <w:r>
        <w:rPr>
          <w:rFonts w:hint="eastAsia"/>
        </w:rPr>
        <w:t>368,073,000</w:t>
      </w:r>
      <w:r>
        <w:rPr>
          <w:rFonts w:hint="eastAsia"/>
        </w:rPr>
        <w:t>捷克克朗。多数博物馆为区级博物馆</w:t>
      </w:r>
      <w:r>
        <w:rPr>
          <w:rFonts w:hint="eastAsia"/>
        </w:rPr>
        <w:t>(</w:t>
      </w:r>
      <w:r>
        <w:rPr>
          <w:rFonts w:hint="eastAsia"/>
        </w:rPr>
        <w:t>一般城市和自治市建立的博物馆也是如此，特别是在居民人数为</w:t>
      </w:r>
      <w:r>
        <w:rPr>
          <w:rFonts w:hint="eastAsia"/>
        </w:rPr>
        <w:t>50,000</w:t>
      </w:r>
      <w:r>
        <w:rPr>
          <w:rFonts w:hint="eastAsia"/>
        </w:rPr>
        <w:t>以上的城市</w:t>
      </w:r>
      <w:r>
        <w:rPr>
          <w:rFonts w:hint="eastAsia"/>
        </w:rPr>
        <w:t>)</w:t>
      </w:r>
      <w:r>
        <w:rPr>
          <w:rFonts w:hint="eastAsia"/>
        </w:rPr>
        <w:t>，博物馆的藏品涉及多个方面。</w:t>
      </w:r>
    </w:p>
    <w:p w:rsidR="00000000" w:rsidRDefault="00000000">
      <w:pPr>
        <w:rPr>
          <w:rFonts w:hint="eastAsia"/>
          <w:lang w:val="fr-CH"/>
        </w:rPr>
      </w:pPr>
      <w:r>
        <w:rPr>
          <w:rFonts w:hint="eastAsia"/>
        </w:rPr>
        <w:tab/>
        <w:t xml:space="preserve">660.  </w:t>
      </w:r>
      <w:r>
        <w:rPr>
          <w:rFonts w:hint="eastAsia"/>
        </w:rPr>
        <w:t>捷克共和国有一个专门介绍罗姆人这一少数民族情况的博物馆，即位于布尔诺的罗姆人文化博物馆；还有一个介绍波兰族这一少数民族历史和文化情况的博物馆，即</w:t>
      </w:r>
      <w:r>
        <w:rPr>
          <w:lang w:val="fr-CH"/>
        </w:rPr>
        <w:t>Tisin</w:t>
      </w:r>
      <w:r>
        <w:rPr>
          <w:rFonts w:hint="eastAsia"/>
          <w:lang w:val="fr-CH"/>
        </w:rPr>
        <w:t>区博物馆。</w:t>
      </w:r>
    </w:p>
    <w:p w:rsidR="00000000" w:rsidRDefault="00000000">
      <w:pPr>
        <w:rPr>
          <w:rFonts w:hint="eastAsia"/>
          <w:lang w:val="fr-CH"/>
        </w:rPr>
      </w:pPr>
      <w:r>
        <w:rPr>
          <w:rFonts w:hint="eastAsia"/>
          <w:lang w:val="fr-CH"/>
        </w:rPr>
        <w:tab/>
        <w:t xml:space="preserve">661.  </w:t>
      </w:r>
      <w:r>
        <w:rPr>
          <w:rFonts w:hint="eastAsia"/>
          <w:u w:val="single"/>
          <w:lang w:val="fr-CH"/>
        </w:rPr>
        <w:t>公共图书馆</w:t>
      </w:r>
      <w:r>
        <w:rPr>
          <w:rFonts w:hint="eastAsia"/>
          <w:lang w:val="fr-CH"/>
        </w:rPr>
        <w:t>。《统一图书馆系统法》</w:t>
      </w:r>
      <w:r>
        <w:rPr>
          <w:rFonts w:hint="eastAsia"/>
          <w:lang w:val="fr-CH"/>
        </w:rPr>
        <w:t>(</w:t>
      </w:r>
      <w:r>
        <w:rPr>
          <w:rFonts w:hint="eastAsia"/>
          <w:lang w:val="fr-CH"/>
        </w:rPr>
        <w:t>《图书馆法》</w:t>
      </w:r>
      <w:r>
        <w:rPr>
          <w:rFonts w:hint="eastAsia"/>
          <w:lang w:val="fr-CH"/>
        </w:rPr>
        <w:t>)</w:t>
      </w:r>
      <w:r>
        <w:rPr>
          <w:rStyle w:val="EndnoteReference"/>
          <w:lang w:val="fr-CH"/>
        </w:rPr>
        <w:endnoteReference w:id="398"/>
      </w:r>
      <w:r>
        <w:rPr>
          <w:rFonts w:hint="eastAsia"/>
          <w:lang w:val="fr-CH"/>
        </w:rPr>
        <w:t xml:space="preserve"> </w:t>
      </w:r>
      <w:r>
        <w:rPr>
          <w:rFonts w:hint="eastAsia"/>
          <w:lang w:val="fr-CH"/>
        </w:rPr>
        <w:t>对公共图书馆的活动作了规定。</w:t>
      </w:r>
    </w:p>
    <w:p w:rsidR="00000000" w:rsidRDefault="00000000">
      <w:pPr>
        <w:rPr>
          <w:rFonts w:hint="eastAsia"/>
          <w:lang w:val="fr-CH"/>
        </w:rPr>
      </w:pPr>
      <w:r>
        <w:rPr>
          <w:rFonts w:hint="eastAsia"/>
          <w:lang w:val="fr-CH"/>
        </w:rPr>
        <w:tab/>
        <w:t xml:space="preserve">662.  </w:t>
      </w:r>
      <w:r>
        <w:rPr>
          <w:rFonts w:hint="eastAsia"/>
          <w:lang w:val="fr-CH"/>
        </w:rPr>
        <w:t>公共图书馆由文化部建立，区机构、一般城市和自治市也建立了一些图书馆。建立大型公共专门图书馆的单位，还包括其他中央管理机构，主要是教育、青年和体育部、农业部以及卫生部。高等院校以及研究和科学机构的图书馆也十分重要，当然，这些图书馆专门供学生、教师以及科研人员使用，因而不能被视为真正的公共图书馆。</w:t>
      </w:r>
    </w:p>
    <w:p w:rsidR="00000000" w:rsidRDefault="00000000">
      <w:pPr>
        <w:rPr>
          <w:rFonts w:hint="eastAsia"/>
          <w:lang w:val="fr-CH"/>
        </w:rPr>
      </w:pPr>
      <w:r>
        <w:rPr>
          <w:rFonts w:hint="eastAsia"/>
          <w:lang w:val="fr-CH"/>
        </w:rPr>
        <w:tab/>
        <w:t xml:space="preserve">663.  </w:t>
      </w:r>
      <w:r>
        <w:rPr>
          <w:rFonts w:hint="eastAsia"/>
          <w:lang w:val="fr-CH"/>
        </w:rPr>
        <w:t>截至</w:t>
      </w:r>
      <w:r>
        <w:rPr>
          <w:rFonts w:hint="eastAsia"/>
          <w:lang w:val="fr-CH"/>
        </w:rPr>
        <w:t>1998</w:t>
      </w:r>
      <w:r>
        <w:rPr>
          <w:rFonts w:hint="eastAsia"/>
          <w:lang w:val="fr-CH"/>
        </w:rPr>
        <w:t>年，捷克共和国共有</w:t>
      </w:r>
      <w:r>
        <w:rPr>
          <w:rFonts w:hint="eastAsia"/>
          <w:lang w:val="fr-CH"/>
        </w:rPr>
        <w:t>7,319</w:t>
      </w:r>
      <w:r>
        <w:rPr>
          <w:rFonts w:hint="eastAsia"/>
          <w:lang w:val="fr-CH"/>
        </w:rPr>
        <w:t>个公共图书馆</w:t>
      </w:r>
      <w:r>
        <w:rPr>
          <w:rFonts w:hint="eastAsia"/>
          <w:lang w:val="fr-CH"/>
        </w:rPr>
        <w:t>(</w:t>
      </w:r>
      <w:r>
        <w:rPr>
          <w:rFonts w:hint="eastAsia"/>
          <w:lang w:val="fr-CH"/>
        </w:rPr>
        <w:t>包括分馆</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664.  </w:t>
      </w:r>
      <w:r>
        <w:rPr>
          <w:rFonts w:hint="eastAsia"/>
          <w:lang w:val="fr-CH"/>
        </w:rPr>
        <w:t>除了捷克共和国国家图书馆</w:t>
      </w:r>
      <w:r>
        <w:rPr>
          <w:rFonts w:hint="eastAsia"/>
          <w:lang w:val="fr-CH"/>
        </w:rPr>
        <w:t>(</w:t>
      </w:r>
      <w:r>
        <w:rPr>
          <w:rFonts w:hint="eastAsia"/>
          <w:lang w:val="fr-CH"/>
        </w:rPr>
        <w:t>国家图书馆系统的主要组成部分</w:t>
      </w:r>
      <w:r>
        <w:rPr>
          <w:rFonts w:hint="eastAsia"/>
          <w:lang w:val="fr-CH"/>
        </w:rPr>
        <w:t>)</w:t>
      </w:r>
      <w:r>
        <w:rPr>
          <w:rFonts w:hint="eastAsia"/>
          <w:lang w:val="fr-CH"/>
        </w:rPr>
        <w:t>和</w:t>
      </w:r>
      <w:r>
        <w:rPr>
          <w:u w:val="single"/>
          <w:lang w:val="fr-CH"/>
        </w:rPr>
        <w:t>Knihovny a tiskarny proneviomé K. E. Macana</w:t>
      </w:r>
      <w:r>
        <w:rPr>
          <w:rFonts w:hint="eastAsia"/>
          <w:lang w:val="fr-CH"/>
        </w:rPr>
        <w:t xml:space="preserve"> (K. E. </w:t>
      </w:r>
      <w:r>
        <w:rPr>
          <w:lang w:val="fr-CH"/>
        </w:rPr>
        <w:t>Macan</w:t>
      </w:r>
      <w:r>
        <w:rPr>
          <w:rFonts w:hint="eastAsia"/>
          <w:lang w:val="fr-CH"/>
        </w:rPr>
        <w:t>的</w:t>
      </w:r>
      <w:r>
        <w:rPr>
          <w:rFonts w:hint="eastAsia"/>
        </w:rPr>
        <w:t>盲</w:t>
      </w:r>
      <w:r>
        <w:rPr>
          <w:rFonts w:hint="eastAsia"/>
          <w:lang w:val="fr-CH"/>
        </w:rPr>
        <w:t>人图书馆和印刷厂</w:t>
      </w:r>
      <w:r>
        <w:rPr>
          <w:rFonts w:hint="eastAsia"/>
          <w:lang w:val="fr-CH"/>
        </w:rPr>
        <w:t>)</w:t>
      </w:r>
      <w:r>
        <w:rPr>
          <w:rFonts w:hint="eastAsia"/>
          <w:lang w:val="fr-CH"/>
        </w:rPr>
        <w:t>以外，文化部还建立了另外</w:t>
      </w:r>
      <w:r>
        <w:rPr>
          <w:rFonts w:hint="eastAsia"/>
          <w:lang w:val="fr-CH"/>
        </w:rPr>
        <w:t>9</w:t>
      </w:r>
      <w:r>
        <w:rPr>
          <w:rFonts w:hint="eastAsia"/>
          <w:lang w:val="fr-CH"/>
        </w:rPr>
        <w:t>个国家科学图书馆，并为这些图书馆供资。文化部还间接地建立了其他大型公共资料馆，这些资料馆由文化部设立的享受补贴的组织开办</w:t>
      </w:r>
      <w:r>
        <w:rPr>
          <w:rFonts w:hint="eastAsia"/>
          <w:lang w:val="fr-CH"/>
        </w:rPr>
        <w:t>(</w:t>
      </w:r>
      <w:r>
        <w:rPr>
          <w:rFonts w:hint="eastAsia"/>
          <w:lang w:val="fr-CH"/>
        </w:rPr>
        <w:t>例如，国家博物馆、国家美术资料馆、装饰艺术博物馆、国家文学纪念馆等</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665.  </w:t>
      </w:r>
      <w:r>
        <w:rPr>
          <w:rFonts w:hint="eastAsia"/>
          <w:lang w:val="fr-CH"/>
        </w:rPr>
        <w:t>捷克共和国国家图书馆在公共图书馆系统中占据着特殊位置。该图书馆拥有大量藏书</w:t>
      </w:r>
      <w:r>
        <w:rPr>
          <w:rFonts w:hint="eastAsia"/>
          <w:lang w:val="fr-CH"/>
        </w:rPr>
        <w:t>(</w:t>
      </w:r>
      <w:r>
        <w:rPr>
          <w:rFonts w:hint="eastAsia"/>
          <w:lang w:val="fr-CH"/>
        </w:rPr>
        <w:t>约</w:t>
      </w:r>
      <w:r>
        <w:rPr>
          <w:rFonts w:hint="eastAsia"/>
          <w:lang w:val="fr-CH"/>
        </w:rPr>
        <w:t>600</w:t>
      </w:r>
      <w:r>
        <w:rPr>
          <w:rFonts w:hint="eastAsia"/>
          <w:lang w:val="fr-CH"/>
        </w:rPr>
        <w:t>万册</w:t>
      </w:r>
      <w:r>
        <w:rPr>
          <w:rFonts w:hint="eastAsia"/>
          <w:lang w:val="fr-CH"/>
        </w:rPr>
        <w:t>)</w:t>
      </w:r>
      <w:r>
        <w:rPr>
          <w:rFonts w:hint="eastAsia"/>
          <w:lang w:val="fr-CH"/>
        </w:rPr>
        <w:t>，是捷克共和国最大、历史最悠久的图书馆之一。由于其藏书具有的价值，该图书馆是欧洲乃至世界上最重要的图书馆之一，还参加了教科文组织的“世界记忆”方案，该方案目的在于通过数字化途径，拯救并使公众能够利用前人留下的最为宝贵的书面资料。</w:t>
      </w:r>
    </w:p>
    <w:p w:rsidR="00000000" w:rsidRDefault="00000000">
      <w:pPr>
        <w:rPr>
          <w:rFonts w:hint="eastAsia"/>
        </w:rPr>
      </w:pPr>
      <w:r>
        <w:rPr>
          <w:rFonts w:hint="eastAsia"/>
        </w:rPr>
        <w:tab/>
        <w:t xml:space="preserve">666.  </w:t>
      </w:r>
      <w:r>
        <w:rPr>
          <w:rFonts w:hint="eastAsia"/>
        </w:rPr>
        <w:t>国家科学图书馆是区一级的中心图书馆，这些图书馆设在自然形成的区域的中心。因此，除了发挥通常作用，即教育、提供信息和文化作用以外，这些图书馆还在各自区域内为小型公共图书馆提供咨询服务。</w:t>
      </w:r>
    </w:p>
    <w:p w:rsidR="00000000" w:rsidRDefault="00000000">
      <w:pPr>
        <w:rPr>
          <w:rFonts w:hint="eastAsia"/>
        </w:rPr>
      </w:pPr>
      <w:r>
        <w:rPr>
          <w:rFonts w:hint="eastAsia"/>
        </w:rPr>
        <w:tab/>
        <w:t xml:space="preserve">667.  </w:t>
      </w:r>
      <w:r>
        <w:rPr>
          <w:rFonts w:hint="eastAsia"/>
        </w:rPr>
        <w:t>所有大型公共图书馆都与研究和开发方案建立起联系，这些方案既有总的方案，也有某个部执行的方案。公共图书馆还组织许多情况介绍和培训活动，此类活动每年有</w:t>
      </w:r>
      <w:r>
        <w:rPr>
          <w:rFonts w:hint="eastAsia"/>
        </w:rPr>
        <w:t>40,000</w:t>
      </w:r>
      <w:r>
        <w:rPr>
          <w:rFonts w:hint="eastAsia"/>
        </w:rPr>
        <w:t>多次</w:t>
      </w:r>
      <w:r>
        <w:rPr>
          <w:rFonts w:hint="eastAsia"/>
        </w:rPr>
        <w:t>(</w:t>
      </w:r>
      <w:r>
        <w:rPr>
          <w:rFonts w:hint="eastAsia"/>
        </w:rPr>
        <w:t>讲座、短期展览等</w:t>
      </w:r>
      <w:r>
        <w:rPr>
          <w:rFonts w:hint="eastAsia"/>
        </w:rPr>
        <w:t>)</w:t>
      </w:r>
      <w:r>
        <w:rPr>
          <w:rFonts w:hint="eastAsia"/>
        </w:rPr>
        <w:t>。</w:t>
      </w:r>
    </w:p>
    <w:p w:rsidR="00000000" w:rsidRDefault="00000000">
      <w:pPr>
        <w:rPr>
          <w:rFonts w:hint="eastAsia"/>
        </w:rPr>
      </w:pPr>
      <w:r>
        <w:rPr>
          <w:rFonts w:hint="eastAsia"/>
        </w:rPr>
        <w:tab/>
        <w:t xml:space="preserve">668.  </w:t>
      </w:r>
      <w:r>
        <w:rPr>
          <w:rFonts w:hint="eastAsia"/>
        </w:rPr>
        <w:t>根据规定，捷克共和国国家图书馆、摩拉维亚地区图书馆和奥洛穆茨国家科学图书馆须收藏在捷克共和国境内出版的各种非定期出版物；余下的国家科学图书馆收藏在各自地区出版的一定种类的非定期出版物。直到</w:t>
      </w:r>
      <w:r>
        <w:rPr>
          <w:rFonts w:hint="eastAsia"/>
        </w:rPr>
        <w:t>1992</w:t>
      </w:r>
      <w:r>
        <w:rPr>
          <w:rFonts w:hint="eastAsia"/>
        </w:rPr>
        <w:t>年</w:t>
      </w:r>
      <w:r>
        <w:rPr>
          <w:rFonts w:hint="eastAsia"/>
        </w:rPr>
        <w:t>12</w:t>
      </w:r>
      <w:r>
        <w:rPr>
          <w:rFonts w:hint="eastAsia"/>
        </w:rPr>
        <w:t>月</w:t>
      </w:r>
      <w:r>
        <w:rPr>
          <w:rFonts w:hint="eastAsia"/>
        </w:rPr>
        <w:t>31</w:t>
      </w:r>
      <w:r>
        <w:rPr>
          <w:rFonts w:hint="eastAsia"/>
        </w:rPr>
        <w:t>日为止，国家图书馆和所有国立图书馆必须收藏在捷克共和国境内任何地方出版的定期出版物。</w:t>
      </w:r>
    </w:p>
    <w:p w:rsidR="00000000" w:rsidRDefault="00000000">
      <w:pPr>
        <w:rPr>
          <w:rFonts w:hint="eastAsia"/>
        </w:rPr>
      </w:pPr>
      <w:r>
        <w:rPr>
          <w:rFonts w:hint="eastAsia"/>
        </w:rPr>
        <w:tab/>
        <w:t>669.  1998</w:t>
      </w:r>
      <w:r>
        <w:rPr>
          <w:rFonts w:hint="eastAsia"/>
        </w:rPr>
        <w:t>年，图书馆购置藏书的费用总额为</w:t>
      </w:r>
      <w:r>
        <w:rPr>
          <w:rFonts w:hint="eastAsia"/>
        </w:rPr>
        <w:t>181,856,000</w:t>
      </w:r>
      <w:r>
        <w:rPr>
          <w:rFonts w:hint="eastAsia"/>
        </w:rPr>
        <w:t>捷克克朗。</w:t>
      </w:r>
    </w:p>
    <w:p w:rsidR="00000000" w:rsidRDefault="00000000">
      <w:pPr>
        <w:rPr>
          <w:rFonts w:hint="eastAsia"/>
        </w:rPr>
      </w:pPr>
      <w:r>
        <w:rPr>
          <w:rFonts w:hint="eastAsia"/>
        </w:rPr>
        <w:tab/>
        <w:t xml:space="preserve">670.  </w:t>
      </w:r>
      <w:r>
        <w:rPr>
          <w:rFonts w:hint="eastAsia"/>
        </w:rPr>
        <w:t>公共图书馆还承担着保障公民享有了解情况的权利，和使捷克的信息科学和公共图书馆状况跟上发达国家的发展状况这项任务。从</w:t>
      </w:r>
      <w:r>
        <w:rPr>
          <w:rFonts w:hint="eastAsia"/>
        </w:rPr>
        <w:t>1995</w:t>
      </w:r>
      <w:r>
        <w:rPr>
          <w:rFonts w:hint="eastAsia"/>
        </w:rPr>
        <w:t>年起，文化部每年都宣布执行一项公共图书馆特别补贴计划，该计划有以下两个目的：</w:t>
      </w:r>
    </w:p>
    <w:p w:rsidR="00000000" w:rsidRDefault="00000000">
      <w:pPr>
        <w:numPr>
          <w:ilvl w:val="0"/>
          <w:numId w:val="903"/>
        </w:numPr>
        <w:rPr>
          <w:rFonts w:hint="eastAsia"/>
        </w:rPr>
      </w:pPr>
      <w:r>
        <w:rPr>
          <w:rFonts w:hint="eastAsia"/>
        </w:rPr>
        <w:t>为图书馆建立网络联系提供支持</w:t>
      </w:r>
      <w:r>
        <w:rPr>
          <w:rFonts w:hint="eastAsia"/>
        </w:rPr>
        <w:t>(</w:t>
      </w:r>
      <w:r>
        <w:rPr>
          <w:rFonts w:hint="eastAsia"/>
        </w:rPr>
        <w:t>例如接受互联网和改善现有联接等</w:t>
      </w:r>
      <w:r>
        <w:rPr>
          <w:rFonts w:hint="eastAsia"/>
        </w:rPr>
        <w:t>)</w:t>
      </w:r>
      <w:r>
        <w:rPr>
          <w:rFonts w:hint="eastAsia"/>
        </w:rPr>
        <w:t>；</w:t>
      </w:r>
    </w:p>
    <w:p w:rsidR="00000000" w:rsidRDefault="00000000">
      <w:pPr>
        <w:numPr>
          <w:ilvl w:val="0"/>
          <w:numId w:val="903"/>
        </w:numPr>
        <w:rPr>
          <w:rFonts w:hint="eastAsia"/>
        </w:rPr>
      </w:pPr>
      <w:r>
        <w:rPr>
          <w:rFonts w:hint="eastAsia"/>
        </w:rPr>
        <w:t>为在网络中建立和查阅数据提供支持</w:t>
      </w:r>
      <w:r>
        <w:rPr>
          <w:rFonts w:hint="eastAsia"/>
        </w:rPr>
        <w:t>(</w:t>
      </w:r>
      <w:r>
        <w:rPr>
          <w:rFonts w:hint="eastAsia"/>
        </w:rPr>
        <w:t>例如执行旨在与电子方式编制和提供主信息源和次级信息源的项目</w:t>
      </w:r>
      <w:r>
        <w:rPr>
          <w:rFonts w:hint="eastAsia"/>
        </w:rPr>
        <w:t>)</w:t>
      </w:r>
      <w:r>
        <w:rPr>
          <w:rFonts w:hint="eastAsia"/>
        </w:rPr>
        <w:t>。</w:t>
      </w:r>
      <w:r>
        <w:rPr>
          <w:rFonts w:hint="eastAsia"/>
        </w:rPr>
        <w:t>1998</w:t>
      </w:r>
      <w:r>
        <w:rPr>
          <w:rFonts w:hint="eastAsia"/>
        </w:rPr>
        <w:t>年，用于图书馆信息网络开发计划的补贴总额为</w:t>
      </w:r>
      <w:r>
        <w:rPr>
          <w:rFonts w:hint="eastAsia"/>
        </w:rPr>
        <w:t>3400</w:t>
      </w:r>
      <w:r>
        <w:rPr>
          <w:rFonts w:hint="eastAsia"/>
        </w:rPr>
        <w:t>万捷克克朗。</w:t>
      </w:r>
    </w:p>
    <w:p w:rsidR="00000000" w:rsidRDefault="00000000">
      <w:pPr>
        <w:rPr>
          <w:rFonts w:hint="eastAsia"/>
        </w:rPr>
      </w:pPr>
      <w:r>
        <w:rPr>
          <w:rFonts w:hint="eastAsia"/>
        </w:rPr>
        <w:tab/>
        <w:t xml:space="preserve">671.  </w:t>
      </w:r>
      <w:r>
        <w:rPr>
          <w:rFonts w:hint="eastAsia"/>
          <w:u w:val="single"/>
        </w:rPr>
        <w:t>电影制片</w:t>
      </w:r>
      <w:r>
        <w:rPr>
          <w:rFonts w:hint="eastAsia"/>
        </w:rPr>
        <w:t>。有两部法规对电影制片活动做了规定：《关于捷克共和国国家出资扶持和发展捷克电影制片业的法规》</w:t>
      </w:r>
      <w:r>
        <w:rPr>
          <w:rStyle w:val="EndnoteReference"/>
        </w:rPr>
        <w:endnoteReference w:id="399"/>
      </w:r>
      <w:r>
        <w:rPr>
          <w:rFonts w:hint="eastAsia"/>
        </w:rPr>
        <w:t>，以及《关于制作、散发音像作品并将其归档的某些条件的法规》</w:t>
      </w:r>
      <w:r>
        <w:rPr>
          <w:rStyle w:val="EndnoteReference"/>
        </w:rPr>
        <w:endnoteReference w:id="400"/>
      </w:r>
      <w:r>
        <w:rPr>
          <w:rFonts w:hint="eastAsia"/>
        </w:rPr>
        <w:t>。</w:t>
      </w:r>
    </w:p>
    <w:p w:rsidR="00000000" w:rsidRDefault="00000000">
      <w:pPr>
        <w:rPr>
          <w:rFonts w:hint="eastAsia"/>
        </w:rPr>
      </w:pPr>
      <w:r>
        <w:rPr>
          <w:rFonts w:hint="eastAsia"/>
        </w:rPr>
        <w:tab/>
        <w:t xml:space="preserve">672.  </w:t>
      </w:r>
      <w:r>
        <w:rPr>
          <w:rFonts w:hint="eastAsia"/>
        </w:rPr>
        <w:t>《关于捷克共和国国家出资扶持和发展捷克电影制片业的法规》为设立基金，从而可以为某些捷克影片制作计划供资规定了基本条件，同时也为融资规定了具有约束力的规则。该项基金的主要来源，是对门票收入增收附加税所产生的收入，以及</w:t>
      </w:r>
      <w:r>
        <w:rPr>
          <w:rFonts w:hint="eastAsia"/>
        </w:rPr>
        <w:t>1965</w:t>
      </w:r>
      <w:r>
        <w:rPr>
          <w:rFonts w:hint="eastAsia"/>
        </w:rPr>
        <w:t>至</w:t>
      </w:r>
      <w:r>
        <w:rPr>
          <w:rFonts w:hint="eastAsia"/>
        </w:rPr>
        <w:t>1991</w:t>
      </w:r>
      <w:r>
        <w:rPr>
          <w:rFonts w:hint="eastAsia"/>
        </w:rPr>
        <w:t>年间制作的捷克电影的商业利用产生的收入，这一时期的电影制作的经费仍完全由国家预算提供。因而，这些影片带来的收入可视为国家向上述基金提供的款项。</w:t>
      </w:r>
    </w:p>
    <w:p w:rsidR="00000000" w:rsidRDefault="00000000">
      <w:pPr>
        <w:rPr>
          <w:rFonts w:hint="eastAsia"/>
        </w:rPr>
      </w:pPr>
      <w:r>
        <w:rPr>
          <w:rFonts w:hint="eastAsia"/>
        </w:rPr>
        <w:tab/>
        <w:t xml:space="preserve">673.  </w:t>
      </w:r>
      <w:r>
        <w:rPr>
          <w:rFonts w:hint="eastAsia"/>
        </w:rPr>
        <w:t>公立电视台即捷克电视台在制作当代纯捷克影片方面发挥着重要作用，该电视台与其他制作者每年大约制作</w:t>
      </w:r>
      <w:r>
        <w:rPr>
          <w:rFonts w:hint="eastAsia"/>
        </w:rPr>
        <w:t>10</w:t>
      </w:r>
      <w:r>
        <w:rPr>
          <w:rFonts w:hint="eastAsia"/>
        </w:rPr>
        <w:t>部达到正片应有长度的影片。不过，该电视台实行独立筹资，不依靠国家预算</w:t>
      </w:r>
      <w:r>
        <w:rPr>
          <w:rFonts w:hint="eastAsia"/>
        </w:rPr>
        <w:t>(</w:t>
      </w:r>
      <w:r>
        <w:rPr>
          <w:rFonts w:hint="eastAsia"/>
        </w:rPr>
        <w:t>经费来自特许权费、广告收入等</w:t>
      </w:r>
      <w:r>
        <w:rPr>
          <w:rFonts w:hint="eastAsia"/>
        </w:rPr>
        <w:t>)</w:t>
      </w:r>
      <w:r>
        <w:rPr>
          <w:rFonts w:hint="eastAsia"/>
        </w:rPr>
        <w:t>，因而在这一情形中，不能说影片制作得到国家补贴。</w:t>
      </w:r>
    </w:p>
    <w:p w:rsidR="00000000" w:rsidRDefault="00000000">
      <w:pPr>
        <w:rPr>
          <w:rFonts w:hint="eastAsia"/>
        </w:rPr>
      </w:pPr>
      <w:r>
        <w:rPr>
          <w:rFonts w:hint="eastAsia"/>
        </w:rPr>
        <w:tab/>
        <w:t xml:space="preserve">674.  </w:t>
      </w:r>
      <w:r>
        <w:rPr>
          <w:rFonts w:hint="eastAsia"/>
        </w:rPr>
        <w:t>《关于制作、散发音像作品并将其归档的某些条件的法规》，对捷克电影制片业在市场环境中发展的某些条件做了规定。依据这项《法规》，设立了一个文化部电影资料专门机构</w:t>
      </w:r>
      <w:r>
        <w:rPr>
          <w:rFonts w:hint="eastAsia"/>
          <w:spacing w:val="-50"/>
        </w:rPr>
        <w:t>―</w:t>
      </w:r>
      <w:r>
        <w:rPr>
          <w:rFonts w:hint="eastAsia"/>
        </w:rPr>
        <w:t>―国家电影档案馆。这一档案馆的任务，是搜集、保护、研究并使用音像档案资料，尤其是属于国家文化遗产的一部分，并且记录电影业的创立和发展过程的音像资料。捷克的音像作品制作人须待其作品首次发行后</w:t>
      </w:r>
      <w:r>
        <w:rPr>
          <w:rFonts w:hint="eastAsia"/>
        </w:rPr>
        <w:t>60</w:t>
      </w:r>
      <w:r>
        <w:rPr>
          <w:rFonts w:hint="eastAsia"/>
        </w:rPr>
        <w:t>天内，以书面形式向档案馆表示愿意出售某个捷克音像制品的两个新的、完好无损的拷贝。</w:t>
      </w:r>
    </w:p>
    <w:p w:rsidR="00000000" w:rsidRDefault="00000000">
      <w:pPr>
        <w:rPr>
          <w:rFonts w:hint="eastAsia"/>
        </w:rPr>
      </w:pPr>
      <w:r>
        <w:rPr>
          <w:rFonts w:hint="eastAsia"/>
        </w:rPr>
        <w:tab/>
        <w:t>675.  1998</w:t>
      </w:r>
      <w:r>
        <w:rPr>
          <w:rFonts w:hint="eastAsia"/>
        </w:rPr>
        <w:t>年，捷克共和国共有</w:t>
      </w:r>
      <w:r>
        <w:rPr>
          <w:rFonts w:hint="eastAsia"/>
        </w:rPr>
        <w:t>700</w:t>
      </w:r>
      <w:r>
        <w:rPr>
          <w:rFonts w:hint="eastAsia"/>
        </w:rPr>
        <w:t>多家固定影院，</w:t>
      </w:r>
      <w:r>
        <w:rPr>
          <w:rFonts w:hint="eastAsia"/>
        </w:rPr>
        <w:t>36</w:t>
      </w:r>
      <w:r>
        <w:rPr>
          <w:rFonts w:hint="eastAsia"/>
        </w:rPr>
        <w:t>家电影咖啡厅，</w:t>
      </w:r>
      <w:r>
        <w:rPr>
          <w:rFonts w:hint="eastAsia"/>
        </w:rPr>
        <w:t>110</w:t>
      </w:r>
      <w:r>
        <w:rPr>
          <w:rFonts w:hint="eastAsia"/>
        </w:rPr>
        <w:t>家固定夏季影院，以及</w:t>
      </w:r>
      <w:r>
        <w:rPr>
          <w:rFonts w:hint="eastAsia"/>
        </w:rPr>
        <w:t>50</w:t>
      </w:r>
      <w:r>
        <w:rPr>
          <w:rFonts w:hint="eastAsia"/>
        </w:rPr>
        <w:t>家季节性流动影院。共有</w:t>
      </w:r>
      <w:r>
        <w:rPr>
          <w:rFonts w:hint="eastAsia"/>
        </w:rPr>
        <w:t>150</w:t>
      </w:r>
      <w:r>
        <w:rPr>
          <w:rFonts w:hint="eastAsia"/>
        </w:rPr>
        <w:t>部达到正片长度的故事片首次上演，其中包括</w:t>
      </w:r>
      <w:r>
        <w:rPr>
          <w:rFonts w:hint="eastAsia"/>
        </w:rPr>
        <w:t>14</w:t>
      </w:r>
      <w:r>
        <w:rPr>
          <w:rFonts w:hint="eastAsia"/>
        </w:rPr>
        <w:t>部由捷克人制作的影片。</w:t>
      </w:r>
    </w:p>
    <w:p w:rsidR="00000000" w:rsidRDefault="00000000">
      <w:pPr>
        <w:rPr>
          <w:rFonts w:hint="eastAsia"/>
        </w:rPr>
      </w:pPr>
      <w:r>
        <w:rPr>
          <w:rFonts w:hint="eastAsia"/>
        </w:rPr>
        <w:tab/>
        <w:t xml:space="preserve">676.  </w:t>
      </w:r>
      <w:r>
        <w:rPr>
          <w:rFonts w:hint="eastAsia"/>
        </w:rPr>
        <w:t>“卡罗维发利国际电影节”每年在捷克共和国举办，这项活动部分由文化部和卡罗维发利提供赞助。该电影节的举办者和组织者是一个独立实体。此外，捷克共和国还举办一些小型国际电影节，这些电影节主要播放一些适合儿童和青少年观看的影片</w:t>
      </w:r>
      <w:r>
        <w:rPr>
          <w:rFonts w:hint="eastAsia"/>
        </w:rPr>
        <w:t>(</w:t>
      </w:r>
      <w:r>
        <w:rPr>
          <w:rFonts w:hint="eastAsia"/>
          <w:u w:val="single"/>
        </w:rPr>
        <w:t>Z</w:t>
      </w:r>
      <w:r>
        <w:rPr>
          <w:u w:val="single"/>
        </w:rPr>
        <w:t>lin</w:t>
      </w:r>
      <w:r>
        <w:rPr>
          <w:rFonts w:hint="eastAsia"/>
        </w:rPr>
        <w:t>)</w:t>
      </w:r>
      <w:r>
        <w:rPr>
          <w:rFonts w:hint="eastAsia"/>
        </w:rPr>
        <w:t>，以及与环境保护和文物保护为题材的影片</w:t>
      </w:r>
      <w:r>
        <w:rPr>
          <w:rFonts w:hint="eastAsia"/>
        </w:rPr>
        <w:t>(E</w:t>
      </w:r>
      <w:r>
        <w:t>esky Krumiov</w:t>
      </w:r>
      <w:r>
        <w:rPr>
          <w:rFonts w:hint="eastAsia"/>
        </w:rPr>
        <w:t>的</w:t>
      </w:r>
      <w:r>
        <w:rPr>
          <w:rFonts w:hint="eastAsia"/>
          <w:u w:val="single"/>
        </w:rPr>
        <w:t>E</w:t>
      </w:r>
      <w:r>
        <w:rPr>
          <w:u w:val="single"/>
        </w:rPr>
        <w:t>kofilm</w:t>
      </w:r>
      <w:r>
        <w:rPr>
          <w:rFonts w:hint="eastAsia"/>
        </w:rPr>
        <w:t>电影节</w:t>
      </w:r>
      <w:r>
        <w:t>)</w:t>
      </w:r>
      <w:r>
        <w:rPr>
          <w:rFonts w:hint="eastAsia"/>
        </w:rPr>
        <w:t>。</w:t>
      </w:r>
    </w:p>
    <w:p w:rsidR="00000000" w:rsidRDefault="00000000">
      <w:pPr>
        <w:rPr>
          <w:rFonts w:hint="eastAsia"/>
        </w:rPr>
      </w:pPr>
      <w:r>
        <w:rPr>
          <w:rFonts w:hint="eastAsia"/>
        </w:rPr>
        <w:tab/>
        <w:t xml:space="preserve">677.  </w:t>
      </w:r>
      <w:r>
        <w:rPr>
          <w:rFonts w:hint="eastAsia"/>
          <w:u w:val="single"/>
        </w:rPr>
        <w:t>戏剧</w:t>
      </w:r>
      <w:r>
        <w:rPr>
          <w:rFonts w:hint="eastAsia"/>
        </w:rPr>
        <w:t>。剧团有：</w:t>
      </w:r>
    </w:p>
    <w:p w:rsidR="00000000" w:rsidRDefault="00000000">
      <w:pPr>
        <w:pStyle w:val="a6"/>
        <w:tabs>
          <w:tab w:val="num" w:pos="1550"/>
        </w:tabs>
        <w:ind w:left="1550"/>
        <w:rPr>
          <w:rFonts w:hint="eastAsia"/>
        </w:rPr>
      </w:pPr>
      <w:r>
        <w:rPr>
          <w:rFonts w:hint="eastAsia"/>
        </w:rPr>
        <w:t>国家中央管理机构建立的剧团</w:t>
      </w:r>
      <w:r>
        <w:rPr>
          <w:rFonts w:hint="eastAsia"/>
          <w:spacing w:val="-50"/>
        </w:rPr>
        <w:t>―</w:t>
      </w:r>
      <w:r>
        <w:rPr>
          <w:rFonts w:hint="eastAsia"/>
        </w:rPr>
        <w:t>―文化部建立保留剧目轮演剧团，这些剧团拥有自己的演出公司</w:t>
      </w:r>
      <w:r>
        <w:rPr>
          <w:rFonts w:hint="eastAsia"/>
        </w:rPr>
        <w:t>(</w:t>
      </w:r>
      <w:r>
        <w:rPr>
          <w:rFonts w:hint="eastAsia"/>
        </w:rPr>
        <w:t>共有</w:t>
      </w:r>
      <w:r>
        <w:rPr>
          <w:rFonts w:hint="eastAsia"/>
        </w:rPr>
        <w:t>3</w:t>
      </w:r>
      <w:r>
        <w:rPr>
          <w:rFonts w:hint="eastAsia"/>
        </w:rPr>
        <w:t>个，但其中只有两个享受文化部的补贴，另一个剧团</w:t>
      </w:r>
      <w:r>
        <w:rPr>
          <w:rFonts w:hint="eastAsia"/>
          <w:spacing w:val="-50"/>
        </w:rPr>
        <w:t>―</w:t>
      </w:r>
      <w:r>
        <w:rPr>
          <w:rFonts w:hint="eastAsia"/>
        </w:rPr>
        <w:t>―</w:t>
      </w:r>
      <w:r>
        <w:rPr>
          <w:rFonts w:hint="eastAsia"/>
        </w:rPr>
        <w:t>L</w:t>
      </w:r>
      <w:r>
        <w:t xml:space="preserve">atema </w:t>
      </w:r>
      <w:r>
        <w:rPr>
          <w:rFonts w:hint="eastAsia"/>
        </w:rPr>
        <w:t>M</w:t>
      </w:r>
      <w:r>
        <w:t>agika</w:t>
      </w:r>
      <w:r>
        <w:rPr>
          <w:rFonts w:hint="eastAsia"/>
          <w:spacing w:val="-50"/>
        </w:rPr>
        <w:t>―</w:t>
      </w:r>
      <w:r>
        <w:rPr>
          <w:rFonts w:hint="eastAsia"/>
        </w:rPr>
        <w:t>―是一个在财务上自给自足的剧团</w:t>
      </w:r>
      <w:r>
        <w:rPr>
          <w:rFonts w:hint="eastAsia"/>
        </w:rPr>
        <w:t>)</w:t>
      </w:r>
      <w:r>
        <w:rPr>
          <w:rFonts w:hint="eastAsia"/>
        </w:rPr>
        <w:t>；</w:t>
      </w:r>
    </w:p>
    <w:p w:rsidR="00000000" w:rsidRDefault="00000000">
      <w:pPr>
        <w:pStyle w:val="a6"/>
        <w:tabs>
          <w:tab w:val="num" w:pos="1550"/>
        </w:tabs>
        <w:ind w:left="1550"/>
        <w:rPr>
          <w:rFonts w:hint="eastAsia"/>
        </w:rPr>
      </w:pPr>
      <w:r>
        <w:rPr>
          <w:rFonts w:hint="eastAsia"/>
        </w:rPr>
        <w:t>高等院校设立的注种艺术探索的剧团，这些剧团培养年青专业人员</w:t>
      </w:r>
      <w:r>
        <w:rPr>
          <w:rFonts w:hint="eastAsia"/>
        </w:rPr>
        <w:t>(</w:t>
      </w:r>
      <w:r>
        <w:rPr>
          <w:rFonts w:hint="eastAsia"/>
        </w:rPr>
        <w:t>共有</w:t>
      </w:r>
      <w:r>
        <w:rPr>
          <w:rFonts w:hint="eastAsia"/>
        </w:rPr>
        <w:t>3</w:t>
      </w:r>
      <w:r>
        <w:rPr>
          <w:rFonts w:hint="eastAsia"/>
        </w:rPr>
        <w:t>个向公众开放的剧场</w:t>
      </w:r>
      <w:r>
        <w:rPr>
          <w:rFonts w:hint="eastAsia"/>
        </w:rPr>
        <w:t>)</w:t>
      </w:r>
      <w:r>
        <w:rPr>
          <w:rFonts w:hint="eastAsia"/>
        </w:rPr>
        <w:t>；这些剧团由国家预算供资，享受艺术学校专项补贴；</w:t>
      </w:r>
    </w:p>
    <w:p w:rsidR="00000000" w:rsidRDefault="00000000">
      <w:pPr>
        <w:pStyle w:val="a6"/>
        <w:tabs>
          <w:tab w:val="num" w:pos="1550"/>
        </w:tabs>
        <w:ind w:left="1550"/>
        <w:rPr>
          <w:rFonts w:hint="eastAsia"/>
        </w:rPr>
      </w:pPr>
      <w:r>
        <w:rPr>
          <w:rFonts w:hint="eastAsia"/>
        </w:rPr>
        <w:t>由其他政府管理机构即一般城市和自治市建立和供资的剧团，这些剧团为保留剧目轮演剧团，有自已的演出公司</w:t>
      </w:r>
      <w:r>
        <w:rPr>
          <w:rFonts w:hint="eastAsia"/>
        </w:rPr>
        <w:t>(</w:t>
      </w:r>
      <w:r>
        <w:rPr>
          <w:rFonts w:hint="eastAsia"/>
        </w:rPr>
        <w:t>目前共有</w:t>
      </w:r>
      <w:r>
        <w:rPr>
          <w:rFonts w:hint="eastAsia"/>
        </w:rPr>
        <w:t>40</w:t>
      </w:r>
      <w:r>
        <w:rPr>
          <w:rFonts w:hint="eastAsia"/>
        </w:rPr>
        <w:t>个</w:t>
      </w:r>
      <w:r>
        <w:rPr>
          <w:rFonts w:hint="eastAsia"/>
        </w:rPr>
        <w:t>)</w:t>
      </w:r>
      <w:r>
        <w:rPr>
          <w:rFonts w:hint="eastAsia"/>
        </w:rPr>
        <w:t>，以及由一般城市建立并供资的剧团，后者没有自己的演出公司；</w:t>
      </w:r>
    </w:p>
    <w:p w:rsidR="00000000" w:rsidRDefault="00000000">
      <w:pPr>
        <w:pStyle w:val="a6"/>
        <w:tabs>
          <w:tab w:val="num" w:pos="1550"/>
        </w:tabs>
        <w:ind w:left="1550"/>
        <w:rPr>
          <w:rFonts w:hint="eastAsia"/>
        </w:rPr>
      </w:pPr>
      <w:r>
        <w:rPr>
          <w:rFonts w:hint="eastAsia"/>
        </w:rPr>
        <w:t>由区级机构建立和供资的剧团</w:t>
      </w:r>
      <w:r>
        <w:rPr>
          <w:rFonts w:hint="eastAsia"/>
          <w:spacing w:val="-50"/>
        </w:rPr>
        <w:t>―</w:t>
      </w:r>
      <w:r>
        <w:rPr>
          <w:rFonts w:hint="eastAsia"/>
        </w:rPr>
        <w:t>―拥有自己的演出公司的保留剧目轮演剧团，共有</w:t>
      </w:r>
      <w:r>
        <w:rPr>
          <w:rFonts w:hint="eastAsia"/>
        </w:rPr>
        <w:t>3</w:t>
      </w:r>
      <w:r>
        <w:rPr>
          <w:rFonts w:hint="eastAsia"/>
        </w:rPr>
        <w:t>个；</w:t>
      </w:r>
    </w:p>
    <w:p w:rsidR="00000000" w:rsidRDefault="00000000">
      <w:pPr>
        <w:pStyle w:val="a6"/>
        <w:tabs>
          <w:tab w:val="num" w:pos="1550"/>
        </w:tabs>
        <w:ind w:left="1550"/>
        <w:rPr>
          <w:rFonts w:hint="eastAsia"/>
        </w:rPr>
      </w:pPr>
      <w:r>
        <w:rPr>
          <w:rFonts w:hint="eastAsia"/>
        </w:rPr>
        <w:t>独立剧团和剧社，经费来自赠款和各种渠道</w:t>
      </w:r>
      <w:r>
        <w:rPr>
          <w:rFonts w:hint="eastAsia"/>
        </w:rPr>
        <w:t>(</w:t>
      </w:r>
      <w:r>
        <w:rPr>
          <w:rFonts w:hint="eastAsia"/>
        </w:rPr>
        <w:t>国家、城市、</w:t>
      </w:r>
      <w:r>
        <w:rPr>
          <w:rFonts w:hint="eastAsia"/>
        </w:rPr>
        <w:t>(</w:t>
      </w:r>
      <w:r>
        <w:rPr>
          <w:rFonts w:hint="eastAsia"/>
        </w:rPr>
        <w:t>市</w:t>
      </w:r>
      <w:r>
        <w:rPr>
          <w:rFonts w:hint="eastAsia"/>
        </w:rPr>
        <w:t>)</w:t>
      </w:r>
      <w:r>
        <w:rPr>
          <w:rFonts w:hint="eastAsia"/>
        </w:rPr>
        <w:t>区、赞助者、基金会等</w:t>
      </w:r>
      <w:r>
        <w:rPr>
          <w:rFonts w:hint="eastAsia"/>
        </w:rPr>
        <w:t>)</w:t>
      </w:r>
      <w:r>
        <w:rPr>
          <w:rFonts w:hint="eastAsia"/>
        </w:rPr>
        <w:t>提供的其他资助；</w:t>
      </w:r>
    </w:p>
    <w:p w:rsidR="00000000" w:rsidRDefault="00000000">
      <w:pPr>
        <w:pStyle w:val="a6"/>
        <w:tabs>
          <w:tab w:val="num" w:pos="1550"/>
        </w:tabs>
        <w:ind w:left="1550"/>
        <w:rPr>
          <w:rFonts w:hint="eastAsia"/>
        </w:rPr>
      </w:pPr>
      <w:r>
        <w:rPr>
          <w:rFonts w:hint="eastAsia"/>
        </w:rPr>
        <w:t>并非由政府出资赞助的剧团和剧社</w:t>
      </w:r>
      <w:r>
        <w:rPr>
          <w:rFonts w:hint="eastAsia"/>
        </w:rPr>
        <w:t>(</w:t>
      </w:r>
      <w:r>
        <w:rPr>
          <w:rFonts w:hint="eastAsia"/>
        </w:rPr>
        <w:t>私人剧团、剧社等</w:t>
      </w:r>
      <w:r>
        <w:rPr>
          <w:rFonts w:hint="eastAsia"/>
        </w:rPr>
        <w:t>)</w:t>
      </w:r>
      <w:r>
        <w:rPr>
          <w:rFonts w:hint="eastAsia"/>
        </w:rPr>
        <w:t>。</w:t>
      </w:r>
    </w:p>
    <w:p w:rsidR="00000000" w:rsidRDefault="00000000">
      <w:pPr>
        <w:rPr>
          <w:rFonts w:hint="eastAsia"/>
        </w:rPr>
      </w:pPr>
      <w:r>
        <w:rPr>
          <w:rFonts w:hint="eastAsia"/>
        </w:rPr>
        <w:tab/>
        <w:t xml:space="preserve">678.  </w:t>
      </w:r>
      <w:r>
        <w:rPr>
          <w:rFonts w:hint="eastAsia"/>
        </w:rPr>
        <w:t>文化部建立了一个专业机构</w:t>
      </w:r>
      <w:r>
        <w:rPr>
          <w:rFonts w:hint="eastAsia"/>
          <w:spacing w:val="-50"/>
        </w:rPr>
        <w:t>―</w:t>
      </w:r>
      <w:r>
        <w:rPr>
          <w:rFonts w:hint="eastAsia"/>
        </w:rPr>
        <w:t>―戏剧研究所。这是一个戏剧专业研究中心，负责发表专门期刊和戏剧文献资料，建有专门的数据库，每</w:t>
      </w:r>
      <w:r>
        <w:rPr>
          <w:rFonts w:hint="eastAsia"/>
        </w:rPr>
        <w:t>4</w:t>
      </w:r>
      <w:r>
        <w:rPr>
          <w:rFonts w:hint="eastAsia"/>
        </w:rPr>
        <w:t>年在布拉格举办一次独特的国际舞台布景评论活动。</w:t>
      </w:r>
    </w:p>
    <w:p w:rsidR="00000000" w:rsidRDefault="00000000">
      <w:pPr>
        <w:rPr>
          <w:rFonts w:hint="eastAsia"/>
        </w:rPr>
      </w:pPr>
      <w:r>
        <w:rPr>
          <w:rFonts w:hint="eastAsia"/>
        </w:rPr>
        <w:tab/>
        <w:t xml:space="preserve">679.  </w:t>
      </w:r>
      <w:r>
        <w:rPr>
          <w:rFonts w:hint="eastAsia"/>
        </w:rPr>
        <w:t>捷克共和国邀请其他国家参加的最重要的戏剧节有：“边境地区戏剧节”，这项活动每年专门上演捷克、波兰和斯洛伐克的戏剧作品，在一个波兰和斯洛伐克族少数民族聚集地区举行；</w:t>
      </w:r>
      <w:r>
        <w:rPr>
          <w:rFonts w:hint="eastAsia"/>
        </w:rPr>
        <w:t>H</w:t>
      </w:r>
      <w:r>
        <w:t xml:space="preserve">radec </w:t>
      </w:r>
      <w:r>
        <w:rPr>
          <w:rFonts w:hint="eastAsia"/>
        </w:rPr>
        <w:t>K</w:t>
      </w:r>
      <w:r>
        <w:t>ralove</w:t>
      </w:r>
      <w:r>
        <w:rPr>
          <w:rFonts w:hint="eastAsia"/>
        </w:rPr>
        <w:t>的“欧洲地区戏剧节”以及“</w:t>
      </w:r>
      <w:r>
        <w:rPr>
          <w:rFonts w:hint="eastAsia"/>
        </w:rPr>
        <w:t>98</w:t>
      </w:r>
      <w:r>
        <w:rPr>
          <w:rFonts w:hint="eastAsia"/>
        </w:rPr>
        <w:t>戏剧节”。专门活动有“布拉格舞蹈节”</w:t>
      </w:r>
      <w:r>
        <w:rPr>
          <w:rFonts w:hint="eastAsia"/>
        </w:rPr>
        <w:t>(</w:t>
      </w:r>
      <w:r>
        <w:rPr>
          <w:rFonts w:hint="eastAsia"/>
        </w:rPr>
        <w:t>主要演出现代芭蕾舞和其他舞蹈，以及由专业木偶剧团参加的“</w:t>
      </w:r>
      <w:r>
        <w:rPr>
          <w:rFonts w:hint="eastAsia"/>
          <w:u w:val="single"/>
        </w:rPr>
        <w:t>S</w:t>
      </w:r>
      <w:r>
        <w:rPr>
          <w:u w:val="single"/>
        </w:rPr>
        <w:t xml:space="preserve">pectaculo </w:t>
      </w:r>
      <w:r>
        <w:rPr>
          <w:rFonts w:hint="eastAsia"/>
          <w:u w:val="single"/>
        </w:rPr>
        <w:t>I</w:t>
      </w:r>
      <w:r>
        <w:rPr>
          <w:u w:val="single"/>
        </w:rPr>
        <w:t>nteresse</w:t>
      </w:r>
      <w:r>
        <w:rPr>
          <w:rFonts w:hint="eastAsia"/>
        </w:rPr>
        <w:t>”等。</w:t>
      </w:r>
    </w:p>
    <w:p w:rsidR="00000000" w:rsidRDefault="00000000">
      <w:pPr>
        <w:spacing w:after="320"/>
        <w:rPr>
          <w:rFonts w:hint="eastAsia"/>
        </w:rPr>
      </w:pPr>
      <w:r>
        <w:rPr>
          <w:rFonts w:hint="eastAsia"/>
        </w:rPr>
        <w:tab/>
        <w:t xml:space="preserve">680.  </w:t>
      </w:r>
      <w:r>
        <w:rPr>
          <w:rFonts w:hint="eastAsia"/>
          <w:u w:val="single"/>
        </w:rPr>
        <w:t>音乐</w:t>
      </w:r>
      <w:r>
        <w:rPr>
          <w:rFonts w:hint="eastAsia"/>
        </w:rPr>
        <w:t>。捷克共和国共有</w:t>
      </w:r>
      <w:r>
        <w:rPr>
          <w:rFonts w:hint="eastAsia"/>
        </w:rPr>
        <w:t>16</w:t>
      </w:r>
      <w:r>
        <w:rPr>
          <w:rFonts w:hint="eastAsia"/>
        </w:rPr>
        <w:t>个常设专业交响乐团，其中，</w:t>
      </w:r>
      <w:r>
        <w:rPr>
          <w:rFonts w:hint="eastAsia"/>
        </w:rPr>
        <w:t>2</w:t>
      </w:r>
      <w:r>
        <w:rPr>
          <w:rFonts w:hint="eastAsia"/>
        </w:rPr>
        <w:t>个由文化部建立和供资，</w:t>
      </w:r>
      <w:r>
        <w:rPr>
          <w:rFonts w:hint="eastAsia"/>
        </w:rPr>
        <w:t>3</w:t>
      </w:r>
      <w:r>
        <w:rPr>
          <w:rFonts w:hint="eastAsia"/>
        </w:rPr>
        <w:t>个由私人法律实体按照企业运作方式建立</w:t>
      </w:r>
      <w:r>
        <w:rPr>
          <w:rFonts w:hint="eastAsia"/>
        </w:rPr>
        <w:t>(</w:t>
      </w:r>
      <w:r>
        <w:rPr>
          <w:rFonts w:hint="eastAsia"/>
        </w:rPr>
        <w:t>其中两个获得相当多的国家赞助</w:t>
      </w:r>
      <w:r>
        <w:rPr>
          <w:rFonts w:hint="eastAsia"/>
        </w:rPr>
        <w:t>)</w:t>
      </w:r>
      <w:r>
        <w:rPr>
          <w:rFonts w:hint="eastAsia"/>
        </w:rPr>
        <w:t>，</w:t>
      </w:r>
      <w:r>
        <w:rPr>
          <w:rFonts w:hint="eastAsia"/>
        </w:rPr>
        <w:t>1</w:t>
      </w:r>
      <w:r>
        <w:rPr>
          <w:rFonts w:hint="eastAsia"/>
        </w:rPr>
        <w:t>个隶属捷克广播电台，</w:t>
      </w:r>
      <w:r>
        <w:rPr>
          <w:rFonts w:hint="eastAsia"/>
        </w:rPr>
        <w:t>11</w:t>
      </w:r>
      <w:r>
        <w:rPr>
          <w:rFonts w:hint="eastAsia"/>
        </w:rPr>
        <w:t>个为市立乐团。此外，捷克共和国还有一些室内乐团，这些乐团不享受国家或政府的直接资助，但国家或政府通过向音乐会和音乐节组织者提供补贴，间接地向乐团提供资助。到</w:t>
      </w:r>
      <w:r>
        <w:rPr>
          <w:rFonts w:hint="eastAsia"/>
        </w:rPr>
        <w:t>1999</w:t>
      </w:r>
      <w:r>
        <w:rPr>
          <w:rFonts w:hint="eastAsia"/>
        </w:rPr>
        <w:t>年</w:t>
      </w:r>
      <w:r>
        <w:rPr>
          <w:rFonts w:hint="eastAsia"/>
        </w:rPr>
        <w:t>12</w:t>
      </w:r>
      <w:r>
        <w:rPr>
          <w:rFonts w:hint="eastAsia"/>
        </w:rPr>
        <w:t>月</w:t>
      </w:r>
      <w:r>
        <w:rPr>
          <w:rFonts w:hint="eastAsia"/>
        </w:rPr>
        <w:t>31</w:t>
      </w:r>
      <w:r>
        <w:rPr>
          <w:rFonts w:hint="eastAsia"/>
        </w:rPr>
        <w:t>日为止，文化部还是“布拉格之春国际音乐节”这一享受补贴的组织的创办者，该组织以“布拉格之春国际音乐节”这一名称举办国际音乐节。</w:t>
      </w:r>
    </w:p>
    <w:p w:rsidR="00000000" w:rsidRDefault="00000000">
      <w:pPr>
        <w:pStyle w:val="Heading4"/>
        <w:rPr>
          <w:rFonts w:hint="eastAsia"/>
        </w:rPr>
      </w:pPr>
      <w:r>
        <w:rPr>
          <w:rFonts w:hint="eastAsia"/>
        </w:rPr>
        <w:t>文化上的平等权利</w:t>
      </w:r>
    </w:p>
    <w:p w:rsidR="00000000" w:rsidRDefault="00000000">
      <w:pPr>
        <w:rPr>
          <w:rFonts w:hint="eastAsia"/>
        </w:rPr>
      </w:pPr>
      <w:r>
        <w:rPr>
          <w:rFonts w:hint="eastAsia"/>
        </w:rPr>
        <w:tab/>
        <w:t xml:space="preserve">681.  </w:t>
      </w:r>
      <w:r>
        <w:rPr>
          <w:rFonts w:hint="eastAsia"/>
        </w:rPr>
        <w:t>捷克共和国在进入文化机构方面不存在歧视现象。相反，某些人口群体享受着折扣待遇，这些群体有儿童和青少年、学生、老年人、有子女的家庭等。</w:t>
      </w:r>
    </w:p>
    <w:p w:rsidR="00000000" w:rsidRDefault="00000000">
      <w:pPr>
        <w:rPr>
          <w:rFonts w:hint="eastAsia"/>
        </w:rPr>
      </w:pPr>
      <w:r>
        <w:rPr>
          <w:rFonts w:hint="eastAsia"/>
        </w:rPr>
        <w:tab/>
        <w:t xml:space="preserve">682.  </w:t>
      </w:r>
      <w:r>
        <w:rPr>
          <w:rFonts w:hint="eastAsia"/>
        </w:rPr>
        <w:t>从传统上讲，捷克共和国有着一个开展非专业性艺术活动的良好环境，因为这些活动不仅发挥着一个总的文化教育和发展作用，而且还使人们能够更好地了解专业艺术</w:t>
      </w:r>
      <w:r>
        <w:rPr>
          <w:rFonts w:hint="eastAsia"/>
        </w:rPr>
        <w:t>(</w:t>
      </w:r>
      <w:r>
        <w:rPr>
          <w:rFonts w:hint="eastAsia"/>
        </w:rPr>
        <w:t>使人们成为有观赏力的观众或听众</w:t>
      </w:r>
      <w:r>
        <w:rPr>
          <w:rFonts w:hint="eastAsia"/>
        </w:rPr>
        <w:t>)</w:t>
      </w:r>
      <w:r>
        <w:rPr>
          <w:rFonts w:hint="eastAsia"/>
        </w:rPr>
        <w:t>。同时，这些活动还在将人们融入当地社会方面发挥着重要作用，属于一种很有意义的闲暇活动，而且还能在防止人们的有害社会的行为，特别是青少年和儿童的此类行为方面发挥重要作用。</w:t>
      </w:r>
    </w:p>
    <w:p w:rsidR="00000000" w:rsidRDefault="00000000">
      <w:pPr>
        <w:rPr>
          <w:rFonts w:hint="eastAsia"/>
        </w:rPr>
      </w:pPr>
      <w:r>
        <w:rPr>
          <w:rFonts w:hint="eastAsia"/>
        </w:rPr>
        <w:tab/>
        <w:t xml:space="preserve">683.  </w:t>
      </w:r>
      <w:r>
        <w:rPr>
          <w:rFonts w:hint="eastAsia"/>
        </w:rPr>
        <w:t>对非专业活动的支持，主要通过一般城市和自治市的自治机构宣布举办各种比赛来提供，或通过这些机构设立的常设文化机构</w:t>
      </w:r>
      <w:r>
        <w:rPr>
          <w:rFonts w:hint="eastAsia"/>
        </w:rPr>
        <w:t>(</w:t>
      </w:r>
      <w:r>
        <w:rPr>
          <w:rFonts w:hint="eastAsia"/>
        </w:rPr>
        <w:t>例如地方文化馆和中心、市图书馆、初级艺术学校等</w:t>
      </w:r>
      <w:r>
        <w:rPr>
          <w:rFonts w:hint="eastAsia"/>
        </w:rPr>
        <w:t>)</w:t>
      </w:r>
      <w:r>
        <w:rPr>
          <w:rFonts w:hint="eastAsia"/>
        </w:rPr>
        <w:t>来提供。</w:t>
      </w:r>
    </w:p>
    <w:p w:rsidR="00000000" w:rsidRDefault="00000000">
      <w:pPr>
        <w:rPr>
          <w:rFonts w:hint="eastAsia"/>
        </w:rPr>
      </w:pPr>
      <w:r>
        <w:rPr>
          <w:rFonts w:hint="eastAsia"/>
        </w:rPr>
        <w:tab/>
        <w:t xml:space="preserve">684.  </w:t>
      </w:r>
      <w:r>
        <w:rPr>
          <w:rFonts w:hint="eastAsia"/>
        </w:rPr>
        <w:t>文化部的预算主要向非专业艺术团体和个人的全国汇报演出和比赛提供资助，该部每年出资举办一次比赛，以便为活动组织者提供支持。</w:t>
      </w:r>
      <w:r>
        <w:rPr>
          <w:rFonts w:hint="eastAsia"/>
        </w:rPr>
        <w:t>1997</w:t>
      </w:r>
      <w:r>
        <w:rPr>
          <w:rFonts w:hint="eastAsia"/>
        </w:rPr>
        <w:t>年，文化部用于这些活动</w:t>
      </w:r>
      <w:r>
        <w:rPr>
          <w:rFonts w:hint="eastAsia"/>
        </w:rPr>
        <w:t>(</w:t>
      </w:r>
      <w:r>
        <w:rPr>
          <w:rFonts w:hint="eastAsia"/>
        </w:rPr>
        <w:t>包括汇报演出和民俗节</w:t>
      </w:r>
      <w:r>
        <w:rPr>
          <w:rFonts w:hint="eastAsia"/>
        </w:rPr>
        <w:t>)</w:t>
      </w:r>
      <w:r>
        <w:rPr>
          <w:rFonts w:hint="eastAsia"/>
        </w:rPr>
        <w:t>的开支为</w:t>
      </w:r>
      <w:r>
        <w:rPr>
          <w:rFonts w:hint="eastAsia"/>
        </w:rPr>
        <w:t>5,347,000</w:t>
      </w:r>
      <w:r>
        <w:rPr>
          <w:rFonts w:hint="eastAsia"/>
        </w:rPr>
        <w:t>克朗，</w:t>
      </w:r>
      <w:r>
        <w:rPr>
          <w:rFonts w:hint="eastAsia"/>
        </w:rPr>
        <w:t>1998</w:t>
      </w:r>
      <w:r>
        <w:rPr>
          <w:rFonts w:hint="eastAsia"/>
        </w:rPr>
        <w:t>年，这一开支为</w:t>
      </w:r>
      <w:r>
        <w:rPr>
          <w:rFonts w:hint="eastAsia"/>
        </w:rPr>
        <w:t>5,638,000</w:t>
      </w:r>
      <w:r>
        <w:rPr>
          <w:rFonts w:hint="eastAsia"/>
        </w:rPr>
        <w:t>克朗</w:t>
      </w:r>
      <w:r>
        <w:rPr>
          <w:rFonts w:hint="eastAsia"/>
        </w:rPr>
        <w:t xml:space="preserve"> </w:t>
      </w:r>
      <w:r>
        <w:rPr>
          <w:rStyle w:val="EndnoteReference"/>
        </w:rPr>
        <w:endnoteReference w:id="401"/>
      </w:r>
      <w:r>
        <w:rPr>
          <w:rFonts w:hint="eastAsia"/>
        </w:rPr>
        <w:t>。</w:t>
      </w:r>
    </w:p>
    <w:p w:rsidR="00000000" w:rsidRDefault="00000000">
      <w:pPr>
        <w:spacing w:after="320"/>
        <w:rPr>
          <w:rFonts w:hint="eastAsia"/>
        </w:rPr>
      </w:pPr>
      <w:r>
        <w:rPr>
          <w:rFonts w:hint="eastAsia"/>
        </w:rPr>
        <w:tab/>
        <w:t xml:space="preserve">685.  </w:t>
      </w:r>
      <w:r>
        <w:rPr>
          <w:rFonts w:hint="eastAsia"/>
        </w:rPr>
        <w:t>此外，文化部还建立了一个享受补贴的专门组织</w:t>
      </w:r>
      <w:r>
        <w:rPr>
          <w:rFonts w:hint="eastAsia"/>
          <w:spacing w:val="-50"/>
        </w:rPr>
        <w:t>―</w:t>
      </w:r>
      <w:r>
        <w:rPr>
          <w:rFonts w:hint="eastAsia"/>
        </w:rPr>
        <w:t>―地方文化信息和咨询中心。该中心在方法上和组织上向文化活动组织者提供帮助，还向其中的一些组织者提供资助。</w:t>
      </w:r>
    </w:p>
    <w:p w:rsidR="00000000" w:rsidRDefault="00000000">
      <w:pPr>
        <w:pStyle w:val="Heading3"/>
        <w:rPr>
          <w:rFonts w:hint="eastAsia"/>
        </w:rPr>
      </w:pPr>
      <w:r>
        <w:rPr>
          <w:rFonts w:hint="eastAsia"/>
        </w:rPr>
        <w:t>文化设施</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58"/>
        <w:gridCol w:w="1107"/>
        <w:gridCol w:w="1107"/>
        <w:gridCol w:w="1109"/>
        <w:gridCol w:w="1107"/>
        <w:gridCol w:w="1107"/>
      </w:tblGrid>
      <w:tr w:rsidR="00000000">
        <w:tblPrEx>
          <w:tblCellMar>
            <w:top w:w="0" w:type="dxa"/>
            <w:bottom w:w="0" w:type="dxa"/>
          </w:tblCellMar>
        </w:tblPrEx>
        <w:trPr>
          <w:trHeight w:val="20"/>
          <w:tblHeader/>
        </w:trPr>
        <w:tc>
          <w:tcPr>
            <w:tcW w:w="2084" w:type="pct"/>
            <w:tcBorders>
              <w:top w:val="single" w:sz="4" w:space="0" w:color="auto"/>
              <w:bottom w:val="single" w:sz="4" w:space="0" w:color="auto"/>
            </w:tcBorders>
          </w:tcPr>
          <w:p w:rsidR="00000000" w:rsidRDefault="00000000">
            <w:pPr>
              <w:pStyle w:val="aa"/>
              <w:jc w:val="center"/>
            </w:pPr>
          </w:p>
        </w:tc>
        <w:tc>
          <w:tcPr>
            <w:tcW w:w="583" w:type="pct"/>
            <w:tcBorders>
              <w:top w:val="single" w:sz="4" w:space="0" w:color="auto"/>
              <w:bottom w:val="single" w:sz="4" w:space="0" w:color="auto"/>
            </w:tcBorders>
          </w:tcPr>
          <w:p w:rsidR="00000000" w:rsidRDefault="00000000">
            <w:pPr>
              <w:pStyle w:val="aa"/>
              <w:jc w:val="center"/>
              <w:rPr>
                <w:rFonts w:hint="eastAsia"/>
              </w:rPr>
            </w:pPr>
            <w:r>
              <w:t>1994</w:t>
            </w:r>
            <w:r>
              <w:rPr>
                <w:rFonts w:hint="eastAsia"/>
              </w:rPr>
              <w:t>年</w:t>
            </w:r>
          </w:p>
        </w:tc>
        <w:tc>
          <w:tcPr>
            <w:tcW w:w="583" w:type="pct"/>
            <w:tcBorders>
              <w:top w:val="single" w:sz="4" w:space="0" w:color="auto"/>
              <w:bottom w:val="single" w:sz="4" w:space="0" w:color="auto"/>
            </w:tcBorders>
          </w:tcPr>
          <w:p w:rsidR="00000000" w:rsidRDefault="00000000">
            <w:pPr>
              <w:pStyle w:val="aa"/>
              <w:jc w:val="center"/>
              <w:rPr>
                <w:rFonts w:hint="eastAsia"/>
              </w:rPr>
            </w:pPr>
            <w:r>
              <w:t>1995</w:t>
            </w:r>
            <w:r>
              <w:rPr>
                <w:rFonts w:hint="eastAsia"/>
              </w:rPr>
              <w:t>年</w:t>
            </w:r>
          </w:p>
        </w:tc>
        <w:tc>
          <w:tcPr>
            <w:tcW w:w="584" w:type="pct"/>
            <w:tcBorders>
              <w:top w:val="single" w:sz="4" w:space="0" w:color="auto"/>
              <w:bottom w:val="single" w:sz="4" w:space="0" w:color="auto"/>
            </w:tcBorders>
          </w:tcPr>
          <w:p w:rsidR="00000000" w:rsidRDefault="00000000">
            <w:pPr>
              <w:pStyle w:val="aa"/>
              <w:jc w:val="center"/>
              <w:rPr>
                <w:rFonts w:hint="eastAsia"/>
              </w:rPr>
            </w:pPr>
            <w:r>
              <w:t>1996</w:t>
            </w:r>
            <w:r>
              <w:rPr>
                <w:rFonts w:hint="eastAsia"/>
              </w:rPr>
              <w:t>年</w:t>
            </w:r>
          </w:p>
        </w:tc>
        <w:tc>
          <w:tcPr>
            <w:tcW w:w="583" w:type="pct"/>
            <w:tcBorders>
              <w:top w:val="single" w:sz="4" w:space="0" w:color="auto"/>
              <w:bottom w:val="single" w:sz="4" w:space="0" w:color="auto"/>
            </w:tcBorders>
          </w:tcPr>
          <w:p w:rsidR="00000000" w:rsidRDefault="00000000">
            <w:pPr>
              <w:pStyle w:val="aa"/>
              <w:jc w:val="center"/>
              <w:rPr>
                <w:rFonts w:hint="eastAsia"/>
              </w:rPr>
            </w:pPr>
            <w:r>
              <w:t>1997</w:t>
            </w:r>
            <w:r>
              <w:rPr>
                <w:rFonts w:hint="eastAsia"/>
              </w:rPr>
              <w:t>年</w:t>
            </w:r>
          </w:p>
        </w:tc>
        <w:tc>
          <w:tcPr>
            <w:tcW w:w="583" w:type="pct"/>
            <w:tcBorders>
              <w:top w:val="single" w:sz="4" w:space="0" w:color="auto"/>
              <w:bottom w:val="single" w:sz="4" w:space="0" w:color="auto"/>
            </w:tcBorders>
          </w:tcPr>
          <w:p w:rsidR="00000000" w:rsidRDefault="00000000">
            <w:pPr>
              <w:pStyle w:val="aa"/>
              <w:jc w:val="center"/>
              <w:rPr>
                <w:rFonts w:hint="eastAsia"/>
              </w:rPr>
            </w:pPr>
            <w:r>
              <w:t>1998</w:t>
            </w:r>
            <w:r>
              <w:rPr>
                <w:rFonts w:hint="eastAsia"/>
              </w:rPr>
              <w:t>年</w:t>
            </w:r>
          </w:p>
        </w:tc>
      </w:tr>
      <w:tr w:rsidR="00000000">
        <w:tblPrEx>
          <w:tblCellMar>
            <w:top w:w="0" w:type="dxa"/>
            <w:bottom w:w="0" w:type="dxa"/>
          </w:tblCellMar>
        </w:tblPrEx>
        <w:trPr>
          <w:trHeight w:val="20"/>
        </w:trPr>
        <w:tc>
          <w:tcPr>
            <w:tcW w:w="2084" w:type="pct"/>
            <w:tcBorders>
              <w:top w:val="single" w:sz="4" w:space="0" w:color="auto"/>
            </w:tcBorders>
          </w:tcPr>
          <w:p w:rsidR="00000000" w:rsidRDefault="00000000">
            <w:pPr>
              <w:pStyle w:val="aa"/>
              <w:rPr>
                <w:rFonts w:hint="eastAsia"/>
              </w:rPr>
            </w:pPr>
            <w:r>
              <w:rPr>
                <w:rFonts w:hint="eastAsia"/>
              </w:rPr>
              <w:t>剧</w:t>
            </w:r>
            <w:r>
              <w:t xml:space="preserve"> </w:t>
            </w:r>
            <w:r>
              <w:rPr>
                <w:rFonts w:hint="eastAsia"/>
              </w:rPr>
              <w:t xml:space="preserve"> </w:t>
            </w:r>
            <w:r>
              <w:rPr>
                <w:rFonts w:hint="eastAsia"/>
              </w:rPr>
              <w:t>团</w:t>
            </w:r>
          </w:p>
        </w:tc>
        <w:tc>
          <w:tcPr>
            <w:tcW w:w="583" w:type="pct"/>
            <w:tcBorders>
              <w:top w:val="single" w:sz="4" w:space="0" w:color="auto"/>
            </w:tcBorders>
          </w:tcPr>
          <w:p w:rsidR="00000000" w:rsidRDefault="00000000">
            <w:pPr>
              <w:pStyle w:val="aa"/>
              <w:ind w:right="113"/>
              <w:jc w:val="right"/>
            </w:pPr>
            <w:r>
              <w:t>83</w:t>
            </w:r>
          </w:p>
        </w:tc>
        <w:tc>
          <w:tcPr>
            <w:tcW w:w="583" w:type="pct"/>
            <w:tcBorders>
              <w:top w:val="single" w:sz="4" w:space="0" w:color="auto"/>
            </w:tcBorders>
          </w:tcPr>
          <w:p w:rsidR="00000000" w:rsidRDefault="00000000">
            <w:pPr>
              <w:pStyle w:val="aa"/>
              <w:ind w:right="113"/>
              <w:jc w:val="right"/>
            </w:pPr>
            <w:r>
              <w:t>99</w:t>
            </w:r>
          </w:p>
        </w:tc>
        <w:tc>
          <w:tcPr>
            <w:tcW w:w="584" w:type="pct"/>
            <w:tcBorders>
              <w:top w:val="single" w:sz="4" w:space="0" w:color="auto"/>
            </w:tcBorders>
          </w:tcPr>
          <w:p w:rsidR="00000000" w:rsidRDefault="00000000">
            <w:pPr>
              <w:pStyle w:val="aa"/>
              <w:ind w:right="113"/>
              <w:jc w:val="right"/>
            </w:pPr>
            <w:r>
              <w:t>104</w:t>
            </w:r>
          </w:p>
        </w:tc>
        <w:tc>
          <w:tcPr>
            <w:tcW w:w="583" w:type="pct"/>
            <w:tcBorders>
              <w:top w:val="single" w:sz="4" w:space="0" w:color="auto"/>
            </w:tcBorders>
          </w:tcPr>
          <w:p w:rsidR="00000000" w:rsidRDefault="00000000">
            <w:pPr>
              <w:pStyle w:val="aa"/>
              <w:ind w:right="113"/>
              <w:jc w:val="right"/>
            </w:pPr>
            <w:r>
              <w:t>109</w:t>
            </w:r>
          </w:p>
        </w:tc>
        <w:tc>
          <w:tcPr>
            <w:tcW w:w="583" w:type="pct"/>
            <w:tcBorders>
              <w:top w:val="single" w:sz="4" w:space="0" w:color="auto"/>
            </w:tcBorders>
          </w:tcPr>
          <w:p w:rsidR="00000000" w:rsidRDefault="00000000">
            <w:pPr>
              <w:pStyle w:val="aa"/>
              <w:ind w:right="113"/>
              <w:jc w:val="right"/>
            </w:pPr>
            <w:r>
              <w:t>99</w:t>
            </w:r>
          </w:p>
        </w:tc>
      </w:tr>
      <w:tr w:rsidR="00000000">
        <w:tblPrEx>
          <w:tblCellMar>
            <w:top w:w="0" w:type="dxa"/>
            <w:bottom w:w="0" w:type="dxa"/>
          </w:tblCellMar>
        </w:tblPrEx>
        <w:trPr>
          <w:trHeight w:val="20"/>
        </w:trPr>
        <w:tc>
          <w:tcPr>
            <w:tcW w:w="2084" w:type="pct"/>
          </w:tcPr>
          <w:p w:rsidR="00000000" w:rsidRDefault="00000000">
            <w:pPr>
              <w:pStyle w:val="aa"/>
            </w:pPr>
            <w:r>
              <w:rPr>
                <w:rFonts w:hint="eastAsia"/>
              </w:rPr>
              <w:t>常设国立剧团</w:t>
            </w:r>
          </w:p>
        </w:tc>
        <w:tc>
          <w:tcPr>
            <w:tcW w:w="583" w:type="pct"/>
          </w:tcPr>
          <w:p w:rsidR="00000000" w:rsidRDefault="00000000">
            <w:pPr>
              <w:pStyle w:val="aa"/>
              <w:ind w:right="113"/>
              <w:jc w:val="right"/>
            </w:pPr>
            <w:r>
              <w:t>83</w:t>
            </w:r>
          </w:p>
        </w:tc>
        <w:tc>
          <w:tcPr>
            <w:tcW w:w="583" w:type="pct"/>
          </w:tcPr>
          <w:p w:rsidR="00000000" w:rsidRDefault="00000000">
            <w:pPr>
              <w:pStyle w:val="aa"/>
              <w:ind w:right="113"/>
              <w:jc w:val="right"/>
            </w:pPr>
            <w:r>
              <w:t>81</w:t>
            </w:r>
          </w:p>
        </w:tc>
        <w:tc>
          <w:tcPr>
            <w:tcW w:w="584" w:type="pct"/>
          </w:tcPr>
          <w:p w:rsidR="00000000" w:rsidRDefault="00000000">
            <w:pPr>
              <w:pStyle w:val="aa"/>
              <w:ind w:right="113"/>
              <w:jc w:val="right"/>
            </w:pPr>
            <w:r>
              <w:t>81</w:t>
            </w:r>
          </w:p>
        </w:tc>
        <w:tc>
          <w:tcPr>
            <w:tcW w:w="583" w:type="pct"/>
          </w:tcPr>
          <w:p w:rsidR="00000000" w:rsidRDefault="00000000">
            <w:pPr>
              <w:pStyle w:val="aa"/>
              <w:ind w:right="113"/>
              <w:jc w:val="right"/>
            </w:pPr>
            <w:r>
              <w:t>89</w:t>
            </w:r>
          </w:p>
        </w:tc>
        <w:tc>
          <w:tcPr>
            <w:tcW w:w="583" w:type="pct"/>
          </w:tcPr>
          <w:p w:rsidR="00000000" w:rsidRDefault="00000000">
            <w:pPr>
              <w:pStyle w:val="aa"/>
              <w:ind w:right="113"/>
              <w:jc w:val="right"/>
            </w:pPr>
            <w:r>
              <w:t>80</w:t>
            </w:r>
          </w:p>
        </w:tc>
      </w:tr>
      <w:tr w:rsidR="00000000">
        <w:tblPrEx>
          <w:tblCellMar>
            <w:top w:w="0" w:type="dxa"/>
            <w:bottom w:w="0" w:type="dxa"/>
          </w:tblCellMar>
        </w:tblPrEx>
        <w:trPr>
          <w:trHeight w:val="20"/>
        </w:trPr>
        <w:tc>
          <w:tcPr>
            <w:tcW w:w="2084" w:type="pct"/>
          </w:tcPr>
          <w:p w:rsidR="00000000" w:rsidRDefault="00000000">
            <w:pPr>
              <w:pStyle w:val="aa"/>
              <w:rPr>
                <w:rFonts w:hint="eastAsia"/>
              </w:rPr>
            </w:pPr>
            <w:r>
              <w:rPr>
                <w:rFonts w:hint="eastAsia"/>
              </w:rPr>
              <w:t>常设非国立剧团</w:t>
            </w:r>
          </w:p>
        </w:tc>
        <w:tc>
          <w:tcPr>
            <w:tcW w:w="583" w:type="pct"/>
          </w:tcPr>
          <w:p w:rsidR="00000000" w:rsidRDefault="00000000">
            <w:pPr>
              <w:pStyle w:val="aa"/>
              <w:ind w:right="113"/>
              <w:jc w:val="right"/>
            </w:pPr>
            <w:r>
              <w:t>-</w:t>
            </w:r>
          </w:p>
        </w:tc>
        <w:tc>
          <w:tcPr>
            <w:tcW w:w="583" w:type="pct"/>
          </w:tcPr>
          <w:p w:rsidR="00000000" w:rsidRDefault="00000000">
            <w:pPr>
              <w:pStyle w:val="aa"/>
              <w:ind w:right="113"/>
              <w:jc w:val="right"/>
            </w:pPr>
            <w:r>
              <w:t>18</w:t>
            </w:r>
          </w:p>
        </w:tc>
        <w:tc>
          <w:tcPr>
            <w:tcW w:w="584" w:type="pct"/>
          </w:tcPr>
          <w:p w:rsidR="00000000" w:rsidRDefault="00000000">
            <w:pPr>
              <w:pStyle w:val="aa"/>
              <w:ind w:right="113"/>
              <w:jc w:val="right"/>
            </w:pPr>
            <w:r>
              <w:t>23</w:t>
            </w:r>
          </w:p>
        </w:tc>
        <w:tc>
          <w:tcPr>
            <w:tcW w:w="583" w:type="pct"/>
          </w:tcPr>
          <w:p w:rsidR="00000000" w:rsidRDefault="00000000">
            <w:pPr>
              <w:pStyle w:val="aa"/>
              <w:ind w:right="113"/>
              <w:jc w:val="right"/>
            </w:pPr>
            <w:r>
              <w:t>20</w:t>
            </w:r>
          </w:p>
        </w:tc>
        <w:tc>
          <w:tcPr>
            <w:tcW w:w="583" w:type="pct"/>
          </w:tcPr>
          <w:p w:rsidR="00000000" w:rsidRDefault="00000000">
            <w:pPr>
              <w:pStyle w:val="aa"/>
              <w:ind w:right="113"/>
              <w:jc w:val="right"/>
            </w:pPr>
            <w:r>
              <w:t>19</w:t>
            </w:r>
          </w:p>
        </w:tc>
      </w:tr>
      <w:tr w:rsidR="00000000">
        <w:tblPrEx>
          <w:tblCellMar>
            <w:top w:w="0" w:type="dxa"/>
            <w:bottom w:w="0" w:type="dxa"/>
          </w:tblCellMar>
        </w:tblPrEx>
        <w:trPr>
          <w:trHeight w:val="20"/>
        </w:trPr>
        <w:tc>
          <w:tcPr>
            <w:tcW w:w="2084" w:type="pct"/>
          </w:tcPr>
          <w:p w:rsidR="00000000" w:rsidRDefault="00000000">
            <w:pPr>
              <w:pStyle w:val="aa"/>
              <w:rPr>
                <w:rFonts w:hint="eastAsia"/>
              </w:rPr>
            </w:pPr>
            <w:r>
              <w:rPr>
                <w:rFonts w:hint="eastAsia"/>
              </w:rPr>
              <w:t>观众总人次</w:t>
            </w:r>
            <w:r>
              <w:rPr>
                <w:rFonts w:hint="eastAsia"/>
              </w:rPr>
              <w:t>(</w:t>
            </w:r>
            <w:r>
              <w:rPr>
                <w:rFonts w:hint="eastAsia"/>
              </w:rPr>
              <w:t>千人</w:t>
            </w:r>
            <w:r>
              <w:rPr>
                <w:rFonts w:hint="eastAsia"/>
              </w:rPr>
              <w:t>)</w:t>
            </w:r>
          </w:p>
        </w:tc>
        <w:tc>
          <w:tcPr>
            <w:tcW w:w="583" w:type="pct"/>
          </w:tcPr>
          <w:p w:rsidR="00000000" w:rsidRDefault="00000000">
            <w:pPr>
              <w:pStyle w:val="aa"/>
              <w:ind w:right="113"/>
              <w:jc w:val="right"/>
            </w:pPr>
            <w:r>
              <w:t>4,431</w:t>
            </w:r>
          </w:p>
        </w:tc>
        <w:tc>
          <w:tcPr>
            <w:tcW w:w="583" w:type="pct"/>
          </w:tcPr>
          <w:p w:rsidR="00000000" w:rsidRDefault="00000000">
            <w:pPr>
              <w:pStyle w:val="aa"/>
              <w:ind w:right="113"/>
              <w:jc w:val="right"/>
            </w:pPr>
            <w:r>
              <w:t>5,247</w:t>
            </w:r>
          </w:p>
        </w:tc>
        <w:tc>
          <w:tcPr>
            <w:tcW w:w="584" w:type="pct"/>
          </w:tcPr>
          <w:p w:rsidR="00000000" w:rsidRDefault="00000000">
            <w:pPr>
              <w:pStyle w:val="aa"/>
              <w:ind w:right="113"/>
              <w:jc w:val="right"/>
            </w:pPr>
            <w:r>
              <w:t>6,019</w:t>
            </w:r>
          </w:p>
        </w:tc>
        <w:tc>
          <w:tcPr>
            <w:tcW w:w="583" w:type="pct"/>
          </w:tcPr>
          <w:p w:rsidR="00000000" w:rsidRDefault="00000000">
            <w:pPr>
              <w:pStyle w:val="aa"/>
              <w:ind w:right="113"/>
              <w:jc w:val="right"/>
            </w:pPr>
            <w:r>
              <w:t>5,957</w:t>
            </w:r>
          </w:p>
        </w:tc>
        <w:tc>
          <w:tcPr>
            <w:tcW w:w="583" w:type="pct"/>
          </w:tcPr>
          <w:p w:rsidR="00000000" w:rsidRDefault="00000000">
            <w:pPr>
              <w:pStyle w:val="aa"/>
              <w:ind w:right="113"/>
              <w:jc w:val="right"/>
            </w:pPr>
            <w:r>
              <w:t>5,733</w:t>
            </w:r>
          </w:p>
        </w:tc>
      </w:tr>
      <w:tr w:rsidR="00000000">
        <w:tblPrEx>
          <w:tblCellMar>
            <w:top w:w="0" w:type="dxa"/>
            <w:bottom w:w="0" w:type="dxa"/>
          </w:tblCellMar>
        </w:tblPrEx>
        <w:trPr>
          <w:trHeight w:val="20"/>
        </w:trPr>
        <w:tc>
          <w:tcPr>
            <w:tcW w:w="2084" w:type="pct"/>
          </w:tcPr>
          <w:p w:rsidR="00000000" w:rsidRDefault="00000000">
            <w:pPr>
              <w:pStyle w:val="aa"/>
              <w:rPr>
                <w:rFonts w:hint="eastAsia"/>
              </w:rPr>
            </w:pPr>
            <w:r>
              <w:rPr>
                <w:rFonts w:hint="eastAsia"/>
              </w:rPr>
              <w:t>国立音乐团体</w:t>
            </w:r>
            <w:r>
              <w:rPr>
                <w:b/>
                <w:bCs/>
                <w:position w:val="6"/>
                <w:u w:val="single"/>
              </w:rPr>
              <w:t>a</w:t>
            </w:r>
            <w:r>
              <w:rPr>
                <w:rFonts w:hint="eastAsia"/>
                <w:b/>
                <w:bCs/>
                <w:position w:val="6"/>
              </w:rPr>
              <w:t>/</w:t>
            </w:r>
          </w:p>
        </w:tc>
        <w:tc>
          <w:tcPr>
            <w:tcW w:w="583" w:type="pct"/>
          </w:tcPr>
          <w:p w:rsidR="00000000" w:rsidRDefault="00000000">
            <w:pPr>
              <w:pStyle w:val="aa"/>
              <w:ind w:right="113"/>
              <w:jc w:val="right"/>
            </w:pPr>
            <w:r>
              <w:t>15</w:t>
            </w:r>
          </w:p>
        </w:tc>
        <w:tc>
          <w:tcPr>
            <w:tcW w:w="583" w:type="pct"/>
          </w:tcPr>
          <w:p w:rsidR="00000000" w:rsidRDefault="00000000">
            <w:pPr>
              <w:pStyle w:val="aa"/>
              <w:ind w:right="113"/>
              <w:jc w:val="right"/>
            </w:pPr>
            <w:r>
              <w:t>-</w:t>
            </w:r>
          </w:p>
        </w:tc>
        <w:tc>
          <w:tcPr>
            <w:tcW w:w="584" w:type="pct"/>
          </w:tcPr>
          <w:p w:rsidR="00000000" w:rsidRDefault="00000000">
            <w:pPr>
              <w:pStyle w:val="aa"/>
              <w:ind w:right="113"/>
              <w:jc w:val="right"/>
            </w:pPr>
            <w:r>
              <w:t>17</w:t>
            </w:r>
          </w:p>
        </w:tc>
        <w:tc>
          <w:tcPr>
            <w:tcW w:w="583" w:type="pct"/>
          </w:tcPr>
          <w:p w:rsidR="00000000" w:rsidRDefault="00000000">
            <w:pPr>
              <w:pStyle w:val="aa"/>
              <w:ind w:right="113"/>
              <w:jc w:val="right"/>
            </w:pPr>
            <w:r>
              <w:t>17</w:t>
            </w:r>
          </w:p>
        </w:tc>
        <w:tc>
          <w:tcPr>
            <w:tcW w:w="583" w:type="pct"/>
          </w:tcPr>
          <w:p w:rsidR="00000000" w:rsidRDefault="00000000">
            <w:pPr>
              <w:pStyle w:val="aa"/>
              <w:ind w:right="113"/>
              <w:jc w:val="right"/>
            </w:pPr>
            <w:r>
              <w:t>18</w:t>
            </w:r>
          </w:p>
        </w:tc>
      </w:tr>
      <w:tr w:rsidR="00000000">
        <w:tblPrEx>
          <w:tblCellMar>
            <w:top w:w="0" w:type="dxa"/>
            <w:bottom w:w="0" w:type="dxa"/>
          </w:tblCellMar>
        </w:tblPrEx>
        <w:trPr>
          <w:trHeight w:val="20"/>
        </w:trPr>
        <w:tc>
          <w:tcPr>
            <w:tcW w:w="2084" w:type="pct"/>
          </w:tcPr>
          <w:p w:rsidR="00000000" w:rsidRDefault="00000000">
            <w:pPr>
              <w:pStyle w:val="aa"/>
              <w:rPr>
                <w:rFonts w:hint="eastAsia"/>
              </w:rPr>
            </w:pPr>
            <w:r>
              <w:t xml:space="preserve">  </w:t>
            </w:r>
            <w:r>
              <w:rPr>
                <w:rFonts w:hint="eastAsia"/>
              </w:rPr>
              <w:t xml:space="preserve">  </w:t>
            </w:r>
            <w:r>
              <w:rPr>
                <w:rFonts w:hint="eastAsia"/>
              </w:rPr>
              <w:t>听众人次</w:t>
            </w:r>
            <w:r>
              <w:t>(</w:t>
            </w:r>
            <w:r>
              <w:rPr>
                <w:rFonts w:hint="eastAsia"/>
              </w:rPr>
              <w:t>千人</w:t>
            </w:r>
            <w:r>
              <w:t>)</w:t>
            </w:r>
            <w:r>
              <w:rPr>
                <w:rFonts w:hint="eastAsia"/>
              </w:rPr>
              <w:t xml:space="preserve"> </w:t>
            </w:r>
            <w:r>
              <w:rPr>
                <w:b/>
                <w:bCs/>
                <w:position w:val="6"/>
                <w:u w:val="single"/>
              </w:rPr>
              <w:t>b</w:t>
            </w:r>
            <w:r>
              <w:rPr>
                <w:rFonts w:hint="eastAsia"/>
                <w:b/>
                <w:bCs/>
                <w:position w:val="6"/>
              </w:rPr>
              <w:t>/</w:t>
            </w:r>
          </w:p>
        </w:tc>
        <w:tc>
          <w:tcPr>
            <w:tcW w:w="583" w:type="pct"/>
          </w:tcPr>
          <w:p w:rsidR="00000000" w:rsidRDefault="00000000">
            <w:pPr>
              <w:pStyle w:val="aa"/>
              <w:ind w:right="113"/>
              <w:jc w:val="right"/>
            </w:pPr>
            <w:r>
              <w:t>335</w:t>
            </w:r>
          </w:p>
        </w:tc>
        <w:tc>
          <w:tcPr>
            <w:tcW w:w="583" w:type="pct"/>
          </w:tcPr>
          <w:p w:rsidR="00000000" w:rsidRDefault="00000000">
            <w:pPr>
              <w:pStyle w:val="aa"/>
              <w:ind w:right="113"/>
              <w:jc w:val="right"/>
            </w:pPr>
            <w:r>
              <w:t>-</w:t>
            </w:r>
          </w:p>
        </w:tc>
        <w:tc>
          <w:tcPr>
            <w:tcW w:w="584" w:type="pct"/>
          </w:tcPr>
          <w:p w:rsidR="00000000" w:rsidRDefault="00000000">
            <w:pPr>
              <w:pStyle w:val="aa"/>
              <w:ind w:right="113"/>
              <w:jc w:val="right"/>
            </w:pPr>
            <w:r>
              <w:t>377</w:t>
            </w:r>
          </w:p>
        </w:tc>
        <w:tc>
          <w:tcPr>
            <w:tcW w:w="583" w:type="pct"/>
          </w:tcPr>
          <w:p w:rsidR="00000000" w:rsidRDefault="00000000">
            <w:pPr>
              <w:pStyle w:val="aa"/>
              <w:ind w:right="113"/>
              <w:jc w:val="right"/>
            </w:pPr>
            <w:r>
              <w:t>388</w:t>
            </w:r>
          </w:p>
        </w:tc>
        <w:tc>
          <w:tcPr>
            <w:tcW w:w="583" w:type="pct"/>
          </w:tcPr>
          <w:p w:rsidR="00000000" w:rsidRDefault="00000000">
            <w:pPr>
              <w:pStyle w:val="aa"/>
              <w:ind w:right="113"/>
              <w:jc w:val="right"/>
            </w:pPr>
            <w:r>
              <w:t>439</w:t>
            </w:r>
          </w:p>
        </w:tc>
      </w:tr>
      <w:tr w:rsidR="00000000">
        <w:tblPrEx>
          <w:tblCellMar>
            <w:top w:w="0" w:type="dxa"/>
            <w:bottom w:w="0" w:type="dxa"/>
          </w:tblCellMar>
        </w:tblPrEx>
        <w:trPr>
          <w:trHeight w:val="20"/>
        </w:trPr>
        <w:tc>
          <w:tcPr>
            <w:tcW w:w="2084" w:type="pct"/>
          </w:tcPr>
          <w:p w:rsidR="00000000" w:rsidRDefault="00000000">
            <w:pPr>
              <w:pStyle w:val="aa"/>
              <w:rPr>
                <w:rFonts w:hint="eastAsia"/>
              </w:rPr>
            </w:pPr>
            <w:r>
              <w:rPr>
                <w:rFonts w:hint="eastAsia"/>
              </w:rPr>
              <w:t>博物馆</w:t>
            </w:r>
          </w:p>
        </w:tc>
        <w:tc>
          <w:tcPr>
            <w:tcW w:w="583" w:type="pct"/>
          </w:tcPr>
          <w:p w:rsidR="00000000" w:rsidRDefault="00000000">
            <w:pPr>
              <w:pStyle w:val="aa"/>
              <w:ind w:right="113"/>
              <w:jc w:val="right"/>
            </w:pPr>
            <w:r>
              <w:t>229</w:t>
            </w:r>
          </w:p>
        </w:tc>
        <w:tc>
          <w:tcPr>
            <w:tcW w:w="583" w:type="pct"/>
          </w:tcPr>
          <w:p w:rsidR="00000000" w:rsidRDefault="00000000">
            <w:pPr>
              <w:pStyle w:val="aa"/>
              <w:ind w:right="113"/>
              <w:jc w:val="right"/>
            </w:pPr>
            <w:r>
              <w:t>234</w:t>
            </w:r>
          </w:p>
        </w:tc>
        <w:tc>
          <w:tcPr>
            <w:tcW w:w="584" w:type="pct"/>
          </w:tcPr>
          <w:p w:rsidR="00000000" w:rsidRDefault="00000000">
            <w:pPr>
              <w:pStyle w:val="aa"/>
              <w:ind w:right="113"/>
              <w:jc w:val="right"/>
            </w:pPr>
            <w:r>
              <w:t>237</w:t>
            </w:r>
          </w:p>
        </w:tc>
        <w:tc>
          <w:tcPr>
            <w:tcW w:w="583" w:type="pct"/>
          </w:tcPr>
          <w:p w:rsidR="00000000" w:rsidRDefault="00000000">
            <w:pPr>
              <w:pStyle w:val="aa"/>
              <w:ind w:right="113"/>
              <w:jc w:val="right"/>
            </w:pPr>
            <w:r>
              <w:t>263</w:t>
            </w:r>
          </w:p>
        </w:tc>
        <w:tc>
          <w:tcPr>
            <w:tcW w:w="583" w:type="pct"/>
          </w:tcPr>
          <w:p w:rsidR="00000000" w:rsidRDefault="00000000">
            <w:pPr>
              <w:pStyle w:val="aa"/>
              <w:ind w:right="113"/>
              <w:jc w:val="right"/>
            </w:pPr>
            <w:r>
              <w:t>274</w:t>
            </w:r>
          </w:p>
        </w:tc>
      </w:tr>
      <w:tr w:rsidR="00000000">
        <w:tblPrEx>
          <w:tblCellMar>
            <w:top w:w="0" w:type="dxa"/>
            <w:bottom w:w="0" w:type="dxa"/>
          </w:tblCellMar>
        </w:tblPrEx>
        <w:trPr>
          <w:trHeight w:val="20"/>
        </w:trPr>
        <w:tc>
          <w:tcPr>
            <w:tcW w:w="2084" w:type="pct"/>
          </w:tcPr>
          <w:p w:rsidR="00000000" w:rsidRDefault="00000000">
            <w:pPr>
              <w:pStyle w:val="aa"/>
            </w:pPr>
            <w:r>
              <w:t xml:space="preserve">   </w:t>
            </w:r>
            <w:r>
              <w:rPr>
                <w:rFonts w:hint="eastAsia"/>
              </w:rPr>
              <w:t xml:space="preserve"> </w:t>
            </w:r>
            <w:r>
              <w:rPr>
                <w:rFonts w:hint="eastAsia"/>
              </w:rPr>
              <w:t>参观者人次</w:t>
            </w:r>
            <w:r>
              <w:t>(</w:t>
            </w:r>
            <w:r>
              <w:rPr>
                <w:rFonts w:hint="eastAsia"/>
              </w:rPr>
              <w:t>千人</w:t>
            </w:r>
            <w:r>
              <w:t>)</w:t>
            </w:r>
          </w:p>
        </w:tc>
        <w:tc>
          <w:tcPr>
            <w:tcW w:w="583" w:type="pct"/>
          </w:tcPr>
          <w:p w:rsidR="00000000" w:rsidRDefault="00000000">
            <w:pPr>
              <w:pStyle w:val="aa"/>
              <w:ind w:right="113"/>
              <w:jc w:val="right"/>
            </w:pPr>
            <w:r>
              <w:t>7,089</w:t>
            </w:r>
          </w:p>
        </w:tc>
        <w:tc>
          <w:tcPr>
            <w:tcW w:w="583" w:type="pct"/>
          </w:tcPr>
          <w:p w:rsidR="00000000" w:rsidRDefault="00000000">
            <w:pPr>
              <w:pStyle w:val="aa"/>
              <w:ind w:right="113"/>
              <w:jc w:val="right"/>
            </w:pPr>
            <w:r>
              <w:t>7,482</w:t>
            </w:r>
          </w:p>
        </w:tc>
        <w:tc>
          <w:tcPr>
            <w:tcW w:w="584" w:type="pct"/>
          </w:tcPr>
          <w:p w:rsidR="00000000" w:rsidRDefault="00000000">
            <w:pPr>
              <w:pStyle w:val="aa"/>
              <w:ind w:right="113"/>
              <w:jc w:val="right"/>
            </w:pPr>
            <w:r>
              <w:t>7,373</w:t>
            </w:r>
          </w:p>
        </w:tc>
        <w:tc>
          <w:tcPr>
            <w:tcW w:w="583" w:type="pct"/>
          </w:tcPr>
          <w:p w:rsidR="00000000" w:rsidRDefault="00000000">
            <w:pPr>
              <w:pStyle w:val="aa"/>
              <w:ind w:right="113"/>
              <w:jc w:val="right"/>
            </w:pPr>
            <w:r>
              <w:t>6,857</w:t>
            </w:r>
          </w:p>
        </w:tc>
        <w:tc>
          <w:tcPr>
            <w:tcW w:w="583" w:type="pct"/>
          </w:tcPr>
          <w:p w:rsidR="00000000" w:rsidRDefault="00000000">
            <w:pPr>
              <w:pStyle w:val="aa"/>
              <w:ind w:right="113"/>
              <w:jc w:val="right"/>
            </w:pPr>
            <w:r>
              <w:t>7,119</w:t>
            </w:r>
          </w:p>
        </w:tc>
      </w:tr>
      <w:tr w:rsidR="00000000">
        <w:tblPrEx>
          <w:tblCellMar>
            <w:top w:w="0" w:type="dxa"/>
            <w:bottom w:w="0" w:type="dxa"/>
          </w:tblCellMar>
        </w:tblPrEx>
        <w:trPr>
          <w:trHeight w:val="20"/>
        </w:trPr>
        <w:tc>
          <w:tcPr>
            <w:tcW w:w="2084" w:type="pct"/>
            <w:tcBorders>
              <w:bottom w:val="nil"/>
            </w:tcBorders>
          </w:tcPr>
          <w:p w:rsidR="00000000" w:rsidRDefault="00000000">
            <w:pPr>
              <w:pStyle w:val="aa"/>
              <w:rPr>
                <w:rFonts w:hint="eastAsia"/>
              </w:rPr>
            </w:pPr>
            <w:r>
              <w:rPr>
                <w:rFonts w:hint="eastAsia"/>
              </w:rPr>
              <w:t>美术馆</w:t>
            </w:r>
          </w:p>
        </w:tc>
        <w:tc>
          <w:tcPr>
            <w:tcW w:w="583" w:type="pct"/>
            <w:tcBorders>
              <w:bottom w:val="nil"/>
            </w:tcBorders>
          </w:tcPr>
          <w:p w:rsidR="00000000" w:rsidRDefault="00000000">
            <w:pPr>
              <w:pStyle w:val="aa"/>
              <w:ind w:right="113"/>
              <w:jc w:val="right"/>
            </w:pPr>
            <w:r>
              <w:t>37</w:t>
            </w:r>
          </w:p>
        </w:tc>
        <w:tc>
          <w:tcPr>
            <w:tcW w:w="583" w:type="pct"/>
            <w:tcBorders>
              <w:bottom w:val="nil"/>
            </w:tcBorders>
          </w:tcPr>
          <w:p w:rsidR="00000000" w:rsidRDefault="00000000">
            <w:pPr>
              <w:pStyle w:val="aa"/>
              <w:ind w:right="113"/>
              <w:jc w:val="right"/>
            </w:pPr>
            <w:r>
              <w:t>37</w:t>
            </w:r>
          </w:p>
        </w:tc>
        <w:tc>
          <w:tcPr>
            <w:tcW w:w="584" w:type="pct"/>
            <w:tcBorders>
              <w:bottom w:val="nil"/>
            </w:tcBorders>
          </w:tcPr>
          <w:p w:rsidR="00000000" w:rsidRDefault="00000000">
            <w:pPr>
              <w:pStyle w:val="aa"/>
              <w:ind w:right="113"/>
              <w:jc w:val="right"/>
            </w:pPr>
            <w:r>
              <w:t>37</w:t>
            </w:r>
          </w:p>
        </w:tc>
        <w:tc>
          <w:tcPr>
            <w:tcW w:w="583" w:type="pct"/>
            <w:tcBorders>
              <w:bottom w:val="nil"/>
            </w:tcBorders>
          </w:tcPr>
          <w:p w:rsidR="00000000" w:rsidRDefault="00000000">
            <w:pPr>
              <w:pStyle w:val="aa"/>
              <w:ind w:right="113"/>
              <w:jc w:val="right"/>
            </w:pPr>
            <w:r>
              <w:t>37</w:t>
            </w:r>
          </w:p>
        </w:tc>
        <w:tc>
          <w:tcPr>
            <w:tcW w:w="583" w:type="pct"/>
            <w:tcBorders>
              <w:bottom w:val="nil"/>
            </w:tcBorders>
          </w:tcPr>
          <w:p w:rsidR="00000000" w:rsidRDefault="00000000">
            <w:pPr>
              <w:pStyle w:val="aa"/>
              <w:ind w:right="113"/>
              <w:jc w:val="right"/>
            </w:pPr>
            <w:r>
              <w:t>43</w:t>
            </w:r>
          </w:p>
        </w:tc>
      </w:tr>
      <w:tr w:rsidR="00000000">
        <w:tblPrEx>
          <w:tblCellMar>
            <w:top w:w="0" w:type="dxa"/>
            <w:bottom w:w="0" w:type="dxa"/>
          </w:tblCellMar>
        </w:tblPrEx>
        <w:trPr>
          <w:trHeight w:val="20"/>
        </w:trPr>
        <w:tc>
          <w:tcPr>
            <w:tcW w:w="2084" w:type="pct"/>
            <w:tcBorders>
              <w:top w:val="nil"/>
              <w:bottom w:val="nil"/>
            </w:tcBorders>
          </w:tcPr>
          <w:p w:rsidR="00000000" w:rsidRDefault="00000000">
            <w:pPr>
              <w:pStyle w:val="aa"/>
              <w:rPr>
                <w:rFonts w:hint="eastAsia"/>
              </w:rPr>
            </w:pPr>
            <w:r>
              <w:t xml:space="preserve">   </w:t>
            </w:r>
            <w:r>
              <w:rPr>
                <w:rFonts w:hint="eastAsia"/>
              </w:rPr>
              <w:t>参观者人次</w:t>
            </w:r>
          </w:p>
        </w:tc>
        <w:tc>
          <w:tcPr>
            <w:tcW w:w="583" w:type="pct"/>
            <w:tcBorders>
              <w:top w:val="nil"/>
              <w:bottom w:val="nil"/>
            </w:tcBorders>
          </w:tcPr>
          <w:p w:rsidR="00000000" w:rsidRDefault="00000000">
            <w:pPr>
              <w:pStyle w:val="aa"/>
              <w:ind w:right="113"/>
              <w:jc w:val="right"/>
            </w:pPr>
            <w:r>
              <w:t>1,362</w:t>
            </w:r>
          </w:p>
        </w:tc>
        <w:tc>
          <w:tcPr>
            <w:tcW w:w="583" w:type="pct"/>
            <w:tcBorders>
              <w:top w:val="nil"/>
              <w:bottom w:val="nil"/>
            </w:tcBorders>
          </w:tcPr>
          <w:p w:rsidR="00000000" w:rsidRDefault="00000000">
            <w:pPr>
              <w:pStyle w:val="aa"/>
              <w:ind w:right="113"/>
              <w:jc w:val="right"/>
            </w:pPr>
            <w:r>
              <w:t>1,432</w:t>
            </w:r>
          </w:p>
        </w:tc>
        <w:tc>
          <w:tcPr>
            <w:tcW w:w="584" w:type="pct"/>
            <w:tcBorders>
              <w:top w:val="nil"/>
              <w:bottom w:val="nil"/>
            </w:tcBorders>
          </w:tcPr>
          <w:p w:rsidR="00000000" w:rsidRDefault="00000000">
            <w:pPr>
              <w:pStyle w:val="aa"/>
              <w:ind w:right="113"/>
              <w:jc w:val="right"/>
            </w:pPr>
            <w:r>
              <w:t>1,660</w:t>
            </w:r>
          </w:p>
        </w:tc>
        <w:tc>
          <w:tcPr>
            <w:tcW w:w="583" w:type="pct"/>
            <w:tcBorders>
              <w:top w:val="nil"/>
              <w:bottom w:val="nil"/>
            </w:tcBorders>
          </w:tcPr>
          <w:p w:rsidR="00000000" w:rsidRDefault="00000000">
            <w:pPr>
              <w:pStyle w:val="aa"/>
              <w:ind w:right="113"/>
              <w:jc w:val="right"/>
            </w:pPr>
            <w:r>
              <w:t>1,418</w:t>
            </w:r>
          </w:p>
        </w:tc>
        <w:tc>
          <w:tcPr>
            <w:tcW w:w="583" w:type="pct"/>
            <w:tcBorders>
              <w:top w:val="nil"/>
              <w:bottom w:val="nil"/>
            </w:tcBorders>
          </w:tcPr>
          <w:p w:rsidR="00000000" w:rsidRDefault="00000000">
            <w:pPr>
              <w:pStyle w:val="aa"/>
              <w:ind w:right="113"/>
              <w:jc w:val="right"/>
            </w:pPr>
            <w:r>
              <w:t>1,791</w:t>
            </w:r>
          </w:p>
        </w:tc>
      </w:tr>
      <w:tr w:rsidR="00000000">
        <w:tblPrEx>
          <w:tblCellMar>
            <w:top w:w="0" w:type="dxa"/>
            <w:bottom w:w="0" w:type="dxa"/>
          </w:tblCellMar>
        </w:tblPrEx>
        <w:trPr>
          <w:trHeight w:val="20"/>
        </w:trPr>
        <w:tc>
          <w:tcPr>
            <w:tcW w:w="2084" w:type="pct"/>
            <w:tcBorders>
              <w:top w:val="nil"/>
            </w:tcBorders>
          </w:tcPr>
          <w:p w:rsidR="00000000" w:rsidRDefault="00000000">
            <w:pPr>
              <w:pStyle w:val="aa"/>
              <w:rPr>
                <w:rFonts w:hint="eastAsia"/>
              </w:rPr>
            </w:pPr>
            <w:r>
              <w:rPr>
                <w:rFonts w:hint="eastAsia"/>
              </w:rPr>
              <w:t>天文台和天文馆</w:t>
            </w:r>
          </w:p>
        </w:tc>
        <w:tc>
          <w:tcPr>
            <w:tcW w:w="583" w:type="pct"/>
            <w:tcBorders>
              <w:top w:val="nil"/>
            </w:tcBorders>
          </w:tcPr>
          <w:p w:rsidR="00000000" w:rsidRDefault="00000000">
            <w:pPr>
              <w:pStyle w:val="aa"/>
              <w:ind w:right="113"/>
              <w:jc w:val="right"/>
            </w:pPr>
            <w:r>
              <w:t>24</w:t>
            </w:r>
          </w:p>
        </w:tc>
        <w:tc>
          <w:tcPr>
            <w:tcW w:w="583" w:type="pct"/>
            <w:tcBorders>
              <w:top w:val="nil"/>
            </w:tcBorders>
          </w:tcPr>
          <w:p w:rsidR="00000000" w:rsidRDefault="00000000">
            <w:pPr>
              <w:pStyle w:val="aa"/>
              <w:ind w:right="113"/>
              <w:jc w:val="right"/>
            </w:pPr>
            <w:r>
              <w:t>23</w:t>
            </w:r>
          </w:p>
        </w:tc>
        <w:tc>
          <w:tcPr>
            <w:tcW w:w="584" w:type="pct"/>
            <w:tcBorders>
              <w:top w:val="nil"/>
            </w:tcBorders>
          </w:tcPr>
          <w:p w:rsidR="00000000" w:rsidRDefault="00000000">
            <w:pPr>
              <w:pStyle w:val="aa"/>
              <w:ind w:right="113"/>
              <w:jc w:val="right"/>
            </w:pPr>
            <w:r>
              <w:t>25</w:t>
            </w:r>
          </w:p>
        </w:tc>
        <w:tc>
          <w:tcPr>
            <w:tcW w:w="583" w:type="pct"/>
            <w:tcBorders>
              <w:top w:val="nil"/>
            </w:tcBorders>
          </w:tcPr>
          <w:p w:rsidR="00000000" w:rsidRDefault="00000000">
            <w:pPr>
              <w:pStyle w:val="aa"/>
              <w:ind w:right="113"/>
              <w:jc w:val="right"/>
            </w:pPr>
            <w:r>
              <w:t>26</w:t>
            </w:r>
          </w:p>
        </w:tc>
        <w:tc>
          <w:tcPr>
            <w:tcW w:w="583" w:type="pct"/>
            <w:tcBorders>
              <w:top w:val="nil"/>
            </w:tcBorders>
          </w:tcPr>
          <w:p w:rsidR="00000000" w:rsidRDefault="00000000">
            <w:pPr>
              <w:pStyle w:val="aa"/>
              <w:ind w:right="113"/>
              <w:jc w:val="right"/>
            </w:pPr>
            <w:r>
              <w:t>26</w:t>
            </w:r>
          </w:p>
        </w:tc>
      </w:tr>
      <w:tr w:rsidR="00000000">
        <w:tblPrEx>
          <w:tblCellMar>
            <w:top w:w="0" w:type="dxa"/>
            <w:bottom w:w="0" w:type="dxa"/>
          </w:tblCellMar>
        </w:tblPrEx>
        <w:trPr>
          <w:trHeight w:val="20"/>
        </w:trPr>
        <w:tc>
          <w:tcPr>
            <w:tcW w:w="2084" w:type="pct"/>
          </w:tcPr>
          <w:p w:rsidR="00000000" w:rsidRDefault="00000000">
            <w:pPr>
              <w:pStyle w:val="aa"/>
            </w:pPr>
            <w:r>
              <w:t xml:space="preserve">   </w:t>
            </w:r>
            <w:r>
              <w:rPr>
                <w:rFonts w:hint="eastAsia"/>
              </w:rPr>
              <w:t xml:space="preserve"> </w:t>
            </w:r>
            <w:r>
              <w:rPr>
                <w:rFonts w:hint="eastAsia"/>
              </w:rPr>
              <w:t>参观者人次</w:t>
            </w:r>
            <w:r>
              <w:t xml:space="preserve"> </w:t>
            </w:r>
          </w:p>
        </w:tc>
        <w:tc>
          <w:tcPr>
            <w:tcW w:w="583" w:type="pct"/>
          </w:tcPr>
          <w:p w:rsidR="00000000" w:rsidRDefault="00000000">
            <w:pPr>
              <w:pStyle w:val="aa"/>
              <w:ind w:right="113"/>
              <w:jc w:val="right"/>
            </w:pPr>
            <w:r>
              <w:t>410</w:t>
            </w:r>
          </w:p>
        </w:tc>
        <w:tc>
          <w:tcPr>
            <w:tcW w:w="583" w:type="pct"/>
          </w:tcPr>
          <w:p w:rsidR="00000000" w:rsidRDefault="00000000">
            <w:pPr>
              <w:pStyle w:val="aa"/>
              <w:ind w:right="113"/>
              <w:jc w:val="right"/>
            </w:pPr>
            <w:r>
              <w:t>413</w:t>
            </w:r>
          </w:p>
        </w:tc>
        <w:tc>
          <w:tcPr>
            <w:tcW w:w="584" w:type="pct"/>
          </w:tcPr>
          <w:p w:rsidR="00000000" w:rsidRDefault="00000000">
            <w:pPr>
              <w:pStyle w:val="aa"/>
              <w:ind w:right="113"/>
              <w:jc w:val="right"/>
            </w:pPr>
            <w:r>
              <w:t>447</w:t>
            </w:r>
          </w:p>
        </w:tc>
        <w:tc>
          <w:tcPr>
            <w:tcW w:w="583" w:type="pct"/>
          </w:tcPr>
          <w:p w:rsidR="00000000" w:rsidRDefault="00000000">
            <w:pPr>
              <w:pStyle w:val="aa"/>
              <w:ind w:right="113"/>
              <w:jc w:val="right"/>
            </w:pPr>
            <w:r>
              <w:t>491</w:t>
            </w:r>
          </w:p>
        </w:tc>
        <w:tc>
          <w:tcPr>
            <w:tcW w:w="583" w:type="pct"/>
          </w:tcPr>
          <w:p w:rsidR="00000000" w:rsidRDefault="00000000">
            <w:pPr>
              <w:pStyle w:val="aa"/>
              <w:ind w:right="113"/>
              <w:jc w:val="right"/>
            </w:pPr>
            <w:r>
              <w:t>480</w:t>
            </w:r>
          </w:p>
        </w:tc>
      </w:tr>
      <w:tr w:rsidR="00000000">
        <w:tblPrEx>
          <w:tblCellMar>
            <w:top w:w="0" w:type="dxa"/>
            <w:bottom w:w="0" w:type="dxa"/>
          </w:tblCellMar>
        </w:tblPrEx>
        <w:trPr>
          <w:trHeight w:val="20"/>
        </w:trPr>
        <w:tc>
          <w:tcPr>
            <w:tcW w:w="2084" w:type="pct"/>
          </w:tcPr>
          <w:p w:rsidR="00000000" w:rsidRDefault="00000000">
            <w:pPr>
              <w:pStyle w:val="aa"/>
              <w:rPr>
                <w:rFonts w:hint="eastAsia"/>
              </w:rPr>
            </w:pPr>
            <w:r>
              <w:rPr>
                <w:rFonts w:hint="eastAsia"/>
              </w:rPr>
              <w:t>动物园</w:t>
            </w:r>
          </w:p>
        </w:tc>
        <w:tc>
          <w:tcPr>
            <w:tcW w:w="583" w:type="pct"/>
          </w:tcPr>
          <w:p w:rsidR="00000000" w:rsidRDefault="00000000">
            <w:pPr>
              <w:pStyle w:val="aa"/>
              <w:ind w:right="113"/>
              <w:jc w:val="right"/>
            </w:pPr>
            <w:r>
              <w:t>14</w:t>
            </w:r>
          </w:p>
        </w:tc>
        <w:tc>
          <w:tcPr>
            <w:tcW w:w="583" w:type="pct"/>
          </w:tcPr>
          <w:p w:rsidR="00000000" w:rsidRDefault="00000000">
            <w:pPr>
              <w:pStyle w:val="aa"/>
              <w:ind w:right="113"/>
              <w:jc w:val="right"/>
            </w:pPr>
            <w:r>
              <w:t>15</w:t>
            </w:r>
          </w:p>
        </w:tc>
        <w:tc>
          <w:tcPr>
            <w:tcW w:w="584" w:type="pct"/>
          </w:tcPr>
          <w:p w:rsidR="00000000" w:rsidRDefault="00000000">
            <w:pPr>
              <w:pStyle w:val="aa"/>
              <w:ind w:right="113"/>
              <w:jc w:val="right"/>
            </w:pPr>
            <w:r>
              <w:t>15</w:t>
            </w:r>
          </w:p>
        </w:tc>
        <w:tc>
          <w:tcPr>
            <w:tcW w:w="583" w:type="pct"/>
          </w:tcPr>
          <w:p w:rsidR="00000000" w:rsidRDefault="00000000">
            <w:pPr>
              <w:pStyle w:val="aa"/>
              <w:ind w:right="113"/>
              <w:jc w:val="right"/>
            </w:pPr>
            <w:r>
              <w:t>15</w:t>
            </w:r>
          </w:p>
        </w:tc>
        <w:tc>
          <w:tcPr>
            <w:tcW w:w="583" w:type="pct"/>
          </w:tcPr>
          <w:p w:rsidR="00000000" w:rsidRDefault="00000000">
            <w:pPr>
              <w:pStyle w:val="aa"/>
              <w:ind w:right="113"/>
              <w:jc w:val="right"/>
            </w:pPr>
            <w:r>
              <w:t>15</w:t>
            </w:r>
          </w:p>
        </w:tc>
      </w:tr>
      <w:tr w:rsidR="00000000">
        <w:tblPrEx>
          <w:tblCellMar>
            <w:top w:w="0" w:type="dxa"/>
            <w:bottom w:w="0" w:type="dxa"/>
          </w:tblCellMar>
        </w:tblPrEx>
        <w:tc>
          <w:tcPr>
            <w:tcW w:w="2084" w:type="pct"/>
          </w:tcPr>
          <w:p w:rsidR="00000000" w:rsidRDefault="00000000">
            <w:pPr>
              <w:pStyle w:val="aa"/>
              <w:rPr>
                <w:rFonts w:hint="eastAsia"/>
              </w:rPr>
            </w:pPr>
            <w:r>
              <w:t xml:space="preserve">   </w:t>
            </w:r>
            <w:r>
              <w:rPr>
                <w:rFonts w:hint="eastAsia"/>
              </w:rPr>
              <w:t>参观者人次</w:t>
            </w:r>
          </w:p>
        </w:tc>
        <w:tc>
          <w:tcPr>
            <w:tcW w:w="583" w:type="pct"/>
          </w:tcPr>
          <w:p w:rsidR="00000000" w:rsidRDefault="00000000">
            <w:pPr>
              <w:pStyle w:val="aa"/>
              <w:ind w:right="113"/>
              <w:jc w:val="right"/>
            </w:pPr>
            <w:r>
              <w:t>2,742</w:t>
            </w:r>
          </w:p>
        </w:tc>
        <w:tc>
          <w:tcPr>
            <w:tcW w:w="583" w:type="pct"/>
          </w:tcPr>
          <w:p w:rsidR="00000000" w:rsidRDefault="00000000">
            <w:pPr>
              <w:pStyle w:val="aa"/>
              <w:ind w:right="113"/>
              <w:jc w:val="right"/>
            </w:pPr>
            <w:r>
              <w:t>2,925</w:t>
            </w:r>
          </w:p>
        </w:tc>
        <w:tc>
          <w:tcPr>
            <w:tcW w:w="584" w:type="pct"/>
          </w:tcPr>
          <w:p w:rsidR="00000000" w:rsidRDefault="00000000">
            <w:pPr>
              <w:pStyle w:val="aa"/>
              <w:ind w:right="113"/>
              <w:jc w:val="right"/>
            </w:pPr>
            <w:r>
              <w:t>3,309</w:t>
            </w:r>
          </w:p>
        </w:tc>
        <w:tc>
          <w:tcPr>
            <w:tcW w:w="583" w:type="pct"/>
          </w:tcPr>
          <w:p w:rsidR="00000000" w:rsidRDefault="00000000">
            <w:pPr>
              <w:pStyle w:val="aa"/>
              <w:ind w:right="113"/>
              <w:jc w:val="right"/>
            </w:pPr>
            <w:r>
              <w:t>3,415</w:t>
            </w:r>
          </w:p>
        </w:tc>
        <w:tc>
          <w:tcPr>
            <w:tcW w:w="583" w:type="pct"/>
          </w:tcPr>
          <w:p w:rsidR="00000000" w:rsidRDefault="00000000">
            <w:pPr>
              <w:pStyle w:val="aa"/>
              <w:ind w:right="113"/>
              <w:jc w:val="right"/>
            </w:pPr>
            <w:r>
              <w:t>-</w:t>
            </w:r>
          </w:p>
        </w:tc>
      </w:tr>
      <w:tr w:rsidR="00000000">
        <w:tblPrEx>
          <w:tblCellMar>
            <w:top w:w="0" w:type="dxa"/>
            <w:bottom w:w="0" w:type="dxa"/>
          </w:tblCellMar>
        </w:tblPrEx>
        <w:tc>
          <w:tcPr>
            <w:tcW w:w="2084" w:type="pct"/>
          </w:tcPr>
          <w:p w:rsidR="00000000" w:rsidRDefault="00000000">
            <w:pPr>
              <w:pStyle w:val="aa"/>
              <w:rPr>
                <w:rFonts w:hint="eastAsia"/>
              </w:rPr>
            </w:pPr>
            <w:r>
              <w:rPr>
                <w:rFonts w:hint="eastAsia"/>
              </w:rPr>
              <w:t>古堡、宫殿、古建筑</w:t>
            </w:r>
          </w:p>
        </w:tc>
        <w:tc>
          <w:tcPr>
            <w:tcW w:w="583" w:type="pct"/>
          </w:tcPr>
          <w:p w:rsidR="00000000" w:rsidRDefault="00000000">
            <w:pPr>
              <w:pStyle w:val="aa"/>
              <w:ind w:right="113"/>
              <w:jc w:val="right"/>
            </w:pPr>
            <w:r>
              <w:t>113</w:t>
            </w:r>
          </w:p>
        </w:tc>
        <w:tc>
          <w:tcPr>
            <w:tcW w:w="583" w:type="pct"/>
          </w:tcPr>
          <w:p w:rsidR="00000000" w:rsidRDefault="00000000">
            <w:pPr>
              <w:pStyle w:val="aa"/>
              <w:ind w:right="113"/>
              <w:jc w:val="right"/>
            </w:pPr>
            <w:r>
              <w:t>118</w:t>
            </w:r>
          </w:p>
        </w:tc>
        <w:tc>
          <w:tcPr>
            <w:tcW w:w="584" w:type="pct"/>
          </w:tcPr>
          <w:p w:rsidR="00000000" w:rsidRDefault="00000000">
            <w:pPr>
              <w:pStyle w:val="aa"/>
              <w:ind w:right="113"/>
              <w:jc w:val="right"/>
            </w:pPr>
            <w:r>
              <w:t>151</w:t>
            </w:r>
          </w:p>
        </w:tc>
        <w:tc>
          <w:tcPr>
            <w:tcW w:w="583" w:type="pct"/>
          </w:tcPr>
          <w:p w:rsidR="00000000" w:rsidRDefault="00000000">
            <w:pPr>
              <w:pStyle w:val="aa"/>
              <w:ind w:right="113"/>
              <w:jc w:val="right"/>
            </w:pPr>
            <w:r>
              <w:t>160</w:t>
            </w:r>
          </w:p>
        </w:tc>
        <w:tc>
          <w:tcPr>
            <w:tcW w:w="583" w:type="pct"/>
          </w:tcPr>
          <w:p w:rsidR="00000000" w:rsidRDefault="00000000">
            <w:pPr>
              <w:pStyle w:val="aa"/>
              <w:ind w:right="113"/>
              <w:jc w:val="right"/>
            </w:pPr>
            <w:r>
              <w:t>163</w:t>
            </w:r>
          </w:p>
        </w:tc>
      </w:tr>
      <w:tr w:rsidR="00000000">
        <w:tblPrEx>
          <w:tblCellMar>
            <w:top w:w="0" w:type="dxa"/>
            <w:bottom w:w="0" w:type="dxa"/>
          </w:tblCellMar>
        </w:tblPrEx>
        <w:tc>
          <w:tcPr>
            <w:tcW w:w="2084" w:type="pct"/>
          </w:tcPr>
          <w:p w:rsidR="00000000" w:rsidRDefault="00000000">
            <w:pPr>
              <w:pStyle w:val="aa"/>
            </w:pPr>
            <w:r>
              <w:t xml:space="preserve">   </w:t>
            </w:r>
            <w:r>
              <w:rPr>
                <w:rFonts w:hint="eastAsia"/>
              </w:rPr>
              <w:t>参观者人次</w:t>
            </w:r>
          </w:p>
        </w:tc>
        <w:tc>
          <w:tcPr>
            <w:tcW w:w="583" w:type="pct"/>
          </w:tcPr>
          <w:p w:rsidR="00000000" w:rsidRDefault="00000000">
            <w:pPr>
              <w:pStyle w:val="aa"/>
              <w:ind w:right="113"/>
              <w:jc w:val="right"/>
            </w:pPr>
            <w:r>
              <w:t>5,201</w:t>
            </w:r>
          </w:p>
        </w:tc>
        <w:tc>
          <w:tcPr>
            <w:tcW w:w="583" w:type="pct"/>
          </w:tcPr>
          <w:p w:rsidR="00000000" w:rsidRDefault="00000000">
            <w:pPr>
              <w:pStyle w:val="aa"/>
              <w:ind w:right="113"/>
              <w:jc w:val="right"/>
            </w:pPr>
            <w:r>
              <w:t>5,935</w:t>
            </w:r>
          </w:p>
        </w:tc>
        <w:tc>
          <w:tcPr>
            <w:tcW w:w="584" w:type="pct"/>
          </w:tcPr>
          <w:p w:rsidR="00000000" w:rsidRDefault="00000000">
            <w:pPr>
              <w:pStyle w:val="aa"/>
              <w:ind w:right="113"/>
              <w:jc w:val="right"/>
            </w:pPr>
            <w:r>
              <w:t>8,119</w:t>
            </w:r>
          </w:p>
        </w:tc>
        <w:tc>
          <w:tcPr>
            <w:tcW w:w="583" w:type="pct"/>
          </w:tcPr>
          <w:p w:rsidR="00000000" w:rsidRDefault="00000000">
            <w:pPr>
              <w:pStyle w:val="aa"/>
              <w:ind w:right="113"/>
              <w:jc w:val="right"/>
            </w:pPr>
            <w:r>
              <w:t>7,952</w:t>
            </w:r>
          </w:p>
        </w:tc>
        <w:tc>
          <w:tcPr>
            <w:tcW w:w="583" w:type="pct"/>
          </w:tcPr>
          <w:p w:rsidR="00000000" w:rsidRDefault="00000000">
            <w:pPr>
              <w:pStyle w:val="aa"/>
              <w:ind w:right="113"/>
              <w:jc w:val="right"/>
            </w:pPr>
            <w:r>
              <w:t>8,256</w:t>
            </w:r>
          </w:p>
        </w:tc>
      </w:tr>
      <w:tr w:rsidR="00000000">
        <w:tblPrEx>
          <w:tblCellMar>
            <w:top w:w="0" w:type="dxa"/>
            <w:bottom w:w="0" w:type="dxa"/>
          </w:tblCellMar>
        </w:tblPrEx>
        <w:tc>
          <w:tcPr>
            <w:tcW w:w="2084" w:type="pct"/>
          </w:tcPr>
          <w:p w:rsidR="00000000" w:rsidRDefault="00000000">
            <w:pPr>
              <w:pStyle w:val="aa"/>
              <w:rPr>
                <w:rFonts w:hint="eastAsia"/>
              </w:rPr>
            </w:pPr>
            <w:r>
              <w:rPr>
                <w:rFonts w:hint="eastAsia"/>
              </w:rPr>
              <w:t>图书馆</w:t>
            </w:r>
          </w:p>
        </w:tc>
        <w:tc>
          <w:tcPr>
            <w:tcW w:w="583" w:type="pct"/>
          </w:tcPr>
          <w:p w:rsidR="00000000" w:rsidRDefault="00000000">
            <w:pPr>
              <w:pStyle w:val="aa"/>
              <w:ind w:right="113"/>
              <w:jc w:val="right"/>
            </w:pPr>
            <w:r>
              <w:t>6,321</w:t>
            </w:r>
          </w:p>
        </w:tc>
        <w:tc>
          <w:tcPr>
            <w:tcW w:w="583" w:type="pct"/>
          </w:tcPr>
          <w:p w:rsidR="00000000" w:rsidRDefault="00000000">
            <w:pPr>
              <w:pStyle w:val="aa"/>
              <w:ind w:right="113"/>
              <w:jc w:val="right"/>
            </w:pPr>
            <w:r>
              <w:t>6,253</w:t>
            </w:r>
          </w:p>
        </w:tc>
        <w:tc>
          <w:tcPr>
            <w:tcW w:w="584" w:type="pct"/>
          </w:tcPr>
          <w:p w:rsidR="00000000" w:rsidRDefault="00000000">
            <w:pPr>
              <w:pStyle w:val="aa"/>
              <w:ind w:right="113"/>
              <w:jc w:val="right"/>
            </w:pPr>
            <w:r>
              <w:t>6,198</w:t>
            </w:r>
          </w:p>
        </w:tc>
        <w:tc>
          <w:tcPr>
            <w:tcW w:w="583" w:type="pct"/>
          </w:tcPr>
          <w:p w:rsidR="00000000" w:rsidRDefault="00000000">
            <w:pPr>
              <w:pStyle w:val="aa"/>
              <w:ind w:right="113"/>
              <w:jc w:val="right"/>
            </w:pPr>
            <w:r>
              <w:t>6,309</w:t>
            </w:r>
          </w:p>
        </w:tc>
        <w:tc>
          <w:tcPr>
            <w:tcW w:w="583" w:type="pct"/>
          </w:tcPr>
          <w:p w:rsidR="00000000" w:rsidRDefault="00000000">
            <w:pPr>
              <w:pStyle w:val="aa"/>
              <w:ind w:right="113"/>
              <w:jc w:val="right"/>
            </w:pPr>
            <w:r>
              <w:t>6,205</w:t>
            </w:r>
          </w:p>
        </w:tc>
      </w:tr>
      <w:tr w:rsidR="00000000">
        <w:tblPrEx>
          <w:tblCellMar>
            <w:top w:w="0" w:type="dxa"/>
            <w:bottom w:w="0" w:type="dxa"/>
          </w:tblCellMar>
        </w:tblPrEx>
        <w:tc>
          <w:tcPr>
            <w:tcW w:w="2084" w:type="pct"/>
          </w:tcPr>
          <w:p w:rsidR="00000000" w:rsidRDefault="00000000">
            <w:pPr>
              <w:pStyle w:val="aa"/>
              <w:rPr>
                <w:rFonts w:hint="eastAsia"/>
              </w:rPr>
            </w:pPr>
            <w:r>
              <w:rPr>
                <w:rFonts w:hint="eastAsia"/>
              </w:rPr>
              <w:t>公共图书馆</w:t>
            </w:r>
            <w:r>
              <w:br/>
              <w:t xml:space="preserve">    </w:t>
            </w:r>
            <w:r>
              <w:rPr>
                <w:rFonts w:hint="eastAsia"/>
              </w:rPr>
              <w:t>登记的读者人次</w:t>
            </w:r>
            <w:r>
              <w:rPr>
                <w:rFonts w:hint="eastAsia"/>
              </w:rPr>
              <w:t>(</w:t>
            </w:r>
            <w:r>
              <w:rPr>
                <w:rFonts w:hint="eastAsia"/>
              </w:rPr>
              <w:t>千人</w:t>
            </w:r>
            <w:r>
              <w:rPr>
                <w:rFonts w:hint="eastAsia"/>
              </w:rPr>
              <w:t>)</w:t>
            </w:r>
          </w:p>
        </w:tc>
        <w:tc>
          <w:tcPr>
            <w:tcW w:w="583" w:type="pct"/>
          </w:tcPr>
          <w:p w:rsidR="00000000" w:rsidRDefault="00000000">
            <w:pPr>
              <w:pStyle w:val="aa"/>
              <w:ind w:right="113"/>
              <w:jc w:val="right"/>
            </w:pPr>
            <w:r>
              <w:t>6,238</w:t>
            </w:r>
            <w:r>
              <w:br/>
              <w:t>1,131</w:t>
            </w:r>
          </w:p>
        </w:tc>
        <w:tc>
          <w:tcPr>
            <w:tcW w:w="583" w:type="pct"/>
          </w:tcPr>
          <w:p w:rsidR="00000000" w:rsidRDefault="00000000">
            <w:pPr>
              <w:pStyle w:val="aa"/>
              <w:ind w:right="113"/>
              <w:jc w:val="right"/>
            </w:pPr>
            <w:r>
              <w:t>6,169</w:t>
            </w:r>
            <w:r>
              <w:br/>
              <w:t>1,277</w:t>
            </w:r>
          </w:p>
        </w:tc>
        <w:tc>
          <w:tcPr>
            <w:tcW w:w="584" w:type="pct"/>
          </w:tcPr>
          <w:p w:rsidR="00000000" w:rsidRDefault="00000000">
            <w:pPr>
              <w:pStyle w:val="aa"/>
              <w:ind w:right="113"/>
              <w:jc w:val="right"/>
            </w:pPr>
            <w:r>
              <w:t>6,123</w:t>
            </w:r>
            <w:r>
              <w:br/>
              <w:t>1,287</w:t>
            </w:r>
          </w:p>
        </w:tc>
        <w:tc>
          <w:tcPr>
            <w:tcW w:w="583" w:type="pct"/>
          </w:tcPr>
          <w:p w:rsidR="00000000" w:rsidRDefault="00000000">
            <w:pPr>
              <w:pStyle w:val="aa"/>
              <w:ind w:right="113"/>
              <w:jc w:val="right"/>
            </w:pPr>
            <w:r>
              <w:t>6,235</w:t>
            </w:r>
            <w:r>
              <w:br/>
              <w:t>1,284</w:t>
            </w:r>
          </w:p>
        </w:tc>
        <w:tc>
          <w:tcPr>
            <w:tcW w:w="583" w:type="pct"/>
          </w:tcPr>
          <w:p w:rsidR="00000000" w:rsidRDefault="00000000">
            <w:pPr>
              <w:pStyle w:val="aa"/>
              <w:ind w:right="113"/>
              <w:jc w:val="right"/>
            </w:pPr>
            <w:r>
              <w:t>6,131</w:t>
            </w:r>
            <w:r>
              <w:br/>
              <w:t>1,331</w:t>
            </w:r>
          </w:p>
        </w:tc>
      </w:tr>
      <w:tr w:rsidR="00000000">
        <w:tblPrEx>
          <w:tblCellMar>
            <w:top w:w="0" w:type="dxa"/>
            <w:bottom w:w="0" w:type="dxa"/>
          </w:tblCellMar>
        </w:tblPrEx>
        <w:tc>
          <w:tcPr>
            <w:tcW w:w="2084" w:type="pct"/>
          </w:tcPr>
          <w:p w:rsidR="00000000" w:rsidRDefault="00000000">
            <w:pPr>
              <w:pStyle w:val="aa"/>
              <w:rPr>
                <w:rFonts w:hint="eastAsia"/>
              </w:rPr>
            </w:pPr>
            <w:r>
              <w:rPr>
                <w:rFonts w:hint="eastAsia"/>
              </w:rPr>
              <w:t>国立科学图书馆</w:t>
            </w:r>
          </w:p>
          <w:p w:rsidR="00000000" w:rsidRDefault="00000000">
            <w:pPr>
              <w:pStyle w:val="aa"/>
            </w:pPr>
            <w:r>
              <w:rPr>
                <w:rFonts w:hint="eastAsia"/>
              </w:rPr>
              <w:t>登记的读者人次</w:t>
            </w:r>
            <w:r>
              <w:rPr>
                <w:rFonts w:hint="eastAsia"/>
              </w:rPr>
              <w:t>(</w:t>
            </w:r>
            <w:r>
              <w:rPr>
                <w:rFonts w:hint="eastAsia"/>
              </w:rPr>
              <w:t>千人</w:t>
            </w:r>
            <w:r>
              <w:rPr>
                <w:rFonts w:hint="eastAsia"/>
              </w:rPr>
              <w:t>)</w:t>
            </w:r>
          </w:p>
        </w:tc>
        <w:tc>
          <w:tcPr>
            <w:tcW w:w="583" w:type="pct"/>
          </w:tcPr>
          <w:p w:rsidR="00000000" w:rsidRDefault="00000000">
            <w:pPr>
              <w:pStyle w:val="aa"/>
              <w:ind w:right="94"/>
              <w:jc w:val="right"/>
            </w:pPr>
            <w:r>
              <w:t>11</w:t>
            </w:r>
            <w:r>
              <w:br/>
              <w:t>299</w:t>
            </w:r>
          </w:p>
        </w:tc>
        <w:tc>
          <w:tcPr>
            <w:tcW w:w="583" w:type="pct"/>
          </w:tcPr>
          <w:p w:rsidR="00000000" w:rsidRDefault="00000000">
            <w:pPr>
              <w:pStyle w:val="aa"/>
              <w:ind w:right="151"/>
              <w:jc w:val="right"/>
            </w:pPr>
            <w:r>
              <w:t>10</w:t>
            </w:r>
            <w:r>
              <w:br/>
              <w:t>151</w:t>
            </w:r>
          </w:p>
        </w:tc>
        <w:tc>
          <w:tcPr>
            <w:tcW w:w="584" w:type="pct"/>
          </w:tcPr>
          <w:p w:rsidR="00000000" w:rsidRDefault="00000000">
            <w:pPr>
              <w:pStyle w:val="aa"/>
              <w:ind w:right="105"/>
              <w:jc w:val="right"/>
            </w:pPr>
            <w:r>
              <w:t>10</w:t>
            </w:r>
            <w:r>
              <w:br/>
              <w:t>152</w:t>
            </w:r>
          </w:p>
        </w:tc>
        <w:tc>
          <w:tcPr>
            <w:tcW w:w="583" w:type="pct"/>
          </w:tcPr>
          <w:p w:rsidR="00000000" w:rsidRDefault="00000000">
            <w:pPr>
              <w:pStyle w:val="aa"/>
              <w:ind w:right="147"/>
              <w:jc w:val="right"/>
            </w:pPr>
            <w:r>
              <w:t>10</w:t>
            </w:r>
            <w:r>
              <w:br/>
              <w:t>148</w:t>
            </w:r>
          </w:p>
        </w:tc>
        <w:tc>
          <w:tcPr>
            <w:tcW w:w="583" w:type="pct"/>
          </w:tcPr>
          <w:p w:rsidR="00000000" w:rsidRDefault="00000000">
            <w:pPr>
              <w:pStyle w:val="aa"/>
              <w:ind w:right="114"/>
              <w:jc w:val="right"/>
            </w:pPr>
            <w:r>
              <w:t>10</w:t>
            </w:r>
            <w:r>
              <w:br/>
              <w:t>148</w:t>
            </w:r>
          </w:p>
        </w:tc>
      </w:tr>
      <w:tr w:rsidR="00000000">
        <w:tblPrEx>
          <w:tblCellMar>
            <w:top w:w="0" w:type="dxa"/>
            <w:bottom w:w="0" w:type="dxa"/>
          </w:tblCellMar>
        </w:tblPrEx>
        <w:tc>
          <w:tcPr>
            <w:tcW w:w="2084" w:type="pct"/>
          </w:tcPr>
          <w:p w:rsidR="00000000" w:rsidRDefault="00000000">
            <w:pPr>
              <w:pStyle w:val="aa"/>
              <w:rPr>
                <w:rFonts w:hint="eastAsia"/>
              </w:rPr>
            </w:pPr>
            <w:r>
              <w:rPr>
                <w:rFonts w:hint="eastAsia"/>
              </w:rPr>
              <w:t>大学图书馆</w:t>
            </w:r>
            <w:r>
              <w:br/>
              <w:t xml:space="preserve">   </w:t>
            </w:r>
            <w:r>
              <w:rPr>
                <w:rFonts w:hint="eastAsia"/>
              </w:rPr>
              <w:t xml:space="preserve"> </w:t>
            </w:r>
            <w:r>
              <w:rPr>
                <w:rFonts w:hint="eastAsia"/>
              </w:rPr>
              <w:t>登记的读者人次</w:t>
            </w:r>
            <w:r>
              <w:rPr>
                <w:rFonts w:hint="eastAsia"/>
              </w:rPr>
              <w:t>(</w:t>
            </w:r>
            <w:r>
              <w:rPr>
                <w:rFonts w:hint="eastAsia"/>
              </w:rPr>
              <w:t>千人</w:t>
            </w:r>
            <w:r>
              <w:rPr>
                <w:rFonts w:hint="eastAsia"/>
              </w:rPr>
              <w:t>)</w:t>
            </w:r>
          </w:p>
        </w:tc>
        <w:tc>
          <w:tcPr>
            <w:tcW w:w="583" w:type="pct"/>
          </w:tcPr>
          <w:p w:rsidR="00000000" w:rsidRDefault="00000000">
            <w:pPr>
              <w:pStyle w:val="aa"/>
              <w:ind w:right="94"/>
              <w:jc w:val="right"/>
            </w:pPr>
            <w:r>
              <w:t>72</w:t>
            </w:r>
            <w:r>
              <w:br/>
              <w:t>191</w:t>
            </w:r>
          </w:p>
        </w:tc>
        <w:tc>
          <w:tcPr>
            <w:tcW w:w="583" w:type="pct"/>
          </w:tcPr>
          <w:p w:rsidR="00000000" w:rsidRDefault="00000000">
            <w:pPr>
              <w:pStyle w:val="aa"/>
              <w:ind w:right="151"/>
              <w:jc w:val="right"/>
            </w:pPr>
            <w:r>
              <w:t>74</w:t>
            </w:r>
            <w:r>
              <w:br/>
              <w:t>230</w:t>
            </w:r>
          </w:p>
        </w:tc>
        <w:tc>
          <w:tcPr>
            <w:tcW w:w="584" w:type="pct"/>
          </w:tcPr>
          <w:p w:rsidR="00000000" w:rsidRDefault="00000000">
            <w:pPr>
              <w:pStyle w:val="aa"/>
              <w:ind w:right="105"/>
              <w:jc w:val="right"/>
            </w:pPr>
            <w:r>
              <w:t>65</w:t>
            </w:r>
            <w:r>
              <w:br/>
              <w:t>243</w:t>
            </w:r>
          </w:p>
        </w:tc>
        <w:tc>
          <w:tcPr>
            <w:tcW w:w="583" w:type="pct"/>
          </w:tcPr>
          <w:p w:rsidR="00000000" w:rsidRDefault="00000000">
            <w:pPr>
              <w:pStyle w:val="aa"/>
              <w:ind w:right="147"/>
              <w:jc w:val="right"/>
            </w:pPr>
            <w:r>
              <w:t>64</w:t>
            </w:r>
            <w:r>
              <w:br/>
              <w:t>225</w:t>
            </w:r>
          </w:p>
        </w:tc>
        <w:tc>
          <w:tcPr>
            <w:tcW w:w="583" w:type="pct"/>
          </w:tcPr>
          <w:p w:rsidR="00000000" w:rsidRDefault="00000000">
            <w:pPr>
              <w:pStyle w:val="aa"/>
              <w:ind w:right="114"/>
              <w:jc w:val="right"/>
            </w:pPr>
            <w:r>
              <w:t>64</w:t>
            </w:r>
            <w:r>
              <w:br/>
              <w:t>225</w:t>
            </w:r>
          </w:p>
        </w:tc>
      </w:tr>
    </w:tbl>
    <w:p w:rsidR="00000000" w:rsidRDefault="00000000">
      <w:pPr>
        <w:pStyle w:val="FootnoteText"/>
        <w:spacing w:before="240"/>
        <w:rPr>
          <w:rFonts w:hint="eastAsia"/>
        </w:rPr>
      </w:pPr>
      <w:r>
        <w:rPr>
          <w:rFonts w:hint="eastAsia"/>
          <w:u w:val="single"/>
        </w:rPr>
        <w:t>资料来源</w:t>
      </w:r>
      <w:r>
        <w:t>：</w:t>
      </w:r>
      <w:r>
        <w:rPr>
          <w:rFonts w:hint="eastAsia"/>
        </w:rPr>
        <w:t>《捷克共和国统计年鉴》，</w:t>
      </w:r>
      <w:r>
        <w:rPr>
          <w:rFonts w:hint="eastAsia"/>
        </w:rPr>
        <w:t>1999</w:t>
      </w:r>
      <w:r>
        <w:rPr>
          <w:rFonts w:hint="eastAsia"/>
        </w:rPr>
        <w:t>年。</w:t>
      </w:r>
    </w:p>
    <w:p w:rsidR="00000000" w:rsidRDefault="00000000">
      <w:pPr>
        <w:pStyle w:val="FootnoteText"/>
        <w:ind w:left="510" w:firstLine="750"/>
        <w:rPr>
          <w:rFonts w:hint="eastAsia"/>
        </w:rPr>
      </w:pPr>
      <w:r>
        <w:rPr>
          <w:u w:val="single"/>
        </w:rPr>
        <w:t>a</w:t>
      </w:r>
      <w:r>
        <w:rPr>
          <w:rFonts w:hint="eastAsia"/>
        </w:rPr>
        <w:t>/   1995</w:t>
      </w:r>
      <w:r>
        <w:rPr>
          <w:rFonts w:hint="eastAsia"/>
        </w:rPr>
        <w:t>年的数据未予确定</w:t>
      </w:r>
    </w:p>
    <w:p w:rsidR="00000000" w:rsidRDefault="00000000">
      <w:pPr>
        <w:pStyle w:val="FootnoteText"/>
        <w:spacing w:after="320"/>
        <w:ind w:left="510" w:firstLine="750"/>
        <w:rPr>
          <w:rFonts w:hint="eastAsia"/>
        </w:rPr>
      </w:pPr>
      <w:r>
        <w:rPr>
          <w:u w:val="single"/>
        </w:rPr>
        <w:t>b</w:t>
      </w:r>
      <w:r>
        <w:rPr>
          <w:rFonts w:hint="eastAsia"/>
        </w:rPr>
        <w:t xml:space="preserve">/   </w:t>
      </w:r>
      <w:r>
        <w:rPr>
          <w:rFonts w:hint="eastAsia"/>
        </w:rPr>
        <w:t>仅指自费前往欣赏的音乐会或表演。</w:t>
      </w:r>
    </w:p>
    <w:p w:rsidR="00000000" w:rsidRDefault="00000000">
      <w:pPr>
        <w:pStyle w:val="Heading4"/>
        <w:rPr>
          <w:rFonts w:hint="eastAsia"/>
        </w:rPr>
      </w:pPr>
      <w:r>
        <w:rPr>
          <w:rFonts w:hint="eastAsia"/>
        </w:rPr>
        <w:t>少数民族文化</w:t>
      </w:r>
    </w:p>
    <w:p w:rsidR="00000000" w:rsidRDefault="00000000">
      <w:pPr>
        <w:rPr>
          <w:rFonts w:hint="eastAsia"/>
        </w:rPr>
      </w:pPr>
      <w:r>
        <w:rPr>
          <w:rFonts w:hint="eastAsia"/>
        </w:rPr>
        <w:tab/>
        <w:t xml:space="preserve">686.  </w:t>
      </w:r>
      <w:r>
        <w:rPr>
          <w:rFonts w:hint="eastAsia"/>
        </w:rPr>
        <w:t>《宪章》和《关于保护少数民族的框架公约》保障少数民族文化的发展。其他国内法规并不涉及少数民族文化的发展。为少数民族文化的发展提供支持的，主要是文化部和各城市和自治市。这种支持主要集中在建立公共图书馆、出版书籍和其他非定期刊物、建立剧团，以及支持包括民间文化活动在内的非专业</w:t>
      </w:r>
      <w:r>
        <w:rPr>
          <w:rFonts w:hint="eastAsia"/>
        </w:rPr>
        <w:t>(</w:t>
      </w:r>
      <w:r>
        <w:rPr>
          <w:rFonts w:hint="eastAsia"/>
        </w:rPr>
        <w:t>业余</w:t>
      </w:r>
      <w:r>
        <w:rPr>
          <w:rFonts w:hint="eastAsia"/>
        </w:rPr>
        <w:t>)</w:t>
      </w:r>
      <w:r>
        <w:rPr>
          <w:rFonts w:hint="eastAsia"/>
        </w:rPr>
        <w:t>艺术活动等方面。文化部主要向少数民族组织</w:t>
      </w:r>
      <w:r>
        <w:rPr>
          <w:rFonts w:hint="eastAsia"/>
        </w:rPr>
        <w:t>(</w:t>
      </w:r>
      <w:r>
        <w:rPr>
          <w:rFonts w:hint="eastAsia"/>
        </w:rPr>
        <w:t>公民协会</w:t>
      </w:r>
      <w:r>
        <w:rPr>
          <w:rFonts w:hint="eastAsia"/>
        </w:rPr>
        <w:t>)</w:t>
      </w:r>
      <w:r>
        <w:rPr>
          <w:rFonts w:hint="eastAsia"/>
        </w:rPr>
        <w:t>提供支持。</w:t>
      </w:r>
    </w:p>
    <w:p w:rsidR="00000000" w:rsidRDefault="00000000">
      <w:pPr>
        <w:rPr>
          <w:rFonts w:hint="eastAsia"/>
        </w:rPr>
      </w:pPr>
      <w:r>
        <w:rPr>
          <w:rFonts w:hint="eastAsia"/>
        </w:rPr>
        <w:tab/>
        <w:t xml:space="preserve">687.  </w:t>
      </w:r>
      <w:r>
        <w:rPr>
          <w:rFonts w:hint="eastAsia"/>
        </w:rPr>
        <w:t>为此，文化部自</w:t>
      </w:r>
      <w:r>
        <w:rPr>
          <w:rFonts w:hint="eastAsia"/>
        </w:rPr>
        <w:t>1993</w:t>
      </w:r>
      <w:r>
        <w:rPr>
          <w:rFonts w:hint="eastAsia"/>
        </w:rPr>
        <w:t>年起每年举办一次少数民族组织文化项目评比活动，从这些活动中选出的项目可得到捷克共和国国家预算的补助。项目的评估和选定由一个专门的咨询小组负责进行，该小组由少数民族代表组成。每年约有</w:t>
      </w:r>
      <w:r>
        <w:rPr>
          <w:rFonts w:hint="eastAsia"/>
        </w:rPr>
        <w:t>60</w:t>
      </w:r>
      <w:r>
        <w:rPr>
          <w:rFonts w:hint="eastAsia"/>
        </w:rPr>
        <w:t>个项目以此种方式得到评估。</w:t>
      </w:r>
      <w:r>
        <w:rPr>
          <w:rFonts w:hint="eastAsia"/>
        </w:rPr>
        <w:t>1997</w:t>
      </w:r>
      <w:r>
        <w:rPr>
          <w:rFonts w:hint="eastAsia"/>
        </w:rPr>
        <w:t>年，文化部为支持这些项目所花的经费为</w:t>
      </w:r>
      <w:r>
        <w:rPr>
          <w:rFonts w:hint="eastAsia"/>
        </w:rPr>
        <w:t>9,111,000</w:t>
      </w:r>
      <w:r>
        <w:rPr>
          <w:rFonts w:hint="eastAsia"/>
        </w:rPr>
        <w:t>克朗，</w:t>
      </w:r>
      <w:r>
        <w:rPr>
          <w:rFonts w:hint="eastAsia"/>
        </w:rPr>
        <w:t>1998</w:t>
      </w:r>
      <w:r>
        <w:rPr>
          <w:rFonts w:hint="eastAsia"/>
        </w:rPr>
        <w:t>年，在这方面所花的经费为</w:t>
      </w:r>
      <w:r>
        <w:rPr>
          <w:rFonts w:hint="eastAsia"/>
        </w:rPr>
        <w:t>10,056,000</w:t>
      </w:r>
      <w:r>
        <w:rPr>
          <w:rFonts w:hint="eastAsia"/>
        </w:rPr>
        <w:t>克朗</w:t>
      </w:r>
      <w:r>
        <w:rPr>
          <w:rFonts w:hint="eastAsia"/>
        </w:rPr>
        <w:t xml:space="preserve"> </w:t>
      </w:r>
      <w:r>
        <w:rPr>
          <w:rStyle w:val="EndnoteReference"/>
        </w:rPr>
        <w:endnoteReference w:id="402"/>
      </w:r>
      <w:r>
        <w:rPr>
          <w:rFonts w:hint="eastAsia"/>
        </w:rPr>
        <w:t xml:space="preserve"> </w:t>
      </w:r>
      <w:r>
        <w:rPr>
          <w:rFonts w:hint="eastAsia"/>
        </w:rPr>
        <w:t>。</w:t>
      </w:r>
    </w:p>
    <w:p w:rsidR="00000000" w:rsidRDefault="00000000">
      <w:pPr>
        <w:rPr>
          <w:rFonts w:hint="eastAsia"/>
        </w:rPr>
      </w:pPr>
      <w:r>
        <w:rPr>
          <w:rFonts w:hint="eastAsia"/>
        </w:rPr>
        <w:tab/>
        <w:t xml:space="preserve">688.  </w:t>
      </w:r>
      <w:r>
        <w:rPr>
          <w:rFonts w:hint="eastAsia"/>
        </w:rPr>
        <w:t>各城市采用类似做法：它们宣布定期评选可享受补助的非专业文化活动和项目，包括少数民族公民协会提交的项目。</w:t>
      </w:r>
    </w:p>
    <w:p w:rsidR="00000000" w:rsidRDefault="00000000">
      <w:pPr>
        <w:spacing w:after="320"/>
        <w:rPr>
          <w:rFonts w:hint="eastAsia"/>
        </w:rPr>
      </w:pPr>
      <w:r>
        <w:rPr>
          <w:rFonts w:hint="eastAsia"/>
        </w:rPr>
        <w:tab/>
        <w:t xml:space="preserve">689.  </w:t>
      </w:r>
      <w:r>
        <w:rPr>
          <w:rFonts w:hint="eastAsia"/>
        </w:rPr>
        <w:t>少数民族定期刊物，在经捷克共和国政府少数民族事务委员会讨论和同意之后，由财政部提供资助。</w:t>
      </w:r>
    </w:p>
    <w:p w:rsidR="00000000" w:rsidRDefault="00000000">
      <w:pPr>
        <w:pStyle w:val="Heading4"/>
        <w:rPr>
          <w:rFonts w:hint="eastAsia"/>
        </w:rPr>
      </w:pPr>
      <w:r>
        <w:rPr>
          <w:rFonts w:hint="eastAsia"/>
        </w:rPr>
        <w:t>残</w:t>
      </w:r>
      <w:r>
        <w:rPr>
          <w:rFonts w:hint="eastAsia"/>
        </w:rPr>
        <w:t xml:space="preserve"> </w:t>
      </w:r>
      <w:r>
        <w:rPr>
          <w:rFonts w:hint="eastAsia"/>
        </w:rPr>
        <w:t>疾</w:t>
      </w:r>
      <w:r>
        <w:rPr>
          <w:rFonts w:hint="eastAsia"/>
        </w:rPr>
        <w:t xml:space="preserve"> </w:t>
      </w:r>
      <w:r>
        <w:rPr>
          <w:rFonts w:hint="eastAsia"/>
        </w:rPr>
        <w:t>人</w:t>
      </w:r>
    </w:p>
    <w:p w:rsidR="00000000" w:rsidRDefault="00000000">
      <w:pPr>
        <w:rPr>
          <w:rFonts w:hint="eastAsia"/>
        </w:rPr>
      </w:pPr>
      <w:r>
        <w:rPr>
          <w:rFonts w:hint="eastAsia"/>
        </w:rPr>
        <w:tab/>
        <w:t xml:space="preserve">690.  </w:t>
      </w:r>
      <w:r>
        <w:rPr>
          <w:rFonts w:hint="eastAsia"/>
        </w:rPr>
        <w:t>捷克共和国极为关注残疾公民的文化活动的开展，因为设法使其融入社会也是防止残疾人处于孤立无援境地的一项重要手段。同时，这些活动也是为残疾人提供治疗的一个重要的组成部分。残疾人约占总人口的</w:t>
      </w:r>
      <w:r>
        <w:rPr>
          <w:rFonts w:hint="eastAsia"/>
        </w:rPr>
        <w:t>10%</w:t>
      </w:r>
      <w:r>
        <w:rPr>
          <w:rFonts w:hint="eastAsia"/>
        </w:rPr>
        <w:t>。</w:t>
      </w:r>
    </w:p>
    <w:p w:rsidR="00000000" w:rsidRDefault="00000000">
      <w:pPr>
        <w:rPr>
          <w:rFonts w:hint="eastAsia"/>
        </w:rPr>
      </w:pPr>
      <w:r>
        <w:rPr>
          <w:rFonts w:hint="eastAsia"/>
        </w:rPr>
        <w:tab/>
        <w:t xml:space="preserve">691.  </w:t>
      </w:r>
      <w:r>
        <w:rPr>
          <w:rFonts w:hint="eastAsia"/>
        </w:rPr>
        <w:t>为此，政府批准了《残疾公民享受均等机会国家计划》。在这项计划框架内，文化部主要在两个基本方面提供援助：设法通过提供技术手段，使行动不便的人员能够利用文化机构；为残疾人自己开展的文化活动提供支持。</w:t>
      </w:r>
    </w:p>
    <w:p w:rsidR="00000000" w:rsidRDefault="00000000">
      <w:pPr>
        <w:spacing w:after="320"/>
        <w:rPr>
          <w:rFonts w:hint="eastAsia"/>
        </w:rPr>
      </w:pPr>
      <w:r>
        <w:rPr>
          <w:rFonts w:hint="eastAsia"/>
        </w:rPr>
        <w:tab/>
        <w:t>692.  1997</w:t>
      </w:r>
      <w:r>
        <w:rPr>
          <w:rFonts w:hint="eastAsia"/>
        </w:rPr>
        <w:t>年，文化部为支持大约</w:t>
      </w:r>
      <w:r>
        <w:rPr>
          <w:rFonts w:hint="eastAsia"/>
        </w:rPr>
        <w:t>80</w:t>
      </w:r>
      <w:r>
        <w:rPr>
          <w:rFonts w:hint="eastAsia"/>
        </w:rPr>
        <w:t>个项目花费资金</w:t>
      </w:r>
      <w:r>
        <w:rPr>
          <w:rFonts w:hint="eastAsia"/>
        </w:rPr>
        <w:t>5,670,000</w:t>
      </w:r>
      <w:r>
        <w:rPr>
          <w:rFonts w:hint="eastAsia"/>
        </w:rPr>
        <w:t>克朗，</w:t>
      </w:r>
      <w:r>
        <w:rPr>
          <w:rFonts w:hint="eastAsia"/>
        </w:rPr>
        <w:t>1998</w:t>
      </w:r>
      <w:r>
        <w:rPr>
          <w:rFonts w:hint="eastAsia"/>
        </w:rPr>
        <w:t>年，为支持大致同等数目的项目所花的经费为</w:t>
      </w:r>
      <w:r>
        <w:rPr>
          <w:rFonts w:hint="eastAsia"/>
        </w:rPr>
        <w:t>4,814,000</w:t>
      </w:r>
      <w:r>
        <w:rPr>
          <w:rFonts w:hint="eastAsia"/>
        </w:rPr>
        <w:t>克朗。文化部以此种方式从预算中拨出的资金，对一般城市和自治市以及私人赞助者为这些目的而捐赠的资金起到一种补助作用。</w:t>
      </w:r>
    </w:p>
    <w:p w:rsidR="00000000" w:rsidRDefault="00000000">
      <w:pPr>
        <w:pStyle w:val="Heading4"/>
        <w:rPr>
          <w:rFonts w:hint="eastAsia"/>
        </w:rPr>
      </w:pPr>
      <w:r>
        <w:rPr>
          <w:rFonts w:hint="eastAsia"/>
        </w:rPr>
        <w:t>文化遗产</w:t>
      </w:r>
    </w:p>
    <w:p w:rsidR="00000000" w:rsidRDefault="00000000">
      <w:pPr>
        <w:rPr>
          <w:rFonts w:hint="eastAsia"/>
        </w:rPr>
      </w:pPr>
      <w:r>
        <w:rPr>
          <w:rFonts w:hint="eastAsia"/>
        </w:rPr>
        <w:tab/>
        <w:t xml:space="preserve">693.  </w:t>
      </w:r>
      <w:r>
        <w:rPr>
          <w:rFonts w:hint="eastAsia"/>
        </w:rPr>
        <w:t>文化遗产是文化财富的一部分。实际上，捷克共和国将属于文化资源的物品和不动产或建筑物的保护与文物、具有文化价值的物品以及文献资料的保护加以区别对待。</w:t>
      </w:r>
    </w:p>
    <w:p w:rsidR="00000000" w:rsidRDefault="00000000">
      <w:pPr>
        <w:rPr>
          <w:rFonts w:hint="eastAsia"/>
        </w:rPr>
      </w:pPr>
      <w:r>
        <w:rPr>
          <w:rFonts w:hint="eastAsia"/>
        </w:rPr>
        <w:tab/>
        <w:t xml:space="preserve">694.  </w:t>
      </w:r>
      <w:r>
        <w:rPr>
          <w:rFonts w:hint="eastAsia"/>
        </w:rPr>
        <w:t>一些专门法规对文物即文化遗产中最有价值的部分的保护作了规定。这些法规还对国家管理的部分文化遗产的等级作了规定，还规定，文物的修复、整修、维护或重建不得使文物的文化价值受到削弱</w:t>
      </w:r>
      <w:r>
        <w:rPr>
          <w:rFonts w:hint="eastAsia"/>
        </w:rPr>
        <w:t xml:space="preserve"> </w:t>
      </w:r>
      <w:r>
        <w:rPr>
          <w:rStyle w:val="EndnoteReference"/>
        </w:rPr>
        <w:endnoteReference w:id="403"/>
      </w:r>
      <w:r>
        <w:rPr>
          <w:rFonts w:hint="eastAsia"/>
        </w:rPr>
        <w:t xml:space="preserve"> </w:t>
      </w:r>
      <w:r>
        <w:rPr>
          <w:rFonts w:hint="eastAsia"/>
        </w:rPr>
        <w:t>。为此，政府拥有一个专家</w:t>
      </w:r>
      <w:r>
        <w:rPr>
          <w:rFonts w:hint="eastAsia"/>
        </w:rPr>
        <w:t>(</w:t>
      </w:r>
      <w:r>
        <w:rPr>
          <w:rFonts w:hint="eastAsia"/>
        </w:rPr>
        <w:t>科研人员</w:t>
      </w:r>
      <w:r>
        <w:rPr>
          <w:rFonts w:hint="eastAsia"/>
        </w:rPr>
        <w:t>)</w:t>
      </w:r>
      <w:r>
        <w:rPr>
          <w:rFonts w:hint="eastAsia"/>
        </w:rPr>
        <w:t>工作场所</w:t>
      </w:r>
      <w:r>
        <w:rPr>
          <w:rFonts w:hint="eastAsia"/>
        </w:rPr>
        <w:t>(</w:t>
      </w:r>
      <w:r>
        <w:rPr>
          <w:rFonts w:hint="eastAsia"/>
        </w:rPr>
        <w:t>古建筑保护机构</w:t>
      </w:r>
      <w:r>
        <w:rPr>
          <w:rFonts w:hint="eastAsia"/>
        </w:rPr>
        <w:t>)</w:t>
      </w:r>
      <w:r>
        <w:rPr>
          <w:rFonts w:hint="eastAsia"/>
        </w:rPr>
        <w:t>网络，这些机构由文化部设立，负责就是否允许修复、整修或重建某些建筑物向主管的国家管理部门提出专家建议和意见。这些专家组织还免费向投资者提供意见和建议。文化部共设立了</w:t>
      </w:r>
      <w:r>
        <w:rPr>
          <w:rFonts w:hint="eastAsia"/>
        </w:rPr>
        <w:t>8</w:t>
      </w:r>
      <w:r>
        <w:rPr>
          <w:rFonts w:hint="eastAsia"/>
        </w:rPr>
        <w:t>个这样的组织，这些组织主要在各自所在地区开展活动。</w:t>
      </w:r>
    </w:p>
    <w:p w:rsidR="00000000" w:rsidRDefault="00000000">
      <w:pPr>
        <w:rPr>
          <w:rFonts w:hint="eastAsia"/>
        </w:rPr>
      </w:pPr>
      <w:r>
        <w:rPr>
          <w:rFonts w:hint="eastAsia"/>
        </w:rPr>
        <w:tab/>
        <w:t xml:space="preserve">695.  </w:t>
      </w:r>
      <w:r>
        <w:rPr>
          <w:rFonts w:hint="eastAsia"/>
        </w:rPr>
        <w:t>古建筑保护机构还对一些已被宣布为文物单位、并向公众开放的建筑物实行经营管理。这些机构管理并经营着</w:t>
      </w:r>
      <w:r>
        <w:rPr>
          <w:rFonts w:hint="eastAsia"/>
        </w:rPr>
        <w:t>70</w:t>
      </w:r>
      <w:r>
        <w:rPr>
          <w:rFonts w:hint="eastAsia"/>
        </w:rPr>
        <w:t>处建筑物，包括城堡和宫殿，以及这些建筑物中存放的藏品和家具。此外，文化部还设立了另外三个独立的城堡和宫殿管理单位，这些单位管理和经营着其他建筑物。</w:t>
      </w:r>
    </w:p>
    <w:p w:rsidR="00000000" w:rsidRDefault="00000000">
      <w:pPr>
        <w:rPr>
          <w:rFonts w:hint="eastAsia"/>
        </w:rPr>
      </w:pPr>
      <w:r>
        <w:rPr>
          <w:rFonts w:hint="eastAsia"/>
        </w:rPr>
        <w:tab/>
        <w:t xml:space="preserve">696.  </w:t>
      </w:r>
      <w:r>
        <w:rPr>
          <w:rFonts w:hint="eastAsia"/>
        </w:rPr>
        <w:t>除了上述组织以外，文化部还建立了三个考古学遗址保护机构和国家古建筑保护局，该局为中央专家组织，领导着所有其他</w:t>
      </w:r>
      <w:r>
        <w:rPr>
          <w:rFonts w:hint="eastAsia"/>
        </w:rPr>
        <w:t>(</w:t>
      </w:r>
      <w:r>
        <w:rPr>
          <w:rFonts w:hint="eastAsia"/>
        </w:rPr>
        <w:t>区级</w:t>
      </w:r>
      <w:r>
        <w:rPr>
          <w:rFonts w:hint="eastAsia"/>
        </w:rPr>
        <w:t>)</w:t>
      </w:r>
      <w:r>
        <w:rPr>
          <w:rFonts w:hint="eastAsia"/>
        </w:rPr>
        <w:t>古建筑保护机构和考古机构。该局还经文化部授权维持着一个中央古建筑名册，并负责为文化部准备专门的规划材料。</w:t>
      </w:r>
    </w:p>
    <w:p w:rsidR="00000000" w:rsidRDefault="00000000">
      <w:pPr>
        <w:rPr>
          <w:rFonts w:hint="eastAsia"/>
        </w:rPr>
      </w:pPr>
      <w:r>
        <w:rPr>
          <w:rFonts w:hint="eastAsia"/>
        </w:rPr>
        <w:tab/>
        <w:t xml:space="preserve">697.  </w:t>
      </w:r>
      <w:r>
        <w:rPr>
          <w:rFonts w:hint="eastAsia"/>
        </w:rPr>
        <w:t>在文化遗产领域，还有一些并非由文化部设立的专家组织。捷克共和国科学院考古研究所是这一领域的主要组织，该研究所从事基本的考古学研究工作</w:t>
      </w:r>
      <w:r>
        <w:rPr>
          <w:rFonts w:hint="eastAsia"/>
        </w:rPr>
        <w:t>(</w:t>
      </w:r>
      <w:r>
        <w:rPr>
          <w:rFonts w:hint="eastAsia"/>
        </w:rPr>
        <w:t>文化部设立的考古机构主要从事所谓的“拯救性”研究活动，即在投资活动已经开始的领域从事研究活动</w:t>
      </w:r>
      <w:r>
        <w:rPr>
          <w:rFonts w:hint="eastAsia"/>
        </w:rPr>
        <w:t>)</w:t>
      </w:r>
      <w:r>
        <w:rPr>
          <w:rFonts w:hint="eastAsia"/>
        </w:rPr>
        <w:t>。</w:t>
      </w:r>
    </w:p>
    <w:p w:rsidR="00000000" w:rsidRDefault="00000000">
      <w:pPr>
        <w:rPr>
          <w:rFonts w:hint="eastAsia"/>
        </w:rPr>
      </w:pPr>
      <w:r>
        <w:rPr>
          <w:rFonts w:hint="eastAsia"/>
        </w:rPr>
        <w:tab/>
        <w:t xml:space="preserve">698.  </w:t>
      </w:r>
      <w:r>
        <w:rPr>
          <w:rFonts w:hint="eastAsia"/>
        </w:rPr>
        <w:t>就资金而言，文物保护主要由所有人负责。但是，国家可以出资负担文物修复费用的增加部分，一般来说最多可负担</w:t>
      </w:r>
      <w:r>
        <w:rPr>
          <w:rFonts w:hint="eastAsia"/>
        </w:rPr>
        <w:t>50%</w:t>
      </w:r>
      <w:r>
        <w:rPr>
          <w:rFonts w:hint="eastAsia"/>
        </w:rPr>
        <w:t>。如修复国家级文物保护单位</w:t>
      </w:r>
      <w:r>
        <w:rPr>
          <w:rFonts w:hint="eastAsia"/>
        </w:rPr>
        <w:t>(</w:t>
      </w:r>
      <w:r>
        <w:rPr>
          <w:rFonts w:hint="eastAsia"/>
        </w:rPr>
        <w:t>最重要的一类文物，这类文物在捷克共和国政府通过一项特别决议之后，直接被宣布为国家级文物保护单位</w:t>
      </w:r>
      <w:r>
        <w:rPr>
          <w:rFonts w:hint="eastAsia"/>
        </w:rPr>
        <w:t>)</w:t>
      </w:r>
      <w:r>
        <w:rPr>
          <w:rFonts w:hint="eastAsia"/>
        </w:rPr>
        <w:t>，国家最多可负担增加部分的</w:t>
      </w:r>
      <w:r>
        <w:rPr>
          <w:rFonts w:hint="eastAsia"/>
        </w:rPr>
        <w:t>100%</w:t>
      </w:r>
      <w:r>
        <w:rPr>
          <w:rFonts w:hint="eastAsia"/>
        </w:rPr>
        <w:t>。</w:t>
      </w:r>
    </w:p>
    <w:p w:rsidR="00000000" w:rsidRDefault="00000000">
      <w:pPr>
        <w:rPr>
          <w:rFonts w:hint="eastAsia"/>
        </w:rPr>
      </w:pPr>
      <w:r>
        <w:rPr>
          <w:rFonts w:hint="eastAsia"/>
        </w:rPr>
        <w:tab/>
        <w:t xml:space="preserve">699.  </w:t>
      </w:r>
      <w:r>
        <w:rPr>
          <w:rFonts w:hint="eastAsia"/>
        </w:rPr>
        <w:t>为提供此种资助，文化部订有一些方案，这些方案以多渠道供资原则为基础。不过，得到这些方案提供的捐款并不属于一项应当享有的权利。这些方案有：</w:t>
      </w:r>
    </w:p>
    <w:p w:rsidR="00000000" w:rsidRDefault="00000000">
      <w:pPr>
        <w:pStyle w:val="a6"/>
        <w:ind w:left="1550"/>
        <w:rPr>
          <w:rFonts w:hint="eastAsia"/>
        </w:rPr>
      </w:pPr>
      <w:r>
        <w:rPr>
          <w:rFonts w:hint="eastAsia"/>
        </w:rPr>
        <w:t>《拯救建筑遗产方案》</w:t>
      </w:r>
      <w:r>
        <w:rPr>
          <w:rFonts w:hint="eastAsia"/>
        </w:rPr>
        <w:t>(</w:t>
      </w:r>
      <w:r>
        <w:rPr>
          <w:rFonts w:hint="eastAsia"/>
        </w:rPr>
        <w:t>目的是协助修复和重建单个建筑物</w:t>
      </w:r>
      <w:r>
        <w:rPr>
          <w:rFonts w:hint="eastAsia"/>
        </w:rPr>
        <w:t>)</w:t>
      </w:r>
      <w:r>
        <w:rPr>
          <w:rFonts w:hint="eastAsia"/>
        </w:rPr>
        <w:t>；</w:t>
      </w:r>
    </w:p>
    <w:p w:rsidR="00000000" w:rsidRDefault="00000000">
      <w:pPr>
        <w:pStyle w:val="a6"/>
        <w:ind w:left="1550"/>
        <w:rPr>
          <w:rFonts w:hint="eastAsia"/>
        </w:rPr>
      </w:pPr>
      <w:r>
        <w:rPr>
          <w:rFonts w:hint="eastAsia"/>
        </w:rPr>
        <w:t>《修复宗教文物方案》</w:t>
      </w:r>
      <w:r>
        <w:rPr>
          <w:rFonts w:hint="eastAsia"/>
        </w:rPr>
        <w:t>(</w:t>
      </w:r>
      <w:r>
        <w:rPr>
          <w:rFonts w:hint="eastAsia"/>
        </w:rPr>
        <w:t>目的是部分补偿注册教会和宗教团体拥有的宗教建筑物、不动产以及物品的修复费用</w:t>
      </w:r>
      <w:r>
        <w:rPr>
          <w:rFonts w:hint="eastAsia"/>
        </w:rPr>
        <w:t>)</w:t>
      </w:r>
      <w:r>
        <w:rPr>
          <w:rFonts w:hint="eastAsia"/>
        </w:rPr>
        <w:t>；</w:t>
      </w:r>
    </w:p>
    <w:p w:rsidR="00000000" w:rsidRDefault="00000000">
      <w:pPr>
        <w:pStyle w:val="a6"/>
        <w:ind w:left="1550"/>
        <w:rPr>
          <w:rFonts w:hint="eastAsia"/>
        </w:rPr>
      </w:pPr>
      <w:r>
        <w:rPr>
          <w:rFonts w:hint="eastAsia"/>
        </w:rPr>
        <w:t>《城市古建筑保护区修复方案》</w:t>
      </w:r>
      <w:r>
        <w:rPr>
          <w:rFonts w:hint="eastAsia"/>
        </w:rPr>
        <w:t>(</w:t>
      </w:r>
      <w:r>
        <w:rPr>
          <w:rFonts w:hint="eastAsia"/>
        </w:rPr>
        <w:t>目的是在拯救和修复被宣布为古建筑保护区的城区方面向有关城市提供优先援助</w:t>
      </w:r>
      <w:r>
        <w:rPr>
          <w:rFonts w:hint="eastAsia"/>
        </w:rPr>
        <w:t>)</w:t>
      </w:r>
      <w:r>
        <w:rPr>
          <w:rFonts w:hint="eastAsia"/>
        </w:rPr>
        <w:t>；</w:t>
      </w:r>
    </w:p>
    <w:p w:rsidR="00000000" w:rsidRDefault="00000000">
      <w:pPr>
        <w:pStyle w:val="a6"/>
        <w:ind w:left="1550"/>
        <w:rPr>
          <w:rFonts w:hint="eastAsia"/>
        </w:rPr>
      </w:pPr>
      <w:r>
        <w:rPr>
          <w:rFonts w:hint="eastAsia"/>
        </w:rPr>
        <w:t>《拯救性考古研究支助方案》；</w:t>
      </w:r>
    </w:p>
    <w:p w:rsidR="00000000" w:rsidRDefault="00000000">
      <w:pPr>
        <w:pStyle w:val="a6"/>
        <w:ind w:left="1550"/>
        <w:rPr>
          <w:rFonts w:hint="eastAsia"/>
        </w:rPr>
      </w:pPr>
      <w:r>
        <w:rPr>
          <w:rFonts w:hint="eastAsia"/>
        </w:rPr>
        <w:t>《文物修复方案》，以及其他一些方案。</w:t>
      </w:r>
    </w:p>
    <w:p w:rsidR="00000000" w:rsidRDefault="00000000">
      <w:pPr>
        <w:rPr>
          <w:rFonts w:hint="eastAsia"/>
        </w:rPr>
      </w:pPr>
      <w:r>
        <w:rPr>
          <w:rFonts w:hint="eastAsia"/>
        </w:rPr>
        <w:tab/>
        <w:t xml:space="preserve">700.  </w:t>
      </w:r>
      <w:r>
        <w:rPr>
          <w:rFonts w:hint="eastAsia"/>
        </w:rPr>
        <w:t>具有文化价值的物品这一概念是一个较新的概念，直到</w:t>
      </w:r>
      <w:r>
        <w:rPr>
          <w:rFonts w:hint="eastAsia"/>
        </w:rPr>
        <w:t>1994</w:t>
      </w:r>
      <w:r>
        <w:rPr>
          <w:rFonts w:hint="eastAsia"/>
        </w:rPr>
        <w:t>年才在《具有文化价值的物品的出售和出口法》</w:t>
      </w:r>
      <w:r>
        <w:rPr>
          <w:rFonts w:hint="eastAsia"/>
        </w:rPr>
        <w:t xml:space="preserve"> </w:t>
      </w:r>
      <w:r>
        <w:rPr>
          <w:rStyle w:val="EndnoteReference"/>
        </w:rPr>
        <w:endnoteReference w:id="404"/>
      </w:r>
      <w:r>
        <w:rPr>
          <w:rFonts w:hint="eastAsia"/>
        </w:rPr>
        <w:t xml:space="preserve"> </w:t>
      </w:r>
      <w:r>
        <w:rPr>
          <w:rFonts w:hint="eastAsia"/>
        </w:rPr>
        <w:t>中得到界定。这部法规针对的是未定为文物，但具有文化价值的文化物品，目的是惩治某些犯罪活动。该法规列出了受其管制的某几类物品，这些物品被置于一项永久性出口管制制度之下。被文化部定为文物的物品根本不能永久性地出口到国外。不过，在文化部明确同意的前提下，可将这类物品带往国外一段时间。</w:t>
      </w:r>
    </w:p>
    <w:p w:rsidR="00000000" w:rsidRDefault="00000000">
      <w:pPr>
        <w:rPr>
          <w:rFonts w:hint="eastAsia"/>
        </w:rPr>
      </w:pPr>
      <w:r>
        <w:rPr>
          <w:rFonts w:hint="eastAsia"/>
        </w:rPr>
        <w:tab/>
        <w:t xml:space="preserve">701.  </w:t>
      </w:r>
      <w:r>
        <w:rPr>
          <w:rFonts w:hint="eastAsia"/>
        </w:rPr>
        <w:t>除了上述法规对珍贵文化物品的出口实行管制的框架以外，政府管理机构在对这些物品的管制方面并不具备任何其他手段，但属于博物馆、纪念馆和美术馆或图书馆，或档案馆</w:t>
      </w:r>
      <w:r>
        <w:rPr>
          <w:rFonts w:hint="eastAsia"/>
        </w:rPr>
        <w:t>(</w:t>
      </w:r>
      <w:r>
        <w:rPr>
          <w:rFonts w:hint="eastAsia"/>
        </w:rPr>
        <w:t>珍贵手稿，古版书等</w:t>
      </w:r>
      <w:r>
        <w:rPr>
          <w:rFonts w:hint="eastAsia"/>
        </w:rPr>
        <w:t>)</w:t>
      </w:r>
      <w:r>
        <w:rPr>
          <w:rFonts w:hint="eastAsia"/>
        </w:rPr>
        <w:t>的国家藏品组成部分的物品除外。这些物品受到一项保护制度的管制，这一制度由关于博物馆和美术馆、公共图书馆以及档案馆活动的特别法规加以规定。</w:t>
      </w:r>
    </w:p>
    <w:p w:rsidR="00000000" w:rsidRDefault="00000000">
      <w:pPr>
        <w:rPr>
          <w:rFonts w:hint="eastAsia"/>
        </w:rPr>
      </w:pPr>
      <w:r>
        <w:rPr>
          <w:rFonts w:hint="eastAsia"/>
        </w:rPr>
        <w:tab/>
        <w:t xml:space="preserve">702.  </w:t>
      </w:r>
      <w:r>
        <w:rPr>
          <w:rFonts w:hint="eastAsia"/>
        </w:rPr>
        <w:t>属于文化遗产的一部分的第三类物品，是文献资料。一部专门的《档案法》对文献资料保护作了规定。国家多数珍贵文献资料都由国家档案馆收藏，这些档案馆由内政部管理，但一些专门的档案馆，如国家电影档案馆或国家文学档案馆</w:t>
      </w:r>
      <w:r>
        <w:rPr>
          <w:rFonts w:hint="eastAsia"/>
        </w:rPr>
        <w:t>(</w:t>
      </w:r>
      <w:r>
        <w:rPr>
          <w:rFonts w:hint="eastAsia"/>
        </w:rPr>
        <w:t>国家文学纪念馆</w:t>
      </w:r>
      <w:r>
        <w:rPr>
          <w:rFonts w:hint="eastAsia"/>
        </w:rPr>
        <w:t>)</w:t>
      </w:r>
      <w:r>
        <w:rPr>
          <w:rFonts w:hint="eastAsia"/>
        </w:rPr>
        <w:t>等例外，前者隶属文化部，后者除其他外，保存并使公众能够查阅所收藏的捷克作家留下的手稿、书信以及书面材料等。</w:t>
      </w:r>
    </w:p>
    <w:p w:rsidR="00000000" w:rsidRDefault="00000000">
      <w:pPr>
        <w:spacing w:after="320"/>
        <w:rPr>
          <w:rFonts w:hint="eastAsia"/>
        </w:rPr>
      </w:pPr>
      <w:r>
        <w:rPr>
          <w:rFonts w:hint="eastAsia"/>
        </w:rPr>
        <w:tab/>
        <w:t xml:space="preserve">703.  </w:t>
      </w:r>
      <w:r>
        <w:rPr>
          <w:rFonts w:hint="eastAsia"/>
        </w:rPr>
        <w:t>所谓非重要的文化遗产，主要包括传统民间文化各组成部分，如民间文学、歌曲、舞蹈、民间行业的工艺等，在捷克共和国不受任何专门法规的保护。不过，保护知识产权的法规可酌情适用于这些成果。</w:t>
      </w:r>
    </w:p>
    <w:p w:rsidR="00000000" w:rsidRDefault="00000000">
      <w:pPr>
        <w:pStyle w:val="Heading4"/>
        <w:spacing w:after="160"/>
        <w:rPr>
          <w:rFonts w:hint="eastAsia"/>
        </w:rPr>
      </w:pPr>
      <w:r>
        <w:rPr>
          <w:rFonts w:hint="eastAsia"/>
        </w:rPr>
        <w:t>享受科学进步带来的益处的权利</w:t>
      </w:r>
    </w:p>
    <w:p w:rsidR="00000000" w:rsidRDefault="00000000">
      <w:pPr>
        <w:rPr>
          <w:rFonts w:hint="eastAsia"/>
        </w:rPr>
      </w:pPr>
      <w:r>
        <w:rPr>
          <w:rFonts w:hint="eastAsia"/>
        </w:rPr>
        <w:tab/>
        <w:t xml:space="preserve">704.  </w:t>
      </w:r>
      <w:r>
        <w:rPr>
          <w:rFonts w:hint="eastAsia"/>
        </w:rPr>
        <w:t>传播信息和落实享受科学进步带来的益处的权利的一种重要方法，是定期将新的信息纳入《教学计划》。教育、青年和体育部依据在社会和学校教育等事项方面对学校实行领导的权利</w:t>
      </w:r>
      <w:r>
        <w:rPr>
          <w:rFonts w:hint="eastAsia"/>
        </w:rPr>
        <w:t>(</w:t>
      </w:r>
      <w:r>
        <w:rPr>
          <w:rFonts w:hint="eastAsia"/>
        </w:rPr>
        <w:t>《教育的国家管理和自我管理法》第</w:t>
      </w:r>
      <w:r>
        <w:rPr>
          <w:rFonts w:hint="eastAsia"/>
        </w:rPr>
        <w:t>12</w:t>
      </w:r>
      <w:r>
        <w:rPr>
          <w:rFonts w:hint="eastAsia"/>
        </w:rPr>
        <w:t>条对此作了规定</w:t>
      </w:r>
      <w:r>
        <w:rPr>
          <w:rFonts w:hint="eastAsia"/>
        </w:rPr>
        <w:t>)</w:t>
      </w:r>
      <w:r>
        <w:rPr>
          <w:rFonts w:hint="eastAsia"/>
        </w:rPr>
        <w:t>并依据《学校法》第</w:t>
      </w:r>
      <w:r>
        <w:rPr>
          <w:rFonts w:hint="eastAsia"/>
        </w:rPr>
        <w:t>39</w:t>
      </w:r>
      <w:r>
        <w:rPr>
          <w:rFonts w:hint="eastAsia"/>
        </w:rPr>
        <w:t>条，批准中小学和职业高中教学所采用的教学计划和教学大纲。在这方面，教育部设法确保教学计划所载的各科目的大纲能够反映科学进步的最新成果，而且这些成果能够介绍给儿童们。</w:t>
      </w:r>
    </w:p>
    <w:p w:rsidR="00000000" w:rsidRDefault="00000000">
      <w:pPr>
        <w:rPr>
          <w:rFonts w:hint="eastAsia"/>
          <w:spacing w:val="6"/>
        </w:rPr>
      </w:pPr>
      <w:r>
        <w:rPr>
          <w:rFonts w:hint="eastAsia"/>
        </w:rPr>
        <w:tab/>
        <w:t xml:space="preserve">705.  </w:t>
      </w:r>
      <w:r>
        <w:rPr>
          <w:rFonts w:hint="eastAsia"/>
          <w:spacing w:val="6"/>
        </w:rPr>
        <w:t>教育的目标和内容――这两者必须成为教学计划和教学大纲或作为核心材料的其他教学文件的一个组成部分――被列入各级和各类学校的标准。这些标准是：</w:t>
      </w:r>
    </w:p>
    <w:p w:rsidR="00000000" w:rsidRDefault="00000000">
      <w:pPr>
        <w:numPr>
          <w:ilvl w:val="0"/>
          <w:numId w:val="904"/>
        </w:numPr>
        <w:rPr>
          <w:rFonts w:hint="eastAsia"/>
        </w:rPr>
      </w:pPr>
      <w:r>
        <w:rPr>
          <w:rFonts w:hint="eastAsia"/>
        </w:rPr>
        <w:t>初等教育标准；</w:t>
      </w:r>
    </w:p>
    <w:p w:rsidR="00000000" w:rsidRDefault="00000000">
      <w:pPr>
        <w:numPr>
          <w:ilvl w:val="0"/>
          <w:numId w:val="904"/>
        </w:numPr>
        <w:rPr>
          <w:rFonts w:hint="eastAsia"/>
        </w:rPr>
      </w:pPr>
      <w:r>
        <w:rPr>
          <w:rFonts w:hint="eastAsia"/>
        </w:rPr>
        <w:t>四年制中等学校教育标准；</w:t>
      </w:r>
    </w:p>
    <w:p w:rsidR="00000000" w:rsidRDefault="00000000">
      <w:pPr>
        <w:numPr>
          <w:ilvl w:val="0"/>
          <w:numId w:val="904"/>
        </w:numPr>
        <w:rPr>
          <w:rFonts w:hint="eastAsia"/>
        </w:rPr>
      </w:pPr>
      <w:r>
        <w:rPr>
          <w:rFonts w:hint="eastAsia"/>
        </w:rPr>
        <w:t>中等职业教育标准</w:t>
      </w:r>
      <w:r>
        <w:rPr>
          <w:rFonts w:hint="eastAsia"/>
        </w:rPr>
        <w:t xml:space="preserve"> </w:t>
      </w:r>
      <w:r>
        <w:rPr>
          <w:rStyle w:val="EndnoteReference"/>
        </w:rPr>
        <w:endnoteReference w:id="405"/>
      </w:r>
      <w:r>
        <w:rPr>
          <w:rFonts w:hint="eastAsia"/>
        </w:rPr>
        <w:t>。</w:t>
      </w:r>
    </w:p>
    <w:p w:rsidR="00000000" w:rsidRDefault="00000000">
      <w:pPr>
        <w:rPr>
          <w:rFonts w:hint="eastAsia"/>
        </w:rPr>
      </w:pPr>
      <w:r>
        <w:rPr>
          <w:rFonts w:hint="eastAsia"/>
        </w:rPr>
        <w:tab/>
        <w:t xml:space="preserve">706.  </w:t>
      </w:r>
      <w:r>
        <w:rPr>
          <w:rFonts w:hint="eastAsia"/>
          <w:spacing w:val="4"/>
        </w:rPr>
        <w:t>初等教育文件还适用于多年制普通中学</w:t>
      </w:r>
      <w:r>
        <w:rPr>
          <w:rFonts w:hint="eastAsia"/>
          <w:spacing w:val="4"/>
        </w:rPr>
        <w:t>(8</w:t>
      </w:r>
      <w:r>
        <w:rPr>
          <w:rFonts w:hint="eastAsia"/>
          <w:spacing w:val="4"/>
        </w:rPr>
        <w:t>年制或</w:t>
      </w:r>
      <w:r>
        <w:rPr>
          <w:rFonts w:hint="eastAsia"/>
          <w:spacing w:val="4"/>
        </w:rPr>
        <w:t>6</w:t>
      </w:r>
      <w:r>
        <w:rPr>
          <w:rFonts w:hint="eastAsia"/>
          <w:spacing w:val="4"/>
        </w:rPr>
        <w:t>年制</w:t>
      </w:r>
      <w:r>
        <w:rPr>
          <w:rFonts w:hint="eastAsia"/>
          <w:spacing w:val="4"/>
        </w:rPr>
        <w:t>)</w:t>
      </w:r>
      <w:r>
        <w:rPr>
          <w:rFonts w:hint="eastAsia"/>
          <w:spacing w:val="4"/>
        </w:rPr>
        <w:t>的低年级，在这些学校，学生完成义务教育，并接受基础教育。由教育部在经专家评估之后签发的教科书</w:t>
      </w:r>
      <w:r>
        <w:rPr>
          <w:rFonts w:hint="eastAsia"/>
          <w:spacing w:val="4"/>
        </w:rPr>
        <w:t>(</w:t>
      </w:r>
      <w:r>
        <w:rPr>
          <w:rFonts w:hint="eastAsia"/>
          <w:spacing w:val="4"/>
        </w:rPr>
        <w:t>尤其是初等和中等教育教科书</w:t>
      </w:r>
      <w:r>
        <w:rPr>
          <w:rFonts w:hint="eastAsia"/>
          <w:spacing w:val="4"/>
        </w:rPr>
        <w:t>)</w:t>
      </w:r>
      <w:r>
        <w:rPr>
          <w:rFonts w:hint="eastAsia"/>
          <w:spacing w:val="4"/>
        </w:rPr>
        <w:t>核准证明，注明有关的教科书和教材符合这项要求。</w:t>
      </w:r>
    </w:p>
    <w:p w:rsidR="00000000" w:rsidRDefault="00000000">
      <w:pPr>
        <w:spacing w:after="160"/>
        <w:rPr>
          <w:rFonts w:hint="eastAsia"/>
          <w:spacing w:val="8"/>
        </w:rPr>
      </w:pPr>
      <w:r>
        <w:rPr>
          <w:rFonts w:hint="eastAsia"/>
        </w:rPr>
        <w:tab/>
        <w:t xml:space="preserve">707.  </w:t>
      </w:r>
      <w:r>
        <w:rPr>
          <w:rFonts w:hint="eastAsia"/>
          <w:spacing w:val="8"/>
        </w:rPr>
        <w:t>公共电视广播还在让公众了解科学进步方面发挥着相当大的作用，具体来说，电视台以新闻、时事、记录片、教育和宣传节目等方式传播科技进展信息。</w:t>
      </w:r>
    </w:p>
    <w:p w:rsidR="00000000" w:rsidRDefault="00000000">
      <w:pPr>
        <w:pStyle w:val="Heading3"/>
        <w:rPr>
          <w:rFonts w:hint="eastAsia"/>
        </w:rPr>
      </w:pPr>
      <w:r>
        <w:rPr>
          <w:rFonts w:hint="eastAsia"/>
        </w:rPr>
        <w:t>公共电视广播结构</w:t>
      </w:r>
      <w:r>
        <w:rPr>
          <w:rFonts w:hint="eastAsia"/>
        </w:rPr>
        <w:t>(</w:t>
      </w:r>
      <w:r>
        <w:rPr>
          <w:rFonts w:hint="eastAsia"/>
        </w:rPr>
        <w:t>各类节目所占百分比</w:t>
      </w:r>
      <w:r>
        <w:rPr>
          <w:rFonts w:hint="eastAsia"/>
        </w:rPr>
        <w:t>)</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6"/>
        <w:gridCol w:w="964"/>
        <w:gridCol w:w="964"/>
        <w:gridCol w:w="964"/>
        <w:gridCol w:w="964"/>
        <w:gridCol w:w="964"/>
        <w:gridCol w:w="920"/>
      </w:tblGrid>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sz w:val="21"/>
                <w:szCs w:val="22"/>
              </w:rPr>
            </w:pPr>
          </w:p>
        </w:tc>
        <w:tc>
          <w:tcPr>
            <w:tcW w:w="964" w:type="dxa"/>
            <w:tcBorders>
              <w:top w:val="single" w:sz="4" w:space="0" w:color="auto"/>
              <w:bottom w:val="single" w:sz="4" w:space="0" w:color="auto"/>
            </w:tcBorders>
          </w:tcPr>
          <w:p w:rsidR="00000000" w:rsidRDefault="00000000">
            <w:pPr>
              <w:spacing w:before="60" w:line="240" w:lineRule="auto"/>
              <w:jc w:val="center"/>
              <w:rPr>
                <w:sz w:val="21"/>
                <w:szCs w:val="22"/>
              </w:rPr>
            </w:pPr>
            <w:r>
              <w:rPr>
                <w:sz w:val="21"/>
                <w:szCs w:val="22"/>
              </w:rPr>
              <w:t>1993</w:t>
            </w:r>
          </w:p>
        </w:tc>
        <w:tc>
          <w:tcPr>
            <w:tcW w:w="964" w:type="dxa"/>
            <w:tcBorders>
              <w:top w:val="single" w:sz="4" w:space="0" w:color="auto"/>
              <w:bottom w:val="single" w:sz="4" w:space="0" w:color="auto"/>
            </w:tcBorders>
          </w:tcPr>
          <w:p w:rsidR="00000000" w:rsidRDefault="00000000">
            <w:pPr>
              <w:spacing w:before="60" w:line="240" w:lineRule="auto"/>
              <w:jc w:val="center"/>
              <w:rPr>
                <w:sz w:val="21"/>
                <w:szCs w:val="22"/>
              </w:rPr>
            </w:pPr>
            <w:r>
              <w:rPr>
                <w:sz w:val="21"/>
                <w:szCs w:val="22"/>
              </w:rPr>
              <w:t>1994</w:t>
            </w:r>
          </w:p>
        </w:tc>
        <w:tc>
          <w:tcPr>
            <w:tcW w:w="964" w:type="dxa"/>
            <w:tcBorders>
              <w:top w:val="single" w:sz="4" w:space="0" w:color="auto"/>
              <w:bottom w:val="single" w:sz="4" w:space="0" w:color="auto"/>
            </w:tcBorders>
          </w:tcPr>
          <w:p w:rsidR="00000000" w:rsidRDefault="00000000">
            <w:pPr>
              <w:spacing w:before="60" w:line="240" w:lineRule="auto"/>
              <w:jc w:val="center"/>
              <w:rPr>
                <w:sz w:val="21"/>
                <w:szCs w:val="22"/>
              </w:rPr>
            </w:pPr>
            <w:r>
              <w:rPr>
                <w:sz w:val="21"/>
                <w:szCs w:val="22"/>
              </w:rPr>
              <w:t>1995</w:t>
            </w:r>
          </w:p>
        </w:tc>
        <w:tc>
          <w:tcPr>
            <w:tcW w:w="964" w:type="dxa"/>
            <w:tcBorders>
              <w:top w:val="single" w:sz="4" w:space="0" w:color="auto"/>
              <w:bottom w:val="single" w:sz="4" w:space="0" w:color="auto"/>
            </w:tcBorders>
          </w:tcPr>
          <w:p w:rsidR="00000000" w:rsidRDefault="00000000">
            <w:pPr>
              <w:spacing w:before="60" w:line="240" w:lineRule="auto"/>
              <w:jc w:val="center"/>
              <w:rPr>
                <w:sz w:val="21"/>
                <w:szCs w:val="22"/>
              </w:rPr>
            </w:pPr>
            <w:r>
              <w:rPr>
                <w:sz w:val="21"/>
                <w:szCs w:val="22"/>
              </w:rPr>
              <w:t>1996</w:t>
            </w:r>
          </w:p>
        </w:tc>
        <w:tc>
          <w:tcPr>
            <w:tcW w:w="964" w:type="dxa"/>
            <w:tcBorders>
              <w:top w:val="single" w:sz="4" w:space="0" w:color="auto"/>
              <w:bottom w:val="single" w:sz="4" w:space="0" w:color="auto"/>
            </w:tcBorders>
          </w:tcPr>
          <w:p w:rsidR="00000000" w:rsidRDefault="00000000">
            <w:pPr>
              <w:spacing w:before="60" w:line="240" w:lineRule="auto"/>
              <w:jc w:val="center"/>
              <w:rPr>
                <w:sz w:val="21"/>
                <w:szCs w:val="22"/>
              </w:rPr>
            </w:pPr>
            <w:r>
              <w:rPr>
                <w:sz w:val="21"/>
                <w:szCs w:val="22"/>
              </w:rPr>
              <w:t>1997</w:t>
            </w:r>
          </w:p>
        </w:tc>
        <w:tc>
          <w:tcPr>
            <w:tcW w:w="920" w:type="dxa"/>
            <w:tcBorders>
              <w:top w:val="single" w:sz="4" w:space="0" w:color="auto"/>
              <w:bottom w:val="single" w:sz="4" w:space="0" w:color="auto"/>
            </w:tcBorders>
          </w:tcPr>
          <w:p w:rsidR="00000000" w:rsidRDefault="00000000">
            <w:pPr>
              <w:spacing w:before="60" w:line="240" w:lineRule="auto"/>
              <w:jc w:val="center"/>
              <w:rPr>
                <w:sz w:val="21"/>
                <w:szCs w:val="22"/>
              </w:rPr>
            </w:pPr>
            <w:r>
              <w:rPr>
                <w:sz w:val="21"/>
                <w:szCs w:val="22"/>
              </w:rPr>
              <w:t>1998</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rFonts w:hint="eastAsia"/>
                <w:sz w:val="21"/>
                <w:szCs w:val="22"/>
              </w:rPr>
              <w:t>电视广播，所有节目，节目类型：</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100.0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100.0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100.0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100.0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100.0</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100.0</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新</w:t>
            </w:r>
            <w:r>
              <w:rPr>
                <w:sz w:val="21"/>
                <w:szCs w:val="22"/>
              </w:rPr>
              <w:t xml:space="preserve">  </w:t>
            </w:r>
            <w:r>
              <w:rPr>
                <w:rFonts w:hint="eastAsia"/>
                <w:sz w:val="21"/>
                <w:szCs w:val="22"/>
              </w:rPr>
              <w:t>闻</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48.8</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21.0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13.8</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12.4</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11.0</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11.6</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rFonts w:hint="eastAsia"/>
                <w:sz w:val="21"/>
                <w:szCs w:val="22"/>
              </w:rPr>
              <w:t xml:space="preserve">  </w:t>
            </w:r>
            <w:r>
              <w:rPr>
                <w:rFonts w:hint="eastAsia"/>
                <w:sz w:val="21"/>
                <w:szCs w:val="22"/>
              </w:rPr>
              <w:t>新闻片和记录片</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22.2</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18.9</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17.1</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18.4</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22.0</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23.1</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教育节目</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6.8</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5.6</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3.4</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3.9</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5.4</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5.0</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体</w:t>
            </w:r>
            <w:r>
              <w:rPr>
                <w:sz w:val="21"/>
                <w:szCs w:val="22"/>
              </w:rPr>
              <w:t xml:space="preserve">  </w:t>
            </w:r>
            <w:r>
              <w:rPr>
                <w:rFonts w:hint="eastAsia"/>
                <w:sz w:val="21"/>
                <w:szCs w:val="22"/>
              </w:rPr>
              <w:t>育</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5.3</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6.5</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4.9</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5.9</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4.8</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7.1</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戏</w:t>
            </w:r>
            <w:r>
              <w:rPr>
                <w:sz w:val="21"/>
                <w:szCs w:val="22"/>
              </w:rPr>
              <w:t xml:space="preserve">  </w:t>
            </w:r>
            <w:r>
              <w:rPr>
                <w:rFonts w:hint="eastAsia"/>
                <w:sz w:val="21"/>
                <w:szCs w:val="22"/>
              </w:rPr>
              <w:t>剧</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21.5</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24.8</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26.9</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27.0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25.2</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24.6</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音乐和文艺节目</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14.7</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13.0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7.9</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7.5</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9.5</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10.6</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音乐和文学</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4.1</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3.0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2.9</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2.2</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1.9</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2.3</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广</w:t>
            </w:r>
            <w:r>
              <w:rPr>
                <w:sz w:val="21"/>
                <w:szCs w:val="22"/>
              </w:rPr>
              <w:t xml:space="preserve">  </w:t>
            </w:r>
            <w:r>
              <w:rPr>
                <w:rFonts w:hint="eastAsia"/>
                <w:sz w:val="21"/>
                <w:szCs w:val="22"/>
              </w:rPr>
              <w:t>告</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1.6</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0.6</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0.4</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2.3</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0.7</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0.9</w:t>
            </w:r>
          </w:p>
        </w:tc>
      </w:tr>
      <w:tr w:rsidR="00000000">
        <w:tblPrEx>
          <w:tblCellMar>
            <w:top w:w="0" w:type="dxa"/>
            <w:bottom w:w="0" w:type="dxa"/>
          </w:tblCellMar>
        </w:tblPrEx>
        <w:tc>
          <w:tcPr>
            <w:tcW w:w="3616" w:type="dxa"/>
            <w:tcBorders>
              <w:top w:val="single" w:sz="4" w:space="0" w:color="auto"/>
              <w:bottom w:val="single" w:sz="4" w:space="0" w:color="auto"/>
            </w:tcBorders>
          </w:tcPr>
          <w:p w:rsidR="00000000" w:rsidRDefault="00000000">
            <w:pPr>
              <w:spacing w:before="60" w:line="240" w:lineRule="auto"/>
              <w:rPr>
                <w:rFonts w:hint="eastAsia"/>
                <w:sz w:val="21"/>
                <w:szCs w:val="22"/>
              </w:rPr>
            </w:pPr>
            <w:r>
              <w:rPr>
                <w:sz w:val="21"/>
                <w:szCs w:val="22"/>
              </w:rPr>
              <w:t xml:space="preserve">  </w:t>
            </w:r>
            <w:r>
              <w:rPr>
                <w:rFonts w:hint="eastAsia"/>
                <w:sz w:val="21"/>
                <w:szCs w:val="22"/>
              </w:rPr>
              <w:t>其</w:t>
            </w:r>
            <w:r>
              <w:rPr>
                <w:sz w:val="21"/>
                <w:szCs w:val="22"/>
              </w:rPr>
              <w:t xml:space="preserve">  </w:t>
            </w:r>
            <w:r>
              <w:rPr>
                <w:rFonts w:hint="eastAsia"/>
                <w:sz w:val="21"/>
                <w:szCs w:val="22"/>
              </w:rPr>
              <w:t>他</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8.2</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15.0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22.0</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9.1</w:t>
            </w:r>
          </w:p>
        </w:tc>
        <w:tc>
          <w:tcPr>
            <w:tcW w:w="964"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19.5</w:t>
            </w:r>
          </w:p>
        </w:tc>
        <w:tc>
          <w:tcPr>
            <w:tcW w:w="920" w:type="dxa"/>
            <w:tcBorders>
              <w:top w:val="single" w:sz="4" w:space="0" w:color="auto"/>
              <w:bottom w:val="single" w:sz="4" w:space="0" w:color="auto"/>
            </w:tcBorders>
          </w:tcPr>
          <w:p w:rsidR="00000000" w:rsidRDefault="00000000">
            <w:pPr>
              <w:tabs>
                <w:tab w:val="decimal" w:pos="425"/>
              </w:tabs>
              <w:spacing w:before="60" w:line="240" w:lineRule="auto"/>
              <w:rPr>
                <w:sz w:val="21"/>
                <w:szCs w:val="22"/>
              </w:rPr>
            </w:pPr>
            <w:r>
              <w:rPr>
                <w:sz w:val="21"/>
                <w:szCs w:val="22"/>
              </w:rPr>
              <w:t>14.8</w:t>
            </w:r>
          </w:p>
        </w:tc>
      </w:tr>
    </w:tbl>
    <w:p w:rsidR="00000000" w:rsidRDefault="00000000">
      <w:pPr>
        <w:pStyle w:val="EndnoteText"/>
        <w:spacing w:before="180" w:after="320"/>
        <w:rPr>
          <w:rFonts w:hint="eastAsia"/>
          <w:sz w:val="21"/>
        </w:rPr>
      </w:pPr>
      <w:r>
        <w:rPr>
          <w:rFonts w:hint="eastAsia"/>
          <w:sz w:val="21"/>
          <w:u w:val="single"/>
        </w:rPr>
        <w:t>资料来源</w:t>
      </w:r>
      <w:r>
        <w:rPr>
          <w:rFonts w:hint="eastAsia"/>
          <w:sz w:val="21"/>
        </w:rPr>
        <w:t>：捷克统计局，</w:t>
      </w:r>
      <w:r>
        <w:rPr>
          <w:rFonts w:hint="eastAsia"/>
          <w:sz w:val="21"/>
        </w:rPr>
        <w:t>1999</w:t>
      </w:r>
      <w:r>
        <w:rPr>
          <w:rFonts w:hint="eastAsia"/>
          <w:sz w:val="21"/>
        </w:rPr>
        <w:t>年。</w:t>
      </w:r>
    </w:p>
    <w:p w:rsidR="00000000" w:rsidRDefault="00000000">
      <w:pPr>
        <w:rPr>
          <w:rFonts w:hint="eastAsia"/>
        </w:rPr>
      </w:pPr>
      <w:r>
        <w:rPr>
          <w:rFonts w:hint="eastAsia"/>
        </w:rPr>
        <w:tab/>
        <w:t xml:space="preserve">708.  </w:t>
      </w:r>
      <w:r>
        <w:rPr>
          <w:rFonts w:hint="eastAsia"/>
        </w:rPr>
        <w:t>捷克共和国每年出版大约</w:t>
      </w:r>
      <w:r>
        <w:rPr>
          <w:rFonts w:hint="eastAsia"/>
        </w:rPr>
        <w:t>10,000</w:t>
      </w:r>
      <w:r>
        <w:rPr>
          <w:rFonts w:hint="eastAsia"/>
        </w:rPr>
        <w:t>种非定期专门出版物，公众可在书店购买或在公共图书馆</w:t>
      </w:r>
      <w:r>
        <w:rPr>
          <w:rFonts w:hint="eastAsia"/>
        </w:rPr>
        <w:t>(</w:t>
      </w:r>
      <w:r>
        <w:rPr>
          <w:rFonts w:hint="eastAsia"/>
        </w:rPr>
        <w:t>特别是科学图书馆</w:t>
      </w:r>
      <w:r>
        <w:rPr>
          <w:rFonts w:hint="eastAsia"/>
        </w:rPr>
        <w:t>)</w:t>
      </w:r>
      <w:r>
        <w:rPr>
          <w:rFonts w:hint="eastAsia"/>
        </w:rPr>
        <w:t>查阅这些出版物。</w:t>
      </w:r>
      <w:r>
        <w:rPr>
          <w:rFonts w:hint="eastAsia"/>
        </w:rPr>
        <w:t>1998</w:t>
      </w:r>
      <w:r>
        <w:rPr>
          <w:rFonts w:hint="eastAsia"/>
        </w:rPr>
        <w:t>年，共出版</w:t>
      </w:r>
      <w:r>
        <w:rPr>
          <w:rFonts w:hint="eastAsia"/>
        </w:rPr>
        <w:t>10,000</w:t>
      </w:r>
      <w:r>
        <w:rPr>
          <w:rFonts w:hint="eastAsia"/>
        </w:rPr>
        <w:t>多种专门杂志</w:t>
      </w:r>
      <w:r>
        <w:rPr>
          <w:rFonts w:hint="eastAsia"/>
        </w:rPr>
        <w:t>(1993</w:t>
      </w:r>
      <w:r>
        <w:rPr>
          <w:rFonts w:hint="eastAsia"/>
        </w:rPr>
        <w:t>年出版的杂志仅有</w:t>
      </w:r>
      <w:r>
        <w:rPr>
          <w:rFonts w:hint="eastAsia"/>
        </w:rPr>
        <w:t>36</w:t>
      </w:r>
      <w:r>
        <w:rPr>
          <w:rFonts w:hint="eastAsia"/>
        </w:rPr>
        <w:t>种，</w:t>
      </w:r>
      <w:r>
        <w:rPr>
          <w:rFonts w:hint="eastAsia"/>
        </w:rPr>
        <w:t>1994</w:t>
      </w:r>
      <w:r>
        <w:rPr>
          <w:rFonts w:hint="eastAsia"/>
        </w:rPr>
        <w:t>年仅有</w:t>
      </w:r>
      <w:r>
        <w:rPr>
          <w:rFonts w:hint="eastAsia"/>
        </w:rPr>
        <w:t>397</w:t>
      </w:r>
      <w:r>
        <w:rPr>
          <w:rFonts w:hint="eastAsia"/>
        </w:rPr>
        <w:t>种，但到</w:t>
      </w:r>
      <w:r>
        <w:rPr>
          <w:rFonts w:hint="eastAsia"/>
        </w:rPr>
        <w:t>1995</w:t>
      </w:r>
      <w:r>
        <w:rPr>
          <w:rFonts w:hint="eastAsia"/>
        </w:rPr>
        <w:t>年，各种杂志数目增至</w:t>
      </w:r>
      <w:r>
        <w:rPr>
          <w:rFonts w:hint="eastAsia"/>
        </w:rPr>
        <w:t>1,011</w:t>
      </w:r>
      <w:r>
        <w:rPr>
          <w:rFonts w:hint="eastAsia"/>
        </w:rPr>
        <w:t>种</w:t>
      </w:r>
      <w:r>
        <w:rPr>
          <w:rFonts w:hint="eastAsia"/>
        </w:rPr>
        <w:t>)</w:t>
      </w:r>
      <w:r>
        <w:rPr>
          <w:rFonts w:hint="eastAsia"/>
        </w:rPr>
        <w:t>。公众也可以购买或查阅这些专门杂志。科学进步还定期在供公众阅读的定期出版物</w:t>
      </w:r>
      <w:r>
        <w:rPr>
          <w:rFonts w:hint="eastAsia"/>
        </w:rPr>
        <w:t>(</w:t>
      </w:r>
      <w:r>
        <w:rPr>
          <w:rFonts w:hint="eastAsia"/>
        </w:rPr>
        <w:t>日报和期刊</w:t>
      </w:r>
      <w:r>
        <w:rPr>
          <w:rFonts w:hint="eastAsia"/>
        </w:rPr>
        <w:t>)</w:t>
      </w:r>
      <w:r>
        <w:rPr>
          <w:rFonts w:hint="eastAsia"/>
        </w:rPr>
        <w:t>中得到报道。</w:t>
      </w:r>
    </w:p>
    <w:p w:rsidR="00000000" w:rsidRDefault="00000000">
      <w:pPr>
        <w:rPr>
          <w:rFonts w:hint="eastAsia"/>
        </w:rPr>
      </w:pPr>
      <w:r>
        <w:rPr>
          <w:rFonts w:hint="eastAsia"/>
        </w:rPr>
        <w:tab/>
        <w:t xml:space="preserve">709.  </w:t>
      </w:r>
      <w:r>
        <w:rPr>
          <w:rFonts w:hint="eastAsia"/>
        </w:rPr>
        <w:t>《国家支持科学和研究法》</w:t>
      </w:r>
      <w:r>
        <w:rPr>
          <w:rStyle w:val="EndnoteReference"/>
        </w:rPr>
        <w:endnoteReference w:id="406"/>
      </w:r>
      <w:r>
        <w:rPr>
          <w:rFonts w:hint="eastAsia"/>
        </w:rPr>
        <w:t xml:space="preserve"> </w:t>
      </w:r>
      <w:r>
        <w:rPr>
          <w:rFonts w:hint="eastAsia"/>
        </w:rPr>
        <w:t>也对享受科学进步产生的益处的权利作了规定，这部法规为科学研究项目中央档案系统的建立和使用规定了条件。这些档案包括得到国家预算资助的所有项目。这一数据库可在捷克共和国研究和开发委员会的网页上查阅。除了规定公众可以了解科学和研究项目情况以外，《法规》还规定，项目成果属于项目执行机构的财产，将项目成果用作有形财产可享受有利税率。</w:t>
      </w:r>
    </w:p>
    <w:p w:rsidR="00000000" w:rsidRDefault="00000000">
      <w:r>
        <w:rPr>
          <w:rFonts w:hint="eastAsia"/>
        </w:rPr>
        <w:tab/>
        <w:t xml:space="preserve">710.  </w:t>
      </w:r>
      <w:r>
        <w:rPr>
          <w:rFonts w:hint="eastAsia"/>
        </w:rPr>
        <w:t>保证享受科学研究产生的益处的权利的另一个手段，是捷克共和国科学院科研机构和各部设立的研究机构开展的应用研究取得的成果可得到实际应用。有关开展科学和研究活动的法规，主要是《综合性大学法》</w:t>
      </w:r>
      <w:r>
        <w:rPr>
          <w:rStyle w:val="EndnoteReference"/>
        </w:rPr>
        <w:endnoteReference w:id="407"/>
      </w:r>
      <w:r>
        <w:rPr>
          <w:rFonts w:hint="eastAsia"/>
        </w:rPr>
        <w:t>。</w:t>
      </w:r>
    </w:p>
    <w:p w:rsidR="00000000" w:rsidRDefault="00000000">
      <w:pPr>
        <w:spacing w:after="160"/>
        <w:rPr>
          <w:rFonts w:hint="eastAsia"/>
        </w:rPr>
      </w:pPr>
      <w:r>
        <w:tab/>
        <w:t xml:space="preserve">711.  </w:t>
      </w:r>
      <w:r>
        <w:rPr>
          <w:rFonts w:hint="eastAsia"/>
        </w:rPr>
        <w:t>工业产权局</w:t>
      </w:r>
      <w:r>
        <w:rPr>
          <w:rFonts w:hint="eastAsia"/>
        </w:rPr>
        <w:t xml:space="preserve"> </w:t>
      </w:r>
      <w:r>
        <w:rPr>
          <w:rStyle w:val="EndnoteReference"/>
        </w:rPr>
        <w:endnoteReference w:id="408"/>
      </w:r>
      <w:r>
        <w:rPr>
          <w:rFonts w:hint="eastAsia"/>
        </w:rPr>
        <w:t xml:space="preserve"> </w:t>
      </w:r>
      <w:r>
        <w:rPr>
          <w:rFonts w:hint="eastAsia"/>
        </w:rPr>
        <w:t>在落实享有科学研究产生的益处的权利，并使公众了解这项权利方面发挥着重要作用，该机构通过专利资料馆、信息中心</w:t>
      </w:r>
      <w:r>
        <w:rPr>
          <w:rFonts w:hint="eastAsia"/>
        </w:rPr>
        <w:t>(</w:t>
      </w:r>
      <w:r>
        <w:rPr>
          <w:rFonts w:hint="eastAsia"/>
        </w:rPr>
        <w:t>发明、工业设计、实用模型及商标信息中心</w:t>
      </w:r>
      <w:r>
        <w:rPr>
          <w:rFonts w:hint="eastAsia"/>
        </w:rPr>
        <w:t>)</w:t>
      </w:r>
      <w:r>
        <w:rPr>
          <w:rFonts w:hint="eastAsia"/>
        </w:rPr>
        <w:t>以及工业法律教育学院向公众提供服务。</w:t>
      </w:r>
      <w:r>
        <w:rPr>
          <w:rFonts w:hint="eastAsia"/>
        </w:rPr>
        <w:t>1998</w:t>
      </w:r>
      <w:r>
        <w:rPr>
          <w:rFonts w:hint="eastAsia"/>
        </w:rPr>
        <w:t>年，专利资料馆以标准方式将</w:t>
      </w:r>
      <w:r>
        <w:rPr>
          <w:rFonts w:hint="eastAsia"/>
        </w:rPr>
        <w:t>2600</w:t>
      </w:r>
      <w:r>
        <w:rPr>
          <w:rFonts w:hint="eastAsia"/>
        </w:rPr>
        <w:t>万种专利文件开放供查阅，并使公众能够查阅</w:t>
      </w:r>
      <w:r>
        <w:rPr>
          <w:rFonts w:hint="eastAsia"/>
        </w:rPr>
        <w:t>53</w:t>
      </w:r>
      <w:r>
        <w:rPr>
          <w:rFonts w:hint="eastAsia"/>
        </w:rPr>
        <w:t>个国家和国际组织</w:t>
      </w:r>
      <w:r>
        <w:rPr>
          <w:rFonts w:hint="eastAsia"/>
        </w:rPr>
        <w:t>(</w:t>
      </w:r>
      <w:r>
        <w:rPr>
          <w:rFonts w:hint="eastAsia"/>
        </w:rPr>
        <w:t>例如欧洲版权局、产权组织、《专利合作条约》等</w:t>
      </w:r>
      <w:r>
        <w:rPr>
          <w:rFonts w:hint="eastAsia"/>
        </w:rPr>
        <w:t>)</w:t>
      </w:r>
      <w:r>
        <w:rPr>
          <w:rFonts w:hint="eastAsia"/>
        </w:rPr>
        <w:t>的专利公报。公众还可以使用国外数据中心</w:t>
      </w:r>
      <w:r>
        <w:rPr>
          <w:rFonts w:hint="eastAsia"/>
        </w:rPr>
        <w:t>(STN</w:t>
      </w:r>
      <w:r>
        <w:rPr>
          <w:rFonts w:hint="eastAsia"/>
        </w:rPr>
        <w:t>、</w:t>
      </w:r>
      <w:r>
        <w:rPr>
          <w:rFonts w:hint="eastAsia"/>
        </w:rPr>
        <w:t>Q</w:t>
      </w:r>
      <w:r>
        <w:t>uestel</w:t>
      </w:r>
      <w:r>
        <w:rPr>
          <w:rFonts w:hint="eastAsia"/>
        </w:rPr>
        <w:t>、</w:t>
      </w:r>
      <w:r>
        <w:rPr>
          <w:rFonts w:hint="eastAsia"/>
        </w:rPr>
        <w:t>D</w:t>
      </w:r>
      <w:r>
        <w:t>ialog</w:t>
      </w:r>
      <w:r>
        <w:rPr>
          <w:rFonts w:hint="eastAsia"/>
        </w:rPr>
        <w:t>、</w:t>
      </w:r>
      <w:r>
        <w:t>Epidos)</w:t>
      </w:r>
      <w:r>
        <w:rPr>
          <w:rFonts w:hint="eastAsia"/>
        </w:rPr>
        <w:t>储存的专利信息。每年约有</w:t>
      </w:r>
      <w:r>
        <w:rPr>
          <w:rFonts w:hint="eastAsia"/>
        </w:rPr>
        <w:t>8,000</w:t>
      </w:r>
      <w:r>
        <w:rPr>
          <w:rFonts w:hint="eastAsia"/>
        </w:rPr>
        <w:t>人次使用公共阅览室。工业专利局还出版一份公报，公布专利权授予、商标等方面的情况，并出版关于工业产权和知识产权问题的书籍。工业法律教育学院每年提供为期二年的专业培训，并出版《工业产权》</w:t>
      </w:r>
      <w:r>
        <w:rPr>
          <w:rFonts w:hint="eastAsia"/>
        </w:rPr>
        <w:t>(</w:t>
      </w:r>
      <w:r>
        <w:t>Prúmyslové vlastnictví</w:t>
      </w:r>
      <w:r>
        <w:rPr>
          <w:rFonts w:hint="eastAsia"/>
        </w:rPr>
        <w:t>)</w:t>
      </w:r>
      <w:r>
        <w:rPr>
          <w:rFonts w:hint="eastAsia"/>
        </w:rPr>
        <w:t>杂志。</w:t>
      </w:r>
    </w:p>
    <w:p w:rsidR="00000000" w:rsidRDefault="00000000">
      <w:pPr>
        <w:pStyle w:val="Heading3"/>
        <w:pageBreakBefore/>
        <w:rPr>
          <w:rFonts w:hint="eastAsia"/>
        </w:rPr>
      </w:pPr>
      <w:r>
        <w:rPr>
          <w:rFonts w:hint="eastAsia"/>
        </w:rPr>
        <w:t>研究和开发综合指标</w:t>
      </w:r>
      <w:r>
        <w:rPr>
          <w:rFonts w:hint="eastAsia"/>
          <w:u w:val="none"/>
        </w:rPr>
        <w:t>(</w:t>
      </w:r>
      <w:r>
        <w:rPr>
          <w:rFonts w:hint="eastAsia"/>
          <w:u w:val="none"/>
        </w:rPr>
        <w:t>截至每年</w:t>
      </w:r>
      <w:r>
        <w:rPr>
          <w:rFonts w:hint="eastAsia"/>
          <w:u w:val="none"/>
        </w:rPr>
        <w:t>12</w:t>
      </w:r>
      <w:r>
        <w:rPr>
          <w:rFonts w:hint="eastAsia"/>
          <w:u w:val="none"/>
        </w:rPr>
        <w:t>月</w:t>
      </w:r>
      <w:r>
        <w:rPr>
          <w:rFonts w:hint="eastAsia"/>
          <w:u w:val="none"/>
        </w:rPr>
        <w:t>)</w:t>
      </w:r>
    </w:p>
    <w:tbl>
      <w:tblPr>
        <w:tblW w:w="9356"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5"/>
        <w:gridCol w:w="1050"/>
        <w:gridCol w:w="945"/>
        <w:gridCol w:w="945"/>
        <w:gridCol w:w="945"/>
        <w:gridCol w:w="945"/>
        <w:gridCol w:w="851"/>
      </w:tblGrid>
      <w:tr w:rsidR="00000000">
        <w:tblPrEx>
          <w:tblCellMar>
            <w:top w:w="0" w:type="dxa"/>
            <w:bottom w:w="0" w:type="dxa"/>
          </w:tblCellMar>
        </w:tblPrEx>
        <w:tc>
          <w:tcPr>
            <w:tcW w:w="3675" w:type="dxa"/>
            <w:tcBorders>
              <w:top w:val="single" w:sz="4" w:space="0" w:color="auto"/>
              <w:bottom w:val="single" w:sz="4" w:space="0" w:color="auto"/>
            </w:tcBorders>
          </w:tcPr>
          <w:p w:rsidR="00000000" w:rsidRDefault="00000000">
            <w:pPr>
              <w:pStyle w:val="aa"/>
              <w:spacing w:before="60" w:line="312" w:lineRule="auto"/>
              <w:jc w:val="center"/>
            </w:pPr>
          </w:p>
        </w:tc>
        <w:tc>
          <w:tcPr>
            <w:tcW w:w="1050" w:type="dxa"/>
            <w:tcBorders>
              <w:top w:val="single" w:sz="4" w:space="0" w:color="auto"/>
              <w:bottom w:val="single" w:sz="4" w:space="0" w:color="auto"/>
            </w:tcBorders>
          </w:tcPr>
          <w:p w:rsidR="00000000" w:rsidRDefault="00000000">
            <w:pPr>
              <w:pStyle w:val="aa"/>
              <w:spacing w:before="60" w:line="312" w:lineRule="auto"/>
              <w:jc w:val="center"/>
            </w:pPr>
            <w:r>
              <w:t>1990</w:t>
            </w:r>
          </w:p>
        </w:tc>
        <w:tc>
          <w:tcPr>
            <w:tcW w:w="945" w:type="dxa"/>
            <w:tcBorders>
              <w:top w:val="single" w:sz="4" w:space="0" w:color="auto"/>
              <w:bottom w:val="single" w:sz="4" w:space="0" w:color="auto"/>
            </w:tcBorders>
          </w:tcPr>
          <w:p w:rsidR="00000000" w:rsidRDefault="00000000">
            <w:pPr>
              <w:pStyle w:val="aa"/>
              <w:spacing w:before="60" w:line="312" w:lineRule="auto"/>
              <w:jc w:val="center"/>
            </w:pPr>
            <w:r>
              <w:t>1994</w:t>
            </w:r>
          </w:p>
        </w:tc>
        <w:tc>
          <w:tcPr>
            <w:tcW w:w="945" w:type="dxa"/>
            <w:tcBorders>
              <w:top w:val="single" w:sz="4" w:space="0" w:color="auto"/>
              <w:bottom w:val="single" w:sz="4" w:space="0" w:color="auto"/>
            </w:tcBorders>
          </w:tcPr>
          <w:p w:rsidR="00000000" w:rsidRDefault="00000000">
            <w:pPr>
              <w:pStyle w:val="aa"/>
              <w:spacing w:before="60" w:line="312" w:lineRule="auto"/>
              <w:jc w:val="center"/>
            </w:pPr>
            <w:r>
              <w:t>1995</w:t>
            </w:r>
          </w:p>
        </w:tc>
        <w:tc>
          <w:tcPr>
            <w:tcW w:w="945" w:type="dxa"/>
            <w:tcBorders>
              <w:top w:val="single" w:sz="4" w:space="0" w:color="auto"/>
              <w:bottom w:val="single" w:sz="4" w:space="0" w:color="auto"/>
            </w:tcBorders>
          </w:tcPr>
          <w:p w:rsidR="00000000" w:rsidRDefault="00000000">
            <w:pPr>
              <w:pStyle w:val="aa"/>
              <w:spacing w:before="60" w:line="312" w:lineRule="auto"/>
              <w:jc w:val="center"/>
            </w:pPr>
            <w:r>
              <w:t>1996</w:t>
            </w:r>
          </w:p>
        </w:tc>
        <w:tc>
          <w:tcPr>
            <w:tcW w:w="945" w:type="dxa"/>
            <w:tcBorders>
              <w:top w:val="single" w:sz="4" w:space="0" w:color="auto"/>
              <w:bottom w:val="single" w:sz="4" w:space="0" w:color="auto"/>
            </w:tcBorders>
          </w:tcPr>
          <w:p w:rsidR="00000000" w:rsidRDefault="00000000">
            <w:pPr>
              <w:pStyle w:val="aa"/>
              <w:spacing w:before="60" w:line="312" w:lineRule="auto"/>
              <w:jc w:val="center"/>
            </w:pPr>
            <w:r>
              <w:t>1997</w:t>
            </w:r>
          </w:p>
        </w:tc>
        <w:tc>
          <w:tcPr>
            <w:tcW w:w="851" w:type="dxa"/>
            <w:tcBorders>
              <w:top w:val="single" w:sz="4" w:space="0" w:color="auto"/>
              <w:bottom w:val="single" w:sz="4" w:space="0" w:color="auto"/>
            </w:tcBorders>
          </w:tcPr>
          <w:p w:rsidR="00000000" w:rsidRDefault="00000000">
            <w:pPr>
              <w:pStyle w:val="aa"/>
              <w:spacing w:before="60" w:line="312" w:lineRule="auto"/>
              <w:jc w:val="center"/>
            </w:pPr>
            <w:r>
              <w:t>1998</w:t>
            </w:r>
          </w:p>
        </w:tc>
      </w:tr>
      <w:tr w:rsidR="00000000">
        <w:tblPrEx>
          <w:tblCellMar>
            <w:top w:w="0" w:type="dxa"/>
            <w:bottom w:w="0" w:type="dxa"/>
          </w:tblCellMar>
        </w:tblPrEx>
        <w:tc>
          <w:tcPr>
            <w:tcW w:w="3675" w:type="dxa"/>
            <w:tcBorders>
              <w:top w:val="single" w:sz="4" w:space="0" w:color="auto"/>
              <w:bottom w:val="single" w:sz="4" w:space="0" w:color="auto"/>
            </w:tcBorders>
          </w:tcPr>
          <w:p w:rsidR="00000000" w:rsidRDefault="00000000">
            <w:pPr>
              <w:pStyle w:val="aa"/>
              <w:spacing w:before="60" w:line="312" w:lineRule="auto"/>
              <w:rPr>
                <w:rFonts w:hint="eastAsia"/>
              </w:rPr>
            </w:pPr>
            <w:r>
              <w:rPr>
                <w:rFonts w:hint="eastAsia"/>
              </w:rPr>
              <w:t>雇员数目</w:t>
            </w:r>
            <w:r>
              <w:rPr>
                <w:rFonts w:hint="eastAsia"/>
              </w:rPr>
              <w:t>(</w:t>
            </w:r>
            <w:r>
              <w:rPr>
                <w:rFonts w:hint="eastAsia"/>
              </w:rPr>
              <w:t>千人</w:t>
            </w:r>
            <w:r>
              <w:rPr>
                <w:rFonts w:hint="eastAsia"/>
              </w:rPr>
              <w:t>)</w:t>
            </w:r>
          </w:p>
        </w:tc>
        <w:tc>
          <w:tcPr>
            <w:tcW w:w="1050" w:type="dxa"/>
            <w:tcBorders>
              <w:top w:val="single" w:sz="4" w:space="0" w:color="auto"/>
              <w:bottom w:val="single" w:sz="4" w:space="0" w:color="auto"/>
            </w:tcBorders>
          </w:tcPr>
          <w:p w:rsidR="00000000" w:rsidRDefault="00000000">
            <w:pPr>
              <w:pStyle w:val="aa"/>
              <w:tabs>
                <w:tab w:val="decimal" w:pos="665"/>
              </w:tabs>
              <w:spacing w:before="60" w:line="312" w:lineRule="auto"/>
            </w:pPr>
            <w:r>
              <w:t>106</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39</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48</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50</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52</w:t>
            </w:r>
          </w:p>
        </w:tc>
        <w:tc>
          <w:tcPr>
            <w:tcW w:w="851" w:type="dxa"/>
            <w:tcBorders>
              <w:top w:val="single" w:sz="4" w:space="0" w:color="auto"/>
              <w:bottom w:val="single" w:sz="4" w:space="0" w:color="auto"/>
            </w:tcBorders>
          </w:tcPr>
          <w:p w:rsidR="00000000" w:rsidRDefault="00000000">
            <w:pPr>
              <w:pStyle w:val="aa"/>
              <w:tabs>
                <w:tab w:val="decimal" w:pos="665"/>
              </w:tabs>
              <w:spacing w:before="60" w:line="312" w:lineRule="auto"/>
            </w:pPr>
            <w:r>
              <w:t>51</w:t>
            </w:r>
          </w:p>
        </w:tc>
      </w:tr>
      <w:tr w:rsidR="00000000">
        <w:tblPrEx>
          <w:tblCellMar>
            <w:top w:w="0" w:type="dxa"/>
            <w:bottom w:w="0" w:type="dxa"/>
          </w:tblCellMar>
        </w:tblPrEx>
        <w:tc>
          <w:tcPr>
            <w:tcW w:w="3675" w:type="dxa"/>
            <w:tcBorders>
              <w:top w:val="single" w:sz="4" w:space="0" w:color="auto"/>
              <w:bottom w:val="single" w:sz="4" w:space="0" w:color="auto"/>
            </w:tcBorders>
          </w:tcPr>
          <w:p w:rsidR="00000000" w:rsidRDefault="00000000">
            <w:pPr>
              <w:pStyle w:val="aa"/>
              <w:spacing w:before="60" w:line="312" w:lineRule="auto"/>
              <w:rPr>
                <w:rFonts w:hint="eastAsia"/>
              </w:rPr>
            </w:pPr>
            <w:r>
              <w:rPr>
                <w:rFonts w:hint="eastAsia"/>
              </w:rPr>
              <w:t>科学和技术发展非投资资金</w:t>
            </w:r>
            <w:r>
              <w:rPr>
                <w:rFonts w:hint="eastAsia"/>
              </w:rPr>
              <w:t>(</w:t>
            </w:r>
            <w:r>
              <w:rPr>
                <w:rFonts w:hint="eastAsia"/>
              </w:rPr>
              <w:t>百万克郎</w:t>
            </w:r>
            <w:r>
              <w:rPr>
                <w:rFonts w:hint="eastAsia"/>
              </w:rPr>
              <w:t>)</w:t>
            </w:r>
          </w:p>
        </w:tc>
        <w:tc>
          <w:tcPr>
            <w:tcW w:w="1050" w:type="dxa"/>
            <w:tcBorders>
              <w:top w:val="single" w:sz="4" w:space="0" w:color="auto"/>
              <w:bottom w:val="single" w:sz="4" w:space="0" w:color="auto"/>
            </w:tcBorders>
          </w:tcPr>
          <w:p w:rsidR="00000000" w:rsidRDefault="00000000">
            <w:pPr>
              <w:pStyle w:val="aa"/>
              <w:tabs>
                <w:tab w:val="decimal" w:pos="665"/>
              </w:tabs>
              <w:spacing w:before="60" w:line="312" w:lineRule="auto"/>
            </w:pPr>
            <w:r>
              <w:t>10,763</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11,215</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12,431</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14,031</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16,870</w:t>
            </w:r>
          </w:p>
        </w:tc>
        <w:tc>
          <w:tcPr>
            <w:tcW w:w="851" w:type="dxa"/>
            <w:tcBorders>
              <w:top w:val="single" w:sz="4" w:space="0" w:color="auto"/>
              <w:bottom w:val="single" w:sz="4" w:space="0" w:color="auto"/>
            </w:tcBorders>
          </w:tcPr>
          <w:p w:rsidR="00000000" w:rsidRDefault="00000000">
            <w:pPr>
              <w:pStyle w:val="aa"/>
              <w:tabs>
                <w:tab w:val="decimal" w:pos="665"/>
              </w:tabs>
              <w:spacing w:before="60" w:line="312" w:lineRule="auto"/>
            </w:pPr>
            <w:r>
              <w:t>20,136</w:t>
            </w:r>
          </w:p>
        </w:tc>
      </w:tr>
      <w:tr w:rsidR="00000000">
        <w:tblPrEx>
          <w:tblCellMar>
            <w:top w:w="0" w:type="dxa"/>
            <w:bottom w:w="0" w:type="dxa"/>
          </w:tblCellMar>
        </w:tblPrEx>
        <w:tc>
          <w:tcPr>
            <w:tcW w:w="3675" w:type="dxa"/>
            <w:tcBorders>
              <w:top w:val="single" w:sz="4" w:space="0" w:color="auto"/>
              <w:bottom w:val="single" w:sz="4" w:space="0" w:color="auto"/>
            </w:tcBorders>
          </w:tcPr>
          <w:p w:rsidR="00000000" w:rsidRDefault="00000000">
            <w:pPr>
              <w:pStyle w:val="aa"/>
              <w:spacing w:before="60" w:line="312" w:lineRule="auto"/>
              <w:rPr>
                <w:rFonts w:hint="eastAsia"/>
              </w:rPr>
            </w:pPr>
            <w:r>
              <w:rPr>
                <w:rFonts w:hint="eastAsia"/>
              </w:rPr>
              <w:t>其中，国家预算提供的资金</w:t>
            </w:r>
          </w:p>
        </w:tc>
        <w:tc>
          <w:tcPr>
            <w:tcW w:w="1050" w:type="dxa"/>
            <w:tcBorders>
              <w:top w:val="single" w:sz="4" w:space="0" w:color="auto"/>
              <w:bottom w:val="single" w:sz="4" w:space="0" w:color="auto"/>
            </w:tcBorders>
          </w:tcPr>
          <w:p w:rsidR="00000000" w:rsidRDefault="00000000">
            <w:pPr>
              <w:pStyle w:val="aa"/>
              <w:tabs>
                <w:tab w:val="decimal" w:pos="665"/>
              </w:tabs>
              <w:spacing w:before="60" w:line="312" w:lineRule="auto"/>
            </w:pPr>
            <w:r>
              <w:t>3,078</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2,982</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3,951</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5,077</w:t>
            </w:r>
          </w:p>
        </w:tc>
        <w:tc>
          <w:tcPr>
            <w:tcW w:w="945" w:type="dxa"/>
            <w:tcBorders>
              <w:top w:val="single" w:sz="4" w:space="0" w:color="auto"/>
              <w:bottom w:val="single" w:sz="4" w:space="0" w:color="auto"/>
            </w:tcBorders>
          </w:tcPr>
          <w:p w:rsidR="00000000" w:rsidRDefault="00000000">
            <w:pPr>
              <w:pStyle w:val="aa"/>
              <w:tabs>
                <w:tab w:val="decimal" w:pos="665"/>
              </w:tabs>
              <w:spacing w:before="60" w:line="312" w:lineRule="auto"/>
            </w:pPr>
            <w:r>
              <w:t>6,359</w:t>
            </w:r>
          </w:p>
        </w:tc>
        <w:tc>
          <w:tcPr>
            <w:tcW w:w="851" w:type="dxa"/>
            <w:tcBorders>
              <w:top w:val="single" w:sz="4" w:space="0" w:color="auto"/>
              <w:bottom w:val="single" w:sz="4" w:space="0" w:color="auto"/>
            </w:tcBorders>
          </w:tcPr>
          <w:p w:rsidR="00000000" w:rsidRDefault="00000000">
            <w:pPr>
              <w:pStyle w:val="aa"/>
              <w:tabs>
                <w:tab w:val="decimal" w:pos="665"/>
              </w:tabs>
              <w:spacing w:before="60" w:line="312" w:lineRule="auto"/>
            </w:pPr>
            <w:r>
              <w:t>7,219</w:t>
            </w:r>
          </w:p>
        </w:tc>
      </w:tr>
      <w:tr w:rsidR="00000000">
        <w:tblPrEx>
          <w:tblCellMar>
            <w:top w:w="0" w:type="dxa"/>
            <w:bottom w:w="0" w:type="dxa"/>
          </w:tblCellMar>
        </w:tblPrEx>
        <w:tc>
          <w:tcPr>
            <w:tcW w:w="3675" w:type="dxa"/>
            <w:tcBorders>
              <w:top w:val="single" w:sz="4" w:space="0" w:color="auto"/>
            </w:tcBorders>
          </w:tcPr>
          <w:p w:rsidR="00000000" w:rsidRDefault="00000000">
            <w:pPr>
              <w:pStyle w:val="aa"/>
              <w:spacing w:before="60" w:line="312" w:lineRule="auto"/>
              <w:rPr>
                <w:rFonts w:hint="eastAsia"/>
              </w:rPr>
            </w:pPr>
            <w:r>
              <w:rPr>
                <w:rFonts w:hint="eastAsia"/>
              </w:rPr>
              <w:t>科学和技术发展投资支出</w:t>
            </w:r>
            <w:r>
              <w:rPr>
                <w:rFonts w:hint="eastAsia"/>
              </w:rPr>
              <w:t>(</w:t>
            </w:r>
            <w:r>
              <w:rPr>
                <w:rFonts w:hint="eastAsia"/>
              </w:rPr>
              <w:t>百万克郎</w:t>
            </w:r>
            <w:r>
              <w:rPr>
                <w:rFonts w:hint="eastAsia"/>
              </w:rPr>
              <w:t>)</w:t>
            </w:r>
          </w:p>
        </w:tc>
        <w:tc>
          <w:tcPr>
            <w:tcW w:w="1050" w:type="dxa"/>
            <w:tcBorders>
              <w:top w:val="single" w:sz="4" w:space="0" w:color="auto"/>
            </w:tcBorders>
          </w:tcPr>
          <w:p w:rsidR="00000000" w:rsidRDefault="00000000">
            <w:pPr>
              <w:pStyle w:val="aa"/>
              <w:tabs>
                <w:tab w:val="decimal" w:pos="665"/>
              </w:tabs>
              <w:spacing w:before="60" w:line="312" w:lineRule="auto"/>
            </w:pPr>
            <w:r>
              <w:t>1,652</w:t>
            </w:r>
          </w:p>
        </w:tc>
        <w:tc>
          <w:tcPr>
            <w:tcW w:w="945" w:type="dxa"/>
            <w:tcBorders>
              <w:top w:val="single" w:sz="4" w:space="0" w:color="auto"/>
            </w:tcBorders>
          </w:tcPr>
          <w:p w:rsidR="00000000" w:rsidRDefault="00000000">
            <w:pPr>
              <w:pStyle w:val="aa"/>
              <w:tabs>
                <w:tab w:val="decimal" w:pos="665"/>
              </w:tabs>
              <w:spacing w:before="60" w:line="312" w:lineRule="auto"/>
            </w:pPr>
            <w:r>
              <w:t>1,768</w:t>
            </w:r>
          </w:p>
        </w:tc>
        <w:tc>
          <w:tcPr>
            <w:tcW w:w="945" w:type="dxa"/>
            <w:tcBorders>
              <w:top w:val="single" w:sz="4" w:space="0" w:color="auto"/>
            </w:tcBorders>
          </w:tcPr>
          <w:p w:rsidR="00000000" w:rsidRDefault="00000000">
            <w:pPr>
              <w:pStyle w:val="aa"/>
              <w:tabs>
                <w:tab w:val="decimal" w:pos="665"/>
              </w:tabs>
              <w:spacing w:before="60" w:line="312" w:lineRule="auto"/>
            </w:pPr>
            <w:r>
              <w:t>1,551</w:t>
            </w:r>
          </w:p>
        </w:tc>
        <w:tc>
          <w:tcPr>
            <w:tcW w:w="945" w:type="dxa"/>
            <w:tcBorders>
              <w:top w:val="single" w:sz="4" w:space="0" w:color="auto"/>
            </w:tcBorders>
          </w:tcPr>
          <w:p w:rsidR="00000000" w:rsidRDefault="00000000">
            <w:pPr>
              <w:pStyle w:val="aa"/>
              <w:tabs>
                <w:tab w:val="decimal" w:pos="665"/>
              </w:tabs>
              <w:spacing w:before="60" w:line="312" w:lineRule="auto"/>
            </w:pPr>
            <w:r>
              <w:t>2,226</w:t>
            </w:r>
          </w:p>
        </w:tc>
        <w:tc>
          <w:tcPr>
            <w:tcW w:w="945" w:type="dxa"/>
            <w:tcBorders>
              <w:top w:val="single" w:sz="4" w:space="0" w:color="auto"/>
            </w:tcBorders>
          </w:tcPr>
          <w:p w:rsidR="00000000" w:rsidRDefault="00000000">
            <w:pPr>
              <w:pStyle w:val="aa"/>
              <w:tabs>
                <w:tab w:val="decimal" w:pos="665"/>
              </w:tabs>
              <w:spacing w:before="60" w:line="312" w:lineRule="auto"/>
            </w:pPr>
            <w:r>
              <w:t>2,607</w:t>
            </w:r>
          </w:p>
        </w:tc>
        <w:tc>
          <w:tcPr>
            <w:tcW w:w="851" w:type="dxa"/>
            <w:tcBorders>
              <w:top w:val="single" w:sz="4" w:space="0" w:color="auto"/>
            </w:tcBorders>
          </w:tcPr>
          <w:p w:rsidR="00000000" w:rsidRDefault="00000000">
            <w:pPr>
              <w:pStyle w:val="aa"/>
              <w:tabs>
                <w:tab w:val="decimal" w:pos="665"/>
              </w:tabs>
              <w:spacing w:before="60" w:line="312" w:lineRule="auto"/>
            </w:pPr>
            <w:r>
              <w:t>2,729</w:t>
            </w:r>
          </w:p>
        </w:tc>
      </w:tr>
      <w:tr w:rsidR="00000000">
        <w:tblPrEx>
          <w:tblCellMar>
            <w:top w:w="0" w:type="dxa"/>
            <w:bottom w:w="0" w:type="dxa"/>
          </w:tblCellMar>
        </w:tblPrEx>
        <w:tc>
          <w:tcPr>
            <w:tcW w:w="3675" w:type="dxa"/>
          </w:tcPr>
          <w:p w:rsidR="00000000" w:rsidRDefault="00000000">
            <w:pPr>
              <w:pStyle w:val="aa"/>
              <w:spacing w:before="60" w:line="312" w:lineRule="auto"/>
              <w:rPr>
                <w:rFonts w:hint="eastAsia"/>
              </w:rPr>
            </w:pPr>
            <w:r>
              <w:rPr>
                <w:rFonts w:hint="eastAsia"/>
              </w:rPr>
              <w:t>独立的研究和开发组织数目</w:t>
            </w:r>
          </w:p>
        </w:tc>
        <w:tc>
          <w:tcPr>
            <w:tcW w:w="1050" w:type="dxa"/>
          </w:tcPr>
          <w:p w:rsidR="00000000" w:rsidRDefault="00000000">
            <w:pPr>
              <w:pStyle w:val="aa"/>
              <w:tabs>
                <w:tab w:val="decimal" w:pos="665"/>
              </w:tabs>
              <w:spacing w:before="60" w:line="312" w:lineRule="auto"/>
            </w:pPr>
            <w:r>
              <w:t>233</w:t>
            </w:r>
          </w:p>
        </w:tc>
        <w:tc>
          <w:tcPr>
            <w:tcW w:w="945" w:type="dxa"/>
          </w:tcPr>
          <w:p w:rsidR="00000000" w:rsidRDefault="00000000">
            <w:pPr>
              <w:pStyle w:val="aa"/>
              <w:tabs>
                <w:tab w:val="decimal" w:pos="665"/>
              </w:tabs>
              <w:spacing w:before="60" w:line="312" w:lineRule="auto"/>
            </w:pPr>
            <w:r>
              <w:t>149</w:t>
            </w:r>
          </w:p>
        </w:tc>
        <w:tc>
          <w:tcPr>
            <w:tcW w:w="945" w:type="dxa"/>
          </w:tcPr>
          <w:p w:rsidR="00000000" w:rsidRDefault="00000000">
            <w:pPr>
              <w:pStyle w:val="aa"/>
              <w:tabs>
                <w:tab w:val="decimal" w:pos="665"/>
              </w:tabs>
              <w:spacing w:before="60" w:line="312" w:lineRule="auto"/>
            </w:pPr>
            <w:r>
              <w:t>146</w:t>
            </w:r>
          </w:p>
        </w:tc>
        <w:tc>
          <w:tcPr>
            <w:tcW w:w="945" w:type="dxa"/>
          </w:tcPr>
          <w:p w:rsidR="00000000" w:rsidRDefault="00000000">
            <w:pPr>
              <w:pStyle w:val="aa"/>
              <w:tabs>
                <w:tab w:val="decimal" w:pos="665"/>
              </w:tabs>
              <w:spacing w:before="60" w:line="312" w:lineRule="auto"/>
            </w:pPr>
            <w:r>
              <w:t>141</w:t>
            </w:r>
          </w:p>
        </w:tc>
        <w:tc>
          <w:tcPr>
            <w:tcW w:w="945" w:type="dxa"/>
          </w:tcPr>
          <w:p w:rsidR="00000000" w:rsidRDefault="00000000">
            <w:pPr>
              <w:pStyle w:val="aa"/>
              <w:tabs>
                <w:tab w:val="decimal" w:pos="665"/>
              </w:tabs>
              <w:spacing w:before="60" w:line="312" w:lineRule="auto"/>
            </w:pPr>
            <w:r>
              <w:t>145</w:t>
            </w:r>
          </w:p>
        </w:tc>
        <w:tc>
          <w:tcPr>
            <w:tcW w:w="851" w:type="dxa"/>
          </w:tcPr>
          <w:p w:rsidR="00000000" w:rsidRDefault="00000000">
            <w:pPr>
              <w:pStyle w:val="aa"/>
              <w:tabs>
                <w:tab w:val="decimal" w:pos="665"/>
              </w:tabs>
              <w:spacing w:before="60" w:line="312" w:lineRule="auto"/>
            </w:pPr>
            <w:r>
              <w:t>138</w:t>
            </w:r>
          </w:p>
        </w:tc>
      </w:tr>
    </w:tbl>
    <w:p w:rsidR="00000000" w:rsidRDefault="00000000">
      <w:pPr>
        <w:rPr>
          <w:rFonts w:hint="eastAsia"/>
        </w:rPr>
      </w:pPr>
    </w:p>
    <w:p w:rsidR="00000000" w:rsidRDefault="00000000">
      <w:pPr>
        <w:pStyle w:val="EndnoteText"/>
        <w:spacing w:after="320"/>
        <w:rPr>
          <w:rFonts w:hint="eastAsia"/>
          <w:sz w:val="21"/>
        </w:rPr>
      </w:pPr>
      <w:r>
        <w:rPr>
          <w:rFonts w:hint="eastAsia"/>
          <w:sz w:val="21"/>
          <w:u w:val="single"/>
        </w:rPr>
        <w:t>资料来源</w:t>
      </w:r>
      <w:r>
        <w:rPr>
          <w:rFonts w:hint="eastAsia"/>
          <w:sz w:val="21"/>
        </w:rPr>
        <w:t>：《捷克共和国统计年鉴》，</w:t>
      </w:r>
      <w:r>
        <w:rPr>
          <w:rFonts w:hint="eastAsia"/>
          <w:sz w:val="21"/>
        </w:rPr>
        <w:t>1999</w:t>
      </w:r>
      <w:r>
        <w:rPr>
          <w:rFonts w:hint="eastAsia"/>
          <w:sz w:val="21"/>
        </w:rPr>
        <w:t>年。</w:t>
      </w:r>
    </w:p>
    <w:p w:rsidR="00000000" w:rsidRDefault="00000000">
      <w:pPr>
        <w:pStyle w:val="Heading4"/>
        <w:rPr>
          <w:rFonts w:hint="eastAsia"/>
        </w:rPr>
      </w:pPr>
      <w:r>
        <w:rPr>
          <w:rFonts w:hint="eastAsia"/>
        </w:rPr>
        <w:t>就科学、文学或艺术作品产生的精神上和物质上的利益享有受保护之利的权利</w:t>
      </w:r>
    </w:p>
    <w:p w:rsidR="00000000" w:rsidRDefault="00000000">
      <w:pPr>
        <w:rPr>
          <w:rFonts w:hint="eastAsia"/>
        </w:rPr>
      </w:pPr>
      <w:r>
        <w:rPr>
          <w:rFonts w:hint="eastAsia"/>
        </w:rPr>
        <w:tab/>
        <w:t xml:space="preserve">712.  </w:t>
      </w:r>
      <w:r>
        <w:rPr>
          <w:rFonts w:hint="eastAsia"/>
        </w:rPr>
        <w:t>在捷克共和国，对科学、技术及其他专门创造性成果产生的知识产权的保护，主要通过履行捷克共和国加入的、对其有约束力的国际条约所产生的义务，以及由于捷克共和国加入保护知识产权国际组织而承担的义务得到实施。知识产权保护制度包括保护版权和相关权利以及保护工业产权。</w:t>
      </w:r>
    </w:p>
    <w:p w:rsidR="00000000" w:rsidRDefault="00000000">
      <w:pPr>
        <w:rPr>
          <w:rFonts w:hint="eastAsia"/>
        </w:rPr>
      </w:pPr>
      <w:r>
        <w:rPr>
          <w:rFonts w:hint="eastAsia"/>
        </w:rPr>
        <w:tab/>
        <w:t xml:space="preserve">713.  </w:t>
      </w:r>
      <w:r>
        <w:rPr>
          <w:rFonts w:hint="eastAsia"/>
        </w:rPr>
        <w:t>国际义务主要有：</w:t>
      </w:r>
    </w:p>
    <w:p w:rsidR="00000000" w:rsidRDefault="00000000">
      <w:pPr>
        <w:numPr>
          <w:ilvl w:val="0"/>
          <w:numId w:val="905"/>
        </w:numPr>
        <w:rPr>
          <w:rFonts w:hint="eastAsia"/>
        </w:rPr>
      </w:pPr>
      <w:r>
        <w:rPr>
          <w:rFonts w:hint="eastAsia"/>
        </w:rPr>
        <w:t>《世界贸易组织条约》</w:t>
      </w:r>
      <w:r>
        <w:rPr>
          <w:rStyle w:val="EndnoteReference"/>
        </w:rPr>
        <w:endnoteReference w:id="409"/>
      </w:r>
      <w:r>
        <w:rPr>
          <w:rFonts w:hint="eastAsia"/>
        </w:rPr>
        <w:t xml:space="preserve"> </w:t>
      </w:r>
      <w:r>
        <w:rPr>
          <w:rFonts w:hint="eastAsia"/>
        </w:rPr>
        <w:t>该条约以捷克共和国的名义于</w:t>
      </w:r>
      <w:r>
        <w:rPr>
          <w:rFonts w:hint="eastAsia"/>
        </w:rPr>
        <w:t>1994</w:t>
      </w:r>
      <w:r>
        <w:rPr>
          <w:rFonts w:hint="eastAsia"/>
        </w:rPr>
        <w:t>年</w:t>
      </w:r>
      <w:r>
        <w:rPr>
          <w:rFonts w:hint="eastAsia"/>
        </w:rPr>
        <w:t>4</w:t>
      </w:r>
      <w:r>
        <w:rPr>
          <w:rFonts w:hint="eastAsia"/>
        </w:rPr>
        <w:t>月</w:t>
      </w:r>
      <w:r>
        <w:rPr>
          <w:rFonts w:hint="eastAsia"/>
        </w:rPr>
        <w:t>15</w:t>
      </w:r>
      <w:r>
        <w:rPr>
          <w:rFonts w:hint="eastAsia"/>
        </w:rPr>
        <w:t>日在马拉喀什得到签署。属于该条约的一个具有约束力的组成部分的，还有《与贸易有关的知识产权协议》</w:t>
      </w:r>
      <w:r>
        <w:rPr>
          <w:rFonts w:hint="eastAsia"/>
          <w:spacing w:val="-50"/>
        </w:rPr>
        <w:t>―</w:t>
      </w:r>
      <w:r>
        <w:rPr>
          <w:rFonts w:hint="eastAsia"/>
        </w:rPr>
        <w:t>―《涉贸知识产权协议》</w:t>
      </w:r>
      <w:r>
        <w:rPr>
          <w:rStyle w:val="EndnoteReference"/>
        </w:rPr>
        <w:endnoteReference w:id="410"/>
      </w:r>
      <w:r>
        <w:rPr>
          <w:rFonts w:hint="eastAsia"/>
        </w:rPr>
        <w:t>；</w:t>
      </w:r>
    </w:p>
    <w:p w:rsidR="00000000" w:rsidRDefault="00000000">
      <w:pPr>
        <w:numPr>
          <w:ilvl w:val="0"/>
          <w:numId w:val="905"/>
        </w:numPr>
        <w:rPr>
          <w:rFonts w:hint="eastAsia"/>
        </w:rPr>
      </w:pPr>
      <w:r>
        <w:rPr>
          <w:rFonts w:hint="eastAsia"/>
        </w:rPr>
        <w:t>《建立世界知识产权组织公约》</w:t>
      </w:r>
      <w:r>
        <w:rPr>
          <w:rStyle w:val="EndnoteReference"/>
        </w:rPr>
        <w:endnoteReference w:id="411"/>
      </w:r>
      <w:r>
        <w:rPr>
          <w:rFonts w:hint="eastAsia"/>
        </w:rPr>
        <w:t xml:space="preserve"> </w:t>
      </w:r>
      <w:r>
        <w:rPr>
          <w:rFonts w:hint="eastAsia"/>
        </w:rPr>
        <w:t>以及《巴黎公约》</w:t>
      </w:r>
      <w:r>
        <w:rPr>
          <w:rStyle w:val="EndnoteReference"/>
        </w:rPr>
        <w:endnoteReference w:id="412"/>
      </w:r>
      <w:r>
        <w:rPr>
          <w:rFonts w:hint="eastAsia"/>
        </w:rPr>
        <w:t>、《马德里</w:t>
      </w:r>
      <w:r>
        <w:rPr>
          <w:rFonts w:hint="eastAsia"/>
          <w:spacing w:val="0"/>
        </w:rPr>
        <w:t>协定》</w:t>
      </w:r>
      <w:r>
        <w:rPr>
          <w:rStyle w:val="EndnoteReference"/>
        </w:rPr>
        <w:endnoteReference w:id="413"/>
      </w:r>
      <w:r>
        <w:rPr>
          <w:rFonts w:hint="eastAsia"/>
          <w:spacing w:val="0"/>
        </w:rPr>
        <w:t>、《马德里协定议定书》</w:t>
      </w:r>
      <w:r>
        <w:rPr>
          <w:rStyle w:val="EndnoteReference"/>
        </w:rPr>
        <w:endnoteReference w:id="414"/>
      </w:r>
      <w:r>
        <w:rPr>
          <w:rFonts w:hint="eastAsia"/>
          <w:spacing w:val="0"/>
        </w:rPr>
        <w:t>、《尼斯协定》</w:t>
      </w:r>
      <w:r>
        <w:rPr>
          <w:rStyle w:val="EndnoteReference"/>
        </w:rPr>
        <w:endnoteReference w:id="415"/>
      </w:r>
      <w:r>
        <w:rPr>
          <w:rFonts w:hint="eastAsia"/>
          <w:spacing w:val="0"/>
        </w:rPr>
        <w:t>、《里斯本协定》</w:t>
      </w:r>
      <w:r>
        <w:rPr>
          <w:rStyle w:val="EndnoteReference"/>
        </w:rPr>
        <w:endnoteReference w:id="416"/>
      </w:r>
      <w:r>
        <w:rPr>
          <w:rFonts w:hint="eastAsia"/>
          <w:spacing w:val="0"/>
        </w:rPr>
        <w:t>、《洛迦诺协定》</w:t>
      </w:r>
      <w:r>
        <w:rPr>
          <w:rStyle w:val="EndnoteReference"/>
        </w:rPr>
        <w:endnoteReference w:id="417"/>
      </w:r>
      <w:r>
        <w:rPr>
          <w:rFonts w:hint="eastAsia"/>
          <w:spacing w:val="0"/>
        </w:rPr>
        <w:t>、《斯特拉斯堡协定》</w:t>
      </w:r>
      <w:r>
        <w:rPr>
          <w:rStyle w:val="EndnoteReference"/>
        </w:rPr>
        <w:endnoteReference w:id="418"/>
      </w:r>
      <w:r>
        <w:rPr>
          <w:rFonts w:hint="eastAsia"/>
          <w:spacing w:val="0"/>
        </w:rPr>
        <w:t>、《布达佩斯条</w:t>
      </w:r>
      <w:r>
        <w:rPr>
          <w:rFonts w:hint="eastAsia"/>
          <w:spacing w:val="14"/>
        </w:rPr>
        <w:t>约》</w:t>
      </w:r>
      <w:r>
        <w:rPr>
          <w:rStyle w:val="EndnoteReference"/>
          <w:spacing w:val="14"/>
        </w:rPr>
        <w:endnoteReference w:id="419"/>
      </w:r>
      <w:r>
        <w:rPr>
          <w:rFonts w:hint="eastAsia"/>
          <w:spacing w:val="14"/>
        </w:rPr>
        <w:t>、</w:t>
      </w:r>
      <w:r>
        <w:rPr>
          <w:rFonts w:hint="eastAsia"/>
        </w:rPr>
        <w:t>《工业品外观设计国际保存海牙协定》、《商标法条约》</w:t>
      </w:r>
      <w:r>
        <w:rPr>
          <w:rStyle w:val="EndnoteReference"/>
        </w:rPr>
        <w:endnoteReference w:id="420"/>
      </w:r>
      <w:r>
        <w:rPr>
          <w:rFonts w:hint="eastAsia"/>
        </w:rPr>
        <w:t>、《专利合作条约》</w:t>
      </w:r>
      <w:r>
        <w:rPr>
          <w:rStyle w:val="EndnoteReference"/>
        </w:rPr>
        <w:endnoteReference w:id="421"/>
      </w:r>
      <w:r>
        <w:rPr>
          <w:rFonts w:hint="eastAsia"/>
        </w:rPr>
        <w:t>、《伯尔尼公约》</w:t>
      </w:r>
      <w:r>
        <w:rPr>
          <w:rFonts w:hint="eastAsia"/>
        </w:rPr>
        <w:t>(</w:t>
      </w:r>
      <w:r>
        <w:rPr>
          <w:rFonts w:hint="eastAsia"/>
        </w:rPr>
        <w:t>《保护文学和艺术品公约》</w:t>
      </w:r>
      <w:r>
        <w:rPr>
          <w:rFonts w:hint="eastAsia"/>
        </w:rPr>
        <w:t>)</w:t>
      </w:r>
      <w:r>
        <w:rPr>
          <w:rStyle w:val="EndnoteReference"/>
        </w:rPr>
        <w:endnoteReference w:id="422"/>
      </w:r>
      <w:r>
        <w:rPr>
          <w:rFonts w:hint="eastAsia"/>
        </w:rPr>
        <w:t>、《罗马公约》</w:t>
      </w:r>
      <w:r>
        <w:rPr>
          <w:rFonts w:hint="eastAsia"/>
        </w:rPr>
        <w:t>(</w:t>
      </w:r>
      <w:r>
        <w:rPr>
          <w:rFonts w:hint="eastAsia"/>
        </w:rPr>
        <w:t>《保护表演者、唱片制作者和广播组织国际公约》</w:t>
      </w:r>
      <w:r>
        <w:rPr>
          <w:rFonts w:hint="eastAsia"/>
        </w:rPr>
        <w:t>)</w:t>
      </w:r>
      <w:r>
        <w:rPr>
          <w:rStyle w:val="EndnoteReference"/>
        </w:rPr>
        <w:endnoteReference w:id="423"/>
      </w:r>
      <w:r>
        <w:rPr>
          <w:rFonts w:hint="eastAsia"/>
        </w:rPr>
        <w:t>。</w:t>
      </w:r>
    </w:p>
    <w:p w:rsidR="00000000" w:rsidRDefault="00000000">
      <w:pPr>
        <w:rPr>
          <w:rFonts w:hint="eastAsia"/>
        </w:rPr>
      </w:pPr>
      <w:r>
        <w:rPr>
          <w:rFonts w:hint="eastAsia"/>
        </w:rPr>
        <w:tab/>
      </w:r>
      <w:r>
        <w:rPr>
          <w:rFonts w:hint="eastAsia"/>
        </w:rPr>
        <w:t>这些权利还在民法和刑法一般规定以及专门法规中得到阐明，并受到这些规定和专门法规的保护。</w:t>
      </w:r>
    </w:p>
    <w:p w:rsidR="00000000" w:rsidRDefault="00000000">
      <w:pPr>
        <w:rPr>
          <w:rFonts w:hint="eastAsia"/>
        </w:rPr>
      </w:pPr>
      <w:r>
        <w:rPr>
          <w:rFonts w:hint="eastAsia"/>
        </w:rPr>
        <w:tab/>
        <w:t xml:space="preserve">714.  </w:t>
      </w:r>
      <w:r>
        <w:rPr>
          <w:rFonts w:hint="eastAsia"/>
        </w:rPr>
        <w:t>有关版权和与版权相关权利的规章载于《文学、科学及艺术作品法》</w:t>
      </w:r>
      <w:r>
        <w:rPr>
          <w:rFonts w:hint="eastAsia"/>
        </w:rPr>
        <w:t>(</w:t>
      </w:r>
      <w:r>
        <w:rPr>
          <w:rFonts w:hint="eastAsia"/>
        </w:rPr>
        <w:t>《版权法》</w:t>
      </w:r>
      <w:r>
        <w:rPr>
          <w:rFonts w:hint="eastAsia"/>
        </w:rPr>
        <w:t>)</w:t>
      </w:r>
      <w:r>
        <w:rPr>
          <w:rStyle w:val="EndnoteReference"/>
        </w:rPr>
        <w:t xml:space="preserve"> </w:t>
      </w:r>
      <w:r>
        <w:rPr>
          <w:rStyle w:val="EndnoteReference"/>
        </w:rPr>
        <w:endnoteReference w:id="424"/>
      </w:r>
      <w:r>
        <w:rPr>
          <w:rFonts w:hint="eastAsia"/>
        </w:rPr>
        <w:t>。这部法规自</w:t>
      </w:r>
      <w:r>
        <w:rPr>
          <w:rFonts w:hint="eastAsia"/>
        </w:rPr>
        <w:t>1989</w:t>
      </w:r>
      <w:r>
        <w:rPr>
          <w:rFonts w:hint="eastAsia"/>
        </w:rPr>
        <w:t>年以来五次得到修正。版权保护已经更接近发达国家的水平，这些国家和捷克共和国一样，是国际版权公约的缔约国。</w:t>
      </w:r>
    </w:p>
    <w:p w:rsidR="00000000" w:rsidRDefault="00000000">
      <w:pPr>
        <w:rPr>
          <w:rFonts w:hint="eastAsia"/>
        </w:rPr>
      </w:pPr>
      <w:r>
        <w:rPr>
          <w:rFonts w:hint="eastAsia"/>
        </w:rPr>
        <w:tab/>
        <w:t xml:space="preserve">715.  </w:t>
      </w:r>
      <w:r>
        <w:rPr>
          <w:rFonts w:hint="eastAsia"/>
        </w:rPr>
        <w:t>《捷克共和国版权法》规定，文学、科学和艺术作品，特别是文字、戏剧、音乐作品和其他创作成果，包括建筑学创作成果以及“应用”艺术作品</w:t>
      </w:r>
      <w:r>
        <w:rPr>
          <w:rFonts w:hint="eastAsia"/>
        </w:rPr>
        <w:t>(</w:t>
      </w:r>
      <w:r>
        <w:rPr>
          <w:rFonts w:hint="eastAsia"/>
        </w:rPr>
        <w:t>影片、摄影作品以及地图制品等</w:t>
      </w:r>
      <w:r>
        <w:rPr>
          <w:rFonts w:hint="eastAsia"/>
        </w:rPr>
        <w:t>)</w:t>
      </w:r>
      <w:r>
        <w:rPr>
          <w:rFonts w:hint="eastAsia"/>
        </w:rPr>
        <w:t>的著作者的人身权和产权，在著作者在世时以及在其死后</w:t>
      </w:r>
      <w:r>
        <w:rPr>
          <w:rFonts w:hint="eastAsia"/>
        </w:rPr>
        <w:t>50</w:t>
      </w:r>
      <w:r>
        <w:rPr>
          <w:rFonts w:hint="eastAsia"/>
        </w:rPr>
        <w:t>年内受到保护。从</w:t>
      </w:r>
      <w:r>
        <w:rPr>
          <w:rFonts w:hint="eastAsia"/>
        </w:rPr>
        <w:t>1990</w:t>
      </w:r>
      <w:r>
        <w:rPr>
          <w:rFonts w:hint="eastAsia"/>
        </w:rPr>
        <w:t>年起，计算机程序也开始和文学作品一样受到保护，但条件是它们具备一项创作成果的基本特点。这部法规还以不影响对原作者作品的保护的方式，规定保护通过对他人的作品进行创造性处理而创作的作品以及翻译作品。迄今为止，作品的保护期尚未由在著作者死后</w:t>
      </w:r>
      <w:r>
        <w:rPr>
          <w:rFonts w:hint="eastAsia"/>
        </w:rPr>
        <w:t>50</w:t>
      </w:r>
      <w:r>
        <w:rPr>
          <w:rFonts w:hint="eastAsia"/>
        </w:rPr>
        <w:t>年内受到保护改为欧洲联盟立法实行的</w:t>
      </w:r>
      <w:r>
        <w:rPr>
          <w:rFonts w:hint="eastAsia"/>
        </w:rPr>
        <w:t>70</w:t>
      </w:r>
      <w:r>
        <w:rPr>
          <w:rFonts w:hint="eastAsia"/>
        </w:rPr>
        <w:t>年内受到保护。表演艺术家也享有类似于该法规赋予其他著作者的权利。这些权利在相当权利框架内得到规定，唱片以及无线电台和电视台节目制作者的权利也受到类似的保护。</w:t>
      </w:r>
    </w:p>
    <w:p w:rsidR="00000000" w:rsidRDefault="00000000">
      <w:pPr>
        <w:rPr>
          <w:rFonts w:hint="eastAsia"/>
        </w:rPr>
      </w:pPr>
      <w:r>
        <w:rPr>
          <w:rFonts w:hint="eastAsia"/>
        </w:rPr>
        <w:tab/>
        <w:t>716.  1990</w:t>
      </w:r>
      <w:r>
        <w:rPr>
          <w:rFonts w:hint="eastAsia"/>
        </w:rPr>
        <w:t>至</w:t>
      </w:r>
      <w:r>
        <w:rPr>
          <w:rFonts w:hint="eastAsia"/>
        </w:rPr>
        <w:t>1996</w:t>
      </w:r>
      <w:r>
        <w:rPr>
          <w:rFonts w:hint="eastAsia"/>
        </w:rPr>
        <w:t>年对《版权法》作的修正，涉及出现最严重的侵犯知识产权现象的领域。计算机程序被视为文学作品而在最近受到保护，此类程序不得复制，即便是供个人使用。</w:t>
      </w:r>
      <w:r>
        <w:rPr>
          <w:rFonts w:hint="eastAsia"/>
        </w:rPr>
        <w:t>CD</w:t>
      </w:r>
      <w:r>
        <w:rPr>
          <w:rFonts w:hint="eastAsia"/>
        </w:rPr>
        <w:t>的商业性作用和出租，须征得作者、表演艺术家、唱片制作者的同意</w:t>
      </w:r>
      <w:r>
        <w:rPr>
          <w:rFonts w:hint="eastAsia"/>
        </w:rPr>
        <w:t>(</w:t>
      </w:r>
      <w:r>
        <w:rPr>
          <w:rFonts w:hint="eastAsia"/>
        </w:rPr>
        <w:t>目前，</w:t>
      </w:r>
      <w:r>
        <w:rPr>
          <w:rFonts w:hint="eastAsia"/>
        </w:rPr>
        <w:t>CD</w:t>
      </w:r>
      <w:r>
        <w:rPr>
          <w:rFonts w:hint="eastAsia"/>
        </w:rPr>
        <w:t>的公共租用受到禁止，这一禁令是由代表表演艺术家和唱片制作者的组织实行的</w:t>
      </w:r>
      <w:r>
        <w:rPr>
          <w:rFonts w:hint="eastAsia"/>
        </w:rPr>
        <w:t>)</w:t>
      </w:r>
      <w:r>
        <w:rPr>
          <w:rFonts w:hint="eastAsia"/>
        </w:rPr>
        <w:t>。目前制定了新立法，可据以对研制、推广及使用旨在消除保护作品，使其不被擅自使用的技术装置的手段者提起公诉。这些修正还使海关工作人员处理未经准许传播物品行为的权力得到进一步加强。</w:t>
      </w:r>
    </w:p>
    <w:p w:rsidR="00000000" w:rsidRDefault="00000000">
      <w:pPr>
        <w:rPr>
          <w:rFonts w:hint="eastAsia"/>
        </w:rPr>
      </w:pPr>
      <w:r>
        <w:rPr>
          <w:rFonts w:hint="eastAsia"/>
        </w:rPr>
        <w:tab/>
        <w:t xml:space="preserve">717.  </w:t>
      </w:r>
      <w:r>
        <w:rPr>
          <w:rFonts w:hint="eastAsia"/>
        </w:rPr>
        <w:t>一部关于共同管理版权和与版权相关权利的专门法规</w:t>
      </w:r>
      <w:r>
        <w:rPr>
          <w:rFonts w:hint="eastAsia"/>
        </w:rPr>
        <w:t xml:space="preserve"> </w:t>
      </w:r>
      <w:r>
        <w:rPr>
          <w:rStyle w:val="EndnoteReference"/>
        </w:rPr>
        <w:endnoteReference w:id="425"/>
      </w:r>
      <w:r>
        <w:rPr>
          <w:rFonts w:hint="eastAsia"/>
        </w:rPr>
        <w:t xml:space="preserve"> </w:t>
      </w:r>
      <w:r>
        <w:rPr>
          <w:rFonts w:hint="eastAsia"/>
        </w:rPr>
        <w:t>对由专门组织共同管理版权和相关权利作了规定。这部法规规定，经文化部决定得到共同管理授权的组织，可在权利拥有者自己无法妥为行使版权的领域</w:t>
      </w:r>
      <w:r>
        <w:rPr>
          <w:rFonts w:hint="eastAsia"/>
        </w:rPr>
        <w:t>(</w:t>
      </w:r>
      <w:r>
        <w:rPr>
          <w:rFonts w:hint="eastAsia"/>
        </w:rPr>
        <w:t>例如，复制作品供个人使用、租用、出租或采用其他方法复制向公众提供的作品等</w:t>
      </w:r>
      <w:r>
        <w:rPr>
          <w:rFonts w:hint="eastAsia"/>
        </w:rPr>
        <w:t>)</w:t>
      </w:r>
      <w:r>
        <w:rPr>
          <w:rFonts w:hint="eastAsia"/>
        </w:rPr>
        <w:t>为权利拥有者</w:t>
      </w:r>
      <w:r>
        <w:rPr>
          <w:rFonts w:hint="eastAsia"/>
        </w:rPr>
        <w:t>(</w:t>
      </w:r>
      <w:r>
        <w:rPr>
          <w:rFonts w:hint="eastAsia"/>
        </w:rPr>
        <w:t>著作者</w:t>
      </w:r>
      <w:r>
        <w:rPr>
          <w:rFonts w:hint="eastAsia"/>
        </w:rPr>
        <w:t>)</w:t>
      </w:r>
      <w:r>
        <w:rPr>
          <w:rFonts w:hint="eastAsia"/>
        </w:rPr>
        <w:t>收取有关费用和补偿费。</w:t>
      </w:r>
    </w:p>
    <w:p w:rsidR="00000000" w:rsidRDefault="00000000">
      <w:pPr>
        <w:rPr>
          <w:rFonts w:hint="eastAsia"/>
        </w:rPr>
      </w:pPr>
      <w:r>
        <w:rPr>
          <w:rFonts w:hint="eastAsia"/>
        </w:rPr>
        <w:tab/>
        <w:t>718.  1998</w:t>
      </w:r>
      <w:r>
        <w:rPr>
          <w:rFonts w:hint="eastAsia"/>
        </w:rPr>
        <w:t>年</w:t>
      </w:r>
      <w:r>
        <w:rPr>
          <w:rFonts w:hint="eastAsia"/>
        </w:rPr>
        <w:t>5</w:t>
      </w:r>
      <w:r>
        <w:rPr>
          <w:rFonts w:hint="eastAsia"/>
        </w:rPr>
        <w:t>月，捷克共和国批准新的《版权法》实质性纲要</w:t>
      </w:r>
      <w:r>
        <w:rPr>
          <w:rFonts w:hint="eastAsia"/>
        </w:rPr>
        <w:t xml:space="preserve"> </w:t>
      </w:r>
      <w:r>
        <w:rPr>
          <w:rStyle w:val="EndnoteReference"/>
        </w:rPr>
        <w:endnoteReference w:id="426"/>
      </w:r>
      <w:r>
        <w:rPr>
          <w:rFonts w:hint="eastAsia"/>
        </w:rPr>
        <w:t>，依据这一纲要，文化部于</w:t>
      </w:r>
      <w:r>
        <w:rPr>
          <w:rFonts w:hint="eastAsia"/>
        </w:rPr>
        <w:t>1999</w:t>
      </w:r>
      <w:r>
        <w:rPr>
          <w:rFonts w:hint="eastAsia"/>
        </w:rPr>
        <w:t>年起草了一部法规草案，该草案由政府于</w:t>
      </w:r>
      <w:r>
        <w:rPr>
          <w:rFonts w:hint="eastAsia"/>
        </w:rPr>
        <w:t>1999</w:t>
      </w:r>
      <w:r>
        <w:rPr>
          <w:rFonts w:hint="eastAsia"/>
        </w:rPr>
        <w:t>年</w:t>
      </w:r>
      <w:r>
        <w:rPr>
          <w:rFonts w:hint="eastAsia"/>
        </w:rPr>
        <w:t>11</w:t>
      </w:r>
      <w:r>
        <w:rPr>
          <w:rFonts w:hint="eastAsia"/>
        </w:rPr>
        <w:t>月送交捷克共和国议会讨论。如定稿获通过，该法规将于</w:t>
      </w:r>
      <w:r>
        <w:rPr>
          <w:rFonts w:hint="eastAsia"/>
        </w:rPr>
        <w:t>2000</w:t>
      </w:r>
      <w:r>
        <w:rPr>
          <w:rFonts w:hint="eastAsia"/>
        </w:rPr>
        <w:t>年生效。这部法规对版权作了全面规定，这些规定将与欧共体条例和国际版权公约完全一致。新法规草案将文学和艺术作品先前的保护期由著作者死后</w:t>
      </w:r>
      <w:r>
        <w:rPr>
          <w:rFonts w:hint="eastAsia"/>
        </w:rPr>
        <w:t>50</w:t>
      </w:r>
      <w:r>
        <w:rPr>
          <w:rFonts w:hint="eastAsia"/>
        </w:rPr>
        <w:t>年延长至</w:t>
      </w:r>
      <w:r>
        <w:rPr>
          <w:rFonts w:hint="eastAsia"/>
        </w:rPr>
        <w:t>70</w:t>
      </w:r>
      <w:r>
        <w:rPr>
          <w:rFonts w:hint="eastAsia"/>
        </w:rPr>
        <w:t>年，并且还考虑在这一期限满期之后使著作者、表演艺术家、唱片和影片制作人的权利的保护期重新生效</w:t>
      </w:r>
      <w:r>
        <w:rPr>
          <w:rFonts w:hint="eastAsia"/>
        </w:rPr>
        <w:t>(</w:t>
      </w:r>
      <w:r>
        <w:rPr>
          <w:rFonts w:hint="eastAsia"/>
        </w:rPr>
        <w:t>延长</w:t>
      </w:r>
      <w:r>
        <w:rPr>
          <w:rFonts w:hint="eastAsia"/>
        </w:rPr>
        <w:t>)</w:t>
      </w:r>
      <w:r>
        <w:rPr>
          <w:rFonts w:hint="eastAsia"/>
        </w:rPr>
        <w:t>。</w:t>
      </w:r>
    </w:p>
    <w:p w:rsidR="00000000" w:rsidRDefault="00000000">
      <w:pPr>
        <w:rPr>
          <w:rFonts w:hint="eastAsia"/>
        </w:rPr>
      </w:pPr>
      <w:r>
        <w:rPr>
          <w:rFonts w:hint="eastAsia"/>
        </w:rPr>
        <w:tab/>
        <w:t xml:space="preserve">719.  </w:t>
      </w:r>
      <w:r>
        <w:rPr>
          <w:rFonts w:hint="eastAsia"/>
        </w:rPr>
        <w:t>新的《版权法》将首次对音像制品制作者的权利、出版商的权利以及数据库创建者的专门权利作出规定。著作者、表演艺术家、唱片制作者以及制片人等，还将有权因利用非记录媒体、重放设备和复制设备，以及利用依据经营执照提供复制服务者复制作品以及唱片和音像制品供个人使用，而得到相应的补偿。</w:t>
      </w:r>
    </w:p>
    <w:p w:rsidR="00000000" w:rsidRDefault="00000000">
      <w:pPr>
        <w:rPr>
          <w:rFonts w:hint="eastAsia"/>
        </w:rPr>
      </w:pPr>
      <w:r>
        <w:rPr>
          <w:rFonts w:hint="eastAsia"/>
        </w:rPr>
        <w:tab/>
        <w:t xml:space="preserve">720.  </w:t>
      </w:r>
      <w:r>
        <w:rPr>
          <w:rFonts w:hint="eastAsia"/>
        </w:rPr>
        <w:t>新的法律框架还将包括保护和落实权利的新的实质性法律手段。权利拥有者将能够运用与处理侵犯权利情形时所采用的相同的手段，对付制作、传播或提供干扰作品的技术保护的技术手段</w:t>
      </w:r>
      <w:r>
        <w:rPr>
          <w:rFonts w:hint="eastAsia"/>
        </w:rPr>
        <w:t>(</w:t>
      </w:r>
      <w:r>
        <w:rPr>
          <w:rFonts w:hint="eastAsia"/>
        </w:rPr>
        <w:t>解码器</w:t>
      </w:r>
      <w:r>
        <w:rPr>
          <w:rFonts w:hint="eastAsia"/>
        </w:rPr>
        <w:t>)</w:t>
      </w:r>
      <w:r>
        <w:rPr>
          <w:rFonts w:hint="eastAsia"/>
        </w:rPr>
        <w:t>的人。新的《版权法》还规定对有关权利管理的电子信息实行保护。</w:t>
      </w:r>
    </w:p>
    <w:p w:rsidR="00000000" w:rsidRDefault="00000000">
      <w:pPr>
        <w:rPr>
          <w:rFonts w:hint="eastAsia"/>
        </w:rPr>
      </w:pPr>
      <w:r>
        <w:rPr>
          <w:rFonts w:hint="eastAsia"/>
        </w:rPr>
        <w:tab/>
        <w:t xml:space="preserve">721.  </w:t>
      </w:r>
      <w:r>
        <w:rPr>
          <w:rFonts w:hint="eastAsia"/>
        </w:rPr>
        <w:t>《版权法》草案还载有关于权利的共同管理的具体规定。将为共同管理者提供更多的法律手段，在顾及刚刚出现的信息社会的前提下规定管理者的权利和义务，必须实行共同管理的方面和领域将得到列明，这些组织在城区管辖方面的地位将得到加强，将规定一种程序，以便确定作品和表演的使用者须向这些组织支付的补偿费数额，等等。</w:t>
      </w:r>
    </w:p>
    <w:p w:rsidR="00000000" w:rsidRDefault="00000000">
      <w:pPr>
        <w:rPr>
          <w:rFonts w:hint="eastAsia"/>
        </w:rPr>
      </w:pPr>
      <w:r>
        <w:rPr>
          <w:rFonts w:hint="eastAsia"/>
        </w:rPr>
        <w:tab/>
        <w:t xml:space="preserve">722.  </w:t>
      </w:r>
      <w:r>
        <w:rPr>
          <w:rFonts w:hint="eastAsia"/>
        </w:rPr>
        <w:t>以下各部法律的相关条款对保护科学、技术以及专业创作成果作了规定：《发明、工业样式和合理化建议法》</w:t>
      </w:r>
      <w:r>
        <w:rPr>
          <w:rStyle w:val="EndnoteReference"/>
        </w:rPr>
        <w:endnoteReference w:id="427"/>
      </w:r>
      <w:r>
        <w:rPr>
          <w:rFonts w:hint="eastAsia"/>
        </w:rPr>
        <w:t>、《实用模型法》</w:t>
      </w:r>
      <w:r>
        <w:rPr>
          <w:rStyle w:val="EndnoteReference"/>
        </w:rPr>
        <w:endnoteReference w:id="428"/>
      </w:r>
      <w:r>
        <w:rPr>
          <w:rFonts w:hint="eastAsia"/>
        </w:rPr>
        <w:t>、《商标法》</w:t>
      </w:r>
      <w:r>
        <w:rPr>
          <w:rStyle w:val="EndnoteReference"/>
        </w:rPr>
        <w:endnoteReference w:id="429"/>
      </w:r>
      <w:r>
        <w:rPr>
          <w:rFonts w:hint="eastAsia"/>
        </w:rPr>
        <w:t>、《保护经济竞争法》</w:t>
      </w:r>
      <w:r>
        <w:rPr>
          <w:rStyle w:val="EndnoteReference"/>
        </w:rPr>
        <w:endnoteReference w:id="430"/>
      </w:r>
      <w:r>
        <w:rPr>
          <w:rFonts w:hint="eastAsia"/>
        </w:rPr>
        <w:t xml:space="preserve"> </w:t>
      </w:r>
      <w:r>
        <w:rPr>
          <w:rFonts w:hint="eastAsia"/>
        </w:rPr>
        <w:t>以及《商法》</w:t>
      </w:r>
      <w:r>
        <w:rPr>
          <w:rStyle w:val="EndnoteReference"/>
        </w:rPr>
        <w:endnoteReference w:id="431"/>
      </w:r>
      <w:r>
        <w:rPr>
          <w:rFonts w:hint="eastAsia"/>
        </w:rPr>
        <w:t>。这些法规条款尤其适用于权利转让或有关发明、工业模型、商标、商号、半导体产品构型、实用模型和植物的受保护变异的特许权的提供等。</w:t>
      </w:r>
    </w:p>
    <w:p w:rsidR="00000000" w:rsidRDefault="00000000">
      <w:pPr>
        <w:rPr>
          <w:rFonts w:hint="eastAsia"/>
        </w:rPr>
      </w:pPr>
      <w:r>
        <w:rPr>
          <w:rFonts w:hint="eastAsia"/>
        </w:rPr>
        <w:tab/>
        <w:t xml:space="preserve">723.  </w:t>
      </w:r>
      <w:r>
        <w:rPr>
          <w:rFonts w:hint="eastAsia"/>
        </w:rPr>
        <w:t>《商标法》的通过从根本上改变了工业财产的公法保护制度。商标权所有人可请法院下令禁止他人使用其商标或可与其商标换用的商标，并请有关部门将标签使用方式不当、因而使其权利受到侵犯的商品从流通渠道移走。商标权所有人可以请海关禁止标签违反了其在《商标法》之下的权利的产品在国内流通。如冒用商标权的行为造成了损害，受害方有权得到赔偿。如造成的是非财产性损害，受害方有权得到相应赔偿，此种赔偿的方式可以是支付赔偿金。</w:t>
      </w:r>
    </w:p>
    <w:p w:rsidR="00000000" w:rsidRDefault="00000000">
      <w:pPr>
        <w:rPr>
          <w:rFonts w:hint="eastAsia"/>
        </w:rPr>
      </w:pPr>
      <w:r>
        <w:rPr>
          <w:rFonts w:hint="eastAsia"/>
        </w:rPr>
        <w:tab/>
        <w:t xml:space="preserve">724.  </w:t>
      </w:r>
      <w:r>
        <w:rPr>
          <w:rFonts w:hint="eastAsia"/>
        </w:rPr>
        <w:t>在总的法规中，《刑法》第</w:t>
      </w:r>
      <w:r>
        <w:rPr>
          <w:rFonts w:hint="eastAsia"/>
        </w:rPr>
        <w:t>150-152</w:t>
      </w:r>
      <w:r>
        <w:rPr>
          <w:rFonts w:hint="eastAsia"/>
        </w:rPr>
        <w:t>条载有关于保护、遵守和执行知识产权的具体规定，这几个条款列出了以下行为：</w:t>
      </w:r>
    </w:p>
    <w:p w:rsidR="00000000" w:rsidRDefault="00000000">
      <w:pPr>
        <w:pStyle w:val="ad"/>
        <w:rPr>
          <w:rFonts w:hint="eastAsia"/>
        </w:rPr>
      </w:pPr>
      <w:r>
        <w:rPr>
          <w:rFonts w:hint="eastAsia"/>
        </w:rPr>
        <w:t>第</w:t>
      </w:r>
      <w:r>
        <w:rPr>
          <w:rFonts w:hint="eastAsia"/>
        </w:rPr>
        <w:t>150</w:t>
      </w:r>
      <w:r>
        <w:rPr>
          <w:rFonts w:hint="eastAsia"/>
        </w:rPr>
        <w:t>条</w:t>
      </w:r>
      <w:r>
        <w:rPr>
          <w:rFonts w:hint="eastAsia"/>
          <w:spacing w:val="-50"/>
        </w:rPr>
        <w:t>―</w:t>
      </w:r>
      <w:r>
        <w:rPr>
          <w:rFonts w:hint="eastAsia"/>
        </w:rPr>
        <w:t>―侵犯与商标、商业名称以及受保护的原产地名称相关的权利；</w:t>
      </w:r>
    </w:p>
    <w:p w:rsidR="00000000" w:rsidRDefault="00000000">
      <w:pPr>
        <w:pStyle w:val="ad"/>
        <w:rPr>
          <w:rFonts w:hint="eastAsia"/>
        </w:rPr>
      </w:pPr>
      <w:r>
        <w:rPr>
          <w:rFonts w:hint="eastAsia"/>
        </w:rPr>
        <w:t>第</w:t>
      </w:r>
      <w:r>
        <w:rPr>
          <w:rFonts w:hint="eastAsia"/>
        </w:rPr>
        <w:t>151</w:t>
      </w:r>
      <w:r>
        <w:rPr>
          <w:rFonts w:hint="eastAsia"/>
        </w:rPr>
        <w:t>条</w:t>
      </w:r>
      <w:r>
        <w:rPr>
          <w:rFonts w:hint="eastAsia"/>
          <w:spacing w:val="-50"/>
        </w:rPr>
        <w:t>―</w:t>
      </w:r>
      <w:r>
        <w:rPr>
          <w:rFonts w:hint="eastAsia"/>
        </w:rPr>
        <w:t>―侵犯工业产权；</w:t>
      </w:r>
    </w:p>
    <w:p w:rsidR="00000000" w:rsidRDefault="00000000">
      <w:pPr>
        <w:pStyle w:val="ad"/>
        <w:rPr>
          <w:rFonts w:hint="eastAsia"/>
        </w:rPr>
      </w:pPr>
      <w:r>
        <w:rPr>
          <w:rFonts w:hint="eastAsia"/>
        </w:rPr>
        <w:t>第</w:t>
      </w:r>
      <w:r>
        <w:rPr>
          <w:rFonts w:hint="eastAsia"/>
        </w:rPr>
        <w:t>152</w:t>
      </w:r>
      <w:r>
        <w:rPr>
          <w:rFonts w:hint="eastAsia"/>
        </w:rPr>
        <w:t>条</w:t>
      </w:r>
      <w:r>
        <w:rPr>
          <w:rFonts w:hint="eastAsia"/>
          <w:spacing w:val="-50"/>
        </w:rPr>
        <w:t>―</w:t>
      </w:r>
      <w:r>
        <w:rPr>
          <w:rFonts w:hint="eastAsia"/>
        </w:rPr>
        <w:t>―侵犯版权。</w:t>
      </w:r>
    </w:p>
    <w:p w:rsidR="00000000" w:rsidRDefault="00000000">
      <w:pPr>
        <w:rPr>
          <w:rFonts w:hint="eastAsia"/>
        </w:rPr>
      </w:pPr>
      <w:r>
        <w:rPr>
          <w:rFonts w:hint="eastAsia"/>
        </w:rPr>
        <w:tab/>
        <w:t xml:space="preserve">725.  </w:t>
      </w:r>
      <w:r>
        <w:rPr>
          <w:rFonts w:hint="eastAsia"/>
        </w:rPr>
        <w:t>负责为登记应受保护的工业产权项目规定条件，并确保对这些项目适用恰当程序的国家中央管理机构，是工业产权局</w:t>
      </w:r>
      <w:r>
        <w:rPr>
          <w:rFonts w:hint="eastAsia"/>
        </w:rPr>
        <w:t xml:space="preserve"> </w:t>
      </w:r>
      <w:r>
        <w:rPr>
          <w:rStyle w:val="EndnoteReference"/>
        </w:rPr>
        <w:endnoteReference w:id="432"/>
      </w:r>
      <w:r>
        <w:rPr>
          <w:rFonts w:hint="eastAsia"/>
        </w:rPr>
        <w:t>。</w:t>
      </w:r>
    </w:p>
    <w:p w:rsidR="00000000" w:rsidRDefault="00000000">
      <w:pPr>
        <w:rPr>
          <w:rFonts w:hint="eastAsia"/>
        </w:rPr>
      </w:pPr>
      <w:r>
        <w:rPr>
          <w:rFonts w:hint="eastAsia"/>
        </w:rPr>
        <w:tab/>
        <w:t xml:space="preserve">726.  </w:t>
      </w:r>
      <w:r>
        <w:rPr>
          <w:rFonts w:hint="eastAsia"/>
        </w:rPr>
        <w:t>因此，行政和司法机构，以及受理刑事诉讼的机构等，可利用落实知识产权所需的必要的手段和程序。例如，法院有权下令采取初步措施，以防止这些权利遭受侵犯，法院可以禁止这些权利受到侵犯。受害的所有人有权得到损害赔偿。故意侵犯这些权利的行为被视为一种犯罪，犯有此种行为者可能受到形式为监禁或罚款的惩治。警方有权在处理不法行为过程中，没收某人的物品，但条件是警方有理由认为，该物品可能在法院进行的审理中被宣布为没收品或予以没收。</w:t>
      </w:r>
    </w:p>
    <w:p w:rsidR="00000000" w:rsidRDefault="00000000">
      <w:pPr>
        <w:rPr>
          <w:rFonts w:hint="eastAsia"/>
        </w:rPr>
      </w:pPr>
      <w:r>
        <w:rPr>
          <w:rFonts w:hint="eastAsia"/>
        </w:rPr>
        <w:tab/>
        <w:t xml:space="preserve">727.  </w:t>
      </w:r>
      <w:r>
        <w:rPr>
          <w:rFonts w:hint="eastAsia"/>
        </w:rPr>
        <w:t>为配合《涉贸知识产权协议》的加入，捷克共和国对法律制度进行了审查，目的是评估该制度在版权和相关权利、商标、地理标志和工业模型、集成电路构型、机密信息保护、专利领域，以及落实这些权利的领域，与《协议》的一致性。这些审查表明，捷克共和国在所有受到监测的领域都已经建立起完善的法律制度。</w:t>
      </w:r>
    </w:p>
    <w:p w:rsidR="00000000" w:rsidRDefault="00000000">
      <w:pPr>
        <w:rPr>
          <w:rFonts w:hint="eastAsia"/>
        </w:rPr>
      </w:pPr>
      <w:r>
        <w:rPr>
          <w:rFonts w:hint="eastAsia"/>
        </w:rPr>
        <w:tab/>
        <w:t xml:space="preserve">728.  </w:t>
      </w:r>
      <w:r>
        <w:rPr>
          <w:rFonts w:hint="eastAsia"/>
        </w:rPr>
        <w:t>有必要将《涉贸知识产权协议》纳入捷克法律体系，以及有必要与欧洲联盟的法规相一致这一点，反映在对有关这一领域的法律作附加修正方面。</w:t>
      </w:r>
      <w:r>
        <w:rPr>
          <w:rFonts w:hint="eastAsia"/>
        </w:rPr>
        <w:t>1999</w:t>
      </w:r>
      <w:r>
        <w:rPr>
          <w:rFonts w:hint="eastAsia"/>
        </w:rPr>
        <w:t>年</w:t>
      </w:r>
      <w:r>
        <w:rPr>
          <w:rFonts w:hint="eastAsia"/>
        </w:rPr>
        <w:t>12</w:t>
      </w:r>
      <w:r>
        <w:rPr>
          <w:rFonts w:hint="eastAsia"/>
        </w:rPr>
        <w:t>月</w:t>
      </w:r>
      <w:r>
        <w:rPr>
          <w:rFonts w:hint="eastAsia"/>
        </w:rPr>
        <w:t>1</w:t>
      </w:r>
      <w:r>
        <w:rPr>
          <w:rFonts w:hint="eastAsia"/>
        </w:rPr>
        <w:t>日，《关于制止违反某些知识产权的货物的进出口和再出口的措施的法规》生效，这部《法规》规定，海关有权处置假冒制品或未经许可生产的纺织品，包括没收并销毁此类货物。</w:t>
      </w:r>
    </w:p>
    <w:p w:rsidR="00000000" w:rsidRDefault="00000000">
      <w:pPr>
        <w:rPr>
          <w:rFonts w:hint="eastAsia"/>
        </w:rPr>
      </w:pPr>
      <w:r>
        <w:rPr>
          <w:rFonts w:hint="eastAsia"/>
        </w:rPr>
        <w:tab/>
        <w:t xml:space="preserve">729.  </w:t>
      </w:r>
      <w:r>
        <w:rPr>
          <w:rFonts w:hint="eastAsia"/>
        </w:rPr>
        <w:t>《无线电和电视广播法》第</w:t>
      </w:r>
      <w:r>
        <w:rPr>
          <w:rFonts w:hint="eastAsia"/>
        </w:rPr>
        <w:t>5</w:t>
      </w:r>
      <w:r>
        <w:rPr>
          <w:rFonts w:hint="eastAsia"/>
        </w:rPr>
        <w:t>条规定，广播业者须在版权保护方面与负责共同管理版权和与版权相关权利的组织缔结协议。类似的条款载于《欧洲国境外电视广播公约》，捷克共和国于</w:t>
      </w:r>
      <w:r>
        <w:rPr>
          <w:rFonts w:hint="eastAsia"/>
        </w:rPr>
        <w:t>1999</w:t>
      </w:r>
      <w:r>
        <w:rPr>
          <w:rFonts w:hint="eastAsia"/>
        </w:rPr>
        <w:t>年</w:t>
      </w:r>
      <w:r>
        <w:rPr>
          <w:rFonts w:hint="eastAsia"/>
        </w:rPr>
        <w:t>5</w:t>
      </w:r>
      <w:r>
        <w:rPr>
          <w:rFonts w:hint="eastAsia"/>
        </w:rPr>
        <w:t>月</w:t>
      </w:r>
      <w:r>
        <w:rPr>
          <w:rFonts w:hint="eastAsia"/>
        </w:rPr>
        <w:t>7</w:t>
      </w:r>
      <w:r>
        <w:rPr>
          <w:rFonts w:hint="eastAsia"/>
        </w:rPr>
        <w:t>日签署了这项公约。</w:t>
      </w:r>
    </w:p>
    <w:p w:rsidR="00000000" w:rsidRDefault="00000000">
      <w:pPr>
        <w:rPr>
          <w:rFonts w:hint="eastAsia"/>
        </w:rPr>
      </w:pPr>
      <w:r>
        <w:rPr>
          <w:rFonts w:hint="eastAsia"/>
        </w:rPr>
        <w:tab/>
        <w:t xml:space="preserve">730.  </w:t>
      </w:r>
      <w:r>
        <w:rPr>
          <w:rFonts w:hint="eastAsia"/>
        </w:rPr>
        <w:t>捷克共和国关于履行《广播公约》之下的义务的现行法规是充分的，对法规遵守情况包括其执行情况的监测，也是充分的。《捷克电视台法》和《捷克无线电台法》的条款的遵守，并非直接依据法律得到执行，对条款遵守情况的监测，在相互商定之后，由广播事业管理机构，即捷克电视台理事会和捷克无线电台理事会负责。</w:t>
      </w:r>
    </w:p>
    <w:p w:rsidR="00000000" w:rsidRDefault="00000000">
      <w:pPr>
        <w:spacing w:after="320"/>
        <w:rPr>
          <w:rFonts w:hint="eastAsia"/>
        </w:rPr>
      </w:pPr>
      <w:r>
        <w:rPr>
          <w:rFonts w:hint="eastAsia"/>
        </w:rPr>
        <w:tab/>
        <w:t>731.  1999</w:t>
      </w:r>
      <w:r>
        <w:rPr>
          <w:rFonts w:hint="eastAsia"/>
        </w:rPr>
        <w:t>年底，政府向捷克共和国议会提交一项法规草案，该草案在相当大程度上对现行《广播法》条款进行补充和修正，以使其与欧洲共同体各成员国共同积累的经验，并与欧洲委员会在这一领域的建议充分一致。</w:t>
      </w:r>
    </w:p>
    <w:p w:rsidR="00000000" w:rsidRDefault="00000000">
      <w:pPr>
        <w:pStyle w:val="Heading4"/>
        <w:rPr>
          <w:rFonts w:hint="eastAsia"/>
        </w:rPr>
      </w:pPr>
      <w:r>
        <w:rPr>
          <w:rFonts w:hint="eastAsia"/>
        </w:rPr>
        <w:t>第</w:t>
      </w:r>
      <w:r>
        <w:rPr>
          <w:rFonts w:hint="eastAsia"/>
        </w:rPr>
        <w:t xml:space="preserve"> 2 </w:t>
      </w:r>
      <w:r>
        <w:rPr>
          <w:rFonts w:hint="eastAsia"/>
        </w:rPr>
        <w:t>款</w:t>
      </w:r>
    </w:p>
    <w:p w:rsidR="00000000" w:rsidRDefault="00000000">
      <w:pPr>
        <w:pStyle w:val="Heading4"/>
        <w:rPr>
          <w:rFonts w:hint="eastAsia"/>
        </w:rPr>
      </w:pPr>
      <w:r>
        <w:rPr>
          <w:rFonts w:hint="eastAsia"/>
          <w:u w:val="none"/>
        </w:rPr>
        <w:tab/>
      </w:r>
      <w:r>
        <w:rPr>
          <w:rFonts w:hint="eastAsia"/>
        </w:rPr>
        <w:t>对科学、研究与开发的支持</w:t>
      </w:r>
    </w:p>
    <w:p w:rsidR="00000000" w:rsidRDefault="00000000">
      <w:pPr>
        <w:rPr>
          <w:rFonts w:hint="eastAsia"/>
        </w:rPr>
      </w:pPr>
      <w:r>
        <w:rPr>
          <w:rFonts w:hint="eastAsia"/>
        </w:rPr>
        <w:tab/>
        <w:t xml:space="preserve">732.  </w:t>
      </w:r>
      <w:r>
        <w:rPr>
          <w:rFonts w:hint="eastAsia"/>
        </w:rPr>
        <w:t>目前仍不具备一份界定捷克研究与开发国家政策的基本的概念性文件，这对国民经济的许多部门，从教育到产品和技术在国内和国际市场上的竞争力等，都有着不利影响。在实质内容层面，《捷克共和国面向</w:t>
      </w:r>
      <w:r>
        <w:rPr>
          <w:rFonts w:hint="eastAsia"/>
        </w:rPr>
        <w:t>21</w:t>
      </w:r>
      <w:r>
        <w:rPr>
          <w:rFonts w:hint="eastAsia"/>
        </w:rPr>
        <w:t>世纪的科学政策原则》对所需政策的内容作了界定，《原则》是政府于</w:t>
      </w:r>
      <w:r>
        <w:rPr>
          <w:rFonts w:hint="eastAsia"/>
        </w:rPr>
        <w:t>1998</w:t>
      </w:r>
      <w:r>
        <w:rPr>
          <w:rFonts w:hint="eastAsia"/>
        </w:rPr>
        <w:t>年通过的</w:t>
      </w:r>
      <w:r>
        <w:rPr>
          <w:rFonts w:hint="eastAsia"/>
        </w:rPr>
        <w:t xml:space="preserve"> </w:t>
      </w:r>
      <w:r>
        <w:rPr>
          <w:rStyle w:val="EndnoteReference"/>
        </w:rPr>
        <w:endnoteReference w:id="433"/>
      </w:r>
      <w:r>
        <w:rPr>
          <w:rFonts w:hint="eastAsia"/>
        </w:rPr>
        <w:t>。同一年，政府还批准了研究与开发国策拟定详细程序</w:t>
      </w:r>
      <w:r>
        <w:rPr>
          <w:rFonts w:hint="eastAsia"/>
        </w:rPr>
        <w:t xml:space="preserve"> </w:t>
      </w:r>
      <w:r>
        <w:rPr>
          <w:rStyle w:val="EndnoteReference"/>
        </w:rPr>
        <w:endnoteReference w:id="434"/>
      </w:r>
      <w:r>
        <w:rPr>
          <w:rFonts w:hint="eastAsia"/>
        </w:rPr>
        <w:t>，从而使一项纲要能在</w:t>
      </w:r>
      <w:r>
        <w:rPr>
          <w:rFonts w:hint="eastAsia"/>
        </w:rPr>
        <w:t>1999</w:t>
      </w:r>
      <w:r>
        <w:rPr>
          <w:rFonts w:hint="eastAsia"/>
        </w:rPr>
        <w:t>年</w:t>
      </w:r>
      <w:r>
        <w:rPr>
          <w:rFonts w:hint="eastAsia"/>
        </w:rPr>
        <w:t>12</w:t>
      </w:r>
      <w:r>
        <w:rPr>
          <w:rFonts w:hint="eastAsia"/>
        </w:rPr>
        <w:t>月</w:t>
      </w:r>
      <w:r>
        <w:rPr>
          <w:rFonts w:hint="eastAsia"/>
        </w:rPr>
        <w:t>31</w:t>
      </w:r>
      <w:r>
        <w:rPr>
          <w:rFonts w:hint="eastAsia"/>
        </w:rPr>
        <w:t>日之前提出</w:t>
      </w:r>
      <w:r>
        <w:rPr>
          <w:rFonts w:hint="eastAsia"/>
        </w:rPr>
        <w:t xml:space="preserve"> </w:t>
      </w:r>
      <w:r>
        <w:rPr>
          <w:rStyle w:val="EndnoteReference"/>
        </w:rPr>
        <w:endnoteReference w:id="435"/>
      </w:r>
      <w:r>
        <w:rPr>
          <w:rFonts w:hint="eastAsia"/>
        </w:rPr>
        <w:t>。</w:t>
      </w:r>
    </w:p>
    <w:p w:rsidR="00000000" w:rsidRDefault="00000000">
      <w:pPr>
        <w:rPr>
          <w:rFonts w:hint="eastAsia"/>
        </w:rPr>
      </w:pPr>
      <w:r>
        <w:rPr>
          <w:rFonts w:hint="eastAsia"/>
        </w:rPr>
        <w:tab/>
        <w:t xml:space="preserve">733.  </w:t>
      </w:r>
      <w:r>
        <w:rPr>
          <w:rFonts w:hint="eastAsia"/>
        </w:rPr>
        <w:t>对捷克共和国先前的发展和科学与研究状况的分析，以及将这两者与其他国家所作的比较</w:t>
      </w:r>
      <w:r>
        <w:rPr>
          <w:rFonts w:hint="eastAsia"/>
        </w:rPr>
        <w:t xml:space="preserve"> </w:t>
      </w:r>
      <w:r>
        <w:rPr>
          <w:rStyle w:val="EndnoteReference"/>
        </w:rPr>
        <w:endnoteReference w:id="436"/>
      </w:r>
      <w:r>
        <w:rPr>
          <w:rFonts w:hint="eastAsia"/>
        </w:rPr>
        <w:t xml:space="preserve"> </w:t>
      </w:r>
      <w:r>
        <w:rPr>
          <w:rFonts w:hint="eastAsia"/>
        </w:rPr>
        <w:t>显示，捷克共和国在多项研究与发展指标及其产出方面在相当大程度上落后于发达国家。然而，这项分析列举的例子也显示：在同各国的比较中，捷克共和国在研究与开发领域的情况要好于经济水平、竞争力、可信度指标和其他指标。</w:t>
      </w:r>
    </w:p>
    <w:p w:rsidR="00000000" w:rsidRDefault="00000000">
      <w:pPr>
        <w:rPr>
          <w:rFonts w:hint="eastAsia"/>
        </w:rPr>
      </w:pPr>
      <w:r>
        <w:rPr>
          <w:rFonts w:hint="eastAsia"/>
        </w:rPr>
        <w:tab/>
        <w:t xml:space="preserve">734.  </w:t>
      </w:r>
      <w:r>
        <w:rPr>
          <w:rFonts w:hint="eastAsia"/>
        </w:rPr>
        <w:t>在出版物的出版发行及其引用方面，捷克共和国落后于发达国家</w:t>
      </w:r>
      <w:r>
        <w:rPr>
          <w:rFonts w:hint="eastAsia"/>
        </w:rPr>
        <w:t>(</w:t>
      </w:r>
      <w:r>
        <w:rPr>
          <w:rFonts w:hint="eastAsia"/>
        </w:rPr>
        <w:t>如美国、法国、联合王国</w:t>
      </w:r>
      <w:r>
        <w:rPr>
          <w:rFonts w:hint="eastAsia"/>
        </w:rPr>
        <w:t>)</w:t>
      </w:r>
      <w:r>
        <w:rPr>
          <w:rFonts w:hint="eastAsia"/>
        </w:rPr>
        <w:t>，尤其落后于传统上注重科学出版物质量的国家</w:t>
      </w:r>
      <w:r>
        <w:rPr>
          <w:rFonts w:hint="eastAsia"/>
        </w:rPr>
        <w:t>(</w:t>
      </w:r>
      <w:r>
        <w:rPr>
          <w:rFonts w:hint="eastAsia"/>
        </w:rPr>
        <w:t>如瑞士、荷兰、比利时、丹麦以及斯堪的纳维亚诸国</w:t>
      </w:r>
      <w:r>
        <w:rPr>
          <w:rFonts w:hint="eastAsia"/>
        </w:rPr>
        <w:t>)</w:t>
      </w:r>
      <w:r>
        <w:rPr>
          <w:rFonts w:hint="eastAsia"/>
        </w:rPr>
        <w:t>。采用派生指标</w:t>
      </w:r>
      <w:r>
        <w:rPr>
          <w:rFonts w:hint="eastAsia"/>
        </w:rPr>
        <w:t>(</w:t>
      </w:r>
      <w:r>
        <w:rPr>
          <w:rFonts w:hint="eastAsia"/>
        </w:rPr>
        <w:t>例如以文献目录计量法测定的生产率</w:t>
      </w:r>
      <w:r>
        <w:rPr>
          <w:rFonts w:hint="eastAsia"/>
        </w:rPr>
        <w:t>)</w:t>
      </w:r>
      <w:r>
        <w:rPr>
          <w:rFonts w:hint="eastAsia"/>
        </w:rPr>
        <w:t>，即反映较低的研究与开发开支和较低的研究人员数目的指标，捷克共和国接近欧盟的平均水平，多数其他的文献目录计量指标相当于匈牙利、波兰、斯洛文尼亚以及欠发达欧盟国家的水平。</w:t>
      </w:r>
    </w:p>
    <w:p w:rsidR="00000000" w:rsidRDefault="00000000">
      <w:pPr>
        <w:rPr>
          <w:rFonts w:hint="eastAsia"/>
        </w:rPr>
      </w:pPr>
      <w:r>
        <w:rPr>
          <w:rFonts w:hint="eastAsia"/>
        </w:rPr>
        <w:tab/>
        <w:t xml:space="preserve">735.  </w:t>
      </w:r>
      <w:r>
        <w:rPr>
          <w:rFonts w:hint="eastAsia"/>
        </w:rPr>
        <w:t>出版物质量方面的状况</w:t>
      </w:r>
      <w:r>
        <w:rPr>
          <w:rFonts w:hint="eastAsia"/>
          <w:spacing w:val="-50"/>
        </w:rPr>
        <w:t>―</w:t>
      </w:r>
      <w:r>
        <w:rPr>
          <w:rFonts w:hint="eastAsia"/>
        </w:rPr>
        <w:t>―按引用程度加以衡量</w:t>
      </w:r>
      <w:r>
        <w:rPr>
          <w:rFonts w:hint="eastAsia"/>
          <w:spacing w:val="-50"/>
        </w:rPr>
        <w:t>―</w:t>
      </w:r>
      <w:r>
        <w:rPr>
          <w:rFonts w:hint="eastAsia"/>
        </w:rPr>
        <w:t>―更差。得到引用的捷克共和国的出版物往往要比欧洲联盟国家的出版物少大约一半，不过，自</w:t>
      </w:r>
      <w:r>
        <w:rPr>
          <w:rFonts w:hint="eastAsia"/>
        </w:rPr>
        <w:t>1993</w:t>
      </w:r>
      <w:r>
        <w:rPr>
          <w:rFonts w:hint="eastAsia"/>
        </w:rPr>
        <w:t>年以来，引用程度在稳步上升。</w:t>
      </w:r>
    </w:p>
    <w:p w:rsidR="00000000" w:rsidRDefault="00000000">
      <w:pPr>
        <w:rPr>
          <w:rFonts w:hint="eastAsia"/>
        </w:rPr>
      </w:pPr>
      <w:r>
        <w:rPr>
          <w:rFonts w:hint="eastAsia"/>
        </w:rPr>
        <w:tab/>
        <w:t xml:space="preserve">736.  </w:t>
      </w:r>
      <w:r>
        <w:rPr>
          <w:rFonts w:hint="eastAsia"/>
        </w:rPr>
        <w:t>民用研究与开发经费最大的用户，是捷克共和国科学院、教育、青年和体育部、捷克共和国资助局以及工业和贸易部。其他各部所占份额较小。</w:t>
      </w:r>
    </w:p>
    <w:p w:rsidR="00000000" w:rsidRDefault="00000000">
      <w:pPr>
        <w:rPr>
          <w:rFonts w:hint="eastAsia"/>
        </w:rPr>
      </w:pPr>
      <w:r>
        <w:rPr>
          <w:rFonts w:hint="eastAsia"/>
        </w:rPr>
        <w:tab/>
        <w:t xml:space="preserve">737.  </w:t>
      </w:r>
      <w:r>
        <w:rPr>
          <w:rFonts w:hint="eastAsia"/>
        </w:rPr>
        <w:t>自</w:t>
      </w:r>
      <w:r>
        <w:rPr>
          <w:rFonts w:hint="eastAsia"/>
        </w:rPr>
        <w:t>1995</w:t>
      </w:r>
      <w:r>
        <w:rPr>
          <w:rFonts w:hint="eastAsia"/>
        </w:rPr>
        <w:t>年以来，捷克共和国境内实体的发明登记注册申请数目依然明显低于欧盟国家的平均水平。在正在得到迅猛发展以及在研究和开发方面有着很高要求的领域，捷克共和国的落后状况更为明显，但捷克共和国与波兰和匈牙利大致处在同一水平。</w:t>
      </w:r>
    </w:p>
    <w:p w:rsidR="00000000" w:rsidRDefault="00000000">
      <w:pPr>
        <w:pStyle w:val="Heading3"/>
        <w:spacing w:before="320"/>
        <w:rPr>
          <w:rFonts w:hint="eastAsia"/>
        </w:rPr>
      </w:pPr>
      <w:r>
        <w:rPr>
          <w:rFonts w:hint="eastAsia"/>
        </w:rPr>
        <w:t>1993</w:t>
      </w:r>
      <w:r>
        <w:t xml:space="preserve"> </w:t>
      </w:r>
      <w:r>
        <w:rPr>
          <w:rFonts w:hint="eastAsia"/>
        </w:rPr>
        <w:t>-</w:t>
      </w:r>
      <w:r>
        <w:t xml:space="preserve"> </w:t>
      </w:r>
      <w:r>
        <w:rPr>
          <w:rFonts w:hint="eastAsia"/>
        </w:rPr>
        <w:t>1998</w:t>
      </w:r>
      <w:r>
        <w:rPr>
          <w:rFonts w:hint="eastAsia"/>
        </w:rPr>
        <w:t>年发明申请情况</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5"/>
        <w:gridCol w:w="945"/>
        <w:gridCol w:w="1050"/>
        <w:gridCol w:w="1050"/>
        <w:gridCol w:w="1050"/>
        <w:gridCol w:w="1050"/>
        <w:gridCol w:w="956"/>
      </w:tblGrid>
      <w:tr w:rsidR="00000000">
        <w:tblPrEx>
          <w:tblCellMar>
            <w:top w:w="0" w:type="dxa"/>
            <w:bottom w:w="0" w:type="dxa"/>
          </w:tblCellMar>
        </w:tblPrEx>
        <w:tc>
          <w:tcPr>
            <w:tcW w:w="3255" w:type="dxa"/>
            <w:tcBorders>
              <w:top w:val="single" w:sz="4" w:space="0" w:color="auto"/>
              <w:bottom w:val="single" w:sz="4" w:space="0" w:color="auto"/>
            </w:tcBorders>
          </w:tcPr>
          <w:p w:rsidR="00000000" w:rsidRDefault="00000000">
            <w:pPr>
              <w:spacing w:before="60"/>
              <w:jc w:val="center"/>
              <w:rPr>
                <w:sz w:val="22"/>
                <w:szCs w:val="22"/>
                <w:lang w:val="fr-FR"/>
              </w:rPr>
            </w:pPr>
            <w:r>
              <w:rPr>
                <w:rFonts w:hint="eastAsia"/>
                <w:sz w:val="22"/>
                <w:szCs w:val="22"/>
              </w:rPr>
              <w:t>申</w:t>
            </w:r>
            <w:r>
              <w:rPr>
                <w:rFonts w:hint="eastAsia"/>
                <w:sz w:val="22"/>
                <w:szCs w:val="22"/>
              </w:rPr>
              <w:t xml:space="preserve"> </w:t>
            </w:r>
            <w:r>
              <w:rPr>
                <w:rFonts w:hint="eastAsia"/>
                <w:sz w:val="22"/>
                <w:szCs w:val="22"/>
              </w:rPr>
              <w:t>请</w:t>
            </w:r>
            <w:r>
              <w:rPr>
                <w:rFonts w:hint="eastAsia"/>
                <w:sz w:val="22"/>
                <w:szCs w:val="22"/>
              </w:rPr>
              <w:t xml:space="preserve"> </w:t>
            </w:r>
            <w:r>
              <w:rPr>
                <w:rFonts w:hint="eastAsia"/>
                <w:sz w:val="22"/>
                <w:szCs w:val="22"/>
              </w:rPr>
              <w:t>者</w:t>
            </w:r>
          </w:p>
        </w:tc>
        <w:tc>
          <w:tcPr>
            <w:tcW w:w="945" w:type="dxa"/>
            <w:tcBorders>
              <w:top w:val="single" w:sz="4" w:space="0" w:color="auto"/>
              <w:bottom w:val="single" w:sz="4" w:space="0" w:color="auto"/>
            </w:tcBorders>
          </w:tcPr>
          <w:p w:rsidR="00000000" w:rsidRDefault="00000000">
            <w:pPr>
              <w:spacing w:before="60"/>
              <w:jc w:val="center"/>
              <w:rPr>
                <w:sz w:val="22"/>
                <w:szCs w:val="22"/>
              </w:rPr>
            </w:pPr>
            <w:r>
              <w:rPr>
                <w:sz w:val="22"/>
                <w:szCs w:val="22"/>
              </w:rPr>
              <w:t>1993</w:t>
            </w:r>
          </w:p>
        </w:tc>
        <w:tc>
          <w:tcPr>
            <w:tcW w:w="1050" w:type="dxa"/>
            <w:tcBorders>
              <w:top w:val="single" w:sz="4" w:space="0" w:color="auto"/>
              <w:bottom w:val="single" w:sz="4" w:space="0" w:color="auto"/>
            </w:tcBorders>
          </w:tcPr>
          <w:p w:rsidR="00000000" w:rsidRDefault="00000000">
            <w:pPr>
              <w:spacing w:before="60"/>
              <w:jc w:val="center"/>
              <w:rPr>
                <w:sz w:val="22"/>
                <w:szCs w:val="22"/>
              </w:rPr>
            </w:pPr>
            <w:r>
              <w:rPr>
                <w:sz w:val="22"/>
                <w:szCs w:val="22"/>
              </w:rPr>
              <w:t>1994</w:t>
            </w:r>
          </w:p>
        </w:tc>
        <w:tc>
          <w:tcPr>
            <w:tcW w:w="1050" w:type="dxa"/>
            <w:tcBorders>
              <w:top w:val="single" w:sz="4" w:space="0" w:color="auto"/>
              <w:bottom w:val="single" w:sz="4" w:space="0" w:color="auto"/>
            </w:tcBorders>
          </w:tcPr>
          <w:p w:rsidR="00000000" w:rsidRDefault="00000000">
            <w:pPr>
              <w:spacing w:before="60"/>
              <w:jc w:val="center"/>
              <w:rPr>
                <w:sz w:val="22"/>
                <w:szCs w:val="22"/>
              </w:rPr>
            </w:pPr>
            <w:r>
              <w:rPr>
                <w:sz w:val="22"/>
                <w:szCs w:val="22"/>
              </w:rPr>
              <w:t>1995</w:t>
            </w:r>
          </w:p>
        </w:tc>
        <w:tc>
          <w:tcPr>
            <w:tcW w:w="1050" w:type="dxa"/>
            <w:tcBorders>
              <w:top w:val="single" w:sz="4" w:space="0" w:color="auto"/>
              <w:bottom w:val="single" w:sz="4" w:space="0" w:color="auto"/>
            </w:tcBorders>
          </w:tcPr>
          <w:p w:rsidR="00000000" w:rsidRDefault="00000000">
            <w:pPr>
              <w:spacing w:before="60"/>
              <w:jc w:val="center"/>
              <w:rPr>
                <w:sz w:val="22"/>
                <w:szCs w:val="22"/>
              </w:rPr>
            </w:pPr>
            <w:r>
              <w:rPr>
                <w:sz w:val="22"/>
                <w:szCs w:val="22"/>
              </w:rPr>
              <w:t>1996</w:t>
            </w:r>
          </w:p>
        </w:tc>
        <w:tc>
          <w:tcPr>
            <w:tcW w:w="1050" w:type="dxa"/>
            <w:tcBorders>
              <w:top w:val="single" w:sz="4" w:space="0" w:color="auto"/>
              <w:bottom w:val="single" w:sz="4" w:space="0" w:color="auto"/>
            </w:tcBorders>
          </w:tcPr>
          <w:p w:rsidR="00000000" w:rsidRDefault="00000000">
            <w:pPr>
              <w:spacing w:before="60"/>
              <w:jc w:val="center"/>
              <w:rPr>
                <w:sz w:val="22"/>
                <w:szCs w:val="22"/>
              </w:rPr>
            </w:pPr>
            <w:r>
              <w:rPr>
                <w:sz w:val="22"/>
                <w:szCs w:val="22"/>
              </w:rPr>
              <w:t>1997</w:t>
            </w:r>
          </w:p>
        </w:tc>
        <w:tc>
          <w:tcPr>
            <w:tcW w:w="956" w:type="dxa"/>
            <w:tcBorders>
              <w:top w:val="single" w:sz="4" w:space="0" w:color="auto"/>
              <w:bottom w:val="single" w:sz="4" w:space="0" w:color="auto"/>
            </w:tcBorders>
          </w:tcPr>
          <w:p w:rsidR="00000000" w:rsidRDefault="00000000">
            <w:pPr>
              <w:spacing w:before="60"/>
              <w:jc w:val="center"/>
              <w:rPr>
                <w:sz w:val="22"/>
                <w:szCs w:val="22"/>
              </w:rPr>
            </w:pPr>
            <w:r>
              <w:rPr>
                <w:sz w:val="22"/>
                <w:szCs w:val="22"/>
              </w:rPr>
              <w:t>1998</w:t>
            </w:r>
          </w:p>
        </w:tc>
      </w:tr>
      <w:tr w:rsidR="00000000">
        <w:tblPrEx>
          <w:tblCellMar>
            <w:top w:w="0" w:type="dxa"/>
            <w:bottom w:w="0" w:type="dxa"/>
          </w:tblCellMar>
        </w:tblPrEx>
        <w:tc>
          <w:tcPr>
            <w:tcW w:w="3255" w:type="dxa"/>
            <w:tcBorders>
              <w:top w:val="single" w:sz="4" w:space="0" w:color="auto"/>
              <w:bottom w:val="single" w:sz="4" w:space="0" w:color="auto"/>
            </w:tcBorders>
          </w:tcPr>
          <w:p w:rsidR="00000000" w:rsidRDefault="00000000">
            <w:pPr>
              <w:spacing w:before="60"/>
              <w:rPr>
                <w:rFonts w:hint="eastAsia"/>
                <w:sz w:val="22"/>
                <w:szCs w:val="22"/>
              </w:rPr>
            </w:pPr>
            <w:r>
              <w:rPr>
                <w:rFonts w:hint="eastAsia"/>
                <w:sz w:val="22"/>
                <w:szCs w:val="22"/>
              </w:rPr>
              <w:t>国</w:t>
            </w:r>
            <w:r>
              <w:rPr>
                <w:rFonts w:hint="eastAsia"/>
                <w:sz w:val="22"/>
                <w:szCs w:val="22"/>
              </w:rPr>
              <w:t xml:space="preserve">  </w:t>
            </w:r>
            <w:r>
              <w:rPr>
                <w:rFonts w:hint="eastAsia"/>
                <w:sz w:val="22"/>
                <w:szCs w:val="22"/>
              </w:rPr>
              <w:t>内</w:t>
            </w:r>
          </w:p>
        </w:tc>
        <w:tc>
          <w:tcPr>
            <w:tcW w:w="945"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880</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756</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627</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617</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585</w:t>
            </w:r>
          </w:p>
        </w:tc>
        <w:tc>
          <w:tcPr>
            <w:tcW w:w="956" w:type="dxa"/>
            <w:tcBorders>
              <w:top w:val="single" w:sz="4" w:space="0" w:color="auto"/>
              <w:bottom w:val="single" w:sz="4" w:space="0" w:color="auto"/>
            </w:tcBorders>
          </w:tcPr>
          <w:p w:rsidR="00000000" w:rsidRDefault="00000000">
            <w:pPr>
              <w:spacing w:before="60"/>
              <w:ind w:right="113"/>
              <w:jc w:val="right"/>
              <w:rPr>
                <w:sz w:val="22"/>
                <w:szCs w:val="22"/>
              </w:rPr>
            </w:pPr>
            <w:r>
              <w:rPr>
                <w:sz w:val="22"/>
                <w:szCs w:val="22"/>
              </w:rPr>
              <w:t>626</w:t>
            </w:r>
          </w:p>
        </w:tc>
      </w:tr>
      <w:tr w:rsidR="00000000">
        <w:tblPrEx>
          <w:tblCellMar>
            <w:top w:w="0" w:type="dxa"/>
            <w:bottom w:w="0" w:type="dxa"/>
          </w:tblCellMar>
        </w:tblPrEx>
        <w:tc>
          <w:tcPr>
            <w:tcW w:w="3255" w:type="dxa"/>
            <w:tcBorders>
              <w:top w:val="single" w:sz="4" w:space="0" w:color="auto"/>
              <w:bottom w:val="single" w:sz="4" w:space="0" w:color="auto"/>
            </w:tcBorders>
          </w:tcPr>
          <w:p w:rsidR="00000000" w:rsidRDefault="00000000">
            <w:pPr>
              <w:spacing w:before="60"/>
              <w:rPr>
                <w:rFonts w:hint="eastAsia"/>
                <w:sz w:val="22"/>
                <w:szCs w:val="22"/>
              </w:rPr>
            </w:pPr>
            <w:r>
              <w:rPr>
                <w:rFonts w:hint="eastAsia"/>
                <w:sz w:val="22"/>
                <w:szCs w:val="22"/>
              </w:rPr>
              <w:t>国</w:t>
            </w:r>
            <w:r>
              <w:rPr>
                <w:rFonts w:hint="eastAsia"/>
                <w:sz w:val="22"/>
                <w:szCs w:val="22"/>
              </w:rPr>
              <w:t xml:space="preserve">  </w:t>
            </w:r>
            <w:r>
              <w:rPr>
                <w:rFonts w:hint="eastAsia"/>
                <w:sz w:val="22"/>
                <w:szCs w:val="22"/>
              </w:rPr>
              <w:t>外</w:t>
            </w:r>
          </w:p>
        </w:tc>
        <w:tc>
          <w:tcPr>
            <w:tcW w:w="945"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2</w:t>
            </w:r>
            <w:r>
              <w:rPr>
                <w:rFonts w:hint="eastAsia"/>
                <w:sz w:val="22"/>
                <w:szCs w:val="22"/>
              </w:rPr>
              <w:t>,</w:t>
            </w:r>
            <w:r>
              <w:rPr>
                <w:sz w:val="22"/>
                <w:szCs w:val="22"/>
              </w:rPr>
              <w:t>053</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2,593</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2,892</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3,241</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3,652</w:t>
            </w:r>
          </w:p>
        </w:tc>
        <w:tc>
          <w:tcPr>
            <w:tcW w:w="956" w:type="dxa"/>
            <w:tcBorders>
              <w:top w:val="single" w:sz="4" w:space="0" w:color="auto"/>
              <w:bottom w:val="single" w:sz="4" w:space="0" w:color="auto"/>
            </w:tcBorders>
          </w:tcPr>
          <w:p w:rsidR="00000000" w:rsidRDefault="00000000">
            <w:pPr>
              <w:spacing w:before="60"/>
              <w:ind w:right="113"/>
              <w:jc w:val="right"/>
              <w:rPr>
                <w:sz w:val="22"/>
                <w:szCs w:val="22"/>
              </w:rPr>
            </w:pPr>
            <w:r>
              <w:rPr>
                <w:sz w:val="22"/>
                <w:szCs w:val="22"/>
              </w:rPr>
              <w:t>3,761</w:t>
            </w:r>
          </w:p>
        </w:tc>
      </w:tr>
      <w:tr w:rsidR="00000000">
        <w:tblPrEx>
          <w:tblCellMar>
            <w:top w:w="0" w:type="dxa"/>
            <w:bottom w:w="0" w:type="dxa"/>
          </w:tblCellMar>
        </w:tblPrEx>
        <w:tc>
          <w:tcPr>
            <w:tcW w:w="3255" w:type="dxa"/>
            <w:tcBorders>
              <w:top w:val="single" w:sz="4" w:space="0" w:color="auto"/>
              <w:bottom w:val="single" w:sz="4" w:space="0" w:color="auto"/>
            </w:tcBorders>
          </w:tcPr>
          <w:p w:rsidR="00000000" w:rsidRDefault="00000000">
            <w:pPr>
              <w:spacing w:before="60"/>
              <w:rPr>
                <w:spacing w:val="0"/>
                <w:sz w:val="22"/>
                <w:szCs w:val="22"/>
              </w:rPr>
            </w:pPr>
            <w:r>
              <w:rPr>
                <w:rFonts w:hint="eastAsia"/>
                <w:spacing w:val="0"/>
                <w:sz w:val="22"/>
                <w:szCs w:val="22"/>
              </w:rPr>
              <w:t>《专利合作条约》</w:t>
            </w:r>
            <w:r>
              <w:rPr>
                <w:rFonts w:hint="eastAsia"/>
                <w:spacing w:val="0"/>
                <w:sz w:val="22"/>
                <w:szCs w:val="22"/>
              </w:rPr>
              <w:t>(</w:t>
            </w:r>
            <w:r>
              <w:rPr>
                <w:rFonts w:hint="eastAsia"/>
                <w:spacing w:val="0"/>
                <w:sz w:val="22"/>
                <w:szCs w:val="22"/>
              </w:rPr>
              <w:t>指定数目</w:t>
            </w:r>
            <w:r>
              <w:rPr>
                <w:rFonts w:hint="eastAsia"/>
                <w:spacing w:val="0"/>
                <w:sz w:val="22"/>
                <w:szCs w:val="22"/>
              </w:rPr>
              <w:t xml:space="preserve">) </w:t>
            </w:r>
            <w:r>
              <w:rPr>
                <w:spacing w:val="0"/>
                <w:sz w:val="22"/>
                <w:szCs w:val="22"/>
                <w:u w:val="single"/>
              </w:rPr>
              <w:t>a</w:t>
            </w:r>
            <w:r>
              <w:rPr>
                <w:spacing w:val="0"/>
                <w:sz w:val="22"/>
                <w:szCs w:val="22"/>
              </w:rPr>
              <w:t>/</w:t>
            </w:r>
          </w:p>
        </w:tc>
        <w:tc>
          <w:tcPr>
            <w:tcW w:w="945"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5,558</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11,695</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18,104</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23,624</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28,875</w:t>
            </w:r>
          </w:p>
        </w:tc>
        <w:tc>
          <w:tcPr>
            <w:tcW w:w="956" w:type="dxa"/>
            <w:tcBorders>
              <w:top w:val="single" w:sz="4" w:space="0" w:color="auto"/>
              <w:bottom w:val="single" w:sz="4" w:space="0" w:color="auto"/>
            </w:tcBorders>
          </w:tcPr>
          <w:p w:rsidR="00000000" w:rsidRDefault="00000000">
            <w:pPr>
              <w:spacing w:before="60"/>
              <w:ind w:right="113"/>
              <w:jc w:val="right"/>
              <w:rPr>
                <w:sz w:val="22"/>
                <w:szCs w:val="22"/>
              </w:rPr>
            </w:pPr>
            <w:r>
              <w:rPr>
                <w:sz w:val="22"/>
                <w:szCs w:val="22"/>
              </w:rPr>
              <w:t>37,447</w:t>
            </w:r>
          </w:p>
        </w:tc>
      </w:tr>
      <w:tr w:rsidR="00000000">
        <w:tblPrEx>
          <w:tblCellMar>
            <w:top w:w="0" w:type="dxa"/>
            <w:bottom w:w="0" w:type="dxa"/>
          </w:tblCellMar>
        </w:tblPrEx>
        <w:tc>
          <w:tcPr>
            <w:tcW w:w="3255" w:type="dxa"/>
            <w:tcBorders>
              <w:top w:val="single" w:sz="4" w:space="0" w:color="auto"/>
              <w:bottom w:val="single" w:sz="4" w:space="0" w:color="auto"/>
            </w:tcBorders>
          </w:tcPr>
          <w:p w:rsidR="00000000" w:rsidRDefault="00000000">
            <w:pPr>
              <w:spacing w:before="60"/>
              <w:rPr>
                <w:rFonts w:hint="eastAsia"/>
                <w:sz w:val="22"/>
                <w:szCs w:val="22"/>
              </w:rPr>
            </w:pPr>
            <w:r>
              <w:rPr>
                <w:rFonts w:hint="eastAsia"/>
                <w:sz w:val="22"/>
                <w:szCs w:val="22"/>
              </w:rPr>
              <w:t>合</w:t>
            </w:r>
            <w:r>
              <w:rPr>
                <w:rFonts w:hint="eastAsia"/>
                <w:sz w:val="22"/>
                <w:szCs w:val="22"/>
              </w:rPr>
              <w:t xml:space="preserve">  </w:t>
            </w:r>
            <w:r>
              <w:rPr>
                <w:rFonts w:hint="eastAsia"/>
                <w:sz w:val="22"/>
                <w:szCs w:val="22"/>
              </w:rPr>
              <w:t>计</w:t>
            </w:r>
          </w:p>
        </w:tc>
        <w:tc>
          <w:tcPr>
            <w:tcW w:w="945"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8,491</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15,044</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21,623</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27,482</w:t>
            </w:r>
          </w:p>
        </w:tc>
        <w:tc>
          <w:tcPr>
            <w:tcW w:w="1050" w:type="dxa"/>
            <w:tcBorders>
              <w:top w:val="single" w:sz="4" w:space="0" w:color="auto"/>
              <w:bottom w:val="single" w:sz="4" w:space="0" w:color="auto"/>
            </w:tcBorders>
          </w:tcPr>
          <w:p w:rsidR="00000000" w:rsidRDefault="00000000">
            <w:pPr>
              <w:spacing w:before="60"/>
              <w:ind w:right="227"/>
              <w:jc w:val="right"/>
              <w:rPr>
                <w:sz w:val="22"/>
                <w:szCs w:val="22"/>
              </w:rPr>
            </w:pPr>
            <w:r>
              <w:rPr>
                <w:sz w:val="22"/>
                <w:szCs w:val="22"/>
              </w:rPr>
              <w:t>33,112</w:t>
            </w:r>
          </w:p>
        </w:tc>
        <w:tc>
          <w:tcPr>
            <w:tcW w:w="956" w:type="dxa"/>
            <w:tcBorders>
              <w:top w:val="single" w:sz="4" w:space="0" w:color="auto"/>
              <w:bottom w:val="single" w:sz="4" w:space="0" w:color="auto"/>
            </w:tcBorders>
          </w:tcPr>
          <w:p w:rsidR="00000000" w:rsidRDefault="00000000">
            <w:pPr>
              <w:spacing w:before="60"/>
              <w:ind w:right="113"/>
              <w:jc w:val="right"/>
              <w:rPr>
                <w:sz w:val="22"/>
                <w:szCs w:val="22"/>
              </w:rPr>
            </w:pPr>
            <w:r>
              <w:rPr>
                <w:sz w:val="22"/>
                <w:szCs w:val="22"/>
              </w:rPr>
              <w:t>41,834</w:t>
            </w:r>
          </w:p>
        </w:tc>
      </w:tr>
    </w:tbl>
    <w:p w:rsidR="00000000" w:rsidRDefault="00000000"/>
    <w:p w:rsidR="00000000" w:rsidRDefault="00000000">
      <w:pPr>
        <w:spacing w:after="320"/>
        <w:rPr>
          <w:rFonts w:eastAsia="KaiTi_GB2312" w:hint="eastAsia"/>
          <w:spacing w:val="0"/>
          <w:sz w:val="21"/>
        </w:rPr>
      </w:pPr>
      <w:r>
        <w:rPr>
          <w:rFonts w:eastAsia="KaiTi_GB2312" w:hint="eastAsia"/>
          <w:spacing w:val="0"/>
          <w:sz w:val="21"/>
        </w:rPr>
        <w:tab/>
      </w:r>
      <w:r>
        <w:rPr>
          <w:rFonts w:eastAsia="KaiTi_GB2312"/>
          <w:spacing w:val="0"/>
          <w:sz w:val="21"/>
          <w:u w:val="single"/>
        </w:rPr>
        <w:t>a</w:t>
      </w:r>
      <w:r>
        <w:rPr>
          <w:rFonts w:eastAsia="KaiTi_GB2312"/>
          <w:spacing w:val="0"/>
          <w:sz w:val="21"/>
        </w:rPr>
        <w:t>/</w:t>
      </w:r>
      <w:r>
        <w:rPr>
          <w:rFonts w:eastAsia="KaiTi_GB2312"/>
          <w:spacing w:val="0"/>
          <w:sz w:val="21"/>
        </w:rPr>
        <w:tab/>
      </w:r>
      <w:r>
        <w:rPr>
          <w:rFonts w:eastAsia="KaiTi_GB2312" w:hint="eastAsia"/>
          <w:spacing w:val="0"/>
          <w:sz w:val="21"/>
        </w:rPr>
        <w:t>捷克共和国为《专利合作条约》之下的指定国的国际申请。</w:t>
      </w:r>
    </w:p>
    <w:p w:rsidR="00000000" w:rsidRDefault="00000000">
      <w:pPr>
        <w:pStyle w:val="Heading3"/>
        <w:rPr>
          <w:rFonts w:hint="eastAsia"/>
        </w:rPr>
      </w:pPr>
      <w:r>
        <w:rPr>
          <w:rFonts w:hint="eastAsia"/>
        </w:rPr>
        <w:t>1993-1998</w:t>
      </w:r>
      <w:r>
        <w:rPr>
          <w:rFonts w:hint="eastAsia"/>
        </w:rPr>
        <w:t>年授予的专利、登记的实用模型和工业品外观设计情况</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9"/>
        <w:gridCol w:w="1021"/>
        <w:gridCol w:w="1021"/>
        <w:gridCol w:w="1021"/>
        <w:gridCol w:w="1021"/>
        <w:gridCol w:w="1021"/>
        <w:gridCol w:w="1202"/>
      </w:tblGrid>
      <w:tr w:rsidR="00000000">
        <w:tblPrEx>
          <w:tblCellMar>
            <w:top w:w="0" w:type="dxa"/>
            <w:bottom w:w="0" w:type="dxa"/>
          </w:tblCellMar>
        </w:tblPrEx>
        <w:tc>
          <w:tcPr>
            <w:tcW w:w="3049" w:type="dxa"/>
            <w:tcBorders>
              <w:bottom w:val="single" w:sz="4" w:space="0" w:color="auto"/>
            </w:tcBorders>
          </w:tcPr>
          <w:p w:rsidR="00000000" w:rsidRDefault="00000000">
            <w:pPr>
              <w:spacing w:before="60"/>
              <w:rPr>
                <w:rFonts w:hint="eastAsia"/>
                <w:sz w:val="22"/>
                <w:szCs w:val="22"/>
              </w:rPr>
            </w:pPr>
          </w:p>
        </w:tc>
        <w:tc>
          <w:tcPr>
            <w:tcW w:w="1021" w:type="dxa"/>
            <w:tcBorders>
              <w:bottom w:val="single" w:sz="4" w:space="0" w:color="auto"/>
            </w:tcBorders>
          </w:tcPr>
          <w:p w:rsidR="00000000" w:rsidRDefault="00000000">
            <w:pPr>
              <w:spacing w:before="60"/>
              <w:jc w:val="center"/>
              <w:rPr>
                <w:sz w:val="22"/>
                <w:szCs w:val="22"/>
              </w:rPr>
            </w:pPr>
            <w:r>
              <w:rPr>
                <w:sz w:val="22"/>
                <w:szCs w:val="22"/>
              </w:rPr>
              <w:t>1993</w:t>
            </w:r>
          </w:p>
        </w:tc>
        <w:tc>
          <w:tcPr>
            <w:tcW w:w="1021" w:type="dxa"/>
            <w:tcBorders>
              <w:bottom w:val="single" w:sz="4" w:space="0" w:color="auto"/>
            </w:tcBorders>
          </w:tcPr>
          <w:p w:rsidR="00000000" w:rsidRDefault="00000000">
            <w:pPr>
              <w:spacing w:before="60"/>
              <w:jc w:val="center"/>
              <w:rPr>
                <w:sz w:val="22"/>
                <w:szCs w:val="22"/>
              </w:rPr>
            </w:pPr>
            <w:r>
              <w:rPr>
                <w:sz w:val="22"/>
                <w:szCs w:val="22"/>
              </w:rPr>
              <w:t>1994</w:t>
            </w:r>
          </w:p>
        </w:tc>
        <w:tc>
          <w:tcPr>
            <w:tcW w:w="1021" w:type="dxa"/>
            <w:tcBorders>
              <w:bottom w:val="single" w:sz="4" w:space="0" w:color="auto"/>
            </w:tcBorders>
          </w:tcPr>
          <w:p w:rsidR="00000000" w:rsidRDefault="00000000">
            <w:pPr>
              <w:spacing w:before="60"/>
              <w:jc w:val="center"/>
              <w:rPr>
                <w:sz w:val="22"/>
                <w:szCs w:val="22"/>
              </w:rPr>
            </w:pPr>
            <w:r>
              <w:rPr>
                <w:sz w:val="22"/>
                <w:szCs w:val="22"/>
              </w:rPr>
              <w:t>1995</w:t>
            </w:r>
          </w:p>
        </w:tc>
        <w:tc>
          <w:tcPr>
            <w:tcW w:w="1021" w:type="dxa"/>
            <w:tcBorders>
              <w:bottom w:val="single" w:sz="4" w:space="0" w:color="auto"/>
            </w:tcBorders>
          </w:tcPr>
          <w:p w:rsidR="00000000" w:rsidRDefault="00000000">
            <w:pPr>
              <w:spacing w:before="60"/>
              <w:jc w:val="center"/>
              <w:rPr>
                <w:sz w:val="22"/>
                <w:szCs w:val="22"/>
              </w:rPr>
            </w:pPr>
            <w:r>
              <w:rPr>
                <w:sz w:val="22"/>
                <w:szCs w:val="22"/>
              </w:rPr>
              <w:t>1996</w:t>
            </w:r>
          </w:p>
        </w:tc>
        <w:tc>
          <w:tcPr>
            <w:tcW w:w="1021" w:type="dxa"/>
            <w:tcBorders>
              <w:bottom w:val="single" w:sz="4" w:space="0" w:color="auto"/>
            </w:tcBorders>
          </w:tcPr>
          <w:p w:rsidR="00000000" w:rsidRDefault="00000000">
            <w:pPr>
              <w:spacing w:before="60"/>
              <w:jc w:val="center"/>
              <w:rPr>
                <w:sz w:val="22"/>
                <w:szCs w:val="22"/>
              </w:rPr>
            </w:pPr>
            <w:r>
              <w:rPr>
                <w:sz w:val="22"/>
                <w:szCs w:val="22"/>
              </w:rPr>
              <w:t>1997</w:t>
            </w:r>
          </w:p>
        </w:tc>
        <w:tc>
          <w:tcPr>
            <w:tcW w:w="1202" w:type="dxa"/>
            <w:tcBorders>
              <w:bottom w:val="single" w:sz="4" w:space="0" w:color="auto"/>
            </w:tcBorders>
          </w:tcPr>
          <w:p w:rsidR="00000000" w:rsidRDefault="00000000">
            <w:pPr>
              <w:spacing w:before="60"/>
              <w:jc w:val="center"/>
              <w:rPr>
                <w:sz w:val="22"/>
                <w:szCs w:val="22"/>
              </w:rPr>
            </w:pPr>
            <w:r>
              <w:rPr>
                <w:sz w:val="22"/>
                <w:szCs w:val="22"/>
              </w:rPr>
              <w:t>1998</w:t>
            </w:r>
          </w:p>
        </w:tc>
      </w:tr>
      <w:tr w:rsidR="00000000">
        <w:tblPrEx>
          <w:tblCellMar>
            <w:top w:w="0" w:type="dxa"/>
            <w:bottom w:w="0" w:type="dxa"/>
          </w:tblCellMar>
        </w:tblPrEx>
        <w:tc>
          <w:tcPr>
            <w:tcW w:w="3049" w:type="dxa"/>
            <w:tcBorders>
              <w:top w:val="single" w:sz="4" w:space="0" w:color="auto"/>
              <w:bottom w:val="single" w:sz="4" w:space="0" w:color="auto"/>
            </w:tcBorders>
          </w:tcPr>
          <w:p w:rsidR="00000000" w:rsidRDefault="00000000">
            <w:pPr>
              <w:spacing w:before="60"/>
              <w:rPr>
                <w:rFonts w:hint="eastAsia"/>
                <w:sz w:val="22"/>
                <w:szCs w:val="22"/>
              </w:rPr>
            </w:pPr>
            <w:r>
              <w:rPr>
                <w:rFonts w:hint="eastAsia"/>
                <w:sz w:val="22"/>
                <w:szCs w:val="22"/>
              </w:rPr>
              <w:t>授予的专利</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860</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725</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1 299</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1 290</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1 447</w:t>
            </w:r>
          </w:p>
        </w:tc>
        <w:tc>
          <w:tcPr>
            <w:tcW w:w="1202"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1 451</w:t>
            </w:r>
          </w:p>
        </w:tc>
      </w:tr>
      <w:tr w:rsidR="00000000">
        <w:tblPrEx>
          <w:tblCellMar>
            <w:top w:w="0" w:type="dxa"/>
            <w:bottom w:w="0" w:type="dxa"/>
          </w:tblCellMar>
        </w:tblPrEx>
        <w:tc>
          <w:tcPr>
            <w:tcW w:w="3049" w:type="dxa"/>
            <w:tcBorders>
              <w:top w:val="single" w:sz="4" w:space="0" w:color="auto"/>
              <w:bottom w:val="single" w:sz="4" w:space="0" w:color="auto"/>
            </w:tcBorders>
          </w:tcPr>
          <w:p w:rsidR="00000000" w:rsidRDefault="00000000">
            <w:pPr>
              <w:spacing w:before="60"/>
              <w:rPr>
                <w:rFonts w:hint="eastAsia"/>
                <w:sz w:val="22"/>
                <w:szCs w:val="22"/>
              </w:rPr>
            </w:pPr>
            <w:r>
              <w:rPr>
                <w:rFonts w:hint="eastAsia"/>
                <w:sz w:val="22"/>
                <w:szCs w:val="22"/>
              </w:rPr>
              <w:t>登记的实用模型</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w:t>
            </w:r>
            <w:r>
              <w:rPr>
                <w:rFonts w:hint="eastAsia"/>
                <w:sz w:val="22"/>
                <w:szCs w:val="22"/>
              </w:rPr>
              <w:t>,</w:t>
            </w:r>
            <w:r>
              <w:rPr>
                <w:sz w:val="22"/>
                <w:szCs w:val="22"/>
              </w:rPr>
              <w:t>177</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1,637</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1,470</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1,152</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1,499</w:t>
            </w:r>
          </w:p>
        </w:tc>
        <w:tc>
          <w:tcPr>
            <w:tcW w:w="1202"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1,185</w:t>
            </w:r>
          </w:p>
        </w:tc>
      </w:tr>
      <w:tr w:rsidR="00000000">
        <w:tblPrEx>
          <w:tblCellMar>
            <w:top w:w="0" w:type="dxa"/>
            <w:bottom w:w="0" w:type="dxa"/>
          </w:tblCellMar>
        </w:tblPrEx>
        <w:tc>
          <w:tcPr>
            <w:tcW w:w="3049" w:type="dxa"/>
            <w:tcBorders>
              <w:top w:val="single" w:sz="4" w:space="0" w:color="auto"/>
              <w:bottom w:val="single" w:sz="4" w:space="0" w:color="auto"/>
            </w:tcBorders>
          </w:tcPr>
          <w:p w:rsidR="00000000" w:rsidRDefault="00000000">
            <w:pPr>
              <w:spacing w:before="60"/>
              <w:rPr>
                <w:rFonts w:hint="eastAsia"/>
                <w:sz w:val="22"/>
                <w:szCs w:val="22"/>
              </w:rPr>
            </w:pPr>
            <w:r>
              <w:rPr>
                <w:rFonts w:hint="eastAsia"/>
                <w:sz w:val="22"/>
                <w:szCs w:val="22"/>
              </w:rPr>
              <w:t>登记的工业品外观设计</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627</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566</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424</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803</w:t>
            </w:r>
          </w:p>
        </w:tc>
        <w:tc>
          <w:tcPr>
            <w:tcW w:w="1021"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868</w:t>
            </w:r>
          </w:p>
        </w:tc>
        <w:tc>
          <w:tcPr>
            <w:tcW w:w="1202" w:type="dxa"/>
            <w:tcBorders>
              <w:top w:val="single" w:sz="4" w:space="0" w:color="auto"/>
              <w:bottom w:val="single" w:sz="4" w:space="0" w:color="auto"/>
            </w:tcBorders>
          </w:tcPr>
          <w:p w:rsidR="00000000" w:rsidRDefault="00000000">
            <w:pPr>
              <w:spacing w:before="60"/>
              <w:ind w:right="170"/>
              <w:jc w:val="right"/>
              <w:rPr>
                <w:sz w:val="22"/>
                <w:szCs w:val="22"/>
              </w:rPr>
            </w:pPr>
            <w:r>
              <w:rPr>
                <w:sz w:val="22"/>
                <w:szCs w:val="22"/>
              </w:rPr>
              <w:t>1,017</w:t>
            </w:r>
          </w:p>
        </w:tc>
      </w:tr>
    </w:tbl>
    <w:p w:rsidR="00000000" w:rsidRDefault="00000000">
      <w:pPr>
        <w:rPr>
          <w:rFonts w:hint="eastAsia"/>
        </w:rPr>
      </w:pPr>
    </w:p>
    <w:p w:rsidR="00000000" w:rsidRDefault="00000000">
      <w:pPr>
        <w:spacing w:after="320"/>
        <w:rPr>
          <w:rFonts w:hint="eastAsia"/>
        </w:rPr>
      </w:pPr>
      <w:r>
        <w:rPr>
          <w:rFonts w:hint="eastAsia"/>
        </w:rPr>
        <w:tab/>
        <w:t xml:space="preserve">738.  </w:t>
      </w:r>
      <w:r>
        <w:rPr>
          <w:rFonts w:hint="eastAsia"/>
        </w:rPr>
        <w:t>发达国家为了保持竞争力，将</w:t>
      </w:r>
      <w:r>
        <w:rPr>
          <w:rFonts w:hint="eastAsia"/>
        </w:rPr>
        <w:t>2%</w:t>
      </w:r>
      <w:r>
        <w:rPr>
          <w:rFonts w:hint="eastAsia"/>
        </w:rPr>
        <w:t>到</w:t>
      </w:r>
      <w:r>
        <w:rPr>
          <w:rFonts w:hint="eastAsia"/>
        </w:rPr>
        <w:t>3%</w:t>
      </w:r>
      <w:r>
        <w:rPr>
          <w:rFonts w:hint="eastAsia"/>
        </w:rPr>
        <w:t>的国内总产值用于科学和研究。但是，一些欠发达的经合组织成员国在这方面的经费占国内总产值不到</w:t>
      </w:r>
      <w:r>
        <w:rPr>
          <w:rFonts w:hint="eastAsia"/>
        </w:rPr>
        <w:t>1%</w:t>
      </w:r>
      <w:r>
        <w:rPr>
          <w:rFonts w:hint="eastAsia"/>
        </w:rPr>
        <w:t>。在欧洲联盟国家，与捷克共和国不同的是，对于科学和研究的间接支持也起着重要的作用</w:t>
      </w:r>
      <w:r>
        <w:rPr>
          <w:rFonts w:hint="eastAsia"/>
        </w:rPr>
        <w:t>(</w:t>
      </w:r>
      <w:r>
        <w:rPr>
          <w:rFonts w:hint="eastAsia"/>
        </w:rPr>
        <w:t>减免赋税等</w:t>
      </w:r>
      <w:r>
        <w:rPr>
          <w:rFonts w:hint="eastAsia"/>
        </w:rPr>
        <w:t>)</w:t>
      </w:r>
      <w:r>
        <w:rPr>
          <w:rFonts w:hint="eastAsia"/>
        </w:rPr>
        <w:t>。</w:t>
      </w:r>
    </w:p>
    <w:p w:rsidR="00000000" w:rsidRDefault="00000000">
      <w:pPr>
        <w:pStyle w:val="Heading3"/>
      </w:pPr>
      <w:r>
        <w:rPr>
          <w:rFonts w:hint="eastAsia"/>
        </w:rPr>
        <w:t>捷克共和国的研究与开发开支总额趋势</w:t>
      </w:r>
      <w:r>
        <w:br/>
      </w:r>
      <w:r>
        <w:rPr>
          <w:sz w:val="21"/>
          <w:u w:val="none"/>
        </w:rPr>
        <w:t>(</w:t>
      </w:r>
      <w:r>
        <w:rPr>
          <w:rFonts w:hint="eastAsia"/>
          <w:sz w:val="21"/>
          <w:u w:val="none"/>
        </w:rPr>
        <w:t>研究与开发开支总额在国内总产值中所占百分比</w:t>
      </w:r>
      <w:r>
        <w:rPr>
          <w:rFonts w:hint="eastAsia"/>
          <w:sz w:val="21"/>
          <w:u w:val="none"/>
        </w:rPr>
        <w:t>)</w:t>
      </w:r>
    </w:p>
    <w:p w:rsidR="00000000" w:rsidRDefault="00000000">
      <w:pPr>
        <w:pStyle w:val="Heading3"/>
        <w:rPr>
          <w:rFonts w:hint="eastAsia"/>
        </w:rPr>
      </w:pPr>
      <w:r>
        <w:rPr>
          <w:rFonts w:hint="eastAsia"/>
          <w:u w:val="none"/>
        </w:rPr>
        <w:t>[</w:t>
      </w:r>
      <w:r>
        <w:rPr>
          <w:rFonts w:hint="eastAsia"/>
        </w:rPr>
        <w:t>未提供资料</w:t>
      </w:r>
      <w:r>
        <w:rPr>
          <w:rFonts w:hint="eastAsia"/>
          <w:u w:val="none"/>
        </w:rPr>
        <w:t>]</w:t>
      </w:r>
    </w:p>
    <w:p w:rsidR="00000000" w:rsidRDefault="00000000">
      <w:pPr>
        <w:pStyle w:val="EndnoteText"/>
        <w:rPr>
          <w:rFonts w:hint="eastAsia"/>
          <w:sz w:val="21"/>
        </w:rPr>
      </w:pPr>
      <w:r>
        <w:rPr>
          <w:rFonts w:hint="eastAsia"/>
          <w:sz w:val="21"/>
          <w:u w:val="single"/>
        </w:rPr>
        <w:t>资料来源</w:t>
      </w:r>
      <w:r>
        <w:rPr>
          <w:rFonts w:hint="eastAsia"/>
          <w:sz w:val="21"/>
        </w:rPr>
        <w:t>：经合组织</w:t>
      </w:r>
      <w:r>
        <w:rPr>
          <w:rFonts w:hint="eastAsia"/>
          <w:strike/>
          <w:spacing w:val="-50"/>
          <w:sz w:val="21"/>
        </w:rPr>
        <w:t>―</w:t>
      </w:r>
      <w:r>
        <w:rPr>
          <w:rFonts w:hint="eastAsia"/>
          <w:strike/>
          <w:sz w:val="21"/>
        </w:rPr>
        <w:t>―</w:t>
      </w:r>
      <w:r>
        <w:rPr>
          <w:rFonts w:hint="eastAsia"/>
          <w:sz w:val="21"/>
        </w:rPr>
        <w:t>主要科学和技术指标</w:t>
      </w:r>
      <w:r>
        <w:rPr>
          <w:rFonts w:hint="eastAsia"/>
          <w:sz w:val="21"/>
        </w:rPr>
        <w:t>1998/2</w:t>
      </w:r>
      <w:r>
        <w:rPr>
          <w:rFonts w:hint="eastAsia"/>
          <w:sz w:val="21"/>
        </w:rPr>
        <w:t>。</w:t>
      </w:r>
    </w:p>
    <w:p w:rsidR="00000000" w:rsidRDefault="00000000">
      <w:pPr>
        <w:pStyle w:val="EndnoteText"/>
        <w:spacing w:after="320"/>
        <w:ind w:left="1530" w:hanging="1020"/>
        <w:rPr>
          <w:rFonts w:hint="eastAsia"/>
          <w:sz w:val="21"/>
        </w:rPr>
      </w:pPr>
      <w:r>
        <w:rPr>
          <w:rFonts w:hint="eastAsia"/>
          <w:sz w:val="21"/>
        </w:rPr>
        <w:t xml:space="preserve">  </w:t>
      </w:r>
      <w:r>
        <w:rPr>
          <w:rFonts w:hint="eastAsia"/>
          <w:sz w:val="21"/>
          <w:u w:val="single"/>
        </w:rPr>
        <w:t>说</w:t>
      </w:r>
      <w:r>
        <w:rPr>
          <w:rFonts w:hint="eastAsia"/>
          <w:sz w:val="21"/>
          <w:u w:val="single"/>
        </w:rPr>
        <w:t xml:space="preserve">  </w:t>
      </w:r>
      <w:r>
        <w:rPr>
          <w:rFonts w:hint="eastAsia"/>
          <w:sz w:val="21"/>
          <w:u w:val="single"/>
        </w:rPr>
        <w:t>明</w:t>
      </w:r>
      <w:r>
        <w:rPr>
          <w:rFonts w:hint="eastAsia"/>
          <w:sz w:val="21"/>
        </w:rPr>
        <w:t>：图表所列数字显示监测期第一年和最后一年的研究与开发开支总额在国内总产值中所占百分比情况。某些国家的数据栏不完整，这表明源资料缺有关数据。</w:t>
      </w:r>
    </w:p>
    <w:p w:rsidR="00000000" w:rsidRDefault="00000000">
      <w:pPr>
        <w:spacing w:before="160" w:after="320"/>
        <w:rPr>
          <w:rFonts w:hint="eastAsia"/>
        </w:rPr>
      </w:pPr>
      <w:r>
        <w:rPr>
          <w:rFonts w:hint="eastAsia"/>
        </w:rPr>
        <w:tab/>
        <w:t>739.  1989</w:t>
      </w:r>
      <w:r>
        <w:rPr>
          <w:rFonts w:hint="eastAsia"/>
        </w:rPr>
        <w:t>年之后，前捷克斯洛伐克的科学与研究开支急剧下降</w:t>
      </w:r>
      <w:r>
        <w:rPr>
          <w:rFonts w:hint="eastAsia"/>
        </w:rPr>
        <w:t>(1991,</w:t>
      </w:r>
      <w:r>
        <w:rPr>
          <w:rFonts w:hint="eastAsia"/>
        </w:rPr>
        <w:t>捷克共和国的开支占国内总产值的</w:t>
      </w:r>
      <w:r>
        <w:rPr>
          <w:rFonts w:hint="eastAsia"/>
        </w:rPr>
        <w:t>2.03%)</w:t>
      </w:r>
      <w:r>
        <w:rPr>
          <w:rFonts w:hint="eastAsia"/>
        </w:rPr>
        <w:t>。在独立的捷克共和国成立之后，这种状况依然存在</w:t>
      </w:r>
      <w:r>
        <w:rPr>
          <w:rFonts w:hint="eastAsia"/>
        </w:rPr>
        <w:t>(</w:t>
      </w:r>
      <w:r>
        <w:rPr>
          <w:rFonts w:hint="eastAsia"/>
        </w:rPr>
        <w:t>尽管递减速度较慢</w:t>
      </w:r>
      <w:r>
        <w:rPr>
          <w:rFonts w:hint="eastAsia"/>
        </w:rPr>
        <w:t>)</w:t>
      </w:r>
      <w:r>
        <w:rPr>
          <w:rFonts w:hint="eastAsia"/>
        </w:rPr>
        <w:t>，一直持续到</w:t>
      </w:r>
      <w:r>
        <w:rPr>
          <w:rFonts w:hint="eastAsia"/>
        </w:rPr>
        <w:t>1995</w:t>
      </w:r>
      <w:r>
        <w:rPr>
          <w:rFonts w:hint="eastAsia"/>
        </w:rPr>
        <w:t>年，从这一年起，科学与研究开支开始缓慢增加。</w:t>
      </w:r>
    </w:p>
    <w:p w:rsidR="00000000" w:rsidRDefault="00000000">
      <w:pPr>
        <w:pStyle w:val="Heading3"/>
        <w:rPr>
          <w:rFonts w:hint="eastAsia"/>
          <w:sz w:val="21"/>
          <w:u w:val="none"/>
        </w:rPr>
      </w:pPr>
      <w:r>
        <w:rPr>
          <w:rFonts w:hint="eastAsia"/>
        </w:rPr>
        <w:t>研究与开发开支总额和国内总产值</w:t>
      </w:r>
      <w:r>
        <w:rPr>
          <w:rFonts w:hint="eastAsia"/>
          <w:spacing w:val="-50"/>
        </w:rPr>
        <w:t>―</w:t>
      </w:r>
      <w:r>
        <w:rPr>
          <w:rFonts w:hint="eastAsia"/>
        </w:rPr>
        <w:t>―</w:t>
      </w:r>
      <w:r>
        <w:rPr>
          <w:rFonts w:hint="eastAsia"/>
        </w:rPr>
        <w:t>1997</w:t>
      </w:r>
      <w:r>
        <w:rPr>
          <w:rFonts w:hint="eastAsia"/>
        </w:rPr>
        <w:t>年数据</w:t>
      </w:r>
      <w:r>
        <w:br/>
      </w:r>
      <w:r>
        <w:rPr>
          <w:rFonts w:hint="eastAsia"/>
          <w:sz w:val="21"/>
          <w:u w:val="none"/>
        </w:rPr>
        <w:t>(</w:t>
      </w:r>
      <w:r>
        <w:rPr>
          <w:rFonts w:hint="eastAsia"/>
          <w:sz w:val="21"/>
          <w:u w:val="none"/>
        </w:rPr>
        <w:t>研究与开发开支总额对国内总产值的依赖关系</w:t>
      </w:r>
      <w:r>
        <w:rPr>
          <w:rFonts w:hint="eastAsia"/>
          <w:spacing w:val="-50"/>
          <w:sz w:val="21"/>
          <w:u w:val="none"/>
        </w:rPr>
        <w:t>―</w:t>
      </w:r>
      <w:r>
        <w:rPr>
          <w:rFonts w:hint="eastAsia"/>
          <w:sz w:val="21"/>
          <w:u w:val="none"/>
        </w:rPr>
        <w:t>―</w:t>
      </w:r>
      <w:r>
        <w:rPr>
          <w:sz w:val="21"/>
          <w:u w:val="none"/>
        </w:rPr>
        <w:br/>
      </w:r>
      <w:r>
        <w:rPr>
          <w:rFonts w:hint="eastAsia"/>
          <w:sz w:val="21"/>
          <w:u w:val="none"/>
        </w:rPr>
        <w:t>两个指标均按每个居民的购买力平价计算</w:t>
      </w:r>
      <w:r>
        <w:rPr>
          <w:rFonts w:hint="eastAsia"/>
          <w:sz w:val="21"/>
          <w:u w:val="none"/>
        </w:rPr>
        <w:t>)</w:t>
      </w:r>
    </w:p>
    <w:p w:rsidR="00000000" w:rsidRDefault="00000000">
      <w:pPr>
        <w:pStyle w:val="Heading3"/>
        <w:rPr>
          <w:rFonts w:hint="eastAsia"/>
        </w:rPr>
      </w:pPr>
      <w:r>
        <w:rPr>
          <w:rFonts w:hint="eastAsia"/>
        </w:rPr>
        <w:t>[</w:t>
      </w:r>
      <w:r>
        <w:rPr>
          <w:rFonts w:hint="eastAsia"/>
        </w:rPr>
        <w:t>未提供资料</w:t>
      </w:r>
      <w:r>
        <w:rPr>
          <w:rFonts w:hint="eastAsia"/>
          <w:u w:val="none"/>
        </w:rPr>
        <w:t>]</w:t>
      </w:r>
    </w:p>
    <w:p w:rsidR="00000000" w:rsidRDefault="00000000">
      <w:pPr>
        <w:pStyle w:val="EndnoteText"/>
        <w:rPr>
          <w:rFonts w:hint="eastAsia"/>
          <w:sz w:val="21"/>
        </w:rPr>
      </w:pPr>
      <w:r>
        <w:rPr>
          <w:rFonts w:hint="eastAsia"/>
          <w:sz w:val="21"/>
          <w:u w:val="single"/>
        </w:rPr>
        <w:t>数据来源</w:t>
      </w:r>
      <w:r>
        <w:rPr>
          <w:rFonts w:hint="eastAsia"/>
          <w:sz w:val="21"/>
        </w:rPr>
        <w:t>：经合组织的数字</w:t>
      </w:r>
      <w:r>
        <w:rPr>
          <w:rFonts w:hint="eastAsia"/>
          <w:sz w:val="21"/>
        </w:rPr>
        <w:t>(</w:t>
      </w:r>
      <w:r>
        <w:rPr>
          <w:rFonts w:hint="eastAsia"/>
          <w:sz w:val="21"/>
        </w:rPr>
        <w:t>成员国统计资料，</w:t>
      </w:r>
      <w:r>
        <w:rPr>
          <w:rFonts w:hint="eastAsia"/>
          <w:sz w:val="21"/>
        </w:rPr>
        <w:t>1998</w:t>
      </w:r>
      <w:r>
        <w:rPr>
          <w:rFonts w:hint="eastAsia"/>
          <w:sz w:val="21"/>
        </w:rPr>
        <w:t>年版</w:t>
      </w:r>
      <w:r>
        <w:rPr>
          <w:rFonts w:hint="eastAsia"/>
          <w:sz w:val="21"/>
        </w:rPr>
        <w:t>)</w:t>
      </w:r>
      <w:r>
        <w:rPr>
          <w:rFonts w:hint="eastAsia"/>
          <w:sz w:val="21"/>
        </w:rPr>
        <w:t>。</w:t>
      </w:r>
    </w:p>
    <w:p w:rsidR="00000000" w:rsidRDefault="00000000">
      <w:pPr>
        <w:pStyle w:val="EndnoteText"/>
        <w:spacing w:after="320"/>
        <w:rPr>
          <w:sz w:val="21"/>
        </w:rPr>
      </w:pPr>
      <w:r>
        <w:rPr>
          <w:rFonts w:hint="eastAsia"/>
          <w:sz w:val="21"/>
        </w:rPr>
        <w:t xml:space="preserve">  </w:t>
      </w:r>
      <w:r>
        <w:rPr>
          <w:rFonts w:hint="eastAsia"/>
          <w:sz w:val="21"/>
        </w:rPr>
        <w:t>说</w:t>
      </w:r>
      <w:r>
        <w:rPr>
          <w:rFonts w:hint="eastAsia"/>
          <w:sz w:val="21"/>
        </w:rPr>
        <w:t xml:space="preserve">  </w:t>
      </w:r>
      <w:r>
        <w:rPr>
          <w:rFonts w:hint="eastAsia"/>
          <w:sz w:val="21"/>
        </w:rPr>
        <w:t>明：研究与开发开支总额：英文缩略</w:t>
      </w:r>
      <w:r>
        <w:rPr>
          <w:rFonts w:hint="eastAsia"/>
          <w:sz w:val="21"/>
        </w:rPr>
        <w:t>GERD</w:t>
      </w:r>
      <w:r>
        <w:rPr>
          <w:rFonts w:hint="eastAsia"/>
          <w:sz w:val="21"/>
        </w:rPr>
        <w:t>。</w:t>
      </w:r>
    </w:p>
    <w:p w:rsidR="00000000" w:rsidRDefault="00000000">
      <w:pPr>
        <w:spacing w:before="160"/>
        <w:rPr>
          <w:rFonts w:hint="eastAsia"/>
        </w:rPr>
      </w:pPr>
      <w:r>
        <w:rPr>
          <w:rFonts w:hint="eastAsia"/>
        </w:rPr>
        <w:tab/>
        <w:t xml:space="preserve">740.  </w:t>
      </w:r>
      <w:r>
        <w:rPr>
          <w:rFonts w:hint="eastAsia"/>
        </w:rPr>
        <w:t>发达国家和更为富裕的国家不仅从绝对值来看为研究与开发提供更多的经费</w:t>
      </w:r>
      <w:r>
        <w:rPr>
          <w:rFonts w:hint="eastAsia"/>
        </w:rPr>
        <w:t>(</w:t>
      </w:r>
      <w:r>
        <w:rPr>
          <w:rFonts w:hint="eastAsia"/>
        </w:rPr>
        <w:t>人均国内总产值相应高于其他国家</w:t>
      </w:r>
      <w:r>
        <w:rPr>
          <w:rFonts w:hint="eastAsia"/>
        </w:rPr>
        <w:t>)</w:t>
      </w:r>
      <w:r>
        <w:rPr>
          <w:rFonts w:hint="eastAsia"/>
        </w:rPr>
        <w:t>，而且从相对值来看也是如此</w:t>
      </w:r>
      <w:r>
        <w:rPr>
          <w:rFonts w:hint="eastAsia"/>
        </w:rPr>
        <w:t>(</w:t>
      </w:r>
      <w:r>
        <w:rPr>
          <w:rFonts w:hint="eastAsia"/>
        </w:rPr>
        <w:t>在人均国内总产值中所占百分比大于其他国家</w:t>
      </w:r>
      <w:r>
        <w:rPr>
          <w:rFonts w:hint="eastAsia"/>
        </w:rPr>
        <w:t>)</w:t>
      </w:r>
      <w:r>
        <w:rPr>
          <w:rFonts w:hint="eastAsia"/>
        </w:rPr>
        <w:t>。这自然有助于国内总产值的进一步增长。</w:t>
      </w:r>
    </w:p>
    <w:p w:rsidR="00000000" w:rsidRDefault="00000000">
      <w:pPr>
        <w:rPr>
          <w:rFonts w:hint="eastAsia"/>
        </w:rPr>
      </w:pPr>
      <w:r>
        <w:rPr>
          <w:rFonts w:hint="eastAsia"/>
        </w:rPr>
        <w:tab/>
        <w:t xml:space="preserve">741.  </w:t>
      </w:r>
      <w:r>
        <w:rPr>
          <w:rFonts w:hint="eastAsia"/>
        </w:rPr>
        <w:t>通常，经济发展以基于革新的技术进步为先导。几乎可以说革新的唯一源泉是开发，开发使用的是从研究中获取的知识。因而，支持科学和研究可促使经济增长，上面的图表可以此种方式加以解释。科学和研究以及向企业界转让科学和研究成果等其他活动的发展，与在建筑、推销、贸易和服务活动等领域作出必要的投资之间的关系是非常复杂的。因此，上面的图表也可以反过来加以解释</w:t>
      </w:r>
      <w:r>
        <w:rPr>
          <w:rFonts w:hint="eastAsia"/>
          <w:spacing w:val="-50"/>
        </w:rPr>
        <w:t>―</w:t>
      </w:r>
      <w:r>
        <w:rPr>
          <w:rFonts w:hint="eastAsia"/>
        </w:rPr>
        <w:t>―更为富裕的国家有能力为科学与研究提供更多的经费。</w:t>
      </w:r>
    </w:p>
    <w:p w:rsidR="00000000" w:rsidRDefault="00000000">
      <w:pPr>
        <w:rPr>
          <w:rFonts w:hint="eastAsia"/>
        </w:rPr>
      </w:pPr>
      <w:r>
        <w:rPr>
          <w:rFonts w:hint="eastAsia"/>
        </w:rPr>
        <w:tab/>
        <w:t xml:space="preserve">742.  </w:t>
      </w:r>
      <w:r>
        <w:rPr>
          <w:rFonts w:hint="eastAsia"/>
        </w:rPr>
        <w:t>从短期预算前景来看，</w:t>
      </w:r>
      <w:r>
        <w:rPr>
          <w:rFonts w:hint="eastAsia"/>
        </w:rPr>
        <w:t>2000-2002</w:t>
      </w:r>
      <w:r>
        <w:rPr>
          <w:rFonts w:hint="eastAsia"/>
        </w:rPr>
        <w:t>年，国家对研究与开发的支持可望逐步增加，达到占国内总产值</w:t>
      </w:r>
      <w:r>
        <w:rPr>
          <w:rFonts w:hint="eastAsia"/>
        </w:rPr>
        <w:t>0.7%</w:t>
      </w:r>
      <w:r>
        <w:rPr>
          <w:rFonts w:hint="eastAsia"/>
        </w:rPr>
        <w:t>这一预定水平</w:t>
      </w:r>
      <w:r>
        <w:rPr>
          <w:rFonts w:hint="eastAsia"/>
        </w:rPr>
        <w:t xml:space="preserve"> </w:t>
      </w:r>
      <w:r>
        <w:rPr>
          <w:rStyle w:val="EndnoteReference"/>
        </w:rPr>
        <w:endnoteReference w:id="437"/>
      </w:r>
      <w:r>
        <w:rPr>
          <w:rFonts w:hint="eastAsia"/>
        </w:rPr>
        <w:t>。摆在面前的有两个构想：先前的作法是在含有几十个小方案的</w:t>
      </w:r>
      <w:r>
        <w:rPr>
          <w:rFonts w:hint="eastAsia"/>
        </w:rPr>
        <w:t>20</w:t>
      </w:r>
      <w:r>
        <w:rPr>
          <w:rFonts w:hint="eastAsia"/>
        </w:rPr>
        <w:t>个预算项目之间按比例分配资源；新的作法是和发达国家那样，将相当一部分资金用来解决一些基本问题。捷克共和国政府研究与开发委员会现正依照《国家支持研究法》</w:t>
      </w:r>
      <w:r>
        <w:rPr>
          <w:rStyle w:val="EndnoteReference"/>
        </w:rPr>
        <w:endnoteReference w:id="438"/>
      </w:r>
      <w:r>
        <w:rPr>
          <w:rFonts w:hint="eastAsia"/>
        </w:rPr>
        <w:t xml:space="preserve"> </w:t>
      </w:r>
      <w:r>
        <w:rPr>
          <w:rFonts w:hint="eastAsia"/>
        </w:rPr>
        <w:t>为政府拟定一份关于进一步发展科学和研究以及为这些活动供资的详细提案。</w:t>
      </w:r>
    </w:p>
    <w:p w:rsidR="00000000" w:rsidRDefault="00000000">
      <w:pPr>
        <w:rPr>
          <w:rFonts w:hint="eastAsia"/>
        </w:rPr>
      </w:pPr>
      <w:r>
        <w:rPr>
          <w:rFonts w:hint="eastAsia"/>
        </w:rPr>
        <w:tab/>
        <w:t xml:space="preserve">743.  </w:t>
      </w:r>
      <w:r>
        <w:rPr>
          <w:rFonts w:hint="eastAsia"/>
        </w:rPr>
        <w:t>在各个中央机构分管的领域，研究与开发目前与发展概念的联系不充分。由于多年忽视概念性工作，各个部缺乏某一领域的今后发展的具体、长远的设想；单个构想之间的联系也很薄弱。这两方面的问题都体现在研究与开发国家政策中</w:t>
      </w:r>
      <w:r>
        <w:rPr>
          <w:rFonts w:hint="eastAsia"/>
        </w:rPr>
        <w:t xml:space="preserve"> </w:t>
      </w:r>
      <w:r>
        <w:rPr>
          <w:rStyle w:val="EndnoteReference"/>
        </w:rPr>
        <w:endnoteReference w:id="439"/>
      </w:r>
      <w:r>
        <w:rPr>
          <w:rFonts w:hint="eastAsia"/>
        </w:rPr>
        <w:t>，在发达国家，这项政策不仅基于科学界人士的期望和建议，而且更主要的是基于社会的需要，这些需要是作为与公众相关的领域的概念得到确立的。</w:t>
      </w:r>
    </w:p>
    <w:p w:rsidR="00000000" w:rsidRDefault="00000000">
      <w:pPr>
        <w:rPr>
          <w:rFonts w:hint="eastAsia"/>
        </w:rPr>
      </w:pPr>
      <w:r>
        <w:rPr>
          <w:rFonts w:hint="eastAsia"/>
        </w:rPr>
        <w:tab/>
        <w:t xml:space="preserve">744.  </w:t>
      </w:r>
      <w:r>
        <w:rPr>
          <w:rFonts w:hint="eastAsia"/>
        </w:rPr>
        <w:t>在拟定研究和开发政策时，有必要主要处理基础研究和应用研究及其成果转让、供资、国际合作、基础设施的问题，以及研究与开发所涉及的道德方面的问题。</w:t>
      </w:r>
    </w:p>
    <w:p w:rsidR="00000000" w:rsidRDefault="00000000">
      <w:pPr>
        <w:rPr>
          <w:rFonts w:hint="eastAsia"/>
        </w:rPr>
      </w:pPr>
      <w:r>
        <w:rPr>
          <w:rFonts w:hint="eastAsia"/>
        </w:rPr>
        <w:tab/>
        <w:t xml:space="preserve">745.  </w:t>
      </w:r>
      <w:r>
        <w:rPr>
          <w:rFonts w:hint="eastAsia"/>
        </w:rPr>
        <w:t>联系科学与研究的国家政策，政府根据立法工作计划和</w:t>
      </w:r>
      <w:r>
        <w:rPr>
          <w:rFonts w:hint="eastAsia"/>
        </w:rPr>
        <w:t>2000</w:t>
      </w:r>
      <w:r>
        <w:rPr>
          <w:rFonts w:hint="eastAsia"/>
        </w:rPr>
        <w:t>年</w:t>
      </w:r>
      <w:r>
        <w:rPr>
          <w:rFonts w:hint="eastAsia"/>
        </w:rPr>
        <w:t>1</w:t>
      </w:r>
      <w:r>
        <w:rPr>
          <w:rFonts w:hint="eastAsia"/>
        </w:rPr>
        <w:t>月</w:t>
      </w:r>
      <w:r>
        <w:rPr>
          <w:rFonts w:hint="eastAsia"/>
        </w:rPr>
        <w:t>5</w:t>
      </w:r>
      <w:r>
        <w:rPr>
          <w:rFonts w:hint="eastAsia"/>
        </w:rPr>
        <w:t>日第</w:t>
      </w:r>
      <w:r>
        <w:rPr>
          <w:rFonts w:hint="eastAsia"/>
        </w:rPr>
        <w:t>16</w:t>
      </w:r>
      <w:r>
        <w:rPr>
          <w:rFonts w:hint="eastAsia"/>
        </w:rPr>
        <w:t>号中央决议，将在</w:t>
      </w:r>
      <w:r>
        <w:rPr>
          <w:rFonts w:hint="eastAsia"/>
        </w:rPr>
        <w:t>2000</w:t>
      </w:r>
      <w:r>
        <w:rPr>
          <w:rFonts w:hint="eastAsia"/>
        </w:rPr>
        <w:t>年</w:t>
      </w:r>
      <w:r>
        <w:rPr>
          <w:rFonts w:hint="eastAsia"/>
        </w:rPr>
        <w:t>10</w:t>
      </w:r>
      <w:r>
        <w:rPr>
          <w:rFonts w:hint="eastAsia"/>
        </w:rPr>
        <w:t>月</w:t>
      </w:r>
      <w:r>
        <w:rPr>
          <w:rFonts w:hint="eastAsia"/>
        </w:rPr>
        <w:t>31</w:t>
      </w:r>
      <w:r>
        <w:rPr>
          <w:rFonts w:hint="eastAsia"/>
        </w:rPr>
        <w:t>日之前起草一部新的《研究与开发法》。</w:t>
      </w:r>
    </w:p>
    <w:p w:rsidR="00000000" w:rsidRDefault="00000000">
      <w:pPr>
        <w:rPr>
          <w:rFonts w:hint="eastAsia"/>
        </w:rPr>
      </w:pPr>
      <w:r>
        <w:rPr>
          <w:rFonts w:hint="eastAsia"/>
        </w:rPr>
        <w:tab/>
        <w:t xml:space="preserve">746.  </w:t>
      </w:r>
      <w:r>
        <w:rPr>
          <w:rFonts w:hint="eastAsia"/>
        </w:rPr>
        <w:t>政府出资专门资助研究与开发活动的制度之一，是资助制度</w:t>
      </w:r>
      <w:r>
        <w:rPr>
          <w:rFonts w:hint="eastAsia"/>
        </w:rPr>
        <w:t xml:space="preserve"> </w:t>
      </w:r>
      <w:r>
        <w:rPr>
          <w:rStyle w:val="EndnoteReference"/>
        </w:rPr>
        <w:endnoteReference w:id="440"/>
      </w:r>
      <w:r>
        <w:rPr>
          <w:rFonts w:hint="eastAsia"/>
        </w:rPr>
        <w:t>。与由国家预算的一个独立项目提供专项资金以支持研究与开发活动有关的工作，由捷克共和国资助局负责。这项资助制度的规则，来自《捷克共和国资助局章程》</w:t>
      </w:r>
      <w:r>
        <w:rPr>
          <w:rStyle w:val="EndnoteReference"/>
        </w:rPr>
        <w:endnoteReference w:id="441"/>
      </w:r>
      <w:r>
        <w:rPr>
          <w:rFonts w:hint="eastAsia"/>
        </w:rPr>
        <w:t>，关于由国家预算提供专项资金以支持研究与开发活动的规则</w:t>
      </w:r>
      <w:r>
        <w:rPr>
          <w:rFonts w:hint="eastAsia"/>
        </w:rPr>
        <w:t xml:space="preserve"> </w:t>
      </w:r>
      <w:r>
        <w:rPr>
          <w:rStyle w:val="EndnoteReference"/>
        </w:rPr>
        <w:endnoteReference w:id="442"/>
      </w:r>
      <w:r>
        <w:rPr>
          <w:rFonts w:hint="eastAsia"/>
        </w:rPr>
        <w:t xml:space="preserve"> </w:t>
      </w:r>
      <w:r>
        <w:rPr>
          <w:rFonts w:hint="eastAsia"/>
        </w:rPr>
        <w:t>还来自关于研究与开发政府原则的政府决议</w:t>
      </w:r>
      <w:r>
        <w:rPr>
          <w:rFonts w:hint="eastAsia"/>
        </w:rPr>
        <w:t xml:space="preserve"> </w:t>
      </w:r>
      <w:r>
        <w:rPr>
          <w:rStyle w:val="EndnoteReference"/>
        </w:rPr>
        <w:endnoteReference w:id="443"/>
      </w:r>
      <w:r>
        <w:rPr>
          <w:rFonts w:hint="eastAsia"/>
        </w:rPr>
        <w:t>。</w:t>
      </w:r>
    </w:p>
    <w:p w:rsidR="00000000" w:rsidRDefault="00000000">
      <w:pPr>
        <w:rPr>
          <w:rFonts w:hint="eastAsia"/>
        </w:rPr>
      </w:pPr>
      <w:r>
        <w:rPr>
          <w:rFonts w:hint="eastAsia"/>
        </w:rPr>
        <w:tab/>
        <w:t xml:space="preserve">747.  </w:t>
      </w:r>
      <w:r>
        <w:rPr>
          <w:rFonts w:hint="eastAsia"/>
        </w:rPr>
        <w:t>资助局在公开竞争的结果基础上，提供来自捷克共和国国家预算一独立项目和其他渠道的专项资金，以资助个人或法律实体提出的符合资助局方案要求的研究与开发项目。资助局向加强研究潜力和运用研究与开发的基础研究活动，科学方案和项目提供支持。资助项目的结果必须以与科学或技术领域的特点相称的方式得到公布。</w:t>
      </w:r>
    </w:p>
    <w:p w:rsidR="00000000" w:rsidRDefault="00000000">
      <w:pPr>
        <w:spacing w:after="320"/>
        <w:rPr>
          <w:rFonts w:hint="eastAsia"/>
        </w:rPr>
      </w:pPr>
      <w:r>
        <w:rPr>
          <w:rFonts w:hint="eastAsia"/>
        </w:rPr>
        <w:tab/>
        <w:t xml:space="preserve">748.  </w:t>
      </w:r>
      <w:r>
        <w:rPr>
          <w:rFonts w:hint="eastAsia"/>
        </w:rPr>
        <w:t>资助局的活动并不影响国家中央管理机构利用捷克共和国国家预算，以体制性供资或专项供资方式支持研究与开发活动的权限与职责。资助局提供的用于研究与开发的专项资金，有选择地对国家预算的体制性供资和由公司、部或私人提供的资金起着补充作用。</w:t>
      </w:r>
    </w:p>
    <w:p w:rsidR="00000000" w:rsidRDefault="00000000">
      <w:pPr>
        <w:pStyle w:val="Heading4"/>
        <w:ind w:left="500"/>
        <w:rPr>
          <w:rFonts w:hint="eastAsia"/>
        </w:rPr>
      </w:pPr>
      <w:r>
        <w:rPr>
          <w:rFonts w:hint="eastAsia"/>
        </w:rPr>
        <w:t>国际合作</w:t>
      </w:r>
    </w:p>
    <w:p w:rsidR="00000000" w:rsidRDefault="00000000">
      <w:pPr>
        <w:rPr>
          <w:rFonts w:hint="eastAsia"/>
        </w:rPr>
      </w:pPr>
      <w:r>
        <w:rPr>
          <w:rFonts w:hint="eastAsia"/>
        </w:rPr>
        <w:tab/>
        <w:t xml:space="preserve">749.  </w:t>
      </w:r>
      <w:r>
        <w:rPr>
          <w:rFonts w:hint="eastAsia"/>
        </w:rPr>
        <w:t>捷克共和国的研究与开发人员、科学工作者和大学教师开展国际合作和国际交流，并与科学方案保持着联系。其中许多人士国际科学团体的成员，并向国外科学杂志投稿。这些人员面临的问题是：有关机构向科研机构工作人员提供的经费不足，因而无法使其到国外出席各种会议，并到国外长期学习。除了科研专项资金</w:t>
      </w:r>
      <w:r>
        <w:rPr>
          <w:rFonts w:hint="eastAsia"/>
        </w:rPr>
        <w:t>(</w:t>
      </w:r>
      <w:r>
        <w:rPr>
          <w:rFonts w:hint="eastAsia"/>
        </w:rPr>
        <w:t>来自补助款</w:t>
      </w:r>
      <w:r>
        <w:rPr>
          <w:rFonts w:hint="eastAsia"/>
        </w:rPr>
        <w:t>)</w:t>
      </w:r>
      <w:r>
        <w:rPr>
          <w:rFonts w:hint="eastAsia"/>
        </w:rPr>
        <w:t>以外，这些人员还使用外国机构包括基金会提供的资金以及研究资助款。</w:t>
      </w:r>
    </w:p>
    <w:p w:rsidR="00000000" w:rsidRDefault="00000000">
      <w:pPr>
        <w:spacing w:after="320"/>
        <w:rPr>
          <w:rFonts w:hint="eastAsia"/>
        </w:rPr>
      </w:pPr>
      <w:r>
        <w:rPr>
          <w:rFonts w:hint="eastAsia"/>
        </w:rPr>
        <w:tab/>
        <w:t xml:space="preserve">750.  </w:t>
      </w:r>
      <w:r>
        <w:rPr>
          <w:rFonts w:hint="eastAsia"/>
        </w:rPr>
        <w:t>工业产权局与工业和贸易部合作，负责使捷克共和国加入的、由产权组织管理的国际条约之下的义务得到履行，工业产权局还负责使《涉贸知识产权协议》之下的义务得到履行。因而，该局在准备捷克共和国加入欧洲联盟方面发挥着重要作用，该局代表出席欧洲专利组织管理委员会的会议。主要出于这些原因，该局工作人员参加专家讨论会</w:t>
      </w:r>
      <w:r>
        <w:rPr>
          <w:rFonts w:hint="eastAsia"/>
        </w:rPr>
        <w:t>(</w:t>
      </w:r>
      <w:r>
        <w:rPr>
          <w:rFonts w:hint="eastAsia"/>
        </w:rPr>
        <w:t>例如区域工业产权方案等</w:t>
      </w:r>
      <w:r>
        <w:rPr>
          <w:rFonts w:hint="eastAsia"/>
        </w:rPr>
        <w:t>)</w:t>
      </w:r>
      <w:r>
        <w:rPr>
          <w:rFonts w:hint="eastAsia"/>
        </w:rPr>
        <w:t>，到国外学习，而且，该局还组织由外国专家参加的国际会议。</w:t>
      </w:r>
    </w:p>
    <w:p w:rsidR="00000000" w:rsidRDefault="00000000">
      <w:pPr>
        <w:pStyle w:val="Heading4"/>
        <w:ind w:left="500"/>
        <w:rPr>
          <w:rFonts w:hint="eastAsia"/>
        </w:rPr>
      </w:pPr>
      <w:r>
        <w:rPr>
          <w:rFonts w:hint="eastAsia"/>
        </w:rPr>
        <w:t>科学和文化信息的传播</w:t>
      </w:r>
    </w:p>
    <w:p w:rsidR="00000000" w:rsidRDefault="00000000">
      <w:pPr>
        <w:rPr>
          <w:rFonts w:hint="eastAsia"/>
        </w:rPr>
      </w:pPr>
      <w:r>
        <w:rPr>
          <w:rFonts w:hint="eastAsia"/>
        </w:rPr>
        <w:tab/>
        <w:t xml:space="preserve">751.  </w:t>
      </w:r>
      <w:r>
        <w:rPr>
          <w:rFonts w:hint="eastAsia"/>
        </w:rPr>
        <w:t>《无线电和电视广播法》关于发放广播执照之条件的第</w:t>
      </w:r>
      <w:r>
        <w:rPr>
          <w:rFonts w:hint="eastAsia"/>
        </w:rPr>
        <w:t>10</w:t>
      </w:r>
      <w:r>
        <w:rPr>
          <w:rFonts w:hint="eastAsia"/>
        </w:rPr>
        <w:t>条第</w:t>
      </w:r>
      <w:r>
        <w:rPr>
          <w:rFonts w:hint="eastAsia"/>
        </w:rPr>
        <w:t>4</w:t>
      </w:r>
      <w:r>
        <w:rPr>
          <w:rFonts w:hint="eastAsia"/>
        </w:rPr>
        <w:t>款规定，管理机构在评审一项申请时，须考虑确保节目选择方面的多元性和均衡性，特别是地方节目的设置；考虑到各种文化价值观、信息及见解能以平等方式得到传播，并确保捷克共和国各民族、种族和族裔群体的文化能够得到发展，还要看申请人是否愿意为一定比例的节目配置隐式或可见字幕，以方便有听力障碍者。这一条第</w:t>
      </w:r>
      <w:r>
        <w:rPr>
          <w:rFonts w:hint="eastAsia"/>
        </w:rPr>
        <w:t>6</w:t>
      </w:r>
      <w:r>
        <w:rPr>
          <w:rFonts w:hint="eastAsia"/>
        </w:rPr>
        <w:t>款还规定，在评审外国资本参与的公司的申请时，管理机构还须考虑申请人对发展独特的本国创造性工作的作用。还可</w:t>
      </w:r>
      <w:r>
        <w:rPr>
          <w:rFonts w:hint="eastAsia"/>
        </w:rPr>
        <w:t>(</w:t>
      </w:r>
      <w:r>
        <w:rPr>
          <w:rFonts w:hint="eastAsia"/>
        </w:rPr>
        <w:t>依据《法规》第</w:t>
      </w:r>
      <w:r>
        <w:rPr>
          <w:rFonts w:hint="eastAsia"/>
        </w:rPr>
        <w:t>12</w:t>
      </w:r>
      <w:r>
        <w:rPr>
          <w:rFonts w:hint="eastAsia"/>
        </w:rPr>
        <w:t>条</w:t>
      </w:r>
      <w:r>
        <w:rPr>
          <w:rFonts w:hint="eastAsia"/>
        </w:rPr>
        <w:t>)</w:t>
      </w:r>
      <w:r>
        <w:rPr>
          <w:rFonts w:hint="eastAsia"/>
        </w:rPr>
        <w:t>，决定申请人在执照申请中提供的节目结构数据资料将部分或全部具有约束力。</w:t>
      </w:r>
    </w:p>
    <w:p w:rsidR="00000000" w:rsidRDefault="00000000">
      <w:pPr>
        <w:spacing w:after="320"/>
        <w:rPr>
          <w:rFonts w:hint="eastAsia"/>
        </w:rPr>
      </w:pPr>
      <w:r>
        <w:rPr>
          <w:rFonts w:hint="eastAsia"/>
        </w:rPr>
        <w:tab/>
        <w:t xml:space="preserve">752.  </w:t>
      </w:r>
      <w:r>
        <w:rPr>
          <w:rFonts w:hint="eastAsia"/>
        </w:rPr>
        <w:t>《捷克电视台法》第</w:t>
      </w:r>
      <w:r>
        <w:rPr>
          <w:rFonts w:hint="eastAsia"/>
        </w:rPr>
        <w:t>2</w:t>
      </w:r>
      <w:r>
        <w:rPr>
          <w:rFonts w:hint="eastAsia"/>
        </w:rPr>
        <w:t>条和《捷克广播电台法》第</w:t>
      </w:r>
      <w:r>
        <w:rPr>
          <w:rFonts w:hint="eastAsia"/>
        </w:rPr>
        <w:t>2</w:t>
      </w:r>
      <w:r>
        <w:rPr>
          <w:rFonts w:hint="eastAsia"/>
        </w:rPr>
        <w:t>条</w:t>
      </w:r>
      <w:r>
        <w:rPr>
          <w:rFonts w:hint="eastAsia"/>
        </w:rPr>
        <w:t>(</w:t>
      </w:r>
      <w:r>
        <w:rPr>
          <w:rFonts w:hint="eastAsia"/>
        </w:rPr>
        <w:t>以几乎与前者相同的措词</w:t>
      </w:r>
      <w:r>
        <w:rPr>
          <w:rFonts w:hint="eastAsia"/>
        </w:rPr>
        <w:t>)</w:t>
      </w:r>
      <w:r>
        <w:rPr>
          <w:rFonts w:hint="eastAsia"/>
        </w:rPr>
        <w:t>将这两个公立广播机构的任务规定为：提供客观、经核实的、不偏不倚和均衡的信息，以使公众能够自由地形成见解；发展捷克共和国捷克族和少数民族的文化特性；提供生态信息；开展青少年教育和培养工作；并向观众提供娱乐节目。</w:t>
      </w:r>
    </w:p>
    <w:p w:rsidR="00000000" w:rsidRDefault="00000000">
      <w:pPr>
        <w:pStyle w:val="Heading4"/>
        <w:ind w:left="500"/>
        <w:rPr>
          <w:rFonts w:hint="eastAsia"/>
        </w:rPr>
      </w:pPr>
      <w:r>
        <w:rPr>
          <w:rFonts w:hint="eastAsia"/>
        </w:rPr>
        <w:t>开展科学研究和创造活动的自由</w:t>
      </w:r>
    </w:p>
    <w:p w:rsidR="00000000" w:rsidRDefault="00000000">
      <w:pPr>
        <w:rPr>
          <w:rFonts w:hint="eastAsia"/>
        </w:rPr>
      </w:pPr>
      <w:r>
        <w:rPr>
          <w:rFonts w:hint="eastAsia"/>
        </w:rPr>
        <w:tab/>
        <w:t xml:space="preserve">753.  </w:t>
      </w:r>
      <w:r>
        <w:rPr>
          <w:rFonts w:hint="eastAsia"/>
        </w:rPr>
        <w:t>关于《公约》第</w:t>
      </w:r>
      <w:r>
        <w:rPr>
          <w:rFonts w:hint="eastAsia"/>
        </w:rPr>
        <w:t>15</w:t>
      </w:r>
      <w:r>
        <w:rPr>
          <w:rFonts w:hint="eastAsia"/>
        </w:rPr>
        <w:t>条的资料的起始部分引用的《宪章》第</w:t>
      </w:r>
      <w:r>
        <w:rPr>
          <w:rFonts w:hint="eastAsia"/>
        </w:rPr>
        <w:t>17</w:t>
      </w:r>
      <w:r>
        <w:rPr>
          <w:rFonts w:hint="eastAsia"/>
        </w:rPr>
        <w:t>条，保障言论自由和了解情况权。在采取必要措施保护他人的权利和自由的情况下，言论自由受到法律上的限制，《刑法》第</w:t>
      </w:r>
      <w:r>
        <w:rPr>
          <w:rFonts w:hint="eastAsia"/>
        </w:rPr>
        <w:t>198</w:t>
      </w:r>
      <w:r>
        <w:rPr>
          <w:rFonts w:hint="eastAsia"/>
        </w:rPr>
        <w:t>条</w:t>
      </w:r>
      <w:r>
        <w:t>a</w:t>
      </w:r>
      <w:r>
        <w:rPr>
          <w:rFonts w:hint="eastAsia"/>
        </w:rPr>
        <w:t>款禁止煽动民族、种族或宗教仇恨，《刑法》第</w:t>
      </w:r>
      <w:r>
        <w:rPr>
          <w:rFonts w:hint="eastAsia"/>
        </w:rPr>
        <w:t>260</w:t>
      </w:r>
      <w:r>
        <w:rPr>
          <w:rFonts w:hint="eastAsia"/>
        </w:rPr>
        <w:t>条规定禁止支持和鼓动进行旨在剥夺公民的权利和自由的活动。</w:t>
      </w:r>
    </w:p>
    <w:p w:rsidR="00000000" w:rsidRDefault="00000000">
      <w:pPr>
        <w:rPr>
          <w:rFonts w:hint="eastAsia"/>
        </w:rPr>
      </w:pPr>
      <w:r>
        <w:rPr>
          <w:rFonts w:hint="eastAsia"/>
        </w:rPr>
        <w:tab/>
        <w:t xml:space="preserve">754.  </w:t>
      </w:r>
      <w:r>
        <w:rPr>
          <w:rFonts w:hint="eastAsia"/>
        </w:rPr>
        <w:t>《宪章》第</w:t>
      </w:r>
      <w:r>
        <w:rPr>
          <w:rFonts w:hint="eastAsia"/>
        </w:rPr>
        <w:t>10</w:t>
      </w:r>
      <w:r>
        <w:rPr>
          <w:rFonts w:hint="eastAsia"/>
        </w:rPr>
        <w:t>条第</w:t>
      </w:r>
      <w:r>
        <w:rPr>
          <w:rFonts w:hint="eastAsia"/>
        </w:rPr>
        <w:t>3</w:t>
      </w:r>
      <w:r>
        <w:rPr>
          <w:rFonts w:hint="eastAsia"/>
        </w:rPr>
        <w:t>款还对收集信息的权利作了限制，该款规定：“公民的个人资料受到保护，不得擅自收集、透露或以其他方式滥用任何人的个人资料。”</w:t>
      </w:r>
    </w:p>
    <w:p w:rsidR="00000000" w:rsidRDefault="00000000">
      <w:pPr>
        <w:rPr>
          <w:rFonts w:hint="eastAsia"/>
        </w:rPr>
      </w:pPr>
      <w:r>
        <w:rPr>
          <w:rFonts w:hint="eastAsia"/>
        </w:rPr>
        <w:tab/>
        <w:t xml:space="preserve">755.  </w:t>
      </w:r>
      <w:r>
        <w:rPr>
          <w:rFonts w:hint="eastAsia"/>
        </w:rPr>
        <w:t>实际上，捷克共和国一贯维护言论自由。媒体享有独立性，而且可以在不受任何审查</w:t>
      </w:r>
      <w:r>
        <w:rPr>
          <w:rFonts w:hint="eastAsia"/>
        </w:rPr>
        <w:t>(</w:t>
      </w:r>
      <w:r>
        <w:rPr>
          <w:rFonts w:hint="eastAsia"/>
        </w:rPr>
        <w:t>或审查企图的影响</w:t>
      </w:r>
      <w:r>
        <w:rPr>
          <w:rFonts w:hint="eastAsia"/>
        </w:rPr>
        <w:t>)</w:t>
      </w:r>
      <w:r>
        <w:rPr>
          <w:rFonts w:hint="eastAsia"/>
        </w:rPr>
        <w:t>的情况下，对国家工作人员提出批评。有关言论自由受到压制的申诉，几乎完全来自煽动种族或民族仇恨的团体，以及旨在压制他人的权利和自由</w:t>
      </w:r>
      <w:r>
        <w:rPr>
          <w:rFonts w:hint="eastAsia"/>
        </w:rPr>
        <w:t>(</w:t>
      </w:r>
      <w:r>
        <w:rPr>
          <w:rFonts w:hint="eastAsia"/>
        </w:rPr>
        <w:t>否定大屠杀等</w:t>
      </w:r>
      <w:r>
        <w:rPr>
          <w:rFonts w:hint="eastAsia"/>
        </w:rPr>
        <w:t>)</w:t>
      </w:r>
      <w:r>
        <w:rPr>
          <w:rFonts w:hint="eastAsia"/>
        </w:rPr>
        <w:t>的团体。另一方面，在保护人权方面开展活动的组织往往认为，国家在这方面的打击行动力度不够，而不是过头了。因煽动种族仇恨，或支持或鼓动进行旨在压制公民的权利和自由的活动而受到起诉的情况往往极少。</w:t>
      </w:r>
    </w:p>
    <w:p w:rsidR="00000000" w:rsidRDefault="00000000">
      <w:pPr>
        <w:rPr>
          <w:rFonts w:hint="eastAsia"/>
        </w:rPr>
      </w:pPr>
      <w:r>
        <w:rPr>
          <w:rFonts w:hint="eastAsia"/>
        </w:rPr>
        <w:tab/>
        <w:t>756.  1999</w:t>
      </w:r>
      <w:r>
        <w:rPr>
          <w:rFonts w:hint="eastAsia"/>
        </w:rPr>
        <w:t>年</w:t>
      </w:r>
      <w:r>
        <w:rPr>
          <w:rFonts w:hint="eastAsia"/>
        </w:rPr>
        <w:t>6</w:t>
      </w:r>
      <w:r>
        <w:rPr>
          <w:rFonts w:hint="eastAsia"/>
        </w:rPr>
        <w:t>月，政府向议会众议院提交《关于新闻出版业权利和义务以及修改某些其他法规</w:t>
      </w:r>
      <w:r>
        <w:rPr>
          <w:rFonts w:hint="eastAsia"/>
        </w:rPr>
        <w:t>(</w:t>
      </w:r>
      <w:r>
        <w:rPr>
          <w:rFonts w:hint="eastAsia"/>
        </w:rPr>
        <w:t>包括《无线电和电视广播法》</w:t>
      </w:r>
      <w:r>
        <w:rPr>
          <w:rFonts w:hint="eastAsia"/>
        </w:rPr>
        <w:t>)</w:t>
      </w:r>
      <w:r>
        <w:rPr>
          <w:rFonts w:hint="eastAsia"/>
        </w:rPr>
        <w:t>的法规草案》，即《新闻法》，该法规规定不得实行审查，并规定新闻界享有言论自由。目前，这项草案载有一项条款，该条款旨在在报刊的内容破坏捷克共和国的宪法秩序，或受《宪章》保障的人权和基本自由民主秩序的情况下，对社会实行保护。然而，在委员会于</w:t>
      </w:r>
      <w:r>
        <w:rPr>
          <w:rFonts w:hint="eastAsia"/>
        </w:rPr>
        <w:t>1999</w:t>
      </w:r>
      <w:r>
        <w:rPr>
          <w:rFonts w:hint="eastAsia"/>
        </w:rPr>
        <w:t>年</w:t>
      </w:r>
      <w:r>
        <w:rPr>
          <w:rFonts w:hint="eastAsia"/>
        </w:rPr>
        <w:t>12</w:t>
      </w:r>
      <w:r>
        <w:rPr>
          <w:rFonts w:hint="eastAsia"/>
        </w:rPr>
        <w:t>月和</w:t>
      </w:r>
      <w:r>
        <w:rPr>
          <w:rFonts w:hint="eastAsia"/>
        </w:rPr>
        <w:t>2001</w:t>
      </w:r>
      <w:r>
        <w:rPr>
          <w:rFonts w:hint="eastAsia"/>
        </w:rPr>
        <w:t>年</w:t>
      </w:r>
      <w:r>
        <w:rPr>
          <w:rFonts w:hint="eastAsia"/>
        </w:rPr>
        <w:t>1</w:t>
      </w:r>
      <w:r>
        <w:rPr>
          <w:rFonts w:hint="eastAsia"/>
        </w:rPr>
        <w:t>月进行讨论之后，参议院将这部新的《新闻法》草案退回众议院，以便重新进行讨论。</w:t>
      </w:r>
    </w:p>
    <w:p w:rsidR="00000000" w:rsidRDefault="00000000">
      <w:pPr>
        <w:rPr>
          <w:rFonts w:hint="eastAsia"/>
        </w:rPr>
      </w:pPr>
      <w:r>
        <w:rPr>
          <w:rFonts w:hint="eastAsia"/>
        </w:rPr>
        <w:tab/>
        <w:t xml:space="preserve">757.  </w:t>
      </w:r>
      <w:r>
        <w:rPr>
          <w:rFonts w:hint="eastAsia"/>
        </w:rPr>
        <w:t>在上述情形中，一个独立的法院负责行使保护职能，该法院将有资格命令允许所出版的期刊的内容与《法规》相抵触的出版商向国家支付赔偿金。该法院还可以下令暂时禁止这一期刊出版发行，或禁止其在捷克共和国得到散发。参议院将在定于</w:t>
      </w:r>
      <w:r>
        <w:rPr>
          <w:rFonts w:hint="eastAsia"/>
        </w:rPr>
        <w:t>1</w:t>
      </w:r>
      <w:r>
        <w:rPr>
          <w:rFonts w:hint="eastAsia"/>
        </w:rPr>
        <w:t>月举行的第一届会议上讨论这项草案。</w:t>
      </w:r>
    </w:p>
    <w:p w:rsidR="00000000" w:rsidRDefault="00000000">
      <w:pPr>
        <w:rPr>
          <w:rFonts w:hint="eastAsia"/>
        </w:rPr>
      </w:pPr>
      <w:r>
        <w:rPr>
          <w:rFonts w:hint="eastAsia"/>
        </w:rPr>
        <w:tab/>
        <w:t xml:space="preserve">758.  </w:t>
      </w:r>
      <w:r>
        <w:rPr>
          <w:rFonts w:hint="eastAsia"/>
        </w:rPr>
        <w:t>了解情况权领域也存在着某些问题。新闻记者和其他公民常常对官员缺乏透明度，不愿提供国家机关活动情况有意见。</w:t>
      </w:r>
      <w:r>
        <w:rPr>
          <w:rFonts w:hint="eastAsia"/>
        </w:rPr>
        <w:t>2000</w:t>
      </w:r>
      <w:r>
        <w:rPr>
          <w:rFonts w:hint="eastAsia"/>
        </w:rPr>
        <w:t>年</w:t>
      </w:r>
      <w:r>
        <w:rPr>
          <w:rFonts w:hint="eastAsia"/>
        </w:rPr>
        <w:t>1</w:t>
      </w:r>
      <w:r>
        <w:rPr>
          <w:rFonts w:hint="eastAsia"/>
        </w:rPr>
        <w:t>月</w:t>
      </w:r>
      <w:r>
        <w:rPr>
          <w:rFonts w:hint="eastAsia"/>
        </w:rPr>
        <w:t>1</w:t>
      </w:r>
      <w:r>
        <w:rPr>
          <w:rFonts w:hint="eastAsia"/>
        </w:rPr>
        <w:t>日生效的新的《自由获取和利用信息法》</w:t>
      </w:r>
      <w:r>
        <w:rPr>
          <w:rStyle w:val="EndnoteReference"/>
        </w:rPr>
        <w:endnoteReference w:id="444"/>
      </w:r>
      <w:r>
        <w:rPr>
          <w:rFonts w:hint="eastAsia"/>
        </w:rPr>
        <w:t xml:space="preserve"> </w:t>
      </w:r>
      <w:r>
        <w:rPr>
          <w:rFonts w:hint="eastAsia"/>
        </w:rPr>
        <w:t>将会有助于纠正这一状况。这部法规对提供与国家机构和地方自治机构主管的工作相关的信息作了规定。具体来说，该法规为自由获取和利用信息提供了保障，并规定了信息的提供所依据的条件。</w:t>
      </w:r>
    </w:p>
    <w:p w:rsidR="00000000" w:rsidRDefault="00000000">
      <w:pPr>
        <w:rPr>
          <w:rFonts w:hint="eastAsia"/>
        </w:rPr>
      </w:pPr>
    </w:p>
    <w:p w:rsidR="00000000" w:rsidRDefault="00000000">
      <w:pPr>
        <w:jc w:val="center"/>
        <w:rPr>
          <w:rFonts w:hint="eastAsia"/>
        </w:rPr>
      </w:pPr>
    </w:p>
    <w:sectPr w:rsidR="00000000">
      <w:headerReference w:type="even" r:id="rId16"/>
      <w:headerReference w:type="default" r:id="rId17"/>
      <w:headerReference w:type="first" r:id="rId18"/>
      <w:footerReference w:type="first" r:id="rId19"/>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 w:id="1">
    <w:p w:rsidR="00000000" w:rsidRDefault="00000000">
      <w:pPr>
        <w:pStyle w:val="EndnoteText"/>
        <w:rPr>
          <w:rFonts w:hint="eastAsia"/>
        </w:rPr>
      </w:pPr>
      <w:r>
        <w:rPr>
          <w:rStyle w:val="EndnoteReference"/>
          <w:snapToGrid/>
        </w:rPr>
        <w:endnoteRef/>
      </w:r>
      <w:r>
        <w:tab/>
      </w:r>
      <w:r>
        <w:rPr>
          <w:rFonts w:hint="eastAsia"/>
        </w:rPr>
        <w:t>资料来源：《捷克共和国</w:t>
      </w:r>
      <w:r>
        <w:rPr>
          <w:rFonts w:hint="eastAsia"/>
        </w:rPr>
        <w:t>1998</w:t>
      </w:r>
      <w:r>
        <w:rPr>
          <w:rFonts w:hint="eastAsia"/>
        </w:rPr>
        <w:t>年的人口发展情况》，查尔斯大学自然科学系，布拉格，</w:t>
      </w:r>
      <w:r>
        <w:rPr>
          <w:rFonts w:hint="eastAsia"/>
        </w:rPr>
        <w:t>1999</w:t>
      </w:r>
      <w:r>
        <w:rPr>
          <w:rFonts w:hint="eastAsia"/>
        </w:rPr>
        <w:t>年。</w:t>
      </w:r>
    </w:p>
  </w:endnote>
  <w:endnote w:id="2">
    <w:p w:rsidR="00000000" w:rsidRDefault="00000000">
      <w:pPr>
        <w:pStyle w:val="EndnoteText"/>
        <w:rPr>
          <w:rFonts w:hint="eastAsia"/>
        </w:rPr>
      </w:pPr>
      <w:r>
        <w:rPr>
          <w:rStyle w:val="EndnoteReference"/>
        </w:rPr>
        <w:endnoteRef/>
      </w:r>
      <w:r>
        <w:rPr>
          <w:rFonts w:hint="eastAsia"/>
        </w:rPr>
        <w:tab/>
      </w:r>
      <w:r>
        <w:rPr>
          <w:rFonts w:hint="eastAsia"/>
        </w:rPr>
        <w:t>捷克共和国政府和欧洲委员会就捷克共和国的经济政策的优先次序所作的联合评价，由捷克共和国政府</w:t>
      </w:r>
      <w:r>
        <w:rPr>
          <w:rFonts w:hint="eastAsia"/>
        </w:rPr>
        <w:t>1999</w:t>
      </w:r>
      <w:r>
        <w:rPr>
          <w:rFonts w:hint="eastAsia"/>
        </w:rPr>
        <w:t>年</w:t>
      </w:r>
      <w:r>
        <w:rPr>
          <w:rFonts w:hint="eastAsia"/>
        </w:rPr>
        <w:t>9</w:t>
      </w:r>
      <w:r>
        <w:rPr>
          <w:rFonts w:hint="eastAsia"/>
        </w:rPr>
        <w:t>月</w:t>
      </w:r>
      <w:r>
        <w:rPr>
          <w:rFonts w:hint="eastAsia"/>
        </w:rPr>
        <w:t>8</w:t>
      </w:r>
      <w:r>
        <w:rPr>
          <w:rFonts w:hint="eastAsia"/>
        </w:rPr>
        <w:t>日第</w:t>
      </w:r>
      <w:r>
        <w:rPr>
          <w:rFonts w:hint="eastAsia"/>
        </w:rPr>
        <w:t>910</w:t>
      </w:r>
      <w:r>
        <w:rPr>
          <w:rFonts w:hint="eastAsia"/>
        </w:rPr>
        <w:t>号决议批准。</w:t>
      </w:r>
    </w:p>
  </w:endnote>
  <w:endnote w:id="3">
    <w:p w:rsidR="00000000" w:rsidRDefault="00000000">
      <w:pPr>
        <w:pStyle w:val="EndnoteText"/>
      </w:pPr>
      <w:r>
        <w:rPr>
          <w:rStyle w:val="EndnoteReference"/>
        </w:rPr>
        <w:endnoteRef/>
      </w:r>
      <w:r>
        <w:rPr>
          <w:rFonts w:hint="eastAsia"/>
        </w:rPr>
        <w:t xml:space="preserve"> </w:t>
      </w:r>
      <w:r>
        <w:tab/>
      </w:r>
      <w:r>
        <w:rPr>
          <w:rFonts w:hint="eastAsia"/>
        </w:rPr>
        <w:t>开放度被表示为进出口商品和服务之和占国内生产总值的比例。</w:t>
      </w:r>
    </w:p>
  </w:endnote>
  <w:endnote w:id="4">
    <w:p w:rsidR="00000000" w:rsidRDefault="00000000">
      <w:pPr>
        <w:pStyle w:val="EndnoteText"/>
        <w:rPr>
          <w:rFonts w:hint="eastAsia"/>
        </w:rPr>
      </w:pPr>
      <w:r>
        <w:rPr>
          <w:rStyle w:val="EndnoteReference"/>
        </w:rPr>
        <w:endnoteRef/>
      </w:r>
      <w:r>
        <w:t xml:space="preserve"> </w:t>
      </w:r>
      <w:r>
        <w:tab/>
      </w:r>
      <w:r>
        <w:rPr>
          <w:rFonts w:hint="eastAsia"/>
        </w:rPr>
        <w:t>“关于设立高级领土自治单位和修改捷克共和国宪法第</w:t>
      </w:r>
      <w:r>
        <w:rPr>
          <w:rFonts w:hint="eastAsia"/>
        </w:rPr>
        <w:t xml:space="preserve">1/1993 </w:t>
      </w:r>
      <w:r>
        <w:t>Coll</w:t>
      </w:r>
      <w:r>
        <w:rPr>
          <w:rFonts w:hint="eastAsia"/>
        </w:rPr>
        <w:t>.</w:t>
      </w:r>
      <w:r>
        <w:rPr>
          <w:rFonts w:hint="eastAsia"/>
        </w:rPr>
        <w:t>号宪法法令的第</w:t>
      </w:r>
      <w:r>
        <w:rPr>
          <w:rFonts w:hint="eastAsia"/>
        </w:rPr>
        <w:t xml:space="preserve">347/1997 </w:t>
      </w:r>
      <w:r>
        <w:t>Coll</w:t>
      </w:r>
      <w:r>
        <w:rPr>
          <w:rFonts w:hint="eastAsia"/>
        </w:rPr>
        <w:t>.</w:t>
      </w:r>
      <w:r>
        <w:rPr>
          <w:rFonts w:hint="eastAsia"/>
        </w:rPr>
        <w:t>号宪法法令”。</w:t>
      </w:r>
    </w:p>
  </w:endnote>
  <w:endnote w:id="5">
    <w:p w:rsidR="00000000" w:rsidRDefault="00000000">
      <w:pPr>
        <w:pStyle w:val="EndnoteText"/>
        <w:rPr>
          <w:rFonts w:hint="eastAsia"/>
        </w:rPr>
      </w:pPr>
      <w:r>
        <w:rPr>
          <w:rStyle w:val="EndnoteReference"/>
        </w:rPr>
        <w:endnoteRef/>
      </w:r>
      <w:r>
        <w:t xml:space="preserve"> </w:t>
      </w:r>
      <w:r>
        <w:tab/>
      </w:r>
      <w:r>
        <w:rPr>
          <w:rFonts w:hint="eastAsia"/>
        </w:rPr>
        <w:t>后来经过修订的“关于行政区办事处、调整其管辖范围和有关某些其他相关措施的第</w:t>
      </w:r>
      <w:r>
        <w:rPr>
          <w:rFonts w:hint="eastAsia"/>
        </w:rPr>
        <w:t xml:space="preserve">425/1990 </w:t>
      </w:r>
      <w:r>
        <w:t>Coll</w:t>
      </w:r>
      <w:r>
        <w:rPr>
          <w:rFonts w:hint="eastAsia"/>
        </w:rPr>
        <w:t>.</w:t>
      </w:r>
      <w:r>
        <w:rPr>
          <w:rFonts w:hint="eastAsia"/>
        </w:rPr>
        <w:t>号法令”。</w:t>
      </w:r>
    </w:p>
  </w:endnote>
  <w:endnote w:id="6">
    <w:p w:rsidR="00000000" w:rsidRDefault="00000000">
      <w:pPr>
        <w:pStyle w:val="EndnoteText"/>
        <w:rPr>
          <w:rFonts w:hint="eastAsia"/>
        </w:rPr>
      </w:pPr>
      <w:r>
        <w:rPr>
          <w:rStyle w:val="EndnoteReference"/>
        </w:rPr>
        <w:endnoteRef/>
      </w:r>
      <w:r>
        <w:t xml:space="preserve"> </w:t>
      </w:r>
      <w:r>
        <w:tab/>
      </w:r>
      <w:r>
        <w:rPr>
          <w:rFonts w:hint="eastAsia"/>
        </w:rPr>
        <w:t>根据随后经过修订的“关于选举自治市代表机构和修订并补充某些其他法令的第</w:t>
      </w:r>
      <w:r>
        <w:rPr>
          <w:rFonts w:hint="eastAsia"/>
        </w:rPr>
        <w:t xml:space="preserve">152/1994 </w:t>
      </w:r>
      <w:r>
        <w:t>Coll</w:t>
      </w:r>
      <w:r>
        <w:rPr>
          <w:rFonts w:hint="eastAsia"/>
        </w:rPr>
        <w:t>.</w:t>
      </w:r>
      <w:r>
        <w:rPr>
          <w:rFonts w:hint="eastAsia"/>
        </w:rPr>
        <w:t>号法令”。</w:t>
      </w:r>
    </w:p>
  </w:endnote>
  <w:endnote w:id="7">
    <w:p w:rsidR="00000000" w:rsidRDefault="00000000">
      <w:pPr>
        <w:pStyle w:val="EndnoteText"/>
        <w:rPr>
          <w:rFonts w:hint="eastAsia"/>
        </w:rPr>
      </w:pPr>
      <w:r>
        <w:rPr>
          <w:rStyle w:val="EndnoteReference"/>
        </w:rPr>
        <w:endnoteRef/>
      </w:r>
      <w:r>
        <w:t xml:space="preserve"> </w:t>
      </w:r>
      <w:r>
        <w:tab/>
      </w:r>
      <w:r>
        <w:rPr>
          <w:rFonts w:hint="eastAsia"/>
        </w:rPr>
        <w:t>根据随后经过修订的“关于自治市</w:t>
      </w:r>
      <w:r>
        <w:rPr>
          <w:rFonts w:hint="eastAsia"/>
        </w:rPr>
        <w:t>(</w:t>
      </w:r>
      <w:r>
        <w:rPr>
          <w:rFonts w:hint="eastAsia"/>
        </w:rPr>
        <w:t>自治市编制</w:t>
      </w:r>
      <w:r>
        <w:rPr>
          <w:rFonts w:hint="eastAsia"/>
        </w:rPr>
        <w:t>)</w:t>
      </w:r>
      <w:r>
        <w:rPr>
          <w:rFonts w:hint="eastAsia"/>
        </w:rPr>
        <w:t>的第</w:t>
      </w:r>
      <w:r>
        <w:rPr>
          <w:rFonts w:hint="eastAsia"/>
        </w:rPr>
        <w:t xml:space="preserve">367/1990 </w:t>
      </w:r>
      <w:r>
        <w:t>Coll</w:t>
      </w:r>
      <w:r>
        <w:rPr>
          <w:rFonts w:hint="eastAsia"/>
        </w:rPr>
        <w:t>.</w:t>
      </w:r>
      <w:r>
        <w:rPr>
          <w:rFonts w:hint="eastAsia"/>
        </w:rPr>
        <w:t>号法令”。</w:t>
      </w:r>
    </w:p>
  </w:endnote>
  <w:endnote w:id="8">
    <w:p w:rsidR="00000000" w:rsidRDefault="00000000">
      <w:pPr>
        <w:pStyle w:val="EndnoteText"/>
        <w:rPr>
          <w:rFonts w:hint="eastAsia"/>
        </w:rPr>
      </w:pPr>
      <w:r>
        <w:rPr>
          <w:rStyle w:val="EndnoteReference"/>
        </w:rPr>
        <w:endnoteRef/>
      </w:r>
      <w:r>
        <w:t xml:space="preserve"> </w:t>
      </w:r>
      <w:r>
        <w:tab/>
      </w:r>
      <w:r>
        <w:rPr>
          <w:rFonts w:hint="eastAsia"/>
        </w:rPr>
        <w:t>根据经第</w:t>
      </w:r>
      <w:r>
        <w:rPr>
          <w:rFonts w:hint="eastAsia"/>
        </w:rPr>
        <w:t xml:space="preserve">212/1996 </w:t>
      </w:r>
      <w:r>
        <w:t>Coll</w:t>
      </w:r>
      <w:r>
        <w:rPr>
          <w:rFonts w:hint="eastAsia"/>
        </w:rPr>
        <w:t>.</w:t>
      </w:r>
      <w:r>
        <w:rPr>
          <w:rFonts w:hint="eastAsia"/>
        </w:rPr>
        <w:t>号法令</w:t>
      </w:r>
      <w:r>
        <w:rPr>
          <w:rFonts w:hint="eastAsia"/>
        </w:rPr>
        <w:t>(</w:t>
      </w:r>
      <w:r>
        <w:rPr>
          <w:rFonts w:hint="eastAsia"/>
        </w:rPr>
        <w:t>第</w:t>
      </w:r>
      <w:r>
        <w:rPr>
          <w:rFonts w:hint="eastAsia"/>
        </w:rPr>
        <w:t>2</w:t>
      </w:r>
      <w:r>
        <w:rPr>
          <w:rFonts w:hint="eastAsia"/>
        </w:rPr>
        <w:t>和第</w:t>
      </w:r>
      <w:r>
        <w:rPr>
          <w:rFonts w:hint="eastAsia"/>
        </w:rPr>
        <w:t>25</w:t>
      </w:r>
      <w:r>
        <w:rPr>
          <w:rFonts w:hint="eastAsia"/>
        </w:rPr>
        <w:t>条</w:t>
      </w:r>
      <w:r>
        <w:rPr>
          <w:rFonts w:hint="eastAsia"/>
        </w:rPr>
        <w:t>)</w:t>
      </w:r>
      <w:r>
        <w:rPr>
          <w:rFonts w:hint="eastAsia"/>
        </w:rPr>
        <w:t>修订的“关于捷克共和国议会选举和修订并补充某些其他法令的第</w:t>
      </w:r>
      <w:r>
        <w:rPr>
          <w:rFonts w:hint="eastAsia"/>
        </w:rPr>
        <w:t xml:space="preserve">247/1995 </w:t>
      </w:r>
      <w:r>
        <w:t>Coll</w:t>
      </w:r>
      <w:r>
        <w:rPr>
          <w:rFonts w:hint="eastAsia"/>
        </w:rPr>
        <w:t>.</w:t>
      </w:r>
      <w:r>
        <w:rPr>
          <w:rFonts w:hint="eastAsia"/>
        </w:rPr>
        <w:t>号法令”。</w:t>
      </w:r>
    </w:p>
  </w:endnote>
  <w:endnote w:id="9">
    <w:p w:rsidR="00000000" w:rsidRDefault="00000000">
      <w:pPr>
        <w:pStyle w:val="EndnoteText"/>
        <w:rPr>
          <w:rFonts w:hint="eastAsia"/>
        </w:rPr>
      </w:pPr>
      <w:r>
        <w:rPr>
          <w:rStyle w:val="EndnoteReference"/>
        </w:rPr>
        <w:endnoteRef/>
      </w:r>
      <w:r>
        <w:t xml:space="preserve"> </w:t>
      </w:r>
      <w:r>
        <w:tab/>
      </w:r>
      <w:r>
        <w:rPr>
          <w:rFonts w:hint="eastAsia"/>
        </w:rPr>
        <w:t>第</w:t>
      </w:r>
      <w:r>
        <w:rPr>
          <w:rFonts w:hint="eastAsia"/>
        </w:rPr>
        <w:t xml:space="preserve">247/1995 </w:t>
      </w:r>
      <w:r>
        <w:t>Coll</w:t>
      </w:r>
      <w:r>
        <w:rPr>
          <w:rFonts w:hint="eastAsia"/>
        </w:rPr>
        <w:t>.</w:t>
      </w:r>
      <w:r>
        <w:rPr>
          <w:rFonts w:hint="eastAsia"/>
        </w:rPr>
        <w:t>号法令第</w:t>
      </w:r>
      <w:r>
        <w:rPr>
          <w:rFonts w:hint="eastAsia"/>
        </w:rPr>
        <w:t>2</w:t>
      </w:r>
      <w:r>
        <w:rPr>
          <w:rFonts w:hint="eastAsia"/>
        </w:rPr>
        <w:t>条：对行使投票权的限制有：</w:t>
      </w:r>
      <w:r>
        <w:t>(a)</w:t>
      </w:r>
      <w:r>
        <w:rPr>
          <w:rFonts w:hint="eastAsia"/>
        </w:rPr>
        <w:t xml:space="preserve"> </w:t>
      </w:r>
      <w:r>
        <w:rPr>
          <w:rFonts w:hint="eastAsia"/>
        </w:rPr>
        <w:t>出于保护公共卫生的理由依法限制人身自由</w:t>
      </w:r>
      <w:r>
        <w:rPr>
          <w:rFonts w:hint="eastAsia"/>
        </w:rPr>
        <w:t>(</w:t>
      </w:r>
      <w:r>
        <w:rPr>
          <w:rFonts w:hint="eastAsia"/>
        </w:rPr>
        <w:t>经</w:t>
      </w:r>
      <w:r>
        <w:rPr>
          <w:rFonts w:hint="eastAsia"/>
        </w:rPr>
        <w:t>CNC</w:t>
      </w:r>
      <w:r>
        <w:rPr>
          <w:rFonts w:hint="eastAsia"/>
        </w:rPr>
        <w:t>第</w:t>
      </w:r>
      <w:r>
        <w:rPr>
          <w:rFonts w:hint="eastAsia"/>
        </w:rPr>
        <w:t xml:space="preserve">548/1991 </w:t>
      </w:r>
      <w:r>
        <w:t>Coll</w:t>
      </w:r>
      <w:r>
        <w:rPr>
          <w:rFonts w:hint="eastAsia"/>
        </w:rPr>
        <w:t>.</w:t>
      </w:r>
      <w:r>
        <w:rPr>
          <w:rFonts w:hint="eastAsia"/>
        </w:rPr>
        <w:t>号法令修订的关于公共健康的第</w:t>
      </w:r>
      <w:r>
        <w:rPr>
          <w:rFonts w:hint="eastAsia"/>
        </w:rPr>
        <w:t xml:space="preserve">20/1966 </w:t>
      </w:r>
      <w:r>
        <w:t>Coll</w:t>
      </w:r>
      <w:r>
        <w:rPr>
          <w:rFonts w:hint="eastAsia"/>
        </w:rPr>
        <w:t>.</w:t>
      </w:r>
      <w:r>
        <w:rPr>
          <w:rFonts w:hint="eastAsia"/>
        </w:rPr>
        <w:t>号法令第</w:t>
      </w:r>
      <w:r>
        <w:rPr>
          <w:rFonts w:hint="eastAsia"/>
        </w:rPr>
        <w:t>5</w:t>
      </w:r>
      <w:r>
        <w:rPr>
          <w:rFonts w:hint="eastAsia"/>
        </w:rPr>
        <w:t>条第</w:t>
      </w:r>
      <w:r>
        <w:rPr>
          <w:rFonts w:hint="eastAsia"/>
        </w:rPr>
        <w:t xml:space="preserve">2 </w:t>
      </w:r>
      <w:r>
        <w:t>(b)</w:t>
      </w:r>
      <w:r>
        <w:rPr>
          <w:rFonts w:hint="eastAsia"/>
        </w:rPr>
        <w:t>款和第</w:t>
      </w:r>
      <w:r>
        <w:rPr>
          <w:rFonts w:hint="eastAsia"/>
        </w:rPr>
        <w:t>9</w:t>
      </w:r>
      <w:r>
        <w:rPr>
          <w:rFonts w:hint="eastAsia"/>
        </w:rPr>
        <w:t>条第</w:t>
      </w:r>
      <w:r>
        <w:rPr>
          <w:rFonts w:hint="eastAsia"/>
        </w:rPr>
        <w:t xml:space="preserve">4 </w:t>
      </w:r>
      <w:r>
        <w:t>(a)</w:t>
      </w:r>
      <w:r>
        <w:rPr>
          <w:rFonts w:hint="eastAsia"/>
        </w:rPr>
        <w:t>款</w:t>
      </w:r>
      <w:r>
        <w:rPr>
          <w:rFonts w:hint="eastAsia"/>
        </w:rPr>
        <w:t>)</w:t>
      </w:r>
      <w:r>
        <w:rPr>
          <w:rFonts w:hint="eastAsia"/>
        </w:rPr>
        <w:t>，</w:t>
      </w:r>
      <w:r>
        <w:t>(b)</w:t>
      </w:r>
      <w:r>
        <w:rPr>
          <w:rFonts w:hint="eastAsia"/>
        </w:rPr>
        <w:t xml:space="preserve"> </w:t>
      </w:r>
      <w:r>
        <w:rPr>
          <w:rFonts w:hint="eastAsia"/>
        </w:rPr>
        <w:t>取消法定资格</w:t>
      </w:r>
      <w:r>
        <w:rPr>
          <w:rFonts w:hint="eastAsia"/>
        </w:rPr>
        <w:t>(</w:t>
      </w:r>
      <w:r>
        <w:rPr>
          <w:rFonts w:hint="eastAsia"/>
        </w:rPr>
        <w:t>《民法典》第</w:t>
      </w:r>
      <w:r>
        <w:rPr>
          <w:rFonts w:hint="eastAsia"/>
        </w:rPr>
        <w:t>10</w:t>
      </w:r>
      <w:r>
        <w:rPr>
          <w:rFonts w:hint="eastAsia"/>
        </w:rPr>
        <w:t>和第</w:t>
      </w:r>
      <w:r>
        <w:rPr>
          <w:rFonts w:hint="eastAsia"/>
        </w:rPr>
        <w:t>855</w:t>
      </w:r>
      <w:r>
        <w:rPr>
          <w:rFonts w:hint="eastAsia"/>
        </w:rPr>
        <w:t>条</w:t>
      </w:r>
      <w:r>
        <w:rPr>
          <w:rFonts w:hint="eastAsia"/>
        </w:rPr>
        <w:t>)</w:t>
      </w:r>
      <w:r>
        <w:rPr>
          <w:rFonts w:hint="eastAsia"/>
        </w:rPr>
        <w:t>。</w:t>
      </w:r>
    </w:p>
  </w:endnote>
  <w:endnote w:id="10">
    <w:p w:rsidR="00000000" w:rsidRDefault="00000000">
      <w:pPr>
        <w:pStyle w:val="EndnoteText"/>
        <w:rPr>
          <w:rFonts w:hint="eastAsia"/>
        </w:rPr>
      </w:pPr>
      <w:r>
        <w:rPr>
          <w:rStyle w:val="EndnoteReference"/>
        </w:rPr>
        <w:endnoteRef/>
      </w:r>
      <w:r>
        <w:t xml:space="preserve"> </w:t>
      </w:r>
      <w:r>
        <w:tab/>
      </w:r>
      <w:r>
        <w:rPr>
          <w:rFonts w:hint="eastAsia"/>
        </w:rPr>
        <w:t>根据第</w:t>
      </w:r>
      <w:r>
        <w:rPr>
          <w:rFonts w:hint="eastAsia"/>
        </w:rPr>
        <w:t xml:space="preserve">1/1993 </w:t>
      </w:r>
      <w:r>
        <w:t>Coll</w:t>
      </w:r>
      <w:r>
        <w:rPr>
          <w:rFonts w:hint="eastAsia"/>
        </w:rPr>
        <w:t>.</w:t>
      </w:r>
      <w:r>
        <w:rPr>
          <w:rFonts w:hint="eastAsia"/>
        </w:rPr>
        <w:t>号宪法法令、《捷克共和国宪法》和随后经过修订的、“关于捷克共和国议会选举以及修订和补充某些其他法令的第</w:t>
      </w:r>
      <w:r>
        <w:rPr>
          <w:rFonts w:hint="eastAsia"/>
        </w:rPr>
        <w:t xml:space="preserve">247/1995 </w:t>
      </w:r>
      <w:r>
        <w:t>Coll</w:t>
      </w:r>
      <w:r>
        <w:rPr>
          <w:rFonts w:hint="eastAsia"/>
        </w:rPr>
        <w:t>.</w:t>
      </w:r>
      <w:r>
        <w:rPr>
          <w:rFonts w:hint="eastAsia"/>
        </w:rPr>
        <w:t>号法令”</w:t>
      </w:r>
      <w:r>
        <w:rPr>
          <w:rFonts w:hint="eastAsia"/>
        </w:rPr>
        <w:t>(</w:t>
      </w:r>
      <w:r>
        <w:rPr>
          <w:rFonts w:hint="eastAsia"/>
        </w:rPr>
        <w:t>第</w:t>
      </w:r>
      <w:r>
        <w:rPr>
          <w:rFonts w:hint="eastAsia"/>
        </w:rPr>
        <w:t>2</w:t>
      </w:r>
      <w:r>
        <w:rPr>
          <w:rFonts w:hint="eastAsia"/>
        </w:rPr>
        <w:t>和第</w:t>
      </w:r>
      <w:r>
        <w:rPr>
          <w:rFonts w:hint="eastAsia"/>
        </w:rPr>
        <w:t>57</w:t>
      </w:r>
      <w:r>
        <w:rPr>
          <w:rFonts w:hint="eastAsia"/>
        </w:rPr>
        <w:t>条</w:t>
      </w:r>
      <w:r>
        <w:rPr>
          <w:rFonts w:hint="eastAsia"/>
        </w:rPr>
        <w:t>)</w:t>
      </w:r>
      <w:r>
        <w:rPr>
          <w:rFonts w:hint="eastAsia"/>
        </w:rPr>
        <w:t>。</w:t>
      </w:r>
    </w:p>
  </w:endnote>
  <w:endnote w:id="11">
    <w:p w:rsidR="00000000" w:rsidRDefault="00000000">
      <w:pPr>
        <w:pStyle w:val="EndnoteText"/>
        <w:rPr>
          <w:rFonts w:hint="eastAsia"/>
        </w:rPr>
      </w:pPr>
      <w:r>
        <w:rPr>
          <w:rStyle w:val="EndnoteReference"/>
        </w:rPr>
        <w:endnoteRef/>
      </w:r>
      <w:r>
        <w:t xml:space="preserve"> </w:t>
      </w:r>
      <w:r>
        <w:tab/>
      </w:r>
      <w:r>
        <w:rPr>
          <w:rFonts w:hint="eastAsia"/>
        </w:rPr>
        <w:t>根据“捷克共和国宪法第</w:t>
      </w:r>
      <w:r>
        <w:rPr>
          <w:rFonts w:hint="eastAsia"/>
        </w:rPr>
        <w:t xml:space="preserve">1/1993 </w:t>
      </w:r>
      <w:r>
        <w:t>Coll</w:t>
      </w:r>
      <w:r>
        <w:rPr>
          <w:rFonts w:hint="eastAsia"/>
        </w:rPr>
        <w:t>.</w:t>
      </w:r>
      <w:r>
        <w:rPr>
          <w:rFonts w:hint="eastAsia"/>
        </w:rPr>
        <w:t>号宪法法令”和“关于众议院议事规则的第</w:t>
      </w:r>
      <w:r>
        <w:rPr>
          <w:rFonts w:hint="eastAsia"/>
        </w:rPr>
        <w:t xml:space="preserve">90/1995 </w:t>
      </w:r>
      <w:r>
        <w:t>Coll</w:t>
      </w:r>
      <w:r>
        <w:rPr>
          <w:rFonts w:hint="eastAsia"/>
        </w:rPr>
        <w:t>.</w:t>
      </w:r>
      <w:r>
        <w:rPr>
          <w:rFonts w:hint="eastAsia"/>
        </w:rPr>
        <w:t>号法令”。</w:t>
      </w:r>
    </w:p>
  </w:endnote>
  <w:endnote w:id="12">
    <w:p w:rsidR="00000000" w:rsidRDefault="00000000">
      <w:pPr>
        <w:pStyle w:val="EndnoteText"/>
        <w:rPr>
          <w:rFonts w:hint="eastAsia"/>
        </w:rPr>
      </w:pPr>
      <w:r>
        <w:rPr>
          <w:rStyle w:val="EndnoteReference"/>
        </w:rPr>
        <w:endnoteRef/>
      </w:r>
      <w:r>
        <w:t xml:space="preserve"> </w:t>
      </w:r>
      <w:r>
        <w:tab/>
      </w:r>
      <w:r>
        <w:rPr>
          <w:rFonts w:hint="eastAsia"/>
        </w:rPr>
        <w:t>最高政府机关的活动和管辖权受随后加以修订的、“关于成立捷克共和国各部和其他中央国家行政管理机关的第</w:t>
      </w:r>
      <w:r>
        <w:rPr>
          <w:rFonts w:hint="eastAsia"/>
        </w:rPr>
        <w:t xml:space="preserve">2/1969 </w:t>
      </w:r>
      <w:r>
        <w:t>Coll</w:t>
      </w:r>
      <w:r>
        <w:rPr>
          <w:rFonts w:hint="eastAsia"/>
        </w:rPr>
        <w:t>.</w:t>
      </w:r>
      <w:r>
        <w:rPr>
          <w:rFonts w:hint="eastAsia"/>
        </w:rPr>
        <w:t>号捷克国民议会法令”和与该法令有关的规定管辖。</w:t>
      </w:r>
    </w:p>
  </w:endnote>
  <w:endnote w:id="13">
    <w:p w:rsidR="00000000" w:rsidRDefault="00000000">
      <w:pPr>
        <w:pStyle w:val="EndnoteText"/>
        <w:rPr>
          <w:rFonts w:hint="eastAsia"/>
        </w:rPr>
      </w:pPr>
      <w:r>
        <w:rPr>
          <w:rStyle w:val="EndnoteReference"/>
        </w:rPr>
        <w:endnoteRef/>
      </w:r>
      <w:r>
        <w:t xml:space="preserve"> </w:t>
      </w:r>
      <w:r>
        <w:tab/>
      </w:r>
      <w:r>
        <w:rPr>
          <w:rFonts w:hint="eastAsia"/>
        </w:rPr>
        <w:t>随后加以修订的“关于最高审计署的第</w:t>
      </w:r>
      <w:r>
        <w:rPr>
          <w:rFonts w:hint="eastAsia"/>
        </w:rPr>
        <w:t xml:space="preserve">166/1993 </w:t>
      </w:r>
      <w:r>
        <w:t>Coll</w:t>
      </w:r>
      <w:r>
        <w:rPr>
          <w:rFonts w:hint="eastAsia"/>
        </w:rPr>
        <w:t>.</w:t>
      </w:r>
      <w:r>
        <w:rPr>
          <w:rFonts w:hint="eastAsia"/>
        </w:rPr>
        <w:t>号法令”。</w:t>
      </w:r>
    </w:p>
  </w:endnote>
  <w:endnote w:id="14">
    <w:p w:rsidR="00000000" w:rsidRDefault="00000000">
      <w:pPr>
        <w:pStyle w:val="EndnoteText"/>
        <w:rPr>
          <w:rFonts w:hint="eastAsia"/>
        </w:rPr>
      </w:pPr>
      <w:r>
        <w:rPr>
          <w:rStyle w:val="EndnoteReference"/>
        </w:rPr>
        <w:endnoteRef/>
      </w:r>
      <w:r>
        <w:t xml:space="preserve"> </w:t>
      </w:r>
      <w:r>
        <w:tab/>
      </w:r>
      <w:r>
        <w:rPr>
          <w:rFonts w:hint="eastAsia"/>
        </w:rPr>
        <w:t>随后加以修订的“关于捷克国民银行的第</w:t>
      </w:r>
      <w:r>
        <w:rPr>
          <w:rFonts w:hint="eastAsia"/>
        </w:rPr>
        <w:t xml:space="preserve">6/1993 </w:t>
      </w:r>
      <w:r>
        <w:t>Coll</w:t>
      </w:r>
      <w:r>
        <w:rPr>
          <w:rFonts w:hint="eastAsia"/>
        </w:rPr>
        <w:t>.</w:t>
      </w:r>
      <w:r>
        <w:rPr>
          <w:rFonts w:hint="eastAsia"/>
        </w:rPr>
        <w:t>号法令”。</w:t>
      </w:r>
    </w:p>
  </w:endnote>
  <w:endnote w:id="15">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随后经过修订的“关于法院和法官的第</w:t>
      </w:r>
      <w:r>
        <w:rPr>
          <w:rFonts w:hint="eastAsia"/>
        </w:rPr>
        <w:t xml:space="preserve">335/1991 </w:t>
      </w:r>
      <w:r>
        <w:t>Coll</w:t>
      </w:r>
      <w:r>
        <w:rPr>
          <w:rFonts w:hint="eastAsia"/>
        </w:rPr>
        <w:t>.</w:t>
      </w:r>
      <w:r>
        <w:rPr>
          <w:rFonts w:hint="eastAsia"/>
        </w:rPr>
        <w:t>号法令”。</w:t>
      </w:r>
    </w:p>
  </w:endnote>
  <w:endnote w:id="16">
    <w:p w:rsidR="00000000" w:rsidRDefault="00000000">
      <w:pPr>
        <w:pStyle w:val="EndnoteText"/>
        <w:rPr>
          <w:rFonts w:hint="eastAsia"/>
        </w:rPr>
      </w:pPr>
      <w:r>
        <w:rPr>
          <w:rStyle w:val="EndnoteReference"/>
        </w:rPr>
        <w:endnoteRef/>
      </w:r>
      <w:r>
        <w:t xml:space="preserve"> </w:t>
      </w:r>
      <w:r>
        <w:tab/>
      </w:r>
      <w:r>
        <w:rPr>
          <w:rFonts w:hint="eastAsia"/>
        </w:rPr>
        <w:t>随后经过修订的“关于宪法法院的第</w:t>
      </w:r>
      <w:r>
        <w:rPr>
          <w:rFonts w:hint="eastAsia"/>
        </w:rPr>
        <w:t xml:space="preserve">182/1993 </w:t>
      </w:r>
      <w:r>
        <w:t>Coll</w:t>
      </w:r>
      <w:r>
        <w:rPr>
          <w:rFonts w:hint="eastAsia"/>
        </w:rPr>
        <w:t>.</w:t>
      </w:r>
      <w:r>
        <w:rPr>
          <w:rFonts w:hint="eastAsia"/>
        </w:rPr>
        <w:t>号法令”。</w:t>
      </w:r>
    </w:p>
  </w:endnote>
  <w:endnote w:id="17">
    <w:p w:rsidR="00000000" w:rsidRDefault="00000000">
      <w:pPr>
        <w:pStyle w:val="EndnoteText"/>
        <w:rPr>
          <w:rFonts w:hint="eastAsia"/>
        </w:rPr>
      </w:pPr>
      <w:r>
        <w:rPr>
          <w:rStyle w:val="EndnoteReference"/>
        </w:rPr>
        <w:endnoteRef/>
      </w:r>
      <w:r>
        <w:t xml:space="preserve"> </w:t>
      </w:r>
      <w:r>
        <w:tab/>
      </w:r>
      <w:r>
        <w:rPr>
          <w:rFonts w:hint="eastAsia"/>
        </w:rPr>
        <w:t>随后经过修订的“关于刑法的第</w:t>
      </w:r>
      <w:r>
        <w:rPr>
          <w:rFonts w:hint="eastAsia"/>
        </w:rPr>
        <w:t xml:space="preserve">140/1961 </w:t>
      </w:r>
      <w:r>
        <w:t>Coll</w:t>
      </w:r>
      <w:r>
        <w:rPr>
          <w:rFonts w:hint="eastAsia"/>
        </w:rPr>
        <w:t>.</w:t>
      </w:r>
      <w:r>
        <w:rPr>
          <w:rFonts w:hint="eastAsia"/>
        </w:rPr>
        <w:t>号法令”。</w:t>
      </w:r>
    </w:p>
  </w:endnote>
  <w:endnote w:id="18">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随后经过修订的“关于国家检察官办公室的第</w:t>
      </w:r>
      <w:r>
        <w:rPr>
          <w:rFonts w:hint="eastAsia"/>
        </w:rPr>
        <w:t xml:space="preserve">283/1993 </w:t>
      </w:r>
      <w:r>
        <w:t>Coll</w:t>
      </w:r>
      <w:r>
        <w:rPr>
          <w:rFonts w:hint="eastAsia"/>
        </w:rPr>
        <w:t>.</w:t>
      </w:r>
      <w:r>
        <w:rPr>
          <w:rFonts w:hint="eastAsia"/>
        </w:rPr>
        <w:t>号法令”。</w:t>
      </w:r>
    </w:p>
  </w:endnote>
  <w:endnote w:id="19">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随后经过修订的“关于审判程序</w:t>
      </w:r>
      <w:r>
        <w:rPr>
          <w:rFonts w:hint="eastAsia"/>
        </w:rPr>
        <w:t>(</w:t>
      </w:r>
      <w:r>
        <w:rPr>
          <w:rFonts w:hint="eastAsia"/>
        </w:rPr>
        <w:t>《刑事诉讼法》</w:t>
      </w:r>
      <w:r>
        <w:rPr>
          <w:rFonts w:hint="eastAsia"/>
        </w:rPr>
        <w:t>)</w:t>
      </w:r>
      <w:r>
        <w:rPr>
          <w:rFonts w:hint="eastAsia"/>
        </w:rPr>
        <w:t>的第</w:t>
      </w:r>
      <w:r>
        <w:rPr>
          <w:rFonts w:hint="eastAsia"/>
        </w:rPr>
        <w:t xml:space="preserve">141/1961 </w:t>
      </w:r>
      <w:r>
        <w:t>Coll</w:t>
      </w:r>
      <w:r>
        <w:rPr>
          <w:rFonts w:hint="eastAsia"/>
        </w:rPr>
        <w:t>.</w:t>
      </w:r>
      <w:r>
        <w:rPr>
          <w:rFonts w:hint="eastAsia"/>
        </w:rPr>
        <w:t>号法令”。</w:t>
      </w:r>
    </w:p>
  </w:endnote>
  <w:endnote w:id="20">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随后经过修订的“关于《民事诉讼法》的第</w:t>
      </w:r>
      <w:r>
        <w:rPr>
          <w:rFonts w:hint="eastAsia"/>
        </w:rPr>
        <w:t xml:space="preserve">99/1963 </w:t>
      </w:r>
      <w:r>
        <w:t>Coll</w:t>
      </w:r>
      <w:r>
        <w:rPr>
          <w:rFonts w:hint="eastAsia"/>
        </w:rPr>
        <w:t>.</w:t>
      </w:r>
      <w:r>
        <w:rPr>
          <w:rFonts w:hint="eastAsia"/>
        </w:rPr>
        <w:t>号法令”。</w:t>
      </w:r>
    </w:p>
  </w:endnote>
  <w:endnote w:id="21">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随后经过修订的“关于作为捷克共和国制宪令的一部分颁布《基本权利和自由宪章》的第</w:t>
      </w:r>
      <w:r>
        <w:rPr>
          <w:rFonts w:hint="eastAsia"/>
        </w:rPr>
        <w:t xml:space="preserve">2/1993 </w:t>
      </w:r>
      <w:r>
        <w:t>Coll</w:t>
      </w:r>
      <w:r>
        <w:rPr>
          <w:rFonts w:hint="eastAsia"/>
        </w:rPr>
        <w:t>.</w:t>
      </w:r>
      <w:r>
        <w:rPr>
          <w:rFonts w:hint="eastAsia"/>
        </w:rPr>
        <w:t>号法令”。</w:t>
      </w:r>
    </w:p>
  </w:endnote>
  <w:endnote w:id="22">
    <w:p w:rsidR="00000000" w:rsidRDefault="00000000">
      <w:pPr>
        <w:pStyle w:val="EndnoteText"/>
        <w:rPr>
          <w:rFonts w:hint="eastAsia"/>
        </w:rPr>
      </w:pPr>
      <w:r>
        <w:rPr>
          <w:rStyle w:val="EndnoteReference"/>
        </w:rPr>
        <w:endnoteRef/>
      </w:r>
      <w:r>
        <w:t xml:space="preserve"> </w:t>
      </w:r>
      <w:r>
        <w:rPr>
          <w:rFonts w:hint="eastAsia"/>
        </w:rPr>
        <w:tab/>
      </w:r>
      <w:r>
        <w:rPr>
          <w:rFonts w:hint="eastAsia"/>
        </w:rPr>
        <w:t>“关于与捷克斯洛伐克联邦共和国解体有关的措施的第</w:t>
      </w:r>
      <w:r>
        <w:rPr>
          <w:rFonts w:hint="eastAsia"/>
        </w:rPr>
        <w:t xml:space="preserve">4/1993 </w:t>
      </w:r>
      <w:r>
        <w:t>Coll</w:t>
      </w:r>
      <w:r>
        <w:rPr>
          <w:rFonts w:hint="eastAsia"/>
        </w:rPr>
        <w:t>.</w:t>
      </w:r>
      <w:r>
        <w:rPr>
          <w:rFonts w:hint="eastAsia"/>
        </w:rPr>
        <w:t>号法令”。</w:t>
      </w:r>
    </w:p>
  </w:endnote>
  <w:endnote w:id="23">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随后经过修订的“《民法》第</w:t>
      </w:r>
      <w:r>
        <w:rPr>
          <w:rFonts w:hint="eastAsia"/>
        </w:rPr>
        <w:t xml:space="preserve">40/1964 </w:t>
      </w:r>
      <w:r>
        <w:t>Coll</w:t>
      </w:r>
      <w:r>
        <w:rPr>
          <w:rFonts w:hint="eastAsia"/>
        </w:rPr>
        <w:t>.</w:t>
      </w:r>
      <w:r>
        <w:rPr>
          <w:rFonts w:hint="eastAsia"/>
        </w:rPr>
        <w:t>号法令”；随后经过修订的“《民事诉讼法》第</w:t>
      </w:r>
      <w:r>
        <w:rPr>
          <w:rFonts w:hint="eastAsia"/>
        </w:rPr>
        <w:t xml:space="preserve">99/1963 </w:t>
      </w:r>
      <w:r>
        <w:t>Coll</w:t>
      </w:r>
      <w:r>
        <w:rPr>
          <w:rFonts w:hint="eastAsia"/>
        </w:rPr>
        <w:t>.</w:t>
      </w:r>
      <w:r>
        <w:rPr>
          <w:rFonts w:hint="eastAsia"/>
        </w:rPr>
        <w:t>号法令”；随后经过修订的“《刑法》第</w:t>
      </w:r>
      <w:r>
        <w:rPr>
          <w:rFonts w:hint="eastAsia"/>
        </w:rPr>
        <w:t xml:space="preserve">140/1961 </w:t>
      </w:r>
      <w:r>
        <w:t>Coll</w:t>
      </w:r>
      <w:r>
        <w:rPr>
          <w:rFonts w:hint="eastAsia"/>
        </w:rPr>
        <w:t>.</w:t>
      </w:r>
      <w:r>
        <w:rPr>
          <w:rFonts w:hint="eastAsia"/>
        </w:rPr>
        <w:t>号法令”；随后经过修订的“关于审判程序</w:t>
      </w:r>
      <w:r>
        <w:rPr>
          <w:rFonts w:hint="eastAsia"/>
        </w:rPr>
        <w:t>(</w:t>
      </w:r>
      <w:r>
        <w:rPr>
          <w:rFonts w:hint="eastAsia"/>
        </w:rPr>
        <w:t>《刑事诉讼法》</w:t>
      </w:r>
      <w:r>
        <w:rPr>
          <w:rFonts w:hint="eastAsia"/>
        </w:rPr>
        <w:t>)</w:t>
      </w:r>
      <w:r>
        <w:rPr>
          <w:rFonts w:hint="eastAsia"/>
        </w:rPr>
        <w:t>的第</w:t>
      </w:r>
      <w:r>
        <w:rPr>
          <w:rFonts w:hint="eastAsia"/>
        </w:rPr>
        <w:t>141/1961</w:t>
      </w:r>
      <w:r>
        <w:t xml:space="preserve"> Coll</w:t>
      </w:r>
      <w:r>
        <w:rPr>
          <w:rFonts w:hint="eastAsia"/>
        </w:rPr>
        <w:t>.</w:t>
      </w:r>
      <w:r>
        <w:rPr>
          <w:rFonts w:hint="eastAsia"/>
        </w:rPr>
        <w:t>号法令”；随后经过修订的“关于行政诉讼</w:t>
      </w:r>
      <w:r>
        <w:rPr>
          <w:rFonts w:hint="eastAsia"/>
        </w:rPr>
        <w:t>(</w:t>
      </w:r>
      <w:r>
        <w:rPr>
          <w:rFonts w:hint="eastAsia"/>
        </w:rPr>
        <w:t>《行政诉讼法》</w:t>
      </w:r>
      <w:r>
        <w:rPr>
          <w:rFonts w:hint="eastAsia"/>
        </w:rPr>
        <w:t>)</w:t>
      </w:r>
      <w:r>
        <w:rPr>
          <w:rFonts w:hint="eastAsia"/>
        </w:rPr>
        <w:t>的第</w:t>
      </w:r>
      <w:r>
        <w:rPr>
          <w:rFonts w:hint="eastAsia"/>
        </w:rPr>
        <w:t xml:space="preserve">71/1967 </w:t>
      </w:r>
      <w:r>
        <w:t>Coll</w:t>
      </w:r>
      <w:r>
        <w:rPr>
          <w:rFonts w:hint="eastAsia"/>
        </w:rPr>
        <w:t>.</w:t>
      </w:r>
      <w:r>
        <w:rPr>
          <w:rFonts w:hint="eastAsia"/>
        </w:rPr>
        <w:t>号法令”。</w:t>
      </w:r>
    </w:p>
  </w:endnote>
  <w:endnote w:id="24">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截止到</w:t>
      </w:r>
      <w:r>
        <w:rPr>
          <w:rFonts w:hint="eastAsia"/>
        </w:rPr>
        <w:t>2000</w:t>
      </w:r>
      <w:r>
        <w:rPr>
          <w:rFonts w:hint="eastAsia"/>
        </w:rPr>
        <w:t>年</w:t>
      </w:r>
      <w:r>
        <w:rPr>
          <w:rFonts w:hint="eastAsia"/>
        </w:rPr>
        <w:t>1</w:t>
      </w:r>
      <w:r>
        <w:rPr>
          <w:rFonts w:hint="eastAsia"/>
        </w:rPr>
        <w:t>月</w:t>
      </w:r>
      <w:r>
        <w:rPr>
          <w:rFonts w:hint="eastAsia"/>
        </w:rPr>
        <w:t>1</w:t>
      </w:r>
      <w:r>
        <w:rPr>
          <w:rFonts w:hint="eastAsia"/>
        </w:rPr>
        <w:t>日，公布法规重新由“关于《法律汇编》和《国际条约汇编》的第</w:t>
      </w:r>
      <w:r>
        <w:rPr>
          <w:rFonts w:hint="eastAsia"/>
        </w:rPr>
        <w:t xml:space="preserve">309/1999 </w:t>
      </w:r>
      <w:r>
        <w:t>Coll</w:t>
      </w:r>
      <w:r>
        <w:rPr>
          <w:rFonts w:hint="eastAsia"/>
        </w:rPr>
        <w:t>.</w:t>
      </w:r>
      <w:r>
        <w:rPr>
          <w:rFonts w:hint="eastAsia"/>
        </w:rPr>
        <w:t>号法令”加以规范。国际条约在《国际条约汇编》中以国际法规定作为作准解释的文字并同时以捷克译文出版。</w:t>
      </w:r>
    </w:p>
  </w:endnote>
  <w:endnote w:id="25">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“关于《捷克共和国法律汇编》的第</w:t>
      </w:r>
      <w:r>
        <w:rPr>
          <w:rFonts w:hint="eastAsia"/>
        </w:rPr>
        <w:t xml:space="preserve">545/1992 </w:t>
      </w:r>
      <w:r>
        <w:t>Coll</w:t>
      </w:r>
      <w:r>
        <w:rPr>
          <w:rFonts w:hint="eastAsia"/>
        </w:rPr>
        <w:t>.</w:t>
      </w:r>
      <w:r>
        <w:rPr>
          <w:rFonts w:hint="eastAsia"/>
        </w:rPr>
        <w:t>号法令”。</w:t>
      </w:r>
    </w:p>
  </w:endnote>
  <w:endnote w:id="26">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随后经过修订的“关于义务发行本和工作用书的教育和文化部第</w:t>
      </w:r>
      <w:r>
        <w:rPr>
          <w:rFonts w:hint="eastAsia"/>
        </w:rPr>
        <w:t xml:space="preserve">140/1964 </w:t>
      </w:r>
      <w:r>
        <w:t>Coll</w:t>
      </w:r>
      <w:r>
        <w:rPr>
          <w:rFonts w:hint="eastAsia"/>
        </w:rPr>
        <w:t>.</w:t>
      </w:r>
      <w:r>
        <w:rPr>
          <w:rFonts w:hint="eastAsia"/>
        </w:rPr>
        <w:t>号法令”。</w:t>
      </w:r>
    </w:p>
  </w:endnote>
  <w:endnote w:id="27">
    <w:p w:rsidR="00000000" w:rsidRDefault="00000000">
      <w:pPr>
        <w:pStyle w:val="EndnoteText"/>
        <w:spacing w:line="312" w:lineRule="auto"/>
        <w:rPr>
          <w:rFonts w:hint="eastAsia"/>
        </w:rPr>
      </w:pPr>
      <w:r>
        <w:rPr>
          <w:rStyle w:val="EndnoteReference"/>
        </w:rPr>
        <w:endnoteRef/>
      </w:r>
      <w:r>
        <w:t xml:space="preserve"> </w:t>
      </w:r>
      <w:r>
        <w:rPr>
          <w:rFonts w:hint="eastAsia"/>
        </w:rPr>
        <w:tab/>
        <w:t>2000</w:t>
      </w:r>
      <w:r>
        <w:rPr>
          <w:rFonts w:hint="eastAsia"/>
        </w:rPr>
        <w:t>年</w:t>
      </w:r>
      <w:r>
        <w:rPr>
          <w:rFonts w:hint="eastAsia"/>
        </w:rPr>
        <w:t>3</w:t>
      </w:r>
      <w:r>
        <w:rPr>
          <w:rFonts w:hint="eastAsia"/>
        </w:rPr>
        <w:t>月</w:t>
      </w:r>
      <w:r>
        <w:rPr>
          <w:rFonts w:hint="eastAsia"/>
        </w:rPr>
        <w:t>14</w:t>
      </w:r>
      <w:r>
        <w:rPr>
          <w:rFonts w:hint="eastAsia"/>
        </w:rPr>
        <w:t>日，关于强制发行期刊的新法令</w:t>
      </w:r>
      <w:r>
        <w:rPr>
          <w:rFonts w:hint="eastAsia"/>
          <w:spacing w:val="-40"/>
          <w:sz w:val="22"/>
        </w:rPr>
        <w:t>——</w:t>
      </w:r>
      <w:r>
        <w:rPr>
          <w:sz w:val="22"/>
        </w:rPr>
        <w:t xml:space="preserve"> </w:t>
      </w:r>
      <w:r>
        <w:rPr>
          <w:rFonts w:hint="eastAsia"/>
        </w:rPr>
        <w:t>文化部第</w:t>
      </w:r>
      <w:r>
        <w:rPr>
          <w:rFonts w:hint="eastAsia"/>
        </w:rPr>
        <w:t xml:space="preserve">52/2000 </w:t>
      </w:r>
      <w:r>
        <w:t>Coll</w:t>
      </w:r>
      <w:r>
        <w:rPr>
          <w:rFonts w:hint="eastAsia"/>
        </w:rPr>
        <w:t>.</w:t>
      </w:r>
      <w:r>
        <w:rPr>
          <w:rFonts w:hint="eastAsia"/>
        </w:rPr>
        <w:t>号令生效</w:t>
      </w:r>
      <w:r>
        <w:rPr>
          <w:rFonts w:hint="eastAsia"/>
        </w:rPr>
        <w:t>(</w:t>
      </w:r>
      <w:r>
        <w:rPr>
          <w:rFonts w:hint="eastAsia"/>
        </w:rPr>
        <w:t>根据《新闻法》第</w:t>
      </w:r>
      <w:r>
        <w:rPr>
          <w:rFonts w:hint="eastAsia"/>
        </w:rPr>
        <w:t xml:space="preserve">46/2000 </w:t>
      </w:r>
      <w:r>
        <w:t>Coll</w:t>
      </w:r>
      <w:r>
        <w:rPr>
          <w:rFonts w:hint="eastAsia"/>
        </w:rPr>
        <w:t>.</w:t>
      </w:r>
      <w:r>
        <w:rPr>
          <w:rFonts w:hint="eastAsia"/>
        </w:rPr>
        <w:t>号法令第</w:t>
      </w:r>
      <w:r>
        <w:rPr>
          <w:rFonts w:hint="eastAsia"/>
        </w:rPr>
        <w:t>9</w:t>
      </w:r>
      <w:r>
        <w:rPr>
          <w:rFonts w:hint="eastAsia"/>
        </w:rPr>
        <w:t>条第</w:t>
      </w:r>
      <w:r>
        <w:rPr>
          <w:rFonts w:hint="eastAsia"/>
        </w:rPr>
        <w:t>6</w:t>
      </w:r>
      <w:r>
        <w:rPr>
          <w:rFonts w:hint="eastAsia"/>
        </w:rPr>
        <w:t>款</w:t>
      </w:r>
      <w:r>
        <w:rPr>
          <w:rFonts w:hint="eastAsia"/>
        </w:rPr>
        <w:t>)</w:t>
      </w:r>
      <w:r>
        <w:rPr>
          <w:rFonts w:hint="eastAsia"/>
        </w:rPr>
        <w:t>。根据这一法令，有权接受期刊义务发行本的单位是全国性科学图书馆和布拉格市市立图书馆。</w:t>
      </w:r>
    </w:p>
  </w:endnote>
  <w:endnote w:id="28">
    <w:p w:rsidR="00000000" w:rsidRDefault="00000000">
      <w:pPr>
        <w:pStyle w:val="EndnoteText"/>
        <w:rPr>
          <w:rFonts w:hint="eastAsia"/>
        </w:rPr>
      </w:pPr>
      <w:r>
        <w:rPr>
          <w:rStyle w:val="EndnoteReference"/>
        </w:rPr>
        <w:endnoteRef/>
      </w:r>
      <w:r>
        <w:t xml:space="preserve"> </w:t>
      </w:r>
      <w:r>
        <w:rPr>
          <w:rFonts w:hint="eastAsia"/>
        </w:rPr>
        <w:tab/>
      </w:r>
      <w:r>
        <w:rPr>
          <w:rFonts w:hint="eastAsia"/>
          <w:u w:val="single"/>
        </w:rPr>
        <w:t>与捷克共和国在联合国中的会员资格有关的国际公约</w:t>
      </w:r>
      <w:r>
        <w:rPr>
          <w:rFonts w:hint="eastAsia"/>
        </w:rPr>
        <w:t>：</w:t>
      </w:r>
    </w:p>
    <w:p w:rsidR="00000000" w:rsidRDefault="00000000">
      <w:pPr>
        <w:pStyle w:val="EndnoteText"/>
        <w:spacing w:line="264" w:lineRule="auto"/>
        <w:rPr>
          <w:rFonts w:hint="eastAsia"/>
        </w:rPr>
      </w:pPr>
      <w:r>
        <w:rPr>
          <w:rFonts w:hint="eastAsia"/>
        </w:rPr>
        <w:t>《世界人权宣言》：大会</w:t>
      </w:r>
      <w:r>
        <w:rPr>
          <w:rFonts w:hint="eastAsia"/>
        </w:rPr>
        <w:t>1948</w:t>
      </w:r>
      <w:r>
        <w:rPr>
          <w:rFonts w:hint="eastAsia"/>
        </w:rPr>
        <w:t>年</w:t>
      </w:r>
      <w:r>
        <w:rPr>
          <w:rFonts w:hint="eastAsia"/>
        </w:rPr>
        <w:t>12</w:t>
      </w:r>
      <w:r>
        <w:rPr>
          <w:rFonts w:hint="eastAsia"/>
        </w:rPr>
        <w:t>月</w:t>
      </w:r>
      <w:r>
        <w:rPr>
          <w:rFonts w:hint="eastAsia"/>
        </w:rPr>
        <w:t>10</w:t>
      </w:r>
      <w:r>
        <w:rPr>
          <w:rFonts w:hint="eastAsia"/>
        </w:rPr>
        <w:t>日批准，捷克法规第</w:t>
      </w:r>
      <w:r>
        <w:rPr>
          <w:rFonts w:hint="eastAsia"/>
        </w:rPr>
        <w:t>DEO1/48</w:t>
      </w:r>
      <w:r>
        <w:rPr>
          <w:rFonts w:hint="eastAsia"/>
        </w:rPr>
        <w:t>号；《公民权利和政治权利国际公约》：《公约》文本以第</w:t>
      </w:r>
      <w:r>
        <w:rPr>
          <w:rFonts w:hint="eastAsia"/>
        </w:rPr>
        <w:t xml:space="preserve">120/1976 </w:t>
      </w:r>
      <w:r>
        <w:t>Coll</w:t>
      </w:r>
      <w:r>
        <w:rPr>
          <w:rFonts w:hint="eastAsia"/>
        </w:rPr>
        <w:t>.</w:t>
      </w:r>
      <w:r>
        <w:rPr>
          <w:rFonts w:hint="eastAsia"/>
        </w:rPr>
        <w:t>号公布；《经济、社会、文化权利国际公约》：《公约》文本以第</w:t>
      </w:r>
      <w:r>
        <w:rPr>
          <w:rFonts w:hint="eastAsia"/>
        </w:rPr>
        <w:t xml:space="preserve">120/1976 </w:t>
      </w:r>
      <w:r>
        <w:t>Coll</w:t>
      </w:r>
      <w:r>
        <w:rPr>
          <w:rFonts w:hint="eastAsia"/>
        </w:rPr>
        <w:t>.</w:t>
      </w:r>
      <w:r>
        <w:rPr>
          <w:rFonts w:hint="eastAsia"/>
        </w:rPr>
        <w:t>号公布；《消除一切形式种族歧视国际公约》：《公约》文本以第</w:t>
      </w:r>
      <w:r>
        <w:rPr>
          <w:rFonts w:hint="eastAsia"/>
        </w:rPr>
        <w:t xml:space="preserve">95/1974 </w:t>
      </w:r>
      <w:r>
        <w:t>Coll</w:t>
      </w:r>
      <w:r>
        <w:rPr>
          <w:rFonts w:hint="eastAsia"/>
        </w:rPr>
        <w:t>.</w:t>
      </w:r>
      <w:r>
        <w:rPr>
          <w:rFonts w:hint="eastAsia"/>
        </w:rPr>
        <w:t>号公布；《消除对妇女一切形式歧视公约》：《公约》文本以第</w:t>
      </w:r>
      <w:r>
        <w:rPr>
          <w:rFonts w:hint="eastAsia"/>
        </w:rPr>
        <w:t xml:space="preserve">62/1987 </w:t>
      </w:r>
      <w:r>
        <w:t>Coll</w:t>
      </w:r>
      <w:r>
        <w:rPr>
          <w:rFonts w:hint="eastAsia"/>
        </w:rPr>
        <w:t>.</w:t>
      </w:r>
      <w:r>
        <w:rPr>
          <w:rFonts w:hint="eastAsia"/>
        </w:rPr>
        <w:t>号在《法律汇编》中公布；《禁止酷刑和其他残忍、不人道或有辱人格的待遇或处罚公约》：《公约》文本以第</w:t>
      </w:r>
      <w:r>
        <w:rPr>
          <w:rFonts w:hint="eastAsia"/>
        </w:rPr>
        <w:t xml:space="preserve">143/1988 </w:t>
      </w:r>
      <w:r>
        <w:t>Coll</w:t>
      </w:r>
      <w:r>
        <w:rPr>
          <w:rFonts w:hint="eastAsia"/>
        </w:rPr>
        <w:t>.</w:t>
      </w:r>
      <w:r>
        <w:rPr>
          <w:rFonts w:hint="eastAsia"/>
        </w:rPr>
        <w:t>号和第</w:t>
      </w:r>
      <w:r>
        <w:rPr>
          <w:rFonts w:hint="eastAsia"/>
        </w:rPr>
        <w:t xml:space="preserve">39/1997 </w:t>
      </w:r>
      <w:r>
        <w:t>Coll</w:t>
      </w:r>
      <w:r>
        <w:rPr>
          <w:rFonts w:hint="eastAsia"/>
        </w:rPr>
        <w:t>.</w:t>
      </w:r>
      <w:r>
        <w:rPr>
          <w:rFonts w:hint="eastAsia"/>
        </w:rPr>
        <w:t>号</w:t>
      </w:r>
      <w:r>
        <w:rPr>
          <w:rFonts w:hint="eastAsia"/>
        </w:rPr>
        <w:t>(</w:t>
      </w:r>
      <w:r>
        <w:rPr>
          <w:rFonts w:hint="eastAsia"/>
        </w:rPr>
        <w:t>撤回第一次批准时对某些条款所作的保留</w:t>
      </w:r>
      <w:r>
        <w:rPr>
          <w:rFonts w:hint="eastAsia"/>
        </w:rPr>
        <w:t>)</w:t>
      </w:r>
      <w:r>
        <w:rPr>
          <w:rFonts w:hint="eastAsia"/>
        </w:rPr>
        <w:t>在《法律汇编》中公布；《儿童权利公约》：《公约》文本以第</w:t>
      </w:r>
      <w:r>
        <w:rPr>
          <w:rFonts w:hint="eastAsia"/>
        </w:rPr>
        <w:t xml:space="preserve">104/1991 </w:t>
      </w:r>
      <w:r>
        <w:t>Coll</w:t>
      </w:r>
      <w:r>
        <w:rPr>
          <w:rFonts w:hint="eastAsia"/>
        </w:rPr>
        <w:t>.</w:t>
      </w:r>
      <w:r>
        <w:rPr>
          <w:rFonts w:hint="eastAsia"/>
        </w:rPr>
        <w:t>号公布。</w:t>
      </w:r>
    </w:p>
    <w:p w:rsidR="00000000" w:rsidRDefault="00000000">
      <w:pPr>
        <w:pStyle w:val="EndnoteText"/>
        <w:spacing w:line="264" w:lineRule="auto"/>
        <w:rPr>
          <w:rFonts w:hint="eastAsia"/>
        </w:rPr>
      </w:pPr>
      <w:r>
        <w:rPr>
          <w:rFonts w:hint="eastAsia"/>
          <w:u w:val="single"/>
        </w:rPr>
        <w:t>与捷克共和国在欧洲委员会中的成员资格有关的国际公约</w:t>
      </w:r>
      <w:r>
        <w:rPr>
          <w:rFonts w:hint="eastAsia"/>
        </w:rPr>
        <w:t>：《保护人权和基本自由公约》，包括议定书：以第</w:t>
      </w:r>
      <w:r>
        <w:rPr>
          <w:rFonts w:hint="eastAsia"/>
        </w:rPr>
        <w:t xml:space="preserve">209/1992 </w:t>
      </w:r>
      <w:r>
        <w:t>Coll</w:t>
      </w:r>
      <w:r>
        <w:rPr>
          <w:rFonts w:hint="eastAsia"/>
        </w:rPr>
        <w:t>.</w:t>
      </w:r>
      <w:r>
        <w:rPr>
          <w:rFonts w:hint="eastAsia"/>
        </w:rPr>
        <w:t>号法令及第</w:t>
      </w:r>
      <w:r>
        <w:rPr>
          <w:rFonts w:hint="eastAsia"/>
        </w:rPr>
        <w:t xml:space="preserve">41/1996 </w:t>
      </w:r>
      <w:r>
        <w:t>Coll</w:t>
      </w:r>
      <w:r>
        <w:rPr>
          <w:rFonts w:hint="eastAsia"/>
        </w:rPr>
        <w:t>.</w:t>
      </w:r>
      <w:r>
        <w:rPr>
          <w:rFonts w:hint="eastAsia"/>
        </w:rPr>
        <w:t>号和第</w:t>
      </w:r>
      <w:r>
        <w:rPr>
          <w:rFonts w:hint="eastAsia"/>
        </w:rPr>
        <w:t xml:space="preserve">243/1998 </w:t>
      </w:r>
      <w:r>
        <w:t>Coll</w:t>
      </w:r>
      <w:r>
        <w:rPr>
          <w:rFonts w:hint="eastAsia"/>
        </w:rPr>
        <w:t>.</w:t>
      </w:r>
      <w:r>
        <w:rPr>
          <w:rFonts w:hint="eastAsia"/>
        </w:rPr>
        <w:t>号修正案在《法律汇编》中颁布；《保护少数民族框架公约》：《公约》文本以第</w:t>
      </w:r>
      <w:r>
        <w:rPr>
          <w:rFonts w:hint="eastAsia"/>
        </w:rPr>
        <w:t xml:space="preserve">96/1998 </w:t>
      </w:r>
      <w:r>
        <w:t>Coll</w:t>
      </w:r>
      <w:r>
        <w:rPr>
          <w:rFonts w:hint="eastAsia"/>
        </w:rPr>
        <w:t>.</w:t>
      </w:r>
      <w:r>
        <w:rPr>
          <w:rFonts w:hint="eastAsia"/>
        </w:rPr>
        <w:t>号公布；《欧洲社会宪章》：通过</w:t>
      </w:r>
      <w:r>
        <w:rPr>
          <w:rFonts w:hint="eastAsia"/>
        </w:rPr>
        <w:t>1998</w:t>
      </w:r>
      <w:r>
        <w:rPr>
          <w:rFonts w:hint="eastAsia"/>
        </w:rPr>
        <w:t>年</w:t>
      </w:r>
      <w:r>
        <w:rPr>
          <w:rFonts w:hint="eastAsia"/>
        </w:rPr>
        <w:t>11</w:t>
      </w:r>
      <w:r>
        <w:rPr>
          <w:rFonts w:hint="eastAsia"/>
        </w:rPr>
        <w:t>月</w:t>
      </w:r>
      <w:r>
        <w:rPr>
          <w:rFonts w:hint="eastAsia"/>
        </w:rPr>
        <w:t>25</w:t>
      </w:r>
      <w:r>
        <w:rPr>
          <w:rFonts w:hint="eastAsia"/>
        </w:rPr>
        <w:t>日第</w:t>
      </w:r>
      <w:r>
        <w:rPr>
          <w:rFonts w:hint="eastAsia"/>
        </w:rPr>
        <w:t>776</w:t>
      </w:r>
      <w:r>
        <w:rPr>
          <w:rFonts w:hint="eastAsia"/>
        </w:rPr>
        <w:t>号决议，政府批准劳动和社会事务部部长的如下建议：批准《欧洲社会宪章》</w:t>
      </w:r>
      <w:r>
        <w:rPr>
          <w:rFonts w:hint="eastAsia"/>
        </w:rPr>
        <w:t>(1961</w:t>
      </w:r>
      <w:r>
        <w:rPr>
          <w:rFonts w:hint="eastAsia"/>
        </w:rPr>
        <w:t>年</w:t>
      </w:r>
      <w:r>
        <w:rPr>
          <w:rFonts w:hint="eastAsia"/>
        </w:rPr>
        <w:t>)</w:t>
      </w:r>
      <w:r>
        <w:rPr>
          <w:rFonts w:hint="eastAsia"/>
        </w:rPr>
        <w:t>、《欧洲社会宪章附加议定书》</w:t>
      </w:r>
      <w:r>
        <w:rPr>
          <w:rFonts w:hint="eastAsia"/>
        </w:rPr>
        <w:t>(1988</w:t>
      </w:r>
      <w:r>
        <w:rPr>
          <w:rFonts w:hint="eastAsia"/>
        </w:rPr>
        <w:t>年</w:t>
      </w:r>
      <w:r>
        <w:rPr>
          <w:rFonts w:hint="eastAsia"/>
        </w:rPr>
        <w:t>)(</w:t>
      </w:r>
      <w:r>
        <w:rPr>
          <w:rFonts w:hint="eastAsia"/>
        </w:rPr>
        <w:t>按建议的方式</w:t>
      </w:r>
      <w:r>
        <w:rPr>
          <w:rFonts w:hint="eastAsia"/>
        </w:rPr>
        <w:t>)</w:t>
      </w:r>
      <w:r>
        <w:rPr>
          <w:rFonts w:hint="eastAsia"/>
        </w:rPr>
        <w:t>和《欧洲社会宪章修订议定书》</w:t>
      </w:r>
      <w:r>
        <w:rPr>
          <w:rFonts w:hint="eastAsia"/>
        </w:rPr>
        <w:t>(1991</w:t>
      </w:r>
      <w:r>
        <w:rPr>
          <w:rFonts w:hint="eastAsia"/>
        </w:rPr>
        <w:t>年</w:t>
      </w:r>
      <w:r>
        <w:rPr>
          <w:rFonts w:hint="eastAsia"/>
        </w:rPr>
        <w:t>)</w:t>
      </w:r>
      <w:r>
        <w:rPr>
          <w:rFonts w:hint="eastAsia"/>
        </w:rPr>
        <w:t>，并签署</w:t>
      </w:r>
      <w:r>
        <w:rPr>
          <w:rFonts w:hint="eastAsia"/>
        </w:rPr>
        <w:t>(</w:t>
      </w:r>
      <w:r>
        <w:rPr>
          <w:rFonts w:hint="eastAsia"/>
        </w:rPr>
        <w:t>有待批准</w:t>
      </w:r>
      <w:r>
        <w:rPr>
          <w:rFonts w:hint="eastAsia"/>
        </w:rPr>
        <w:t>)</w:t>
      </w:r>
      <w:r>
        <w:rPr>
          <w:rFonts w:hint="eastAsia"/>
        </w:rPr>
        <w:t>经过修订的《欧洲社会宪章》</w:t>
      </w:r>
      <w:r>
        <w:rPr>
          <w:rFonts w:hint="eastAsia"/>
        </w:rPr>
        <w:t>(1996</w:t>
      </w:r>
      <w:r>
        <w:rPr>
          <w:rFonts w:hint="eastAsia"/>
        </w:rPr>
        <w:t>年</w:t>
      </w:r>
      <w:r>
        <w:rPr>
          <w:rFonts w:hint="eastAsia"/>
        </w:rPr>
        <w:t>)</w:t>
      </w:r>
      <w:r>
        <w:rPr>
          <w:rFonts w:hint="eastAsia"/>
        </w:rPr>
        <w:t>。众议院于</w:t>
      </w:r>
      <w:r>
        <w:rPr>
          <w:rFonts w:hint="eastAsia"/>
        </w:rPr>
        <w:t>1999</w:t>
      </w:r>
      <w:r>
        <w:rPr>
          <w:rFonts w:hint="eastAsia"/>
        </w:rPr>
        <w:t>年</w:t>
      </w:r>
      <w:r>
        <w:rPr>
          <w:rFonts w:hint="eastAsia"/>
        </w:rPr>
        <w:t>7</w:t>
      </w:r>
      <w:r>
        <w:rPr>
          <w:rFonts w:hint="eastAsia"/>
        </w:rPr>
        <w:t>月、参议院于</w:t>
      </w:r>
      <w:r>
        <w:rPr>
          <w:rFonts w:hint="eastAsia"/>
        </w:rPr>
        <w:t>1999</w:t>
      </w:r>
      <w:r>
        <w:rPr>
          <w:rFonts w:hint="eastAsia"/>
        </w:rPr>
        <w:t>年</w:t>
      </w:r>
      <w:r>
        <w:rPr>
          <w:rFonts w:hint="eastAsia"/>
        </w:rPr>
        <w:t>8</w:t>
      </w:r>
      <w:r>
        <w:rPr>
          <w:rFonts w:hint="eastAsia"/>
        </w:rPr>
        <w:t>月批准了《宪章》。批准书于</w:t>
      </w:r>
      <w:r>
        <w:rPr>
          <w:rFonts w:hint="eastAsia"/>
        </w:rPr>
        <w:t>1999</w:t>
      </w:r>
      <w:r>
        <w:rPr>
          <w:rFonts w:hint="eastAsia"/>
        </w:rPr>
        <w:t>年</w:t>
      </w:r>
      <w:r>
        <w:rPr>
          <w:rFonts w:hint="eastAsia"/>
        </w:rPr>
        <w:t>11</w:t>
      </w:r>
      <w:r>
        <w:rPr>
          <w:rFonts w:hint="eastAsia"/>
        </w:rPr>
        <w:t>月</w:t>
      </w:r>
      <w:r>
        <w:rPr>
          <w:rFonts w:hint="eastAsia"/>
        </w:rPr>
        <w:t>17</w:t>
      </w:r>
      <w:r>
        <w:rPr>
          <w:rFonts w:hint="eastAsia"/>
        </w:rPr>
        <w:t>日交存欧洲委员会秘书长。《欧洲社会宪章》在第</w:t>
      </w:r>
      <w:r>
        <w:rPr>
          <w:rFonts w:hint="eastAsia"/>
        </w:rPr>
        <w:t xml:space="preserve">14/2000 </w:t>
      </w:r>
      <w:r>
        <w:t>Coll</w:t>
      </w:r>
      <w:r>
        <w:rPr>
          <w:rFonts w:hint="eastAsia"/>
        </w:rPr>
        <w:t>.I.T.</w:t>
      </w:r>
      <w:r>
        <w:rPr>
          <w:rFonts w:hint="eastAsia"/>
        </w:rPr>
        <w:t>号项下在《国际条约汇编》中公布，附加议定书在第</w:t>
      </w:r>
      <w:r>
        <w:rPr>
          <w:rFonts w:hint="eastAsia"/>
        </w:rPr>
        <w:t xml:space="preserve">15/2000 </w:t>
      </w:r>
      <w:r>
        <w:t>Coll</w:t>
      </w:r>
      <w:r>
        <w:rPr>
          <w:rFonts w:hint="eastAsia"/>
        </w:rPr>
        <w:t>.I.T.</w:t>
      </w:r>
      <w:r>
        <w:rPr>
          <w:rFonts w:hint="eastAsia"/>
        </w:rPr>
        <w:t>号项下公布。修订议定书尚未公布。建议批准《宪章》及其《议定书》的劳动和社会事务部应外交事务部的请求将其提交批准，称其为《宪法》第</w:t>
      </w:r>
      <w:r>
        <w:rPr>
          <w:rFonts w:hint="eastAsia"/>
        </w:rPr>
        <w:t>10</w:t>
      </w:r>
      <w:r>
        <w:rPr>
          <w:rFonts w:hint="eastAsia"/>
        </w:rPr>
        <w:t>条规定的一项条约，即一项国际人权条约。众议院改变了这一观点，它不是通过《宪法》第</w:t>
      </w:r>
      <w:r>
        <w:rPr>
          <w:rFonts w:hint="eastAsia"/>
        </w:rPr>
        <w:t>39</w:t>
      </w:r>
      <w:r>
        <w:rPr>
          <w:rFonts w:hint="eastAsia"/>
        </w:rPr>
        <w:t>条第</w:t>
      </w:r>
      <w:r>
        <w:rPr>
          <w:rFonts w:hint="eastAsia"/>
        </w:rPr>
        <w:t>4</w:t>
      </w:r>
      <w:r>
        <w:rPr>
          <w:rFonts w:hint="eastAsia"/>
        </w:rPr>
        <w:t>款规定的批准程序，而是按第</w:t>
      </w:r>
      <w:r>
        <w:rPr>
          <w:rFonts w:hint="eastAsia"/>
        </w:rPr>
        <w:t>49</w:t>
      </w:r>
      <w:r>
        <w:rPr>
          <w:rFonts w:hint="eastAsia"/>
        </w:rPr>
        <w:t>条第</w:t>
      </w:r>
      <w:r>
        <w:rPr>
          <w:rFonts w:hint="eastAsia"/>
        </w:rPr>
        <w:t>2</w:t>
      </w:r>
      <w:r>
        <w:rPr>
          <w:rFonts w:hint="eastAsia"/>
        </w:rPr>
        <w:t>款规定的批准程序通过了《宪章》。因此，《欧洲社会宪章》不是《宪法》第</w:t>
      </w:r>
      <w:r>
        <w:rPr>
          <w:rFonts w:hint="eastAsia"/>
        </w:rPr>
        <w:t>10</w:t>
      </w:r>
      <w:r>
        <w:rPr>
          <w:rFonts w:hint="eastAsia"/>
        </w:rPr>
        <w:t>条规定的一项人权条约。</w:t>
      </w:r>
    </w:p>
  </w:endnote>
  <w:endnote w:id="29">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捷克共和国宪法法院就关于废止“修订和补充后来经过修订的第</w:t>
      </w:r>
      <w:r>
        <w:rPr>
          <w:rFonts w:hint="eastAsia"/>
        </w:rPr>
        <w:t xml:space="preserve">65/1965 </w:t>
      </w:r>
      <w:r>
        <w:t>Coll</w:t>
      </w:r>
      <w:r>
        <w:rPr>
          <w:rFonts w:hint="eastAsia"/>
        </w:rPr>
        <w:t>.</w:t>
      </w:r>
      <w:r>
        <w:rPr>
          <w:rFonts w:hint="eastAsia"/>
        </w:rPr>
        <w:t>号劳动法和某些其他法案的第</w:t>
      </w:r>
      <w:r>
        <w:rPr>
          <w:rFonts w:hint="eastAsia"/>
        </w:rPr>
        <w:t xml:space="preserve">74/1994 </w:t>
      </w:r>
      <w:r>
        <w:t>Coll</w:t>
      </w:r>
      <w:r>
        <w:rPr>
          <w:rFonts w:hint="eastAsia"/>
        </w:rPr>
        <w:t>.</w:t>
      </w:r>
      <w:r>
        <w:rPr>
          <w:rFonts w:hint="eastAsia"/>
        </w:rPr>
        <w:t>号法令”第</w:t>
      </w:r>
      <w:r>
        <w:rPr>
          <w:rFonts w:hint="eastAsia"/>
        </w:rPr>
        <w:t>1</w:t>
      </w:r>
      <w:r>
        <w:rPr>
          <w:rFonts w:hint="eastAsia"/>
        </w:rPr>
        <w:t>条的某些规定的建议所作的第</w:t>
      </w:r>
      <w:r>
        <w:rPr>
          <w:rFonts w:hint="eastAsia"/>
        </w:rPr>
        <w:t xml:space="preserve">3/1995 </w:t>
      </w:r>
      <w:r>
        <w:t>Coll</w:t>
      </w:r>
      <w:r>
        <w:rPr>
          <w:rFonts w:hint="eastAsia"/>
        </w:rPr>
        <w:t>.</w:t>
      </w:r>
      <w:r>
        <w:rPr>
          <w:rFonts w:hint="eastAsia"/>
        </w:rPr>
        <w:t>号裁决。</w:t>
      </w:r>
    </w:p>
  </w:endnote>
  <w:endnote w:id="30">
    <w:p w:rsidR="00000000" w:rsidRDefault="00000000">
      <w:pPr>
        <w:pStyle w:val="EndnoteText"/>
        <w:rPr>
          <w:rFonts w:hint="eastAsia"/>
        </w:rPr>
      </w:pPr>
      <w:r>
        <w:rPr>
          <w:rStyle w:val="EndnoteReference"/>
        </w:rPr>
        <w:endnoteRef/>
      </w:r>
      <w:r>
        <w:t xml:space="preserve"> </w:t>
      </w:r>
      <w:r>
        <w:rPr>
          <w:rFonts w:hint="eastAsia"/>
        </w:rPr>
        <w:tab/>
      </w:r>
      <w:r>
        <w:rPr>
          <w:rFonts w:hint="eastAsia"/>
        </w:rPr>
        <w:t>“关于自由获取新闻的第</w:t>
      </w:r>
      <w:r>
        <w:rPr>
          <w:rFonts w:hint="eastAsia"/>
        </w:rPr>
        <w:t xml:space="preserve">106/1999 </w:t>
      </w:r>
      <w:r>
        <w:t>Coll</w:t>
      </w:r>
      <w:r>
        <w:rPr>
          <w:rFonts w:hint="eastAsia"/>
        </w:rPr>
        <w:t>.</w:t>
      </w:r>
      <w:r>
        <w:rPr>
          <w:rFonts w:hint="eastAsia"/>
        </w:rPr>
        <w:t>号法令”。</w:t>
      </w:r>
    </w:p>
  </w:endnote>
  <w:endnote w:id="31">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w:t>
      </w:r>
      <w:r>
        <w:rPr>
          <w:rFonts w:hint="eastAsia"/>
        </w:rPr>
        <w:t>1998</w:t>
      </w:r>
      <w:r>
        <w:rPr>
          <w:rFonts w:hint="eastAsia"/>
        </w:rPr>
        <w:t>年</w:t>
      </w:r>
      <w:r>
        <w:rPr>
          <w:rFonts w:hint="eastAsia"/>
        </w:rPr>
        <w:t>9</w:t>
      </w:r>
      <w:r>
        <w:rPr>
          <w:rFonts w:hint="eastAsia"/>
        </w:rPr>
        <w:t>月</w:t>
      </w:r>
      <w:r>
        <w:rPr>
          <w:rFonts w:hint="eastAsia"/>
        </w:rPr>
        <w:t>9</w:t>
      </w:r>
      <w:r>
        <w:rPr>
          <w:rFonts w:hint="eastAsia"/>
        </w:rPr>
        <w:t>日第</w:t>
      </w:r>
      <w:r>
        <w:rPr>
          <w:rFonts w:hint="eastAsia"/>
        </w:rPr>
        <w:t>579</w:t>
      </w:r>
      <w:r>
        <w:rPr>
          <w:rFonts w:hint="eastAsia"/>
        </w:rPr>
        <w:t>号决议。</w:t>
      </w:r>
    </w:p>
  </w:endnote>
  <w:endnote w:id="32">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w:t>
      </w:r>
      <w:r>
        <w:rPr>
          <w:rFonts w:hint="eastAsia"/>
        </w:rPr>
        <w:t>1998</w:t>
      </w:r>
      <w:r>
        <w:rPr>
          <w:rFonts w:hint="eastAsia"/>
        </w:rPr>
        <w:t>年</w:t>
      </w:r>
      <w:r>
        <w:rPr>
          <w:rFonts w:hint="eastAsia"/>
        </w:rPr>
        <w:t>12</w:t>
      </w:r>
      <w:r>
        <w:rPr>
          <w:rFonts w:hint="eastAsia"/>
        </w:rPr>
        <w:t>月</w:t>
      </w:r>
      <w:r>
        <w:rPr>
          <w:rFonts w:hint="eastAsia"/>
        </w:rPr>
        <w:t>9</w:t>
      </w:r>
      <w:r>
        <w:rPr>
          <w:rFonts w:hint="eastAsia"/>
        </w:rPr>
        <w:t>日关于改善捷克共和国人权保护状况的第</w:t>
      </w:r>
      <w:r>
        <w:rPr>
          <w:rFonts w:hint="eastAsia"/>
        </w:rPr>
        <w:t>809</w:t>
      </w:r>
      <w:r>
        <w:rPr>
          <w:rFonts w:hint="eastAsia"/>
        </w:rPr>
        <w:t>号决议</w:t>
      </w:r>
      <w:r>
        <w:rPr>
          <w:rFonts w:hint="eastAsia"/>
        </w:rPr>
        <w:t>(</w:t>
      </w:r>
      <w:r>
        <w:rPr>
          <w:rFonts w:hint="eastAsia"/>
        </w:rPr>
        <w:t>在《世界人权宣言》通过五十周年之际</w:t>
      </w:r>
      <w:r>
        <w:rPr>
          <w:rFonts w:hint="eastAsia"/>
        </w:rPr>
        <w:t>)</w:t>
      </w:r>
      <w:r>
        <w:rPr>
          <w:rFonts w:hint="eastAsia"/>
        </w:rPr>
        <w:t>。</w:t>
      </w:r>
    </w:p>
  </w:endnote>
  <w:endnote w:id="33">
    <w:p w:rsidR="00000000" w:rsidRDefault="00000000">
      <w:pPr>
        <w:pStyle w:val="EndnoteText"/>
        <w:rPr>
          <w:rFonts w:hint="eastAsia"/>
        </w:rPr>
      </w:pPr>
      <w:r>
        <w:rPr>
          <w:rStyle w:val="EndnoteReference"/>
        </w:rPr>
        <w:endnoteRef/>
      </w:r>
      <w:r>
        <w:t xml:space="preserve"> </w:t>
      </w:r>
      <w:r>
        <w:tab/>
      </w:r>
      <w:r>
        <w:rPr>
          <w:rFonts w:hint="eastAsia"/>
        </w:rPr>
        <w:t>“关于公共权利保护人的第</w:t>
      </w:r>
      <w:r>
        <w:rPr>
          <w:rFonts w:hint="eastAsia"/>
        </w:rPr>
        <w:t xml:space="preserve">349/1999 </w:t>
      </w:r>
      <w:r>
        <w:t>Coll</w:t>
      </w:r>
      <w:r>
        <w:rPr>
          <w:rFonts w:hint="eastAsia"/>
        </w:rPr>
        <w:t>.</w:t>
      </w:r>
      <w:r>
        <w:rPr>
          <w:rFonts w:hint="eastAsia"/>
        </w:rPr>
        <w:t>号法令”。</w:t>
      </w:r>
    </w:p>
  </w:endnote>
  <w:endnote w:id="34">
    <w:p w:rsidR="00000000" w:rsidRDefault="00000000">
      <w:pPr>
        <w:pStyle w:val="EndnoteText"/>
        <w:rPr>
          <w:rFonts w:hint="eastAsia"/>
        </w:rPr>
      </w:pPr>
      <w:r>
        <w:rPr>
          <w:rStyle w:val="EndnoteReference"/>
        </w:rPr>
        <w:endnoteRef/>
      </w:r>
      <w:r>
        <w:t xml:space="preserve"> </w:t>
      </w:r>
      <w:r>
        <w:rPr>
          <w:rFonts w:hint="eastAsia"/>
        </w:rPr>
        <w:tab/>
      </w:r>
      <w:r>
        <w:rPr>
          <w:rFonts w:hint="eastAsia"/>
        </w:rPr>
        <w:t>根据随后修订的“关于公民集会的第</w:t>
      </w:r>
      <w:r>
        <w:rPr>
          <w:rFonts w:hint="eastAsia"/>
        </w:rPr>
        <w:t xml:space="preserve">83/1990 </w:t>
      </w:r>
      <w:r>
        <w:t>Coll</w:t>
      </w:r>
      <w:r>
        <w:rPr>
          <w:rFonts w:hint="eastAsia"/>
        </w:rPr>
        <w:t>.</w:t>
      </w:r>
      <w:r>
        <w:rPr>
          <w:rFonts w:hint="eastAsia"/>
        </w:rPr>
        <w:t>号法令”成立。</w:t>
      </w:r>
    </w:p>
  </w:endnote>
  <w:endnote w:id="35">
    <w:p w:rsidR="00000000" w:rsidRDefault="00000000">
      <w:pPr>
        <w:pStyle w:val="EndnoteText"/>
        <w:rPr>
          <w:rFonts w:hint="eastAsia"/>
        </w:rPr>
      </w:pPr>
      <w:r>
        <w:rPr>
          <w:rStyle w:val="EndnoteReference"/>
        </w:rPr>
        <w:endnoteRef/>
      </w:r>
      <w:r>
        <w:t xml:space="preserve"> </w:t>
      </w:r>
      <w:r>
        <w:rPr>
          <w:rFonts w:hint="eastAsia"/>
        </w:rPr>
        <w:tab/>
      </w:r>
      <w:r>
        <w:rPr>
          <w:rFonts w:hint="eastAsia"/>
        </w:rPr>
        <w:t>根据“关于宗教信仰自由和教堂与宗教协会地位的第</w:t>
      </w:r>
      <w:r>
        <w:rPr>
          <w:rFonts w:hint="eastAsia"/>
        </w:rPr>
        <w:t xml:space="preserve">308/1991 </w:t>
      </w:r>
      <w:r>
        <w:t>Coll</w:t>
      </w:r>
      <w:r>
        <w:rPr>
          <w:rFonts w:hint="eastAsia"/>
        </w:rPr>
        <w:t>.</w:t>
      </w:r>
      <w:r>
        <w:rPr>
          <w:rFonts w:hint="eastAsia"/>
        </w:rPr>
        <w:t>号法令”成立。</w:t>
      </w:r>
    </w:p>
  </w:endnote>
  <w:endnote w:id="36">
    <w:p w:rsidR="00000000" w:rsidRDefault="00000000">
      <w:pPr>
        <w:pStyle w:val="EndnoteText"/>
        <w:rPr>
          <w:rFonts w:hint="eastAsia"/>
        </w:rPr>
      </w:pPr>
      <w:r>
        <w:rPr>
          <w:rStyle w:val="EndnoteReference"/>
        </w:rPr>
        <w:endnoteRef/>
      </w:r>
      <w:r>
        <w:t xml:space="preserve"> </w:t>
      </w:r>
      <w:r>
        <w:rPr>
          <w:rFonts w:hint="eastAsia"/>
        </w:rPr>
        <w:tab/>
      </w:r>
      <w:r>
        <w:rPr>
          <w:rFonts w:hint="eastAsia"/>
        </w:rPr>
        <w:t>根据“关于公益服务协会以及修订和补充某些法令的第</w:t>
      </w:r>
      <w:r>
        <w:rPr>
          <w:rFonts w:hint="eastAsia"/>
        </w:rPr>
        <w:t xml:space="preserve">248/1995 </w:t>
      </w:r>
      <w:r>
        <w:t>Coll</w:t>
      </w:r>
      <w:r>
        <w:rPr>
          <w:rFonts w:hint="eastAsia"/>
        </w:rPr>
        <w:t>.</w:t>
      </w:r>
      <w:r>
        <w:rPr>
          <w:rFonts w:hint="eastAsia"/>
        </w:rPr>
        <w:t>号法令”成立。</w:t>
      </w:r>
    </w:p>
  </w:endnote>
  <w:endnote w:id="37">
    <w:p w:rsidR="00000000" w:rsidRDefault="00000000">
      <w:pPr>
        <w:pStyle w:val="EndnoteText"/>
        <w:rPr>
          <w:rFonts w:hint="eastAsia"/>
        </w:rPr>
      </w:pPr>
      <w:r>
        <w:rPr>
          <w:rStyle w:val="EndnoteReference"/>
        </w:rPr>
        <w:endnoteRef/>
      </w:r>
      <w:r>
        <w:t xml:space="preserve"> </w:t>
      </w:r>
      <w:r>
        <w:rPr>
          <w:rFonts w:hint="eastAsia"/>
        </w:rPr>
        <w:tab/>
      </w:r>
      <w:r>
        <w:rPr>
          <w:rFonts w:hint="eastAsia"/>
        </w:rPr>
        <w:t>根据“关于基金会和基金以及修订和补充某些相关法令的第</w:t>
      </w:r>
      <w:r>
        <w:rPr>
          <w:rFonts w:hint="eastAsia"/>
        </w:rPr>
        <w:t xml:space="preserve">227/1997 </w:t>
      </w:r>
      <w:r>
        <w:t>Coll</w:t>
      </w:r>
      <w:r>
        <w:rPr>
          <w:rFonts w:hint="eastAsia"/>
        </w:rPr>
        <w:t>.</w:t>
      </w:r>
      <w:r>
        <w:rPr>
          <w:rFonts w:hint="eastAsia"/>
        </w:rPr>
        <w:t>号法令”</w:t>
      </w:r>
      <w:r>
        <w:rPr>
          <w:rFonts w:hint="eastAsia"/>
        </w:rPr>
        <w:t>(</w:t>
      </w:r>
      <w:r>
        <w:rPr>
          <w:rFonts w:hint="eastAsia"/>
        </w:rPr>
        <w:t>《基金会和基金法》</w:t>
      </w:r>
      <w:r>
        <w:rPr>
          <w:rFonts w:hint="eastAsia"/>
        </w:rPr>
        <w:t>)</w:t>
      </w:r>
      <w:r>
        <w:rPr>
          <w:rFonts w:hint="eastAsia"/>
        </w:rPr>
        <w:t>成立。</w:t>
      </w:r>
    </w:p>
  </w:endnote>
  <w:endnote w:id="38">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随后经过修订的“关于捷克共和国和捷克共和国自治市预算资金管理规则的第</w:t>
      </w:r>
      <w:r>
        <w:rPr>
          <w:rFonts w:hint="eastAsia"/>
        </w:rPr>
        <w:t xml:space="preserve">576/1990 </w:t>
      </w:r>
      <w:r>
        <w:t>Coll</w:t>
      </w:r>
      <w:r>
        <w:rPr>
          <w:rFonts w:hint="eastAsia"/>
        </w:rPr>
        <w:t>.</w:t>
      </w:r>
      <w:r>
        <w:rPr>
          <w:rFonts w:hint="eastAsia"/>
        </w:rPr>
        <w:t>号法令”</w:t>
      </w:r>
      <w:r>
        <w:rPr>
          <w:rFonts w:hint="eastAsia"/>
        </w:rPr>
        <w:t>(</w:t>
      </w:r>
      <w:r>
        <w:rPr>
          <w:rFonts w:hint="eastAsia"/>
        </w:rPr>
        <w:t>《国家预算条例》</w:t>
      </w:r>
      <w:r>
        <w:rPr>
          <w:rFonts w:hint="eastAsia"/>
        </w:rPr>
        <w:t>)</w:t>
      </w:r>
      <w:r>
        <w:rPr>
          <w:rFonts w:hint="eastAsia"/>
        </w:rPr>
        <w:t>。</w:t>
      </w:r>
    </w:p>
  </w:endnote>
  <w:endnote w:id="39">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政府于</w:t>
      </w:r>
      <w:r>
        <w:rPr>
          <w:rFonts w:hint="eastAsia"/>
        </w:rPr>
        <w:t>1999</w:t>
      </w:r>
      <w:r>
        <w:rPr>
          <w:rFonts w:hint="eastAsia"/>
        </w:rPr>
        <w:t>年</w:t>
      </w:r>
      <w:r>
        <w:rPr>
          <w:rFonts w:hint="eastAsia"/>
        </w:rPr>
        <w:t>11</w:t>
      </w:r>
      <w:r>
        <w:rPr>
          <w:rFonts w:hint="eastAsia"/>
        </w:rPr>
        <w:t>月</w:t>
      </w:r>
      <w:r>
        <w:rPr>
          <w:rFonts w:hint="eastAsia"/>
        </w:rPr>
        <w:t>18</w:t>
      </w:r>
      <w:r>
        <w:rPr>
          <w:rFonts w:hint="eastAsia"/>
        </w:rPr>
        <w:t>日向众议院提交了政府拟定的该法案的草案，众议院已送交各委员会讨论。该法案将于</w:t>
      </w:r>
      <w:r>
        <w:rPr>
          <w:rFonts w:hint="eastAsia"/>
        </w:rPr>
        <w:t>2001</w:t>
      </w:r>
      <w:r>
        <w:rPr>
          <w:rFonts w:hint="eastAsia"/>
        </w:rPr>
        <w:t>年</w:t>
      </w:r>
      <w:r>
        <w:rPr>
          <w:rFonts w:hint="eastAsia"/>
        </w:rPr>
        <w:t>1</w:t>
      </w:r>
      <w:r>
        <w:rPr>
          <w:rFonts w:hint="eastAsia"/>
        </w:rPr>
        <w:t>月</w:t>
      </w:r>
      <w:r>
        <w:rPr>
          <w:rFonts w:hint="eastAsia"/>
        </w:rPr>
        <w:t>1</w:t>
      </w:r>
      <w:r>
        <w:rPr>
          <w:rFonts w:hint="eastAsia"/>
        </w:rPr>
        <w:t>日生效。</w:t>
      </w:r>
    </w:p>
  </w:endnote>
  <w:endnote w:id="40">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经“捷克共和国政府</w:t>
      </w:r>
      <w:r>
        <w:rPr>
          <w:rFonts w:hint="eastAsia"/>
        </w:rPr>
        <w:t>1992</w:t>
      </w:r>
      <w:r>
        <w:rPr>
          <w:rFonts w:hint="eastAsia"/>
        </w:rPr>
        <w:t>年</w:t>
      </w:r>
      <w:r>
        <w:rPr>
          <w:rFonts w:hint="eastAsia"/>
        </w:rPr>
        <w:t>11</w:t>
      </w:r>
      <w:r>
        <w:rPr>
          <w:rFonts w:hint="eastAsia"/>
        </w:rPr>
        <w:t>月</w:t>
      </w:r>
      <w:r>
        <w:rPr>
          <w:rFonts w:hint="eastAsia"/>
        </w:rPr>
        <w:t>27</w:t>
      </w:r>
      <w:r>
        <w:rPr>
          <w:rFonts w:hint="eastAsia"/>
        </w:rPr>
        <w:t>日关于捷克共和国</w:t>
      </w:r>
      <w:r>
        <w:rPr>
          <w:rFonts w:hint="eastAsia"/>
        </w:rPr>
        <w:t>1993</w:t>
      </w:r>
      <w:r>
        <w:rPr>
          <w:rFonts w:hint="eastAsia"/>
        </w:rPr>
        <w:t>年国家预算的第</w:t>
      </w:r>
      <w:r>
        <w:rPr>
          <w:rFonts w:hint="eastAsia"/>
        </w:rPr>
        <w:t>663</w:t>
      </w:r>
      <w:r>
        <w:rPr>
          <w:rFonts w:hint="eastAsia"/>
        </w:rPr>
        <w:t>号决议”批准。</w:t>
      </w:r>
    </w:p>
  </w:endnote>
  <w:endnote w:id="41">
    <w:p w:rsidR="00000000" w:rsidRDefault="00000000">
      <w:pPr>
        <w:pStyle w:val="EndnoteText"/>
        <w:spacing w:line="312" w:lineRule="auto"/>
        <w:rPr>
          <w:rFonts w:hint="eastAsia"/>
        </w:rPr>
      </w:pPr>
      <w:r>
        <w:rPr>
          <w:rStyle w:val="EndnoteReference"/>
        </w:rPr>
        <w:endnoteRef/>
      </w:r>
      <w:r>
        <w:t xml:space="preserve"> </w:t>
      </w:r>
      <w:r>
        <w:rPr>
          <w:rFonts w:hint="eastAsia"/>
        </w:rPr>
        <w:tab/>
      </w:r>
      <w:r>
        <w:rPr>
          <w:rFonts w:hint="eastAsia"/>
        </w:rPr>
        <w:t>经“捷克共和国政府</w:t>
      </w:r>
      <w:r>
        <w:rPr>
          <w:rFonts w:hint="eastAsia"/>
        </w:rPr>
        <w:t>1999</w:t>
      </w:r>
      <w:r>
        <w:rPr>
          <w:rFonts w:hint="eastAsia"/>
        </w:rPr>
        <w:t>年</w:t>
      </w:r>
      <w:r>
        <w:rPr>
          <w:rFonts w:hint="eastAsia"/>
        </w:rPr>
        <w:t>7</w:t>
      </w:r>
      <w:r>
        <w:rPr>
          <w:rFonts w:hint="eastAsia"/>
        </w:rPr>
        <w:t>月</w:t>
      </w:r>
      <w:r>
        <w:rPr>
          <w:rFonts w:hint="eastAsia"/>
        </w:rPr>
        <w:t>23</w:t>
      </w:r>
      <w:r>
        <w:rPr>
          <w:rFonts w:hint="eastAsia"/>
        </w:rPr>
        <w:t>日第</w:t>
      </w:r>
      <w:r>
        <w:rPr>
          <w:rFonts w:hint="eastAsia"/>
        </w:rPr>
        <w:t>642</w:t>
      </w:r>
      <w:r>
        <w:rPr>
          <w:rFonts w:hint="eastAsia"/>
        </w:rPr>
        <w:t>号决议”新近批准的《关于从捷克共和国国家预算中向公民协会提供补贴的政府条例》，</w:t>
      </w:r>
      <w:r>
        <w:rPr>
          <w:rFonts w:hint="eastAsia"/>
        </w:rPr>
        <w:t>1999</w:t>
      </w:r>
      <w:r>
        <w:rPr>
          <w:rFonts w:hint="eastAsia"/>
        </w:rPr>
        <w:t>年</w:t>
      </w:r>
      <w:r>
        <w:rPr>
          <w:rFonts w:hint="eastAsia"/>
        </w:rPr>
        <w:t>7</w:t>
      </w:r>
      <w:r>
        <w:rPr>
          <w:rFonts w:hint="eastAsia"/>
        </w:rPr>
        <w:t>月</w:t>
      </w:r>
      <w:r>
        <w:rPr>
          <w:rFonts w:hint="eastAsia"/>
        </w:rPr>
        <w:t>1</w:t>
      </w:r>
      <w:r>
        <w:rPr>
          <w:rFonts w:hint="eastAsia"/>
        </w:rPr>
        <w:t>日生效。</w:t>
      </w:r>
    </w:p>
  </w:endnote>
  <w:endnote w:id="42">
    <w:p w:rsidR="00000000" w:rsidRDefault="00000000">
      <w:pPr>
        <w:pStyle w:val="EndnoteText"/>
        <w:rPr>
          <w:rFonts w:hint="eastAsia"/>
        </w:rPr>
      </w:pPr>
      <w:r>
        <w:rPr>
          <w:rStyle w:val="EndnoteReference"/>
        </w:rPr>
        <w:endnoteRef/>
      </w:r>
      <w:r>
        <w:t xml:space="preserve"> </w:t>
      </w:r>
      <w:r>
        <w:tab/>
      </w:r>
      <w:r>
        <w:rPr>
          <w:rFonts w:hint="eastAsia"/>
        </w:rPr>
        <w:t>“捷克共和国政府</w:t>
      </w:r>
      <w:r>
        <w:rPr>
          <w:rFonts w:hint="eastAsia"/>
        </w:rPr>
        <w:t>1999</w:t>
      </w:r>
      <w:r>
        <w:rPr>
          <w:rFonts w:hint="eastAsia"/>
        </w:rPr>
        <w:t>年</w:t>
      </w:r>
      <w:r>
        <w:rPr>
          <w:rFonts w:hint="eastAsia"/>
        </w:rPr>
        <w:t>10</w:t>
      </w:r>
      <w:r>
        <w:rPr>
          <w:rFonts w:hint="eastAsia"/>
        </w:rPr>
        <w:t>月</w:t>
      </w:r>
      <w:r>
        <w:rPr>
          <w:rFonts w:hint="eastAsia"/>
        </w:rPr>
        <w:t>6</w:t>
      </w:r>
      <w:r>
        <w:rPr>
          <w:rFonts w:hint="eastAsia"/>
        </w:rPr>
        <w:t>日关于对从国家预算中资助公民协会、特殊用途教会设施、公益服务协会、基金会和基金的情况进行分析的第</w:t>
      </w:r>
      <w:r>
        <w:rPr>
          <w:rFonts w:hint="eastAsia"/>
        </w:rPr>
        <w:t>1031</w:t>
      </w:r>
      <w:r>
        <w:rPr>
          <w:rFonts w:hint="eastAsia"/>
        </w:rPr>
        <w:t>号决议”。与这一材料和它所产生的任务有关，</w:t>
      </w:r>
      <w:r>
        <w:rPr>
          <w:rFonts w:hint="eastAsia"/>
        </w:rPr>
        <w:t>2000</w:t>
      </w:r>
      <w:r>
        <w:rPr>
          <w:rFonts w:hint="eastAsia"/>
        </w:rPr>
        <w:t>年</w:t>
      </w:r>
      <w:r>
        <w:rPr>
          <w:rFonts w:hint="eastAsia"/>
        </w:rPr>
        <w:t>3</w:t>
      </w:r>
      <w:r>
        <w:rPr>
          <w:rFonts w:hint="eastAsia"/>
        </w:rPr>
        <w:t>月</w:t>
      </w:r>
      <w:r>
        <w:rPr>
          <w:rFonts w:hint="eastAsia"/>
        </w:rPr>
        <w:t>15</w:t>
      </w:r>
      <w:r>
        <w:rPr>
          <w:rFonts w:hint="eastAsia"/>
        </w:rPr>
        <w:t>日，政府批准了关于</w:t>
      </w:r>
      <w:r>
        <w:rPr>
          <w:rFonts w:hint="eastAsia"/>
        </w:rPr>
        <w:t>2001</w:t>
      </w:r>
      <w:r>
        <w:rPr>
          <w:rFonts w:hint="eastAsia"/>
        </w:rPr>
        <w:t>年对非政府的非营利性组织采取的国家补贴政策的主要方面和实现其某些技术和组织规则标准化的第</w:t>
      </w:r>
      <w:r>
        <w:rPr>
          <w:rFonts w:hint="eastAsia"/>
        </w:rPr>
        <w:t>260</w:t>
      </w:r>
      <w:r>
        <w:rPr>
          <w:rFonts w:hint="eastAsia"/>
        </w:rPr>
        <w:t>号决议。</w:t>
      </w:r>
    </w:p>
  </w:endnote>
  <w:endnote w:id="43">
    <w:p w:rsidR="00000000" w:rsidRDefault="00000000">
      <w:pPr>
        <w:pStyle w:val="EndnoteText"/>
        <w:rPr>
          <w:rFonts w:hint="eastAsia"/>
          <w:lang w:val="fr-CH"/>
        </w:rPr>
      </w:pPr>
      <w:r>
        <w:rPr>
          <w:rStyle w:val="EndnoteReference"/>
        </w:rPr>
        <w:endnoteRef/>
      </w:r>
      <w:r>
        <w:t xml:space="preserve"> </w:t>
      </w:r>
      <w:r>
        <w:rPr>
          <w:rFonts w:hint="eastAsia"/>
        </w:rPr>
        <w:tab/>
      </w:r>
      <w:r>
        <w:rPr>
          <w:rFonts w:hint="eastAsia"/>
        </w:rPr>
        <w:t>根据随后经过修订的“关于捷克共和国的机关对向其他人转移国家财产事项的管辖权和关于捷克共和国国家财产基金的第</w:t>
      </w:r>
      <w:r>
        <w:rPr>
          <w:rFonts w:hint="eastAsia"/>
        </w:rPr>
        <w:t>171/1991 Coll.</w:t>
      </w:r>
      <w:r>
        <w:rPr>
          <w:rFonts w:hint="eastAsia"/>
          <w:lang w:val="fr-CH"/>
        </w:rPr>
        <w:t>号法令”。该基金的财产不属于国家预算的一部分，并且可以根据政府的提议为资助众议院所具体指定的基金会的目的尤其用于向基金会投资基金进行转移</w:t>
      </w:r>
      <w:r>
        <w:rPr>
          <w:rFonts w:hint="eastAsia"/>
          <w:lang w:val="fr-CH"/>
        </w:rPr>
        <w:t>(</w:t>
      </w:r>
      <w:r>
        <w:rPr>
          <w:rFonts w:hint="eastAsia"/>
          <w:lang w:val="fr-CH"/>
        </w:rPr>
        <w:t>上述法令第</w:t>
      </w:r>
      <w:r>
        <w:rPr>
          <w:rFonts w:hint="eastAsia"/>
          <w:lang w:val="fr-CH"/>
        </w:rPr>
        <w:t>18</w:t>
      </w:r>
      <w:r>
        <w:rPr>
          <w:rFonts w:hint="eastAsia"/>
          <w:lang w:val="fr-CH"/>
        </w:rPr>
        <w:t>条，第</w:t>
      </w:r>
      <w:r>
        <w:rPr>
          <w:rFonts w:hint="eastAsia"/>
          <w:lang w:val="fr-CH"/>
        </w:rPr>
        <w:t>2</w:t>
      </w:r>
      <w:r>
        <w:t>(a)</w:t>
      </w:r>
      <w:r>
        <w:rPr>
          <w:rFonts w:hint="eastAsia"/>
          <w:lang w:val="fr-CH"/>
        </w:rPr>
        <w:t>款</w:t>
      </w:r>
      <w:r>
        <w:rPr>
          <w:rFonts w:hint="eastAsia"/>
          <w:lang w:val="fr-CH"/>
        </w:rPr>
        <w:t>)</w:t>
      </w:r>
      <w:r>
        <w:rPr>
          <w:rFonts w:hint="eastAsia"/>
          <w:lang w:val="fr-CH"/>
        </w:rPr>
        <w:t>。第一阶段分配基金会投资基金的资金的条件根据</w:t>
      </w:r>
      <w:r>
        <w:rPr>
          <w:rFonts w:hint="eastAsia"/>
          <w:lang w:val="fr-CH"/>
        </w:rPr>
        <w:t>1998</w:t>
      </w:r>
      <w:r>
        <w:rPr>
          <w:rFonts w:hint="eastAsia"/>
          <w:lang w:val="fr-CH"/>
        </w:rPr>
        <w:t>年</w:t>
      </w:r>
      <w:r>
        <w:rPr>
          <w:rFonts w:hint="eastAsia"/>
          <w:lang w:val="fr-CH"/>
        </w:rPr>
        <w:t>5</w:t>
      </w:r>
      <w:r>
        <w:rPr>
          <w:rFonts w:hint="eastAsia"/>
          <w:lang w:val="fr-CH"/>
        </w:rPr>
        <w:t>月</w:t>
      </w:r>
      <w:r>
        <w:rPr>
          <w:rFonts w:hint="eastAsia"/>
          <w:lang w:val="fr-CH"/>
        </w:rPr>
        <w:t>27</w:t>
      </w:r>
      <w:r>
        <w:rPr>
          <w:rFonts w:hint="eastAsia"/>
          <w:lang w:val="fr-CH"/>
        </w:rPr>
        <w:t>日第</w:t>
      </w:r>
      <w:r>
        <w:rPr>
          <w:rFonts w:hint="eastAsia"/>
          <w:lang w:val="fr-CH"/>
        </w:rPr>
        <w:t>360</w:t>
      </w:r>
      <w:r>
        <w:rPr>
          <w:rFonts w:hint="eastAsia"/>
          <w:lang w:val="fr-CH"/>
        </w:rPr>
        <w:t>号政府决议确定；第二阶段分配计划拨给基金会投资基金的、通过出售股份获得的资金的基本规则根据</w:t>
      </w:r>
      <w:r>
        <w:rPr>
          <w:rFonts w:hint="eastAsia"/>
          <w:lang w:val="fr-CH"/>
        </w:rPr>
        <w:t>1999</w:t>
      </w:r>
      <w:r>
        <w:rPr>
          <w:rFonts w:hint="eastAsia"/>
          <w:lang w:val="fr-CH"/>
        </w:rPr>
        <w:t>年</w:t>
      </w:r>
      <w:r>
        <w:rPr>
          <w:rFonts w:hint="eastAsia"/>
          <w:lang w:val="fr-CH"/>
        </w:rPr>
        <w:t>9</w:t>
      </w:r>
      <w:r>
        <w:rPr>
          <w:rFonts w:hint="eastAsia"/>
          <w:lang w:val="fr-CH"/>
        </w:rPr>
        <w:t>月</w:t>
      </w:r>
      <w:r>
        <w:rPr>
          <w:rFonts w:hint="eastAsia"/>
          <w:lang w:val="fr-CH"/>
        </w:rPr>
        <w:t>29</w:t>
      </w:r>
      <w:r>
        <w:rPr>
          <w:rFonts w:hint="eastAsia"/>
          <w:lang w:val="fr-CH"/>
        </w:rPr>
        <w:t>日第</w:t>
      </w:r>
      <w:r>
        <w:rPr>
          <w:rFonts w:hint="eastAsia"/>
          <w:lang w:val="fr-CH"/>
        </w:rPr>
        <w:t>1002</w:t>
      </w:r>
      <w:r>
        <w:rPr>
          <w:rFonts w:hint="eastAsia"/>
          <w:lang w:val="fr-CH"/>
        </w:rPr>
        <w:t>号政府决议获得批准。</w:t>
      </w:r>
    </w:p>
  </w:endnote>
  <w:endnote w:id="44">
    <w:p w:rsidR="00000000" w:rsidRDefault="00000000">
      <w:pPr>
        <w:pStyle w:val="EndnoteText"/>
        <w:rPr>
          <w:rFonts w:hint="eastAsia"/>
          <w:lang w:val="fr-CH"/>
        </w:rPr>
      </w:pPr>
      <w:r>
        <w:rPr>
          <w:rStyle w:val="EndnoteReference"/>
        </w:rPr>
        <w:endnoteRef/>
      </w:r>
      <w:r>
        <w:rPr>
          <w:lang w:val="fr-CH"/>
        </w:rPr>
        <w:t xml:space="preserve"> </w:t>
      </w:r>
      <w:r>
        <w:rPr>
          <w:rFonts w:hint="eastAsia"/>
          <w:lang w:val="fr-CH"/>
        </w:rPr>
        <w:tab/>
      </w:r>
      <w:r>
        <w:rPr>
          <w:rFonts w:hint="eastAsia"/>
        </w:rPr>
        <w:t>外交部</w:t>
      </w:r>
      <w:r>
        <w:rPr>
          <w:rFonts w:hint="eastAsia"/>
          <w:lang w:val="fr-CH"/>
        </w:rPr>
        <w:t>1976</w:t>
      </w:r>
      <w:r>
        <w:rPr>
          <w:rFonts w:hint="eastAsia"/>
        </w:rPr>
        <w:t>年</w:t>
      </w:r>
      <w:r>
        <w:rPr>
          <w:rFonts w:hint="eastAsia"/>
          <w:lang w:val="fr-CH"/>
        </w:rPr>
        <w:t>5</w:t>
      </w:r>
      <w:r>
        <w:rPr>
          <w:rFonts w:hint="eastAsia"/>
        </w:rPr>
        <w:t>月</w:t>
      </w:r>
      <w:r>
        <w:rPr>
          <w:rFonts w:hint="eastAsia"/>
          <w:lang w:val="fr-CH"/>
        </w:rPr>
        <w:t>10</w:t>
      </w:r>
      <w:r>
        <w:rPr>
          <w:rFonts w:hint="eastAsia"/>
          <w:lang w:val="fr-CH"/>
        </w:rPr>
        <w:t>日“关于《公民权利和政治权利国际公约》和《经济、社会、文化权利国际公约》的第</w:t>
      </w:r>
      <w:r>
        <w:rPr>
          <w:rFonts w:hint="eastAsia"/>
          <w:lang w:val="fr-CH"/>
        </w:rPr>
        <w:t xml:space="preserve">120/1976 </w:t>
      </w:r>
      <w:r>
        <w:t>Coll.</w:t>
      </w:r>
      <w:r>
        <w:rPr>
          <w:rFonts w:hint="eastAsia"/>
          <w:lang w:val="fr-CH"/>
        </w:rPr>
        <w:t>号法令”。</w:t>
      </w:r>
    </w:p>
  </w:endnote>
  <w:endnote w:id="45">
    <w:p w:rsidR="00000000" w:rsidRDefault="00000000">
      <w:pPr>
        <w:pStyle w:val="EndnoteText"/>
        <w:rPr>
          <w:rFonts w:hint="eastAsia"/>
          <w:lang w:val="fr-CH"/>
        </w:rPr>
      </w:pPr>
      <w:r>
        <w:rPr>
          <w:rStyle w:val="EndnoteReference"/>
        </w:rPr>
        <w:endnoteRef/>
      </w:r>
      <w:r>
        <w:t xml:space="preserve"> </w:t>
      </w:r>
      <w:r>
        <w:rPr>
          <w:rFonts w:hint="eastAsia"/>
        </w:rPr>
        <w:tab/>
      </w:r>
      <w:r>
        <w:rPr>
          <w:rFonts w:hint="eastAsia"/>
        </w:rPr>
        <w:t>随后经过修订的“关于环境的第</w:t>
      </w:r>
      <w:r>
        <w:rPr>
          <w:rFonts w:hint="eastAsia"/>
        </w:rPr>
        <w:t>17/1992</w:t>
      </w:r>
      <w:r>
        <w:t xml:space="preserve"> Coll.</w:t>
      </w:r>
      <w:r>
        <w:rPr>
          <w:rFonts w:hint="eastAsia"/>
          <w:lang w:val="fr-CH"/>
        </w:rPr>
        <w:t>号法令”，尤其是“关于环境信息权的第</w:t>
      </w:r>
      <w:r>
        <w:rPr>
          <w:rFonts w:hint="eastAsia"/>
          <w:lang w:val="fr-CH"/>
        </w:rPr>
        <w:t>123/1998</w:t>
      </w:r>
      <w:r>
        <w:rPr>
          <w:rFonts w:hint="eastAsia"/>
          <w:lang w:val="fr-CH"/>
        </w:rPr>
        <w:t>号法令”。</w:t>
      </w:r>
    </w:p>
  </w:endnote>
  <w:endnote w:id="46">
    <w:p w:rsidR="00000000" w:rsidRDefault="00000000">
      <w:pPr>
        <w:pStyle w:val="EndnoteText"/>
        <w:rPr>
          <w:rFonts w:hint="eastAsia"/>
        </w:rPr>
      </w:pPr>
      <w:r>
        <w:rPr>
          <w:rStyle w:val="EndnoteReference"/>
        </w:rPr>
        <w:endnoteRef/>
      </w:r>
      <w:r>
        <w:t xml:space="preserve"> </w:t>
      </w:r>
      <w:r>
        <w:rPr>
          <w:rFonts w:hint="eastAsia"/>
        </w:rPr>
        <w:tab/>
      </w:r>
      <w:r>
        <w:rPr>
          <w:rFonts w:hint="eastAsia"/>
        </w:rPr>
        <w:t>经济合作与发展组织</w:t>
      </w:r>
      <w:r>
        <w:rPr>
          <w:rFonts w:hint="eastAsia"/>
        </w:rPr>
        <w:t>(</w:t>
      </w:r>
      <w:r>
        <w:rPr>
          <w:rFonts w:hint="eastAsia"/>
        </w:rPr>
        <w:t>经合组织</w:t>
      </w:r>
      <w:r>
        <w:rPr>
          <w:rFonts w:hint="eastAsia"/>
        </w:rPr>
        <w:t>)</w:t>
      </w:r>
      <w:r>
        <w:rPr>
          <w:rFonts w:hint="eastAsia"/>
        </w:rPr>
        <w:t>。</w:t>
      </w:r>
    </w:p>
  </w:endnote>
  <w:endnote w:id="47">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w:t>
      </w:r>
      <w:r>
        <w:rPr>
          <w:rFonts w:hint="eastAsia"/>
        </w:rPr>
        <w:t>1999</w:t>
      </w:r>
      <w:r>
        <w:rPr>
          <w:rFonts w:hint="eastAsia"/>
        </w:rPr>
        <w:t>年</w:t>
      </w:r>
      <w:r>
        <w:rPr>
          <w:rFonts w:hint="eastAsia"/>
        </w:rPr>
        <w:t>4</w:t>
      </w:r>
      <w:r>
        <w:rPr>
          <w:rFonts w:hint="eastAsia"/>
        </w:rPr>
        <w:t>月</w:t>
      </w:r>
      <w:r>
        <w:rPr>
          <w:rFonts w:hint="eastAsia"/>
        </w:rPr>
        <w:t>14</w:t>
      </w:r>
      <w:r>
        <w:rPr>
          <w:rFonts w:hint="eastAsia"/>
        </w:rPr>
        <w:t>日关于解决某些工业公司经济问题的第</w:t>
      </w:r>
      <w:r>
        <w:rPr>
          <w:rFonts w:hint="eastAsia"/>
        </w:rPr>
        <w:t>354/1999</w:t>
      </w:r>
      <w:r>
        <w:rPr>
          <w:rFonts w:hint="eastAsia"/>
        </w:rPr>
        <w:t>号决议”。</w:t>
      </w:r>
    </w:p>
  </w:endnote>
  <w:endnote w:id="48">
    <w:p w:rsidR="00000000" w:rsidRDefault="00000000">
      <w:pPr>
        <w:pStyle w:val="EndnoteText"/>
        <w:rPr>
          <w:rFonts w:hint="eastAsia"/>
        </w:rPr>
      </w:pPr>
      <w:r>
        <w:rPr>
          <w:rStyle w:val="EndnoteReference"/>
        </w:rPr>
        <w:endnoteRef/>
      </w:r>
      <w:r>
        <w:t xml:space="preserve"> </w:t>
      </w:r>
      <w:r>
        <w:rPr>
          <w:rFonts w:hint="eastAsia"/>
        </w:rPr>
        <w:tab/>
      </w:r>
      <w:r>
        <w:rPr>
          <w:rFonts w:hint="eastAsia"/>
        </w:rPr>
        <w:t>国际货币基金组织</w:t>
      </w:r>
      <w:r>
        <w:rPr>
          <w:rFonts w:hint="eastAsia"/>
        </w:rPr>
        <w:t>(</w:t>
      </w:r>
      <w:r>
        <w:rPr>
          <w:rFonts w:hint="eastAsia"/>
        </w:rPr>
        <w:t>货币基金组织</w:t>
      </w:r>
      <w:r>
        <w:rPr>
          <w:rFonts w:hint="eastAsia"/>
        </w:rPr>
        <w:t>)</w:t>
      </w:r>
      <w:r>
        <w:rPr>
          <w:rFonts w:hint="eastAsia"/>
        </w:rPr>
        <w:t>。</w:t>
      </w:r>
    </w:p>
  </w:endnote>
  <w:endnote w:id="49">
    <w:p w:rsidR="00000000" w:rsidRDefault="00000000">
      <w:pPr>
        <w:pStyle w:val="EndnoteText"/>
        <w:rPr>
          <w:rFonts w:hint="eastAsia"/>
        </w:rPr>
      </w:pPr>
      <w:r>
        <w:rPr>
          <w:rStyle w:val="EndnoteReference"/>
        </w:rPr>
        <w:endnoteRef/>
      </w:r>
      <w:r>
        <w:t xml:space="preserve"> </w:t>
      </w:r>
      <w:r>
        <w:rPr>
          <w:rFonts w:hint="eastAsia"/>
        </w:rPr>
        <w:tab/>
      </w:r>
      <w:r>
        <w:rPr>
          <w:rFonts w:hint="eastAsia"/>
        </w:rPr>
        <w:t>世界贸易组织</w:t>
      </w:r>
      <w:r>
        <w:rPr>
          <w:rFonts w:hint="eastAsia"/>
        </w:rPr>
        <w:t>(</w:t>
      </w:r>
      <w:r>
        <w:rPr>
          <w:rFonts w:hint="eastAsia"/>
        </w:rPr>
        <w:t>世贸组织</w:t>
      </w:r>
      <w:r>
        <w:rPr>
          <w:rFonts w:hint="eastAsia"/>
        </w:rPr>
        <w:t>)</w:t>
      </w:r>
      <w:r>
        <w:rPr>
          <w:rFonts w:hint="eastAsia"/>
        </w:rPr>
        <w:t>。</w:t>
      </w:r>
    </w:p>
  </w:endnote>
  <w:endnote w:id="50">
    <w:p w:rsidR="00000000" w:rsidRDefault="00000000">
      <w:pPr>
        <w:pStyle w:val="EndnoteText"/>
        <w:rPr>
          <w:rFonts w:hint="eastAsia"/>
        </w:rPr>
      </w:pPr>
      <w:r>
        <w:rPr>
          <w:rStyle w:val="EndnoteReference"/>
        </w:rPr>
        <w:endnoteRef/>
      </w:r>
      <w:r>
        <w:t xml:space="preserve"> </w:t>
      </w:r>
      <w:r>
        <w:tab/>
      </w:r>
      <w:r>
        <w:rPr>
          <w:rFonts w:hint="eastAsia"/>
        </w:rPr>
        <w:t>《中欧自由贸易协定》。</w:t>
      </w:r>
    </w:p>
  </w:endnote>
  <w:endnote w:id="51">
    <w:p w:rsidR="00000000" w:rsidRDefault="00000000">
      <w:pPr>
        <w:pStyle w:val="EndnoteText"/>
        <w:rPr>
          <w:rFonts w:hint="eastAsia"/>
        </w:rPr>
      </w:pPr>
      <w:r>
        <w:rPr>
          <w:rStyle w:val="EndnoteReference"/>
        </w:rPr>
        <w:endnoteRef/>
      </w:r>
      <w:r>
        <w:t xml:space="preserve"> </w:t>
      </w:r>
      <w:r>
        <w:tab/>
      </w:r>
      <w:r>
        <w:rPr>
          <w:rFonts w:hint="eastAsia"/>
        </w:rPr>
        <w:t>随后经过修订的“捷克共和国国有财产管理和私有化部关于确定有约束力的私有化方案筹备工作纲要的第</w:t>
      </w:r>
      <w:r>
        <w:rPr>
          <w:rFonts w:hint="eastAsia"/>
        </w:rPr>
        <w:t>324/1991 C</w:t>
      </w:r>
      <w:r>
        <w:t>oll.</w:t>
      </w:r>
      <w:r>
        <w:rPr>
          <w:rFonts w:hint="eastAsia"/>
        </w:rPr>
        <w:t>号</w:t>
      </w:r>
      <w:r>
        <w:rPr>
          <w:rFonts w:hint="eastAsia"/>
          <w:lang w:val="fr-CH"/>
        </w:rPr>
        <w:t>法令”</w:t>
      </w:r>
      <w:r>
        <w:rPr>
          <w:rFonts w:hint="eastAsia"/>
        </w:rPr>
        <w:t>。</w:t>
      </w:r>
    </w:p>
  </w:endnote>
  <w:endnote w:id="52">
    <w:p w:rsidR="00000000" w:rsidRDefault="00000000">
      <w:pPr>
        <w:pStyle w:val="EndnoteText"/>
        <w:rPr>
          <w:rFonts w:hint="eastAsia"/>
        </w:rPr>
      </w:pPr>
      <w:r>
        <w:rPr>
          <w:rStyle w:val="EndnoteReference"/>
        </w:rPr>
        <w:endnoteRef/>
      </w:r>
      <w:r>
        <w:t xml:space="preserve"> </w:t>
      </w:r>
      <w:r>
        <w:tab/>
      </w:r>
      <w:r>
        <w:rPr>
          <w:rFonts w:hint="eastAsia"/>
        </w:rPr>
        <w:t>随后经过修订的“关于修订有关就业的第</w:t>
      </w:r>
      <w:r>
        <w:rPr>
          <w:rFonts w:hint="eastAsia"/>
        </w:rPr>
        <w:t>1/1991 C</w:t>
      </w:r>
      <w:r>
        <w:t>oll.</w:t>
      </w:r>
      <w:r>
        <w:rPr>
          <w:rFonts w:hint="eastAsia"/>
        </w:rPr>
        <w:t>号法令的第</w:t>
      </w:r>
      <w:r>
        <w:rPr>
          <w:rFonts w:hint="eastAsia"/>
        </w:rPr>
        <w:t>167/1999</w:t>
      </w:r>
      <w:r>
        <w:t xml:space="preserve"> Coll. </w:t>
      </w:r>
      <w:r>
        <w:rPr>
          <w:rFonts w:hint="eastAsia"/>
        </w:rPr>
        <w:t>号法令”，随后经过修订的“关于捷克共和国就业部门各机构的雇用和管辖权的第</w:t>
      </w:r>
      <w:r>
        <w:rPr>
          <w:rFonts w:hint="eastAsia"/>
        </w:rPr>
        <w:t>9/1991 Co</w:t>
      </w:r>
      <w:r>
        <w:t xml:space="preserve">ll. </w:t>
      </w:r>
      <w:r>
        <w:rPr>
          <w:rFonts w:hint="eastAsia"/>
        </w:rPr>
        <w:t>号</w:t>
      </w:r>
      <w:r>
        <w:rPr>
          <w:rFonts w:hint="eastAsia"/>
          <w:lang w:val="fr-CH"/>
        </w:rPr>
        <w:t>法令”</w:t>
      </w:r>
      <w:r>
        <w:rPr>
          <w:rFonts w:hint="eastAsia"/>
        </w:rPr>
        <w:t>，随后经过修订的“关于行政收费的第</w:t>
      </w:r>
      <w:r>
        <w:rPr>
          <w:rFonts w:hint="eastAsia"/>
        </w:rPr>
        <w:t>368/1992 C</w:t>
      </w:r>
      <w:r>
        <w:t xml:space="preserve">oll. </w:t>
      </w:r>
      <w:r>
        <w:rPr>
          <w:rFonts w:hint="eastAsia"/>
        </w:rPr>
        <w:t>号</w:t>
      </w:r>
      <w:r>
        <w:rPr>
          <w:rFonts w:hint="eastAsia"/>
          <w:lang w:val="fr-CH"/>
        </w:rPr>
        <w:t>法令”</w:t>
      </w:r>
      <w:r>
        <w:rPr>
          <w:rFonts w:hint="eastAsia"/>
        </w:rPr>
        <w:t>，以及随后经过修订的“关于劳动法的第</w:t>
      </w:r>
      <w:r>
        <w:rPr>
          <w:rFonts w:hint="eastAsia"/>
        </w:rPr>
        <w:t>65/1965 C</w:t>
      </w:r>
      <w:r>
        <w:t xml:space="preserve">oll. </w:t>
      </w:r>
      <w:r>
        <w:rPr>
          <w:rFonts w:hint="eastAsia"/>
        </w:rPr>
        <w:t>号</w:t>
      </w:r>
      <w:r>
        <w:rPr>
          <w:rFonts w:hint="eastAsia"/>
          <w:lang w:val="fr-CH"/>
        </w:rPr>
        <w:t>法令”</w:t>
      </w:r>
      <w:r>
        <w:rPr>
          <w:rFonts w:hint="eastAsia"/>
        </w:rPr>
        <w:t>。</w:t>
      </w:r>
    </w:p>
  </w:endnote>
  <w:endnote w:id="53">
    <w:p w:rsidR="00000000" w:rsidRDefault="00000000">
      <w:pPr>
        <w:pStyle w:val="EndnoteText"/>
        <w:rPr>
          <w:rFonts w:hint="eastAsia"/>
        </w:rPr>
      </w:pPr>
      <w:r>
        <w:rPr>
          <w:rStyle w:val="EndnoteReference"/>
        </w:rPr>
        <w:endnoteRef/>
      </w:r>
      <w:r>
        <w:t xml:space="preserve"> </w:t>
      </w:r>
      <w:r>
        <w:tab/>
      </w:r>
      <w:r>
        <w:rPr>
          <w:rFonts w:hint="eastAsia"/>
        </w:rPr>
        <w:t>随后经过修订的“关于小学、中学和中学后职业学校教育制度的第</w:t>
      </w:r>
      <w:r>
        <w:rPr>
          <w:rFonts w:hint="eastAsia"/>
        </w:rPr>
        <w:t xml:space="preserve">29/1984 </w:t>
      </w:r>
      <w:r>
        <w:t xml:space="preserve">Coll. </w:t>
      </w:r>
      <w:r>
        <w:rPr>
          <w:rFonts w:hint="eastAsia"/>
        </w:rPr>
        <w:t>号法令”</w:t>
      </w:r>
      <w:r>
        <w:rPr>
          <w:rFonts w:hint="eastAsia"/>
        </w:rPr>
        <w:t>(</w:t>
      </w:r>
      <w:r>
        <w:rPr>
          <w:rFonts w:hint="eastAsia"/>
        </w:rPr>
        <w:t>“中小学法”</w:t>
      </w:r>
      <w:r>
        <w:rPr>
          <w:rFonts w:hint="eastAsia"/>
        </w:rPr>
        <w:t>)</w:t>
      </w:r>
      <w:r>
        <w:rPr>
          <w:rFonts w:hint="eastAsia"/>
        </w:rPr>
        <w:t>。</w:t>
      </w:r>
    </w:p>
  </w:endnote>
  <w:endnote w:id="54">
    <w:p w:rsidR="00000000" w:rsidRDefault="00000000">
      <w:pPr>
        <w:pStyle w:val="EndnoteText"/>
        <w:rPr>
          <w:rFonts w:hint="eastAsia"/>
        </w:rPr>
      </w:pPr>
      <w:r>
        <w:rPr>
          <w:rStyle w:val="EndnoteReference"/>
        </w:rPr>
        <w:endnoteRef/>
      </w:r>
      <w:r>
        <w:t xml:space="preserve"> </w:t>
      </w:r>
      <w:r>
        <w:tab/>
      </w:r>
      <w:r>
        <w:rPr>
          <w:rFonts w:hint="eastAsia"/>
        </w:rPr>
        <w:t>随后经过修订的“关于国家及地方教育行政部门的第</w:t>
      </w:r>
      <w:r>
        <w:rPr>
          <w:rFonts w:hint="eastAsia"/>
        </w:rPr>
        <w:t>564/1990 C</w:t>
      </w:r>
      <w:r>
        <w:t>oll.</w:t>
      </w:r>
      <w:r>
        <w:rPr>
          <w:rFonts w:hint="eastAsia"/>
        </w:rPr>
        <w:t>号</w:t>
      </w:r>
      <w:r>
        <w:rPr>
          <w:rFonts w:hint="eastAsia"/>
          <w:lang w:val="fr-CH"/>
        </w:rPr>
        <w:t>法令”</w:t>
      </w:r>
      <w:r>
        <w:rPr>
          <w:rFonts w:hint="eastAsia"/>
        </w:rPr>
        <w:t>。</w:t>
      </w:r>
    </w:p>
  </w:endnote>
  <w:endnote w:id="55">
    <w:p w:rsidR="00000000" w:rsidRDefault="00000000">
      <w:pPr>
        <w:pStyle w:val="EndnoteText"/>
        <w:rPr>
          <w:rFonts w:hint="eastAsia"/>
        </w:rPr>
      </w:pPr>
      <w:r>
        <w:rPr>
          <w:rStyle w:val="EndnoteReference"/>
        </w:rPr>
        <w:endnoteRef/>
      </w:r>
      <w:r>
        <w:t xml:space="preserve"> </w:t>
      </w:r>
      <w:r>
        <w:tab/>
      </w:r>
      <w:r>
        <w:rPr>
          <w:rFonts w:hint="eastAsia"/>
        </w:rPr>
        <w:t>随后经过修订的“关于中小学教育设施的第</w:t>
      </w:r>
      <w:r>
        <w:rPr>
          <w:rFonts w:hint="eastAsia"/>
        </w:rPr>
        <w:t>76/1978 C</w:t>
      </w:r>
      <w:r>
        <w:t>oll.</w:t>
      </w:r>
      <w:r>
        <w:rPr>
          <w:rFonts w:hint="eastAsia"/>
        </w:rPr>
        <w:t>号</w:t>
      </w:r>
      <w:r>
        <w:rPr>
          <w:rFonts w:hint="eastAsia"/>
          <w:lang w:val="fr-CH"/>
        </w:rPr>
        <w:t>法令”</w:t>
      </w:r>
      <w:r>
        <w:rPr>
          <w:rFonts w:hint="eastAsia"/>
        </w:rPr>
        <w:t>。</w:t>
      </w:r>
    </w:p>
  </w:endnote>
  <w:endnote w:id="56">
    <w:p w:rsidR="00000000" w:rsidRDefault="00000000">
      <w:pPr>
        <w:pStyle w:val="EndnoteText"/>
        <w:rPr>
          <w:rFonts w:hint="eastAsia"/>
        </w:rPr>
      </w:pPr>
      <w:r>
        <w:rPr>
          <w:rStyle w:val="EndnoteReference"/>
        </w:rPr>
        <w:endnoteRef/>
      </w:r>
      <w:r>
        <w:t xml:space="preserve"> </w:t>
      </w:r>
      <w:r>
        <w:tab/>
      </w:r>
      <w:r>
        <w:rPr>
          <w:rFonts w:hint="eastAsia"/>
        </w:rPr>
        <w:t>“关于大学教育以及修订和补充其它法律的第</w:t>
      </w:r>
      <w:r>
        <w:rPr>
          <w:rFonts w:hint="eastAsia"/>
        </w:rPr>
        <w:t>111/1998 C</w:t>
      </w:r>
      <w:r>
        <w:t>oll.</w:t>
      </w:r>
      <w:r>
        <w:rPr>
          <w:rFonts w:hint="eastAsia"/>
        </w:rPr>
        <w:t>号</w:t>
      </w:r>
      <w:r>
        <w:rPr>
          <w:rFonts w:hint="eastAsia"/>
          <w:lang w:val="fr-CH"/>
        </w:rPr>
        <w:t>法令”</w:t>
      </w:r>
      <w:r>
        <w:rPr>
          <w:rFonts w:hint="eastAsia"/>
        </w:rPr>
        <w:t>。</w:t>
      </w:r>
    </w:p>
  </w:endnote>
  <w:endnote w:id="57">
    <w:p w:rsidR="00000000" w:rsidRDefault="00000000">
      <w:pPr>
        <w:pStyle w:val="EndnoteText"/>
        <w:rPr>
          <w:rFonts w:hint="eastAsia"/>
        </w:rPr>
      </w:pPr>
      <w:r>
        <w:rPr>
          <w:rStyle w:val="EndnoteReference"/>
        </w:rPr>
        <w:endnoteRef/>
      </w:r>
      <w:r>
        <w:t xml:space="preserve"> </w:t>
      </w:r>
      <w:r>
        <w:tab/>
      </w:r>
      <w:r>
        <w:rPr>
          <w:rFonts w:hint="eastAsia"/>
        </w:rPr>
        <w:t>随后经过修订的“关于公共卫生的第</w:t>
      </w:r>
      <w:r>
        <w:rPr>
          <w:rFonts w:hint="eastAsia"/>
        </w:rPr>
        <w:t>20/1966 C</w:t>
      </w:r>
      <w:r>
        <w:t>oll.</w:t>
      </w:r>
      <w:r>
        <w:rPr>
          <w:rFonts w:hint="eastAsia"/>
        </w:rPr>
        <w:t>号</w:t>
      </w:r>
      <w:r>
        <w:rPr>
          <w:rFonts w:hint="eastAsia"/>
          <w:lang w:val="fr-CH"/>
        </w:rPr>
        <w:t>法令”</w:t>
      </w:r>
      <w:r>
        <w:rPr>
          <w:rFonts w:hint="eastAsia"/>
        </w:rPr>
        <w:t>。</w:t>
      </w:r>
    </w:p>
  </w:endnote>
  <w:endnote w:id="58">
    <w:p w:rsidR="00000000" w:rsidRDefault="00000000">
      <w:pPr>
        <w:pStyle w:val="EndnoteText"/>
        <w:rPr>
          <w:rFonts w:hint="eastAsia"/>
        </w:rPr>
      </w:pPr>
      <w:r>
        <w:rPr>
          <w:rStyle w:val="EndnoteReference"/>
        </w:rPr>
        <w:endnoteRef/>
      </w:r>
      <w:r>
        <w:t xml:space="preserve"> </w:t>
      </w:r>
      <w:r>
        <w:tab/>
      </w:r>
      <w:r>
        <w:rPr>
          <w:rFonts w:hint="eastAsia"/>
        </w:rPr>
        <w:t>随后经过修订的“关于消费者保护的第</w:t>
      </w:r>
      <w:r>
        <w:rPr>
          <w:rFonts w:hint="eastAsia"/>
        </w:rPr>
        <w:t xml:space="preserve">634/1992 </w:t>
      </w:r>
      <w:r>
        <w:t xml:space="preserve">Coll. </w:t>
      </w:r>
      <w:r>
        <w:rPr>
          <w:rFonts w:hint="eastAsia"/>
        </w:rPr>
        <w:t>号</w:t>
      </w:r>
      <w:r>
        <w:rPr>
          <w:rFonts w:hint="eastAsia"/>
          <w:lang w:val="fr-CH"/>
        </w:rPr>
        <w:t>法令”</w:t>
      </w:r>
      <w:r>
        <w:rPr>
          <w:rFonts w:hint="eastAsia"/>
        </w:rPr>
        <w:t>。</w:t>
      </w:r>
    </w:p>
  </w:endnote>
  <w:endnote w:id="59">
    <w:p w:rsidR="00000000" w:rsidRDefault="00000000">
      <w:pPr>
        <w:pStyle w:val="EndnoteText"/>
        <w:rPr>
          <w:rFonts w:hint="eastAsia"/>
        </w:rPr>
      </w:pPr>
      <w:r>
        <w:rPr>
          <w:rStyle w:val="EndnoteReference"/>
        </w:rPr>
        <w:endnoteRef/>
      </w:r>
      <w:r>
        <w:t xml:space="preserve"> </w:t>
      </w:r>
      <w:r>
        <w:tab/>
      </w:r>
      <w:r>
        <w:rPr>
          <w:rFonts w:hint="eastAsia"/>
        </w:rPr>
        <w:t>根据“经过第</w:t>
      </w:r>
      <w:r>
        <w:rPr>
          <w:rFonts w:hint="eastAsia"/>
        </w:rPr>
        <w:t>425/1992 C</w:t>
      </w:r>
      <w:r>
        <w:t xml:space="preserve">oll. </w:t>
      </w:r>
      <w:r>
        <w:rPr>
          <w:rFonts w:hint="eastAsia"/>
        </w:rPr>
        <w:t>号法令修订的、关于捷克共和国商业检视局的第</w:t>
      </w:r>
      <w:r>
        <w:rPr>
          <w:rFonts w:hint="eastAsia"/>
        </w:rPr>
        <w:t>64/1986 C</w:t>
      </w:r>
      <w:r>
        <w:t>oll.</w:t>
      </w:r>
      <w:r>
        <w:rPr>
          <w:rFonts w:hint="eastAsia"/>
        </w:rPr>
        <w:t xml:space="preserve"> </w:t>
      </w:r>
      <w:r>
        <w:rPr>
          <w:rFonts w:hint="eastAsia"/>
        </w:rPr>
        <w:t>号</w:t>
      </w:r>
      <w:r>
        <w:rPr>
          <w:rFonts w:hint="eastAsia"/>
          <w:lang w:val="fr-CH"/>
        </w:rPr>
        <w:t>法令”</w:t>
      </w:r>
      <w:r>
        <w:rPr>
          <w:rFonts w:hint="eastAsia"/>
        </w:rPr>
        <w:t>第</w:t>
      </w:r>
      <w:r>
        <w:rPr>
          <w:rFonts w:hint="eastAsia"/>
        </w:rPr>
        <w:t>12</w:t>
      </w:r>
      <w:r>
        <w:rPr>
          <w:rFonts w:hint="eastAsia"/>
        </w:rPr>
        <w:t>条的规定：“在确定罚款或惩罚性罚款的数额时，应当考虑到违法活动的严重程度、方法、持续时间和所产生的后果，如果受到检查的是自然人，还应考虑到过失程度。”</w:t>
      </w:r>
    </w:p>
  </w:endnote>
  <w:endnote w:id="60">
    <w:p w:rsidR="00000000" w:rsidRDefault="00000000">
      <w:pPr>
        <w:pStyle w:val="EndnoteText"/>
        <w:rPr>
          <w:rFonts w:hint="eastAsia"/>
        </w:rPr>
      </w:pPr>
      <w:r>
        <w:rPr>
          <w:rStyle w:val="EndnoteReference"/>
        </w:rPr>
        <w:endnoteRef/>
      </w:r>
      <w:r>
        <w:t xml:space="preserve"> </w:t>
      </w:r>
      <w:r>
        <w:tab/>
      </w:r>
      <w:r>
        <w:rPr>
          <w:rFonts w:hint="eastAsia"/>
        </w:rPr>
        <w:t>随后经过修订的“关于行政诉讼的第</w:t>
      </w:r>
      <w:r>
        <w:rPr>
          <w:rFonts w:hint="eastAsia"/>
        </w:rPr>
        <w:t>71/1967</w:t>
      </w:r>
      <w:r>
        <w:t xml:space="preserve"> Coll. </w:t>
      </w:r>
      <w:r>
        <w:rPr>
          <w:rFonts w:hint="eastAsia"/>
        </w:rPr>
        <w:t>号</w:t>
      </w:r>
      <w:r>
        <w:rPr>
          <w:rFonts w:hint="eastAsia"/>
          <w:lang w:val="fr-CH"/>
        </w:rPr>
        <w:t>法令”</w:t>
      </w:r>
      <w:r>
        <w:rPr>
          <w:rFonts w:hint="eastAsia"/>
        </w:rPr>
        <w:t>(</w:t>
      </w:r>
      <w:r>
        <w:rPr>
          <w:rFonts w:hint="eastAsia"/>
        </w:rPr>
        <w:t>《行政诉讼法》</w:t>
      </w:r>
      <w:r>
        <w:rPr>
          <w:rFonts w:hint="eastAsia"/>
        </w:rPr>
        <w:t>)</w:t>
      </w:r>
      <w:r>
        <w:rPr>
          <w:rFonts w:hint="eastAsia"/>
        </w:rPr>
        <w:t>，以及随后经过修订的“关于税费行政管理的第</w:t>
      </w:r>
      <w:r>
        <w:rPr>
          <w:rFonts w:hint="eastAsia"/>
        </w:rPr>
        <w:t xml:space="preserve">337/1992 </w:t>
      </w:r>
      <w:r>
        <w:rPr>
          <w:rFonts w:hint="eastAsia"/>
        </w:rPr>
        <w:tab/>
      </w:r>
      <w:r>
        <w:t xml:space="preserve">Coll. </w:t>
      </w:r>
      <w:r>
        <w:rPr>
          <w:rFonts w:hint="eastAsia"/>
        </w:rPr>
        <w:t>号</w:t>
      </w:r>
      <w:r>
        <w:rPr>
          <w:rFonts w:hint="eastAsia"/>
          <w:lang w:val="fr-CH"/>
        </w:rPr>
        <w:t>法令”</w:t>
      </w:r>
      <w:r>
        <w:rPr>
          <w:rFonts w:hint="eastAsia"/>
        </w:rPr>
        <w:t>。</w:t>
      </w:r>
    </w:p>
  </w:endnote>
  <w:endnote w:id="61">
    <w:p w:rsidR="00000000" w:rsidRDefault="00000000">
      <w:pPr>
        <w:pStyle w:val="EndnoteText"/>
        <w:rPr>
          <w:rFonts w:hint="eastAsia"/>
          <w:lang w:val="fr-CH"/>
        </w:rPr>
      </w:pPr>
      <w:r>
        <w:rPr>
          <w:rStyle w:val="EndnoteReference"/>
        </w:rPr>
        <w:endnoteRef/>
      </w:r>
      <w:r>
        <w:t xml:space="preserve"> </w:t>
      </w:r>
      <w:r>
        <w:rPr>
          <w:rFonts w:hint="eastAsia"/>
        </w:rPr>
        <w:tab/>
      </w:r>
      <w:r>
        <w:rPr>
          <w:rFonts w:hint="eastAsia"/>
        </w:rPr>
        <w:t>随后经过修订的“关于外国人在捷克斯洛伐克联邦共和国逗留和居住的第</w:t>
      </w:r>
      <w:r>
        <w:rPr>
          <w:rFonts w:hint="eastAsia"/>
        </w:rPr>
        <w:t xml:space="preserve">123/1992 </w:t>
      </w:r>
      <w:r>
        <w:t>Coll</w:t>
      </w:r>
      <w:r>
        <w:rPr>
          <w:rFonts w:hint="eastAsia"/>
          <w:lang w:val="fr-CH"/>
        </w:rPr>
        <w:t>.</w:t>
      </w:r>
      <w:r>
        <w:rPr>
          <w:rFonts w:hint="eastAsia"/>
          <w:lang w:val="fr-CH"/>
        </w:rPr>
        <w:t>号法令”。从</w:t>
      </w:r>
      <w:r>
        <w:rPr>
          <w:rFonts w:hint="eastAsia"/>
          <w:lang w:val="fr-CH"/>
        </w:rPr>
        <w:t>2000</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日起，新的第</w:t>
      </w:r>
      <w:r>
        <w:rPr>
          <w:rFonts w:hint="eastAsia"/>
          <w:lang w:val="fr-CH"/>
        </w:rPr>
        <w:t xml:space="preserve">326/1999 </w:t>
      </w:r>
      <w:r>
        <w:t>Coll</w:t>
      </w:r>
      <w:r>
        <w:rPr>
          <w:rFonts w:hint="eastAsia"/>
        </w:rPr>
        <w:t>.</w:t>
      </w:r>
      <w:r>
        <w:rPr>
          <w:rFonts w:hint="eastAsia"/>
        </w:rPr>
        <w:t>号《外国人在捷克共和国逗留和居住法》已经开始生效。</w:t>
      </w:r>
    </w:p>
  </w:endnote>
  <w:endnote w:id="62">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随后经过修订的“关于行政诉讼的第</w:t>
      </w:r>
      <w:r>
        <w:rPr>
          <w:rFonts w:hint="eastAsia"/>
        </w:rPr>
        <w:t xml:space="preserve">71/1967 </w:t>
      </w:r>
      <w:r>
        <w:t>Coll</w:t>
      </w:r>
      <w:r>
        <w:rPr>
          <w:rFonts w:hint="eastAsia"/>
        </w:rPr>
        <w:t>.</w:t>
      </w:r>
      <w:r>
        <w:rPr>
          <w:rFonts w:hint="eastAsia"/>
        </w:rPr>
        <w:t>号法令”。</w:t>
      </w:r>
    </w:p>
  </w:endnote>
  <w:endnote w:id="63">
    <w:p w:rsidR="00000000" w:rsidRDefault="00000000">
      <w:pPr>
        <w:pStyle w:val="EndnoteText"/>
        <w:rPr>
          <w:rFonts w:hint="eastAsia"/>
        </w:rPr>
      </w:pPr>
      <w:r>
        <w:rPr>
          <w:rStyle w:val="EndnoteReference"/>
        </w:rPr>
        <w:endnoteRef/>
      </w:r>
      <w:r>
        <w:t xml:space="preserve"> </w:t>
      </w:r>
      <w:r>
        <w:rPr>
          <w:rFonts w:hint="eastAsia"/>
        </w:rPr>
        <w:tab/>
      </w:r>
      <w:r>
        <w:rPr>
          <w:rFonts w:hint="eastAsia"/>
        </w:rPr>
        <w:t>“关于外国人在捷克共和国逗留和居住以及修订某些法令的第</w:t>
      </w:r>
      <w:r>
        <w:rPr>
          <w:rFonts w:hint="eastAsia"/>
        </w:rPr>
        <w:t xml:space="preserve">326/1999 </w:t>
      </w:r>
      <w:r>
        <w:t>Coll</w:t>
      </w:r>
      <w:r>
        <w:rPr>
          <w:rFonts w:hint="eastAsia"/>
        </w:rPr>
        <w:t>.</w:t>
      </w:r>
      <w:r>
        <w:rPr>
          <w:rFonts w:hint="eastAsia"/>
        </w:rPr>
        <w:t>号法令”。颁布长期居留证的条件在第</w:t>
      </w:r>
      <w:r>
        <w:rPr>
          <w:rFonts w:hint="eastAsia"/>
        </w:rPr>
        <w:t>65</w:t>
      </w:r>
      <w:r>
        <w:rPr>
          <w:rFonts w:hint="eastAsia"/>
        </w:rPr>
        <w:t>至</w:t>
      </w:r>
      <w:r>
        <w:rPr>
          <w:rFonts w:hint="eastAsia"/>
        </w:rPr>
        <w:t>67</w:t>
      </w:r>
      <w:r>
        <w:rPr>
          <w:rFonts w:hint="eastAsia"/>
        </w:rPr>
        <w:t>条中重新作出了规定。外国人不用满足以前规定的不间断停留的条件，就可以以</w:t>
      </w:r>
      <w:r>
        <w:rPr>
          <w:rFonts w:hint="eastAsia"/>
        </w:rPr>
        <w:t>(</w:t>
      </w:r>
      <w:r>
        <w:rPr>
          <w:rFonts w:hint="eastAsia"/>
        </w:rPr>
        <w:t>与捷克共和国公民</w:t>
      </w:r>
      <w:r>
        <w:rPr>
          <w:rFonts w:hint="eastAsia"/>
        </w:rPr>
        <w:t>)</w:t>
      </w:r>
      <w:r>
        <w:rPr>
          <w:rFonts w:hint="eastAsia"/>
        </w:rPr>
        <w:t>家庭团聚的目的、以人道主义理由或在政治上对捷克共和国有利的情况下申请永久居留证。根据关于永久居留证的第</w:t>
      </w:r>
      <w:r>
        <w:rPr>
          <w:rFonts w:hint="eastAsia"/>
        </w:rPr>
        <w:t>66</w:t>
      </w:r>
      <w:r>
        <w:rPr>
          <w:rFonts w:hint="eastAsia"/>
        </w:rPr>
        <w:t>条的规定，还可以在捷克共和国不间断停留八年之后申请与拥有永久居留地位的外国人进行家庭团聚。根据第</w:t>
      </w:r>
      <w:r>
        <w:rPr>
          <w:rFonts w:hint="eastAsia"/>
        </w:rPr>
        <w:t>67</w:t>
      </w:r>
      <w:r>
        <w:rPr>
          <w:rFonts w:hint="eastAsia"/>
        </w:rPr>
        <w:t>条的规定，所有外国人都可以在捷克共和国不间断停留累积十年之后申请永久居留证。</w:t>
      </w:r>
    </w:p>
  </w:endnote>
  <w:endnote w:id="64">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“捷克共和国外交事务部关于《关于难民地位的公约》</w:t>
      </w:r>
      <w:r>
        <w:rPr>
          <w:rFonts w:hint="eastAsia"/>
        </w:rPr>
        <w:t>(1951</w:t>
      </w:r>
      <w:r>
        <w:rPr>
          <w:rFonts w:hint="eastAsia"/>
        </w:rPr>
        <w:t>年</w:t>
      </w:r>
      <w:r>
        <w:rPr>
          <w:rFonts w:hint="eastAsia"/>
        </w:rPr>
        <w:t>)</w:t>
      </w:r>
      <w:r>
        <w:rPr>
          <w:rFonts w:hint="eastAsia"/>
        </w:rPr>
        <w:t>及其议定书</w:t>
      </w:r>
      <w:r>
        <w:rPr>
          <w:rFonts w:hint="eastAsia"/>
        </w:rPr>
        <w:t>(1967</w:t>
      </w:r>
      <w:r>
        <w:rPr>
          <w:rFonts w:hint="eastAsia"/>
        </w:rPr>
        <w:t>年</w:t>
      </w:r>
      <w:r>
        <w:rPr>
          <w:rFonts w:hint="eastAsia"/>
        </w:rPr>
        <w:t>)</w:t>
      </w:r>
      <w:r>
        <w:rPr>
          <w:rFonts w:hint="eastAsia"/>
        </w:rPr>
        <w:t>的第</w:t>
      </w:r>
      <w:r>
        <w:rPr>
          <w:rFonts w:hint="eastAsia"/>
        </w:rPr>
        <w:t xml:space="preserve">208/1993 </w:t>
      </w:r>
      <w:r>
        <w:t>Coll</w:t>
      </w:r>
      <w:r>
        <w:rPr>
          <w:rFonts w:hint="eastAsia"/>
        </w:rPr>
        <w:t>.</w:t>
      </w:r>
      <w:r>
        <w:rPr>
          <w:rFonts w:hint="eastAsia"/>
        </w:rPr>
        <w:t>号声明”。</w:t>
      </w:r>
    </w:p>
  </w:endnote>
  <w:endnote w:id="65">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随后经过修订的“关于难民的第</w:t>
      </w:r>
      <w:r>
        <w:rPr>
          <w:rFonts w:hint="eastAsia"/>
        </w:rPr>
        <w:t xml:space="preserve">498/1990 </w:t>
      </w:r>
      <w:r>
        <w:t>Coll</w:t>
      </w:r>
      <w:r>
        <w:rPr>
          <w:rFonts w:hint="eastAsia"/>
        </w:rPr>
        <w:t xml:space="preserve">. </w:t>
      </w:r>
      <w:r>
        <w:rPr>
          <w:rFonts w:hint="eastAsia"/>
        </w:rPr>
        <w:t>号法令”。</w:t>
      </w:r>
    </w:p>
  </w:endnote>
  <w:endnote w:id="66">
    <w:p w:rsidR="00000000" w:rsidRDefault="00000000">
      <w:pPr>
        <w:pStyle w:val="EndnoteText"/>
        <w:rPr>
          <w:rFonts w:hint="eastAsia"/>
        </w:rPr>
      </w:pPr>
      <w:r>
        <w:rPr>
          <w:rStyle w:val="EndnoteReference"/>
        </w:rPr>
        <w:endnoteRef/>
      </w:r>
      <w:r>
        <w:t xml:space="preserve"> </w:t>
      </w:r>
      <w:r>
        <w:rPr>
          <w:rFonts w:hint="eastAsia"/>
        </w:rPr>
        <w:tab/>
      </w:r>
      <w:r>
        <w:rPr>
          <w:rFonts w:hint="eastAsia"/>
        </w:rPr>
        <w:t>“关于取得和丧失捷克共和国国籍的第</w:t>
      </w:r>
      <w:r>
        <w:rPr>
          <w:rFonts w:hint="eastAsia"/>
        </w:rPr>
        <w:t xml:space="preserve">40/1993 </w:t>
      </w:r>
      <w:r>
        <w:t>Coll</w:t>
      </w:r>
      <w:r>
        <w:rPr>
          <w:rFonts w:hint="eastAsia"/>
        </w:rPr>
        <w:t>.</w:t>
      </w:r>
      <w:r>
        <w:rPr>
          <w:rFonts w:hint="eastAsia"/>
        </w:rPr>
        <w:t>号法令”，随后经过修订，尤其是第</w:t>
      </w:r>
      <w:r>
        <w:rPr>
          <w:rFonts w:hint="eastAsia"/>
        </w:rPr>
        <w:t xml:space="preserve">194/1999 </w:t>
      </w:r>
      <w:r>
        <w:t>Coll</w:t>
      </w:r>
      <w:r>
        <w:rPr>
          <w:rFonts w:hint="eastAsia"/>
        </w:rPr>
        <w:t>.</w:t>
      </w:r>
      <w:r>
        <w:rPr>
          <w:rFonts w:hint="eastAsia"/>
        </w:rPr>
        <w:t>号修正案。</w:t>
      </w:r>
    </w:p>
  </w:endnote>
  <w:endnote w:id="67">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随后经过修订的《关于庇护和修订关于捷克共和国警察事务的第</w:t>
      </w:r>
      <w:r>
        <w:rPr>
          <w:rFonts w:hint="eastAsia"/>
        </w:rPr>
        <w:t xml:space="preserve">283/1991 </w:t>
      </w:r>
      <w:r>
        <w:t>Coll</w:t>
      </w:r>
      <w:r>
        <w:rPr>
          <w:rFonts w:hint="eastAsia"/>
        </w:rPr>
        <w:t>.</w:t>
      </w:r>
      <w:r>
        <w:rPr>
          <w:rFonts w:hint="eastAsia"/>
        </w:rPr>
        <w:t>号法令的第</w:t>
      </w:r>
      <w:r>
        <w:rPr>
          <w:rFonts w:hint="eastAsia"/>
        </w:rPr>
        <w:t xml:space="preserve">325/1999 </w:t>
      </w:r>
      <w:r>
        <w:t>Coll</w:t>
      </w:r>
      <w:r>
        <w:rPr>
          <w:rFonts w:hint="eastAsia"/>
        </w:rPr>
        <w:t>.</w:t>
      </w:r>
      <w:r>
        <w:rPr>
          <w:rFonts w:hint="eastAsia"/>
        </w:rPr>
        <w:t>号法令》。</w:t>
      </w:r>
    </w:p>
  </w:endnote>
  <w:endnote w:id="68">
    <w:p w:rsidR="00000000" w:rsidRDefault="00000000">
      <w:pPr>
        <w:pStyle w:val="EndnoteText"/>
        <w:rPr>
          <w:rFonts w:hint="eastAsia"/>
        </w:rPr>
      </w:pPr>
      <w:r>
        <w:rPr>
          <w:rStyle w:val="EndnoteReference"/>
        </w:rPr>
        <w:endnoteRef/>
      </w:r>
      <w:r>
        <w:t xml:space="preserve"> </w:t>
      </w:r>
      <w:r>
        <w:rPr>
          <w:rFonts w:hint="eastAsia"/>
        </w:rPr>
        <w:tab/>
      </w:r>
      <w:r>
        <w:rPr>
          <w:rFonts w:hint="eastAsia"/>
        </w:rPr>
        <w:t>分开的标准既不是前联邦公民的意愿，也不是其永久居留地位，而是联邦中两个共和国之一的国籍</w:t>
      </w:r>
      <w:r>
        <w:rPr>
          <w:rFonts w:hint="eastAsia"/>
        </w:rPr>
        <w:t>(</w:t>
      </w:r>
      <w:r>
        <w:rPr>
          <w:rFonts w:hint="eastAsia"/>
        </w:rPr>
        <w:t>根据“关于取得和丧失国籍的原则的第</w:t>
      </w:r>
      <w:r>
        <w:rPr>
          <w:rFonts w:hint="eastAsia"/>
        </w:rPr>
        <w:t xml:space="preserve">165/1968 </w:t>
      </w:r>
      <w:r>
        <w:t>Coll</w:t>
      </w:r>
      <w:r>
        <w:rPr>
          <w:rFonts w:hint="eastAsia"/>
        </w:rPr>
        <w:t>.</w:t>
      </w:r>
      <w:r>
        <w:rPr>
          <w:rFonts w:hint="eastAsia"/>
        </w:rPr>
        <w:t>号法令”和第</w:t>
      </w:r>
      <w:r>
        <w:rPr>
          <w:rFonts w:hint="eastAsia"/>
        </w:rPr>
        <w:t xml:space="preserve">39/1969 </w:t>
      </w:r>
      <w:r>
        <w:t>Coll</w:t>
      </w:r>
      <w:r>
        <w:rPr>
          <w:rFonts w:hint="eastAsia"/>
        </w:rPr>
        <w:t xml:space="preserve">. </w:t>
      </w:r>
      <w:r>
        <w:rPr>
          <w:rFonts w:hint="eastAsia"/>
        </w:rPr>
        <w:t>号法令，随后经过修订</w:t>
      </w:r>
      <w:r>
        <w:rPr>
          <w:rFonts w:hint="eastAsia"/>
        </w:rPr>
        <w:t>)</w:t>
      </w:r>
      <w:r>
        <w:rPr>
          <w:rFonts w:hint="eastAsia"/>
        </w:rPr>
        <w:t>，在联邦解体之前，除了在指定两个共和国的公民担任联邦政府职位方面表示“对等”之外，这种国籍没有任何实际意义，甚至在身份文件中都没有加以注明。</w:t>
      </w:r>
    </w:p>
  </w:endnote>
  <w:endnote w:id="69">
    <w:p w:rsidR="00000000" w:rsidRDefault="00000000">
      <w:pPr>
        <w:pStyle w:val="EndnoteText"/>
        <w:spacing w:line="280" w:lineRule="exact"/>
        <w:rPr>
          <w:rFonts w:hint="eastAsia"/>
        </w:rPr>
      </w:pPr>
      <w:r>
        <w:rPr>
          <w:rStyle w:val="EndnoteReference"/>
        </w:rPr>
        <w:endnoteRef/>
      </w:r>
      <w:r>
        <w:t xml:space="preserve"> </w:t>
      </w:r>
      <w:r>
        <w:rPr>
          <w:rFonts w:hint="eastAsia"/>
        </w:rPr>
        <w:tab/>
      </w:r>
      <w:r>
        <w:rPr>
          <w:rFonts w:hint="eastAsia"/>
        </w:rPr>
        <w:t>《取得和丧失捷克共和国国籍法》的修正案：第</w:t>
      </w:r>
      <w:r>
        <w:rPr>
          <w:rFonts w:hint="eastAsia"/>
        </w:rPr>
        <w:t xml:space="preserve">272/1993 </w:t>
      </w:r>
      <w:r>
        <w:t>Coll</w:t>
      </w:r>
      <w:r>
        <w:rPr>
          <w:rFonts w:hint="eastAsia"/>
        </w:rPr>
        <w:t>.</w:t>
      </w:r>
      <w:r>
        <w:rPr>
          <w:rFonts w:hint="eastAsia"/>
        </w:rPr>
        <w:t>号法令、第</w:t>
      </w:r>
      <w:r>
        <w:rPr>
          <w:rFonts w:hint="eastAsia"/>
        </w:rPr>
        <w:t xml:space="preserve">337/1993 </w:t>
      </w:r>
      <w:r>
        <w:t>Coll</w:t>
      </w:r>
      <w:r>
        <w:rPr>
          <w:rFonts w:hint="eastAsia"/>
        </w:rPr>
        <w:t>.</w:t>
      </w:r>
      <w:r>
        <w:rPr>
          <w:rFonts w:hint="eastAsia"/>
        </w:rPr>
        <w:t>号法令、第</w:t>
      </w:r>
      <w:r>
        <w:rPr>
          <w:rFonts w:hint="eastAsia"/>
        </w:rPr>
        <w:t xml:space="preserve">140/1995 </w:t>
      </w:r>
      <w:r>
        <w:t>Coll</w:t>
      </w:r>
      <w:r>
        <w:rPr>
          <w:rFonts w:hint="eastAsia"/>
        </w:rPr>
        <w:t>.</w:t>
      </w:r>
      <w:r>
        <w:rPr>
          <w:rFonts w:hint="eastAsia"/>
        </w:rPr>
        <w:t>号法令以及尤其是第</w:t>
      </w:r>
      <w:r>
        <w:rPr>
          <w:rFonts w:hint="eastAsia"/>
        </w:rPr>
        <w:t xml:space="preserve">139/1996 </w:t>
      </w:r>
      <w:r>
        <w:t>Coll</w:t>
      </w:r>
      <w:r>
        <w:rPr>
          <w:rFonts w:hint="eastAsia"/>
        </w:rPr>
        <w:t>.</w:t>
      </w:r>
      <w:r>
        <w:rPr>
          <w:rFonts w:hint="eastAsia"/>
        </w:rPr>
        <w:t>号法令，该法令第</w:t>
      </w:r>
      <w:r>
        <w:rPr>
          <w:rFonts w:hint="eastAsia"/>
        </w:rPr>
        <w:t>11</w:t>
      </w:r>
      <w:r>
        <w:rPr>
          <w:rFonts w:hint="eastAsia"/>
        </w:rPr>
        <w:t>条增加了一个第</w:t>
      </w:r>
      <w:r>
        <w:rPr>
          <w:rFonts w:hint="eastAsia"/>
        </w:rPr>
        <w:t>3</w:t>
      </w:r>
      <w:r>
        <w:rPr>
          <w:rFonts w:hint="eastAsia"/>
        </w:rPr>
        <w:t>款，根据该款，如果申请人是斯洛伐克共和国公民或者不迟于</w:t>
      </w:r>
      <w:r>
        <w:rPr>
          <w:rFonts w:hint="eastAsia"/>
        </w:rPr>
        <w:t>1992</w:t>
      </w:r>
      <w:r>
        <w:rPr>
          <w:rFonts w:hint="eastAsia"/>
        </w:rPr>
        <w:t>年</w:t>
      </w:r>
      <w:r>
        <w:rPr>
          <w:rFonts w:hint="eastAsia"/>
        </w:rPr>
        <w:t>12</w:t>
      </w:r>
      <w:r>
        <w:rPr>
          <w:rFonts w:hint="eastAsia"/>
        </w:rPr>
        <w:t>月</w:t>
      </w:r>
      <w:r>
        <w:rPr>
          <w:rFonts w:hint="eastAsia"/>
        </w:rPr>
        <w:t>31</w:t>
      </w:r>
      <w:r>
        <w:rPr>
          <w:rFonts w:hint="eastAsia"/>
        </w:rPr>
        <w:t>日不间断地停留</w:t>
      </w:r>
      <w:r>
        <w:rPr>
          <w:rFonts w:hint="eastAsia"/>
        </w:rPr>
        <w:t>/</w:t>
      </w:r>
      <w:r>
        <w:rPr>
          <w:rFonts w:hint="eastAsia"/>
        </w:rPr>
        <w:t>居住在捷克共和国的原斯洛伐克共和国公民，内务部可以放弃清白刑事记录的条件。</w:t>
      </w:r>
    </w:p>
  </w:endnote>
  <w:endnote w:id="70">
    <w:p w:rsidR="00000000" w:rsidRDefault="00000000">
      <w:pPr>
        <w:pStyle w:val="EndnoteText"/>
        <w:spacing w:line="280" w:lineRule="exact"/>
        <w:rPr>
          <w:rFonts w:hint="eastAsia"/>
          <w:lang w:val="fr-CH"/>
        </w:rPr>
      </w:pPr>
      <w:r>
        <w:rPr>
          <w:rStyle w:val="EndnoteReference"/>
        </w:rPr>
        <w:endnoteRef/>
      </w:r>
      <w:r>
        <w:t xml:space="preserve"> </w:t>
      </w:r>
      <w:r>
        <w:rPr>
          <w:rFonts w:hint="eastAsia"/>
        </w:rPr>
        <w:tab/>
      </w:r>
      <w:r>
        <w:rPr>
          <w:rFonts w:hint="eastAsia"/>
        </w:rPr>
        <w:t>随后经过修订的“对第</w:t>
      </w:r>
      <w:r>
        <w:rPr>
          <w:rFonts w:hint="eastAsia"/>
        </w:rPr>
        <w:t>40/1993 Coll.</w:t>
      </w:r>
      <w:r>
        <w:rPr>
          <w:rFonts w:hint="eastAsia"/>
          <w:lang w:val="fr-CH"/>
        </w:rPr>
        <w:t>号法令进行修订的、关于取得和丧失捷克共和国国籍的第</w:t>
      </w:r>
      <w:r>
        <w:rPr>
          <w:rFonts w:hint="eastAsia"/>
          <w:lang w:val="fr-CH"/>
        </w:rPr>
        <w:t xml:space="preserve">194/1999 </w:t>
      </w:r>
      <w:r>
        <w:rPr>
          <w:rFonts w:hint="eastAsia"/>
        </w:rPr>
        <w:t>Coll.</w:t>
      </w:r>
      <w:r>
        <w:rPr>
          <w:rFonts w:hint="eastAsia"/>
        </w:rPr>
        <w:t>号法令”。</w:t>
      </w:r>
    </w:p>
  </w:endnote>
  <w:endnote w:id="71">
    <w:p w:rsidR="00000000" w:rsidRDefault="00000000">
      <w:pPr>
        <w:pStyle w:val="EndnoteText"/>
        <w:rPr>
          <w:rFonts w:hint="eastAsia"/>
        </w:rPr>
      </w:pPr>
      <w:r>
        <w:rPr>
          <w:rStyle w:val="EndnoteReference"/>
        </w:rPr>
        <w:endnoteRef/>
      </w:r>
      <w:r>
        <w:t xml:space="preserve"> </w:t>
      </w:r>
      <w:r>
        <w:rPr>
          <w:rFonts w:hint="eastAsia"/>
        </w:rPr>
        <w:tab/>
      </w:r>
      <w:r>
        <w:rPr>
          <w:rFonts w:hint="eastAsia"/>
        </w:rPr>
        <w:t>“关于斯洛伐克共和国国籍的第</w:t>
      </w:r>
      <w:r>
        <w:rPr>
          <w:rFonts w:hint="eastAsia"/>
        </w:rPr>
        <w:t>40/1993 Coll.</w:t>
      </w:r>
      <w:r>
        <w:rPr>
          <w:rFonts w:hint="eastAsia"/>
        </w:rPr>
        <w:t>号法令”。</w:t>
      </w:r>
    </w:p>
  </w:endnote>
  <w:endnote w:id="72">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随后经过修订的“关于《劳动法》的第</w:t>
      </w:r>
      <w:r>
        <w:rPr>
          <w:rFonts w:hint="eastAsia"/>
        </w:rPr>
        <w:t>65/1965 Coll.</w:t>
      </w:r>
      <w:r>
        <w:rPr>
          <w:rFonts w:hint="eastAsia"/>
        </w:rPr>
        <w:t>号法令”。</w:t>
      </w:r>
    </w:p>
    <w:p w:rsidR="00000000" w:rsidRDefault="00000000">
      <w:pPr>
        <w:pStyle w:val="EndnoteText"/>
        <w:rPr>
          <w:rFonts w:hint="eastAsia"/>
        </w:rPr>
      </w:pPr>
      <w:r>
        <w:rPr>
          <w:rFonts w:hint="eastAsia"/>
        </w:rPr>
        <w:t>随后经过修订的“关于《就业法》的第</w:t>
      </w:r>
      <w:r>
        <w:rPr>
          <w:rFonts w:hint="eastAsia"/>
        </w:rPr>
        <w:t>1/1991 Coll.</w:t>
      </w:r>
      <w:r>
        <w:rPr>
          <w:rFonts w:hint="eastAsia"/>
        </w:rPr>
        <w:t>号法令”。</w:t>
      </w:r>
    </w:p>
  </w:endnote>
  <w:endnote w:id="73">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随后经过修订的“关于《国家社会照顾资助法》的第</w:t>
      </w:r>
      <w:r>
        <w:rPr>
          <w:rFonts w:hint="eastAsia"/>
        </w:rPr>
        <w:t>117/1995 Coll.</w:t>
      </w:r>
      <w:r>
        <w:rPr>
          <w:rFonts w:hint="eastAsia"/>
        </w:rPr>
        <w:t>号法令”。</w:t>
      </w:r>
    </w:p>
  </w:endnote>
  <w:endnote w:id="74">
    <w:p w:rsidR="00000000" w:rsidRDefault="00000000">
      <w:pPr>
        <w:pStyle w:val="EndnoteText"/>
        <w:rPr>
          <w:rFonts w:hint="eastAsia"/>
        </w:rPr>
      </w:pPr>
      <w:r>
        <w:rPr>
          <w:rStyle w:val="EndnoteReference"/>
        </w:rPr>
        <w:endnoteRef/>
      </w:r>
      <w:r>
        <w:t xml:space="preserve"> </w:t>
      </w:r>
      <w:r>
        <w:rPr>
          <w:rFonts w:hint="eastAsia"/>
        </w:rPr>
        <w:tab/>
      </w:r>
      <w:r>
        <w:rPr>
          <w:rFonts w:hint="eastAsia"/>
        </w:rPr>
        <w:t>随后经过修订的“关于《家庭法》的第</w:t>
      </w:r>
      <w:r>
        <w:rPr>
          <w:rFonts w:hint="eastAsia"/>
        </w:rPr>
        <w:t>94/1963 Coll.</w:t>
      </w:r>
      <w:r>
        <w:rPr>
          <w:rFonts w:hint="eastAsia"/>
        </w:rPr>
        <w:t>号法令”。</w:t>
      </w:r>
    </w:p>
  </w:endnote>
  <w:endnote w:id="75">
    <w:p w:rsidR="00000000" w:rsidRDefault="00000000">
      <w:pPr>
        <w:pStyle w:val="EndnoteText"/>
        <w:rPr>
          <w:rFonts w:hint="eastAsia"/>
        </w:rPr>
      </w:pPr>
      <w:r>
        <w:rPr>
          <w:rStyle w:val="EndnoteReference"/>
        </w:rPr>
        <w:endnoteRef/>
      </w:r>
      <w:r>
        <w:t xml:space="preserve"> </w:t>
      </w:r>
      <w:r>
        <w:tab/>
      </w:r>
      <w:r>
        <w:rPr>
          <w:rFonts w:hint="eastAsia"/>
        </w:rPr>
        <w:t>CEDAW</w:t>
      </w:r>
      <w:r>
        <w:rPr>
          <w:rFonts w:hint="eastAsia"/>
          <w:spacing w:val="-40"/>
        </w:rPr>
        <w:t>——</w:t>
      </w:r>
      <w:r>
        <w:t xml:space="preserve"> </w:t>
      </w:r>
      <w:r>
        <w:rPr>
          <w:rFonts w:hint="eastAsia"/>
        </w:rPr>
        <w:t>消除对妇女歧视委员会。</w:t>
      </w:r>
    </w:p>
  </w:endnote>
  <w:endnote w:id="76">
    <w:p w:rsidR="00000000" w:rsidRDefault="00000000">
      <w:pPr>
        <w:pStyle w:val="EndnoteText"/>
        <w:rPr>
          <w:rFonts w:hint="eastAsia"/>
        </w:rPr>
      </w:pPr>
      <w:r>
        <w:rPr>
          <w:rStyle w:val="EndnoteReference"/>
        </w:rPr>
        <w:endnoteRef/>
      </w:r>
      <w:r>
        <w:t xml:space="preserve"> </w:t>
      </w:r>
      <w:r>
        <w:tab/>
      </w:r>
      <w:r>
        <w:rPr>
          <w:rFonts w:hint="eastAsia"/>
        </w:rPr>
        <w:t>随后经过修订的“捷克共和国教育、青年和体育部关于中等学校的第</w:t>
      </w:r>
      <w:r>
        <w:rPr>
          <w:rFonts w:hint="eastAsia"/>
        </w:rPr>
        <w:t>354/1991 C</w:t>
      </w:r>
      <w:r>
        <w:t>oll.</w:t>
      </w:r>
      <w:r>
        <w:rPr>
          <w:rFonts w:hint="eastAsia"/>
        </w:rPr>
        <w:t>号政令”。</w:t>
      </w:r>
    </w:p>
  </w:endnote>
  <w:endnote w:id="77">
    <w:p w:rsidR="00000000" w:rsidRDefault="00000000">
      <w:pPr>
        <w:pStyle w:val="EndnoteText"/>
        <w:rPr>
          <w:rFonts w:hint="eastAsia"/>
        </w:rPr>
      </w:pPr>
      <w:r>
        <w:rPr>
          <w:rStyle w:val="EndnoteReference"/>
        </w:rPr>
        <w:endnoteRef/>
      </w:r>
      <w:r>
        <w:t xml:space="preserve"> </w:t>
      </w:r>
      <w:r>
        <w:tab/>
      </w:r>
      <w:r>
        <w:rPr>
          <w:rFonts w:hint="eastAsia"/>
        </w:rPr>
        <w:t>“关于《家庭法》的第</w:t>
      </w:r>
      <w:r>
        <w:rPr>
          <w:rFonts w:hint="eastAsia"/>
        </w:rPr>
        <w:t>94/1963 C</w:t>
      </w:r>
      <w:r>
        <w:t>oll.</w:t>
      </w:r>
      <w:r>
        <w:rPr>
          <w:rFonts w:hint="eastAsia"/>
        </w:rPr>
        <w:t>号法令”，随后经过修订，尤其是第</w:t>
      </w:r>
      <w:r>
        <w:rPr>
          <w:rFonts w:hint="eastAsia"/>
        </w:rPr>
        <w:t>91/1998 C</w:t>
      </w:r>
      <w:r>
        <w:t>oll.</w:t>
      </w:r>
      <w:r>
        <w:rPr>
          <w:rFonts w:hint="eastAsia"/>
        </w:rPr>
        <w:t>号修正案。</w:t>
      </w:r>
    </w:p>
  </w:endnote>
  <w:endnote w:id="78">
    <w:p w:rsidR="00000000" w:rsidRDefault="00000000">
      <w:pPr>
        <w:pStyle w:val="EndnoteText"/>
        <w:rPr>
          <w:rFonts w:hint="eastAsia"/>
        </w:rPr>
      </w:pPr>
      <w:r>
        <w:rPr>
          <w:rStyle w:val="EndnoteReference"/>
        </w:rPr>
        <w:endnoteRef/>
      </w:r>
      <w:r>
        <w:t xml:space="preserve"> </w:t>
      </w:r>
      <w:r>
        <w:tab/>
      </w:r>
      <w:r>
        <w:rPr>
          <w:rFonts w:hint="eastAsia"/>
        </w:rPr>
        <w:t>随后经过修订的“关于民事诉讼法的第</w:t>
      </w:r>
      <w:r>
        <w:rPr>
          <w:rFonts w:hint="eastAsia"/>
        </w:rPr>
        <w:t>99/1963 C</w:t>
      </w:r>
      <w:r>
        <w:t>oll.</w:t>
      </w:r>
      <w:r>
        <w:rPr>
          <w:rFonts w:hint="eastAsia"/>
        </w:rPr>
        <w:t>号法令”。政府</w:t>
      </w:r>
      <w:r>
        <w:rPr>
          <w:rFonts w:hint="eastAsia"/>
        </w:rPr>
        <w:t>1999</w:t>
      </w:r>
      <w:r>
        <w:rPr>
          <w:rFonts w:hint="eastAsia"/>
        </w:rPr>
        <w:t>年</w:t>
      </w:r>
      <w:r>
        <w:rPr>
          <w:rFonts w:hint="eastAsia"/>
        </w:rPr>
        <w:t>6</w:t>
      </w:r>
      <w:r>
        <w:rPr>
          <w:rFonts w:hint="eastAsia"/>
        </w:rPr>
        <w:t>月</w:t>
      </w:r>
      <w:r>
        <w:rPr>
          <w:rFonts w:hint="eastAsia"/>
        </w:rPr>
        <w:t>16</w:t>
      </w:r>
      <w:r>
        <w:rPr>
          <w:rFonts w:hint="eastAsia"/>
        </w:rPr>
        <w:t>日第</w:t>
      </w:r>
      <w:r>
        <w:rPr>
          <w:rFonts w:hint="eastAsia"/>
        </w:rPr>
        <w:t>589/1999</w:t>
      </w:r>
      <w:r>
        <w:rPr>
          <w:rFonts w:hint="eastAsia"/>
        </w:rPr>
        <w:t>号决议批准了《民事诉讼法》修正案草案，并将其提交议会。该修正案将于</w:t>
      </w:r>
      <w:r>
        <w:rPr>
          <w:rFonts w:hint="eastAsia"/>
        </w:rPr>
        <w:t>2001</w:t>
      </w:r>
      <w:r>
        <w:rPr>
          <w:rFonts w:hint="eastAsia"/>
        </w:rPr>
        <w:t>年</w:t>
      </w:r>
      <w:r>
        <w:rPr>
          <w:rFonts w:hint="eastAsia"/>
        </w:rPr>
        <w:t>2</w:t>
      </w:r>
      <w:r>
        <w:rPr>
          <w:rFonts w:hint="eastAsia"/>
        </w:rPr>
        <w:t>月</w:t>
      </w:r>
      <w:r>
        <w:rPr>
          <w:rFonts w:hint="eastAsia"/>
        </w:rPr>
        <w:t>1</w:t>
      </w:r>
      <w:r>
        <w:rPr>
          <w:rFonts w:hint="eastAsia"/>
        </w:rPr>
        <w:t>日生效。</w:t>
      </w:r>
    </w:p>
  </w:endnote>
  <w:endnote w:id="79">
    <w:p w:rsidR="00000000" w:rsidRDefault="00000000">
      <w:pPr>
        <w:pStyle w:val="EndnoteText"/>
        <w:rPr>
          <w:rFonts w:hint="eastAsia"/>
        </w:rPr>
      </w:pPr>
      <w:r>
        <w:rPr>
          <w:rStyle w:val="EndnoteReference"/>
        </w:rPr>
        <w:endnoteRef/>
      </w:r>
      <w:r>
        <w:t xml:space="preserve"> </w:t>
      </w:r>
      <w:r>
        <w:tab/>
      </w:r>
      <w:r>
        <w:rPr>
          <w:rFonts w:hint="eastAsia"/>
        </w:rPr>
        <w:t>根据“关于基于性别歧视案件中的举证责任的第</w:t>
      </w:r>
      <w:r>
        <w:rPr>
          <w:rFonts w:hint="eastAsia"/>
        </w:rPr>
        <w:t>97/80/ES</w:t>
      </w:r>
      <w:r>
        <w:rPr>
          <w:rFonts w:hint="eastAsia"/>
        </w:rPr>
        <w:t>号指令”。</w:t>
      </w:r>
    </w:p>
  </w:endnote>
  <w:endnote w:id="80">
    <w:p w:rsidR="00000000" w:rsidRDefault="00000000">
      <w:pPr>
        <w:pStyle w:val="EndnoteText"/>
        <w:rPr>
          <w:rFonts w:hint="eastAsia"/>
        </w:rPr>
      </w:pPr>
      <w:r>
        <w:rPr>
          <w:rStyle w:val="EndnoteReference"/>
        </w:rPr>
        <w:endnoteRef/>
      </w:r>
      <w:r>
        <w:t xml:space="preserve"> </w:t>
      </w:r>
      <w:r>
        <w:tab/>
      </w:r>
      <w:r>
        <w:rPr>
          <w:rFonts w:hint="eastAsia"/>
        </w:rPr>
        <w:t>“捷克共和国政府</w:t>
      </w:r>
      <w:r>
        <w:rPr>
          <w:rFonts w:hint="eastAsia"/>
        </w:rPr>
        <w:t>1999</w:t>
      </w:r>
      <w:r>
        <w:rPr>
          <w:rFonts w:hint="eastAsia"/>
        </w:rPr>
        <w:t>年</w:t>
      </w:r>
      <w:r>
        <w:rPr>
          <w:rFonts w:hint="eastAsia"/>
        </w:rPr>
        <w:t>11</w:t>
      </w:r>
      <w:r>
        <w:rPr>
          <w:rFonts w:hint="eastAsia"/>
        </w:rPr>
        <w:t>月</w:t>
      </w:r>
      <w:r>
        <w:rPr>
          <w:rFonts w:hint="eastAsia"/>
        </w:rPr>
        <w:t>29</w:t>
      </w:r>
      <w:r>
        <w:rPr>
          <w:rFonts w:hint="eastAsia"/>
        </w:rPr>
        <w:t>日关于签署和批准《消除对妇女一切形式歧视公约任择议定书》的建议的第</w:t>
      </w:r>
      <w:r>
        <w:rPr>
          <w:rFonts w:hint="eastAsia"/>
        </w:rPr>
        <w:t>1284</w:t>
      </w:r>
      <w:r>
        <w:rPr>
          <w:rFonts w:hint="eastAsia"/>
        </w:rPr>
        <w:t>号决议”。捷克共和国于</w:t>
      </w:r>
      <w:r>
        <w:rPr>
          <w:rFonts w:hint="eastAsia"/>
        </w:rPr>
        <w:t>12</w:t>
      </w:r>
      <w:r>
        <w:rPr>
          <w:rFonts w:hint="eastAsia"/>
        </w:rPr>
        <w:t>月</w:t>
      </w:r>
      <w:r>
        <w:rPr>
          <w:rFonts w:hint="eastAsia"/>
        </w:rPr>
        <w:t>10</w:t>
      </w:r>
      <w:r>
        <w:rPr>
          <w:rFonts w:hint="eastAsia"/>
        </w:rPr>
        <w:t>日在联合国大会第五十四届会议上签署了该任择议定书。</w:t>
      </w:r>
    </w:p>
  </w:endnote>
  <w:endnote w:id="81">
    <w:p w:rsidR="00000000" w:rsidRDefault="00000000">
      <w:pPr>
        <w:pStyle w:val="EndnoteText"/>
        <w:rPr>
          <w:rFonts w:hint="eastAsia"/>
        </w:rPr>
      </w:pPr>
      <w:r>
        <w:rPr>
          <w:rStyle w:val="EndnoteReference"/>
        </w:rPr>
        <w:endnoteRef/>
      </w:r>
      <w:r>
        <w:t xml:space="preserve"> </w:t>
      </w:r>
      <w:r>
        <w:tab/>
      </w:r>
      <w:r>
        <w:rPr>
          <w:rFonts w:hint="eastAsia"/>
        </w:rPr>
        <w:t>“外交部长关于《消除对妇女一切形式歧视公约》的第</w:t>
      </w:r>
      <w:r>
        <w:rPr>
          <w:rFonts w:hint="eastAsia"/>
        </w:rPr>
        <w:t>62/1987 C</w:t>
      </w:r>
      <w:r>
        <w:t>oll.</w:t>
      </w:r>
      <w:r>
        <w:rPr>
          <w:rFonts w:hint="eastAsia"/>
        </w:rPr>
        <w:t>号令”。</w:t>
      </w:r>
    </w:p>
  </w:endnote>
  <w:endnote w:id="82">
    <w:p w:rsidR="00000000" w:rsidRDefault="00000000">
      <w:pPr>
        <w:pStyle w:val="EndnoteText"/>
        <w:rPr>
          <w:rFonts w:hint="eastAsia"/>
        </w:rPr>
      </w:pPr>
      <w:r>
        <w:rPr>
          <w:rStyle w:val="EndnoteReference"/>
        </w:rPr>
        <w:endnoteRef/>
      </w:r>
      <w:r>
        <w:t xml:space="preserve"> </w:t>
      </w:r>
      <w:r>
        <w:tab/>
      </w:r>
      <w:r>
        <w:rPr>
          <w:rFonts w:hint="eastAsia"/>
        </w:rPr>
        <w:t>CEDAW</w:t>
      </w:r>
      <w:r>
        <w:rPr>
          <w:rFonts w:hint="eastAsia"/>
          <w:spacing w:val="-40"/>
        </w:rPr>
        <w:t>——</w:t>
      </w:r>
      <w:r>
        <w:t xml:space="preserve"> </w:t>
      </w:r>
      <w:r>
        <w:rPr>
          <w:rFonts w:hint="eastAsia"/>
        </w:rPr>
        <w:t>消除对妇女歧视委员会。</w:t>
      </w:r>
    </w:p>
  </w:endnote>
  <w:endnote w:id="83">
    <w:p w:rsidR="00000000" w:rsidRDefault="00000000">
      <w:pPr>
        <w:pStyle w:val="EndnoteText"/>
        <w:rPr>
          <w:rFonts w:hint="eastAsia"/>
        </w:rPr>
      </w:pPr>
      <w:r>
        <w:rPr>
          <w:rStyle w:val="EndnoteReference"/>
        </w:rPr>
        <w:endnoteRef/>
      </w:r>
      <w:r>
        <w:t xml:space="preserve"> </w:t>
      </w:r>
      <w:r>
        <w:tab/>
      </w:r>
      <w:r>
        <w:rPr>
          <w:rFonts w:hint="eastAsia"/>
        </w:rPr>
        <w:t>捷克共和国政府</w:t>
      </w:r>
      <w:r>
        <w:rPr>
          <w:rFonts w:hint="eastAsia"/>
        </w:rPr>
        <w:t>1998</w:t>
      </w:r>
      <w:r>
        <w:rPr>
          <w:rFonts w:hint="eastAsia"/>
        </w:rPr>
        <w:t>年</w:t>
      </w:r>
      <w:r>
        <w:rPr>
          <w:rFonts w:hint="eastAsia"/>
        </w:rPr>
        <w:t>4</w:t>
      </w:r>
      <w:r>
        <w:rPr>
          <w:rFonts w:hint="eastAsia"/>
        </w:rPr>
        <w:t>月</w:t>
      </w:r>
      <w:r>
        <w:rPr>
          <w:rFonts w:hint="eastAsia"/>
        </w:rPr>
        <w:t>8</w:t>
      </w:r>
      <w:r>
        <w:rPr>
          <w:rFonts w:hint="eastAsia"/>
        </w:rPr>
        <w:t>日第</w:t>
      </w:r>
      <w:r>
        <w:rPr>
          <w:rFonts w:hint="eastAsia"/>
        </w:rPr>
        <w:t>236</w:t>
      </w:r>
      <w:r>
        <w:rPr>
          <w:rFonts w:hint="eastAsia"/>
        </w:rPr>
        <w:t>号决议。</w:t>
      </w:r>
    </w:p>
  </w:endnote>
  <w:endnote w:id="84">
    <w:p w:rsidR="00000000" w:rsidRDefault="00000000">
      <w:pPr>
        <w:pStyle w:val="EndnoteText"/>
        <w:rPr>
          <w:rFonts w:hint="eastAsia"/>
        </w:rPr>
      </w:pPr>
      <w:r>
        <w:rPr>
          <w:rStyle w:val="EndnoteReference"/>
        </w:rPr>
        <w:endnoteRef/>
      </w:r>
      <w:r>
        <w:t xml:space="preserve"> </w:t>
      </w:r>
      <w:r>
        <w:tab/>
      </w:r>
      <w:r>
        <w:rPr>
          <w:rFonts w:hint="eastAsia"/>
        </w:rPr>
        <w:t>政府根据</w:t>
      </w:r>
      <w:r>
        <w:rPr>
          <w:rFonts w:hint="eastAsia"/>
        </w:rPr>
        <w:t>1999</w:t>
      </w:r>
      <w:r>
        <w:rPr>
          <w:rFonts w:hint="eastAsia"/>
        </w:rPr>
        <w:t>年</w:t>
      </w:r>
      <w:r>
        <w:rPr>
          <w:rFonts w:hint="eastAsia"/>
        </w:rPr>
        <w:t>5</w:t>
      </w:r>
      <w:r>
        <w:rPr>
          <w:rFonts w:hint="eastAsia"/>
        </w:rPr>
        <w:t>月</w:t>
      </w:r>
      <w:r>
        <w:rPr>
          <w:rFonts w:hint="eastAsia"/>
        </w:rPr>
        <w:t>10</w:t>
      </w:r>
      <w:r>
        <w:rPr>
          <w:rFonts w:hint="eastAsia"/>
        </w:rPr>
        <w:t>日第</w:t>
      </w:r>
      <w:r>
        <w:rPr>
          <w:rFonts w:hint="eastAsia"/>
        </w:rPr>
        <w:t>452</w:t>
      </w:r>
      <w:r>
        <w:rPr>
          <w:rFonts w:hint="eastAsia"/>
        </w:rPr>
        <w:t>号决议批准了该摘要报告。</w:t>
      </w:r>
    </w:p>
  </w:endnote>
  <w:endnote w:id="85">
    <w:p w:rsidR="00000000" w:rsidRDefault="00000000">
      <w:pPr>
        <w:pStyle w:val="EndnoteText"/>
        <w:rPr>
          <w:rFonts w:hint="eastAsia"/>
        </w:rPr>
      </w:pPr>
      <w:r>
        <w:rPr>
          <w:rStyle w:val="EndnoteReference"/>
        </w:rPr>
        <w:endnoteRef/>
      </w:r>
      <w:r>
        <w:t xml:space="preserve"> </w:t>
      </w:r>
      <w:r>
        <w:tab/>
      </w:r>
      <w:r>
        <w:rPr>
          <w:rFonts w:hint="eastAsia"/>
        </w:rPr>
        <w:t>1999</w:t>
      </w:r>
      <w:r>
        <w:rPr>
          <w:rFonts w:hint="eastAsia"/>
        </w:rPr>
        <w:t>年</w:t>
      </w:r>
      <w:r>
        <w:rPr>
          <w:rFonts w:hint="eastAsia"/>
        </w:rPr>
        <w:t>5</w:t>
      </w:r>
      <w:r>
        <w:rPr>
          <w:rFonts w:hint="eastAsia"/>
        </w:rPr>
        <w:t>月</w:t>
      </w:r>
      <w:r>
        <w:rPr>
          <w:rFonts w:hint="eastAsia"/>
        </w:rPr>
        <w:t>5</w:t>
      </w:r>
      <w:r>
        <w:rPr>
          <w:rFonts w:hint="eastAsia"/>
        </w:rPr>
        <w:t>日关于国家就业计划的第</w:t>
      </w:r>
      <w:r>
        <w:rPr>
          <w:rFonts w:hint="eastAsia"/>
        </w:rPr>
        <w:t>418</w:t>
      </w:r>
      <w:r>
        <w:rPr>
          <w:rFonts w:hint="eastAsia"/>
        </w:rPr>
        <w:t>号政府决议。</w:t>
      </w:r>
    </w:p>
  </w:endnote>
  <w:endnote w:id="86">
    <w:p w:rsidR="00000000" w:rsidRDefault="00000000">
      <w:pPr>
        <w:pStyle w:val="EndnoteText"/>
        <w:rPr>
          <w:rFonts w:hint="eastAsia"/>
        </w:rPr>
      </w:pPr>
      <w:r>
        <w:rPr>
          <w:rStyle w:val="EndnoteReference"/>
        </w:rPr>
        <w:endnoteRef/>
      </w:r>
      <w:r>
        <w:t xml:space="preserve"> </w:t>
      </w:r>
      <w:r>
        <w:tab/>
      </w:r>
      <w:r>
        <w:rPr>
          <w:rFonts w:hint="eastAsia"/>
        </w:rPr>
        <w:t>第</w:t>
      </w:r>
      <w:r>
        <w:rPr>
          <w:rFonts w:hint="eastAsia"/>
        </w:rPr>
        <w:t>167/1999 C</w:t>
      </w:r>
      <w:r>
        <w:t>oll.</w:t>
      </w:r>
      <w:r>
        <w:rPr>
          <w:rFonts w:hint="eastAsia"/>
        </w:rPr>
        <w:t>号法令第</w:t>
      </w:r>
      <w:r>
        <w:rPr>
          <w:rFonts w:hint="eastAsia"/>
        </w:rPr>
        <w:t>1</w:t>
      </w:r>
      <w:r>
        <w:rPr>
          <w:rFonts w:hint="eastAsia"/>
        </w:rPr>
        <w:t>条规定，禁止在就业权方面对公民进行歧视，包括性别歧视，并且禁止刊登歧视性广告。</w:t>
      </w:r>
    </w:p>
  </w:endnote>
  <w:endnote w:id="87">
    <w:p w:rsidR="00000000" w:rsidRDefault="00000000">
      <w:pPr>
        <w:pStyle w:val="EndnoteText"/>
        <w:rPr>
          <w:rFonts w:hint="eastAsia"/>
        </w:rPr>
      </w:pPr>
      <w:r>
        <w:rPr>
          <w:rStyle w:val="EndnoteReference"/>
        </w:rPr>
        <w:endnoteRef/>
      </w:r>
      <w:r>
        <w:t xml:space="preserve"> </w:t>
      </w:r>
      <w:r>
        <w:tab/>
      </w:r>
      <w:r>
        <w:rPr>
          <w:rFonts w:hint="eastAsia"/>
        </w:rPr>
        <w:t>随后经过修订的“关于待命工作的工资和报酬及平均收入的第</w:t>
      </w:r>
      <w:r>
        <w:rPr>
          <w:rFonts w:hint="eastAsia"/>
        </w:rPr>
        <w:t>1/1992 C</w:t>
      </w:r>
      <w:r>
        <w:t>oll.</w:t>
      </w:r>
      <w:r>
        <w:rPr>
          <w:rFonts w:hint="eastAsia"/>
        </w:rPr>
        <w:t>号法令”。</w:t>
      </w:r>
    </w:p>
  </w:endnote>
  <w:endnote w:id="88">
    <w:p w:rsidR="00000000" w:rsidRDefault="00000000">
      <w:pPr>
        <w:pStyle w:val="EndnoteText"/>
        <w:rPr>
          <w:rFonts w:hint="eastAsia"/>
        </w:rPr>
      </w:pPr>
      <w:r>
        <w:rPr>
          <w:rStyle w:val="EndnoteReference"/>
        </w:rPr>
        <w:endnoteRef/>
      </w:r>
      <w:r>
        <w:t xml:space="preserve"> </w:t>
      </w:r>
      <w:r>
        <w:tab/>
      </w:r>
      <w:r>
        <w:rPr>
          <w:rFonts w:hint="eastAsia"/>
        </w:rPr>
        <w:t>随后经过修订的“关于预算资助的组织和某些其他组织和机构中待命工作的工资和报酬的第</w:t>
      </w:r>
      <w:r>
        <w:rPr>
          <w:rFonts w:hint="eastAsia"/>
        </w:rPr>
        <w:t>143/1992 C</w:t>
      </w:r>
      <w:r>
        <w:t>oll.</w:t>
      </w:r>
      <w:r>
        <w:rPr>
          <w:rFonts w:hint="eastAsia"/>
        </w:rPr>
        <w:t>号法令”。</w:t>
      </w:r>
    </w:p>
  </w:endnote>
  <w:endnote w:id="89">
    <w:p w:rsidR="00000000" w:rsidRDefault="00000000">
      <w:pPr>
        <w:pStyle w:val="EndnoteText"/>
        <w:rPr>
          <w:rFonts w:hint="eastAsia"/>
        </w:rPr>
      </w:pPr>
      <w:r>
        <w:rPr>
          <w:rStyle w:val="EndnoteReference"/>
        </w:rPr>
        <w:endnoteRef/>
      </w:r>
      <w:r>
        <w:t xml:space="preserve"> </w:t>
      </w:r>
      <w:r>
        <w:tab/>
      </w:r>
      <w:r>
        <w:rPr>
          <w:rFonts w:hint="eastAsia"/>
        </w:rPr>
        <w:t>随后经过修订的“关于捷克共和国警官服务关系的第</w:t>
      </w:r>
      <w:r>
        <w:rPr>
          <w:rFonts w:hint="eastAsia"/>
        </w:rPr>
        <w:t>186/1992 C</w:t>
      </w:r>
      <w:r>
        <w:t xml:space="preserve">oll. </w:t>
      </w:r>
      <w:r>
        <w:rPr>
          <w:rFonts w:hint="eastAsia"/>
        </w:rPr>
        <w:t>号法令”。</w:t>
      </w:r>
    </w:p>
  </w:endnote>
  <w:endnote w:id="90">
    <w:p w:rsidR="00000000" w:rsidRDefault="00000000">
      <w:pPr>
        <w:pStyle w:val="EndnoteText"/>
        <w:rPr>
          <w:rFonts w:hint="eastAsia"/>
        </w:rPr>
      </w:pPr>
      <w:r>
        <w:rPr>
          <w:rStyle w:val="EndnoteReference"/>
        </w:rPr>
        <w:endnoteRef/>
      </w:r>
      <w:r>
        <w:t xml:space="preserve"> </w:t>
      </w:r>
      <w:r>
        <w:tab/>
      </w:r>
      <w:r>
        <w:rPr>
          <w:rFonts w:hint="eastAsia"/>
        </w:rPr>
        <w:t>随后经过修订的“关于安全信息服务的第</w:t>
      </w:r>
      <w:r>
        <w:rPr>
          <w:rFonts w:hint="eastAsia"/>
        </w:rPr>
        <w:t xml:space="preserve">154/1994 </w:t>
      </w:r>
      <w:r>
        <w:t xml:space="preserve">Coll. </w:t>
      </w:r>
      <w:r>
        <w:rPr>
          <w:rFonts w:hint="eastAsia"/>
        </w:rPr>
        <w:t>号法令”。</w:t>
      </w:r>
    </w:p>
  </w:endnote>
  <w:endnote w:id="91">
    <w:p w:rsidR="00000000" w:rsidRDefault="00000000">
      <w:pPr>
        <w:pStyle w:val="EndnoteText"/>
        <w:rPr>
          <w:rFonts w:hint="eastAsia"/>
        </w:rPr>
      </w:pPr>
      <w:r>
        <w:rPr>
          <w:rStyle w:val="EndnoteReference"/>
        </w:rPr>
        <w:endnoteRef/>
      </w:r>
      <w:r>
        <w:t xml:space="preserve"> </w:t>
      </w:r>
      <w:r>
        <w:tab/>
      </w:r>
      <w:r>
        <w:rPr>
          <w:rFonts w:hint="eastAsia"/>
        </w:rPr>
        <w:t>“关于职业军人的第</w:t>
      </w:r>
      <w:r>
        <w:rPr>
          <w:rFonts w:hint="eastAsia"/>
        </w:rPr>
        <w:t xml:space="preserve">221/1999 Coll. </w:t>
      </w:r>
      <w:r>
        <w:rPr>
          <w:rFonts w:hint="eastAsia"/>
        </w:rPr>
        <w:t>号法令”。</w:t>
      </w:r>
    </w:p>
  </w:endnote>
  <w:endnote w:id="92">
    <w:p w:rsidR="00000000" w:rsidRDefault="00000000">
      <w:pPr>
        <w:pStyle w:val="EndnoteText"/>
        <w:rPr>
          <w:rFonts w:hint="eastAsia"/>
        </w:rPr>
      </w:pPr>
      <w:r>
        <w:rPr>
          <w:rStyle w:val="EndnoteReference"/>
        </w:rPr>
        <w:endnoteRef/>
      </w:r>
      <w:r>
        <w:t xml:space="preserve"> </w:t>
      </w:r>
      <w:r>
        <w:tab/>
      </w:r>
      <w:r>
        <w:rPr>
          <w:rFonts w:hint="eastAsia"/>
        </w:rPr>
        <w:t>“卫生部关于《劳动法》的第</w:t>
      </w:r>
      <w:r>
        <w:rPr>
          <w:rFonts w:hint="eastAsia"/>
        </w:rPr>
        <w:t xml:space="preserve">261/1997 </w:t>
      </w:r>
      <w:r>
        <w:t xml:space="preserve">Coll. </w:t>
      </w:r>
      <w:r>
        <w:rPr>
          <w:rFonts w:hint="eastAsia"/>
        </w:rPr>
        <w:t>号法令”具体说明了禁止所有妇女、孕妇、生产后未满</w:t>
      </w:r>
      <w:r>
        <w:rPr>
          <w:rFonts w:hint="eastAsia"/>
        </w:rPr>
        <w:t>9</w:t>
      </w:r>
      <w:r>
        <w:rPr>
          <w:rFonts w:hint="eastAsia"/>
        </w:rPr>
        <w:t>个月的母亲和青少年从事的工作和工作场所。该法令还具体规定了青少年</w:t>
      </w:r>
      <w:r>
        <w:rPr>
          <w:rFonts w:hint="eastAsia"/>
        </w:rPr>
        <w:t>(</w:t>
      </w:r>
      <w:r>
        <w:rPr>
          <w:rFonts w:hint="eastAsia"/>
        </w:rPr>
        <w:t>包括妇女在内</w:t>
      </w:r>
      <w:r>
        <w:rPr>
          <w:rFonts w:hint="eastAsia"/>
        </w:rPr>
        <w:t>)</w:t>
      </w:r>
      <w:r>
        <w:rPr>
          <w:rFonts w:hint="eastAsia"/>
        </w:rPr>
        <w:t>由于职业培训的理由可以例外从事这些工作的条件。该法令是非歧视性的；它在妇女的生殖职能方面对妇女提供了保护。</w:t>
      </w:r>
    </w:p>
  </w:endnote>
  <w:endnote w:id="93">
    <w:p w:rsidR="00000000" w:rsidRDefault="00000000">
      <w:pPr>
        <w:pStyle w:val="EndnoteText"/>
        <w:rPr>
          <w:rFonts w:hint="eastAsia"/>
        </w:rPr>
      </w:pPr>
      <w:r>
        <w:rPr>
          <w:rStyle w:val="EndnoteReference"/>
        </w:rPr>
        <w:endnoteRef/>
      </w:r>
      <w:r>
        <w:t xml:space="preserve"> </w:t>
      </w:r>
      <w:r>
        <w:tab/>
      </w:r>
      <w:r>
        <w:rPr>
          <w:rFonts w:hint="eastAsia"/>
        </w:rPr>
        <w:t>D</w:t>
      </w:r>
      <w:r>
        <w:t>. Holý. (1999</w:t>
      </w:r>
      <w:r>
        <w:rPr>
          <w:rFonts w:hint="eastAsia"/>
        </w:rPr>
        <w:t>年</w:t>
      </w:r>
      <w:r>
        <w:rPr>
          <w:rFonts w:hint="eastAsia"/>
        </w:rPr>
        <w:t>)</w:t>
      </w:r>
      <w:r>
        <w:rPr>
          <w:rFonts w:hint="eastAsia"/>
        </w:rPr>
        <w:t>：根据雇员工资调查对男女工资差异所作的分析。统计数字</w:t>
      </w:r>
      <w:r>
        <w:rPr>
          <w:rFonts w:hint="eastAsia"/>
        </w:rPr>
        <w:t>2/99,</w:t>
      </w:r>
      <w:r>
        <w:rPr>
          <w:rFonts w:hint="eastAsia"/>
        </w:rPr>
        <w:t>捷克统计局，布拉格。</w:t>
      </w:r>
    </w:p>
  </w:endnote>
  <w:endnote w:id="94">
    <w:p w:rsidR="00000000" w:rsidRDefault="00000000">
      <w:pPr>
        <w:pStyle w:val="EndnoteText"/>
        <w:spacing w:line="240" w:lineRule="auto"/>
        <w:rPr>
          <w:rFonts w:hint="eastAsia"/>
        </w:rPr>
      </w:pPr>
      <w:r>
        <w:rPr>
          <w:rStyle w:val="EndnoteReference"/>
        </w:rPr>
        <w:endnoteRef/>
      </w:r>
      <w:r>
        <w:t xml:space="preserve"> </w:t>
      </w:r>
      <w:r>
        <w:tab/>
      </w:r>
      <w:r>
        <w:rPr>
          <w:rFonts w:hint="eastAsia"/>
        </w:rPr>
        <w:t>“关于捷克共和国安全的第</w:t>
      </w:r>
      <w:r>
        <w:rPr>
          <w:rFonts w:hint="eastAsia"/>
        </w:rPr>
        <w:t xml:space="preserve">110/1998 </w:t>
      </w:r>
      <w:r>
        <w:t xml:space="preserve">Coll. </w:t>
      </w:r>
      <w:r>
        <w:rPr>
          <w:rFonts w:hint="eastAsia"/>
        </w:rPr>
        <w:t>号宪法法令”第</w:t>
      </w:r>
      <w:r>
        <w:rPr>
          <w:rFonts w:hint="eastAsia"/>
        </w:rPr>
        <w:t>2</w:t>
      </w:r>
      <w:r>
        <w:rPr>
          <w:rFonts w:hint="eastAsia"/>
        </w:rPr>
        <w:t>条规定：“</w:t>
      </w:r>
      <w:r>
        <w:rPr>
          <w:rFonts w:hint="eastAsia"/>
        </w:rPr>
        <w:t xml:space="preserve">(1) </w:t>
      </w:r>
      <w:r>
        <w:rPr>
          <w:rFonts w:hint="eastAsia"/>
        </w:rPr>
        <w:t>如果存在着对捷克共和国的主权、领土完整或民主基础或在相当程度上对国内法律和安全、生命和健康、财产或环境的直接威胁，或者如果必须履行关于相互防御的国际承诺，则根据紧张程度、领土范围和状况的性质而定，可以宣布紧急状态、国家危急状态或战争状态。</w:t>
      </w:r>
      <w:r>
        <w:rPr>
          <w:rFonts w:hint="eastAsia"/>
        </w:rPr>
        <w:t xml:space="preserve">(2) </w:t>
      </w:r>
      <w:r>
        <w:rPr>
          <w:rFonts w:hint="eastAsia"/>
        </w:rPr>
        <w:t>紧急状态和国家危急状态对国家局部或全部领土宣布；战争状态对全国领土宣布。”</w:t>
      </w:r>
    </w:p>
  </w:endnote>
  <w:endnote w:id="95">
    <w:p w:rsidR="00000000" w:rsidRDefault="00000000">
      <w:pPr>
        <w:pStyle w:val="EndnoteText"/>
        <w:spacing w:line="240" w:lineRule="auto"/>
        <w:rPr>
          <w:rFonts w:hint="eastAsia"/>
        </w:rPr>
      </w:pPr>
      <w:r>
        <w:rPr>
          <w:rStyle w:val="EndnoteReference"/>
        </w:rPr>
        <w:endnoteRef/>
      </w:r>
      <w:r>
        <w:t xml:space="preserve"> </w:t>
      </w:r>
      <w:r>
        <w:tab/>
      </w:r>
      <w:r>
        <w:rPr>
          <w:rFonts w:hint="eastAsia"/>
        </w:rPr>
        <w:t>“关于捷克共和国安全的第</w:t>
      </w:r>
      <w:r>
        <w:rPr>
          <w:rFonts w:hint="eastAsia"/>
        </w:rPr>
        <w:t xml:space="preserve">110/1998 </w:t>
      </w:r>
      <w:r>
        <w:t>Coll.</w:t>
      </w:r>
      <w:r>
        <w:rPr>
          <w:rFonts w:hint="eastAsia"/>
        </w:rPr>
        <w:t>号宪法法令”第</w:t>
      </w:r>
      <w:r>
        <w:rPr>
          <w:rFonts w:hint="eastAsia"/>
        </w:rPr>
        <w:t>7</w:t>
      </w:r>
      <w:r>
        <w:rPr>
          <w:rFonts w:hint="eastAsia"/>
        </w:rPr>
        <w:t>条规定：“</w:t>
      </w:r>
      <w:r>
        <w:rPr>
          <w:rFonts w:hint="eastAsia"/>
        </w:rPr>
        <w:t xml:space="preserve">(1) </w:t>
      </w:r>
      <w:r>
        <w:rPr>
          <w:rFonts w:hint="eastAsia"/>
        </w:rPr>
        <w:t>在国家主权或领土完整或民主基础受到直接威胁的情况下，经政府提议，议会可以宣布国家危急状态。</w:t>
      </w:r>
      <w:r>
        <w:rPr>
          <w:rFonts w:hint="eastAsia"/>
        </w:rPr>
        <w:t xml:space="preserve">(2) </w:t>
      </w:r>
      <w:r>
        <w:rPr>
          <w:rFonts w:hint="eastAsia"/>
        </w:rPr>
        <w:t>宣布国家危急状态的决议的通过必须得到所有众议员多数的批准和所有参议员多数的批准。”</w:t>
      </w:r>
    </w:p>
  </w:endnote>
  <w:endnote w:id="96">
    <w:p w:rsidR="00000000" w:rsidRDefault="00000000">
      <w:pPr>
        <w:pStyle w:val="EndnoteText"/>
        <w:spacing w:line="240" w:lineRule="auto"/>
        <w:rPr>
          <w:rFonts w:hint="eastAsia"/>
        </w:rPr>
      </w:pPr>
      <w:r>
        <w:rPr>
          <w:rStyle w:val="EndnoteReference"/>
        </w:rPr>
        <w:endnoteRef/>
      </w:r>
      <w:r>
        <w:t xml:space="preserve"> </w:t>
      </w:r>
      <w:r>
        <w:tab/>
      </w:r>
      <w:r>
        <w:rPr>
          <w:rFonts w:hint="eastAsia"/>
        </w:rPr>
        <w:t>“关于职业军人的第</w:t>
      </w:r>
      <w:r>
        <w:rPr>
          <w:rFonts w:hint="eastAsia"/>
        </w:rPr>
        <w:t xml:space="preserve">221/1999 </w:t>
      </w:r>
      <w:r>
        <w:t xml:space="preserve">Coll. </w:t>
      </w:r>
      <w:r>
        <w:rPr>
          <w:rFonts w:hint="eastAsia"/>
        </w:rPr>
        <w:t>号法令”。直到</w:t>
      </w:r>
      <w:r>
        <w:rPr>
          <w:rFonts w:hint="eastAsia"/>
        </w:rPr>
        <w:t>1999</w:t>
      </w:r>
      <w:r>
        <w:rPr>
          <w:rFonts w:hint="eastAsia"/>
        </w:rPr>
        <w:t>年</w:t>
      </w:r>
      <w:r>
        <w:rPr>
          <w:rFonts w:hint="eastAsia"/>
        </w:rPr>
        <w:t>11</w:t>
      </w:r>
      <w:r>
        <w:rPr>
          <w:rFonts w:hint="eastAsia"/>
        </w:rPr>
        <w:t>月</w:t>
      </w:r>
      <w:r>
        <w:rPr>
          <w:rFonts w:hint="eastAsia"/>
        </w:rPr>
        <w:t>30</w:t>
      </w:r>
      <w:r>
        <w:rPr>
          <w:rFonts w:hint="eastAsia"/>
        </w:rPr>
        <w:t>日，这种限制由随后经过修订的“关于军人的某些服务关系的第</w:t>
      </w:r>
      <w:r>
        <w:rPr>
          <w:rFonts w:hint="eastAsia"/>
        </w:rPr>
        <w:t xml:space="preserve">76/1959 </w:t>
      </w:r>
      <w:r>
        <w:t xml:space="preserve">Coll. </w:t>
      </w:r>
      <w:r>
        <w:rPr>
          <w:rFonts w:hint="eastAsia"/>
        </w:rPr>
        <w:t>号法令”加以规定。</w:t>
      </w:r>
    </w:p>
  </w:endnote>
  <w:endnote w:id="97">
    <w:p w:rsidR="00000000" w:rsidRDefault="00000000">
      <w:pPr>
        <w:pStyle w:val="EndnoteText"/>
        <w:rPr>
          <w:rFonts w:hint="eastAsia"/>
        </w:rPr>
      </w:pPr>
      <w:r>
        <w:rPr>
          <w:rStyle w:val="EndnoteReference"/>
        </w:rPr>
        <w:endnoteRef/>
      </w:r>
      <w:r>
        <w:t xml:space="preserve"> </w:t>
      </w:r>
      <w:r>
        <w:tab/>
      </w:r>
      <w:r>
        <w:rPr>
          <w:rFonts w:hint="eastAsia"/>
        </w:rPr>
        <w:t>“关于确保捷克共和国防卫安全的第</w:t>
      </w:r>
      <w:r>
        <w:rPr>
          <w:rFonts w:hint="eastAsia"/>
        </w:rPr>
        <w:t xml:space="preserve">222/1999 </w:t>
      </w:r>
      <w:r>
        <w:t xml:space="preserve">Coll. </w:t>
      </w:r>
      <w:r>
        <w:rPr>
          <w:rFonts w:hint="eastAsia"/>
        </w:rPr>
        <w:t>号法令”第</w:t>
      </w:r>
      <w:r>
        <w:rPr>
          <w:rFonts w:hint="eastAsia"/>
        </w:rPr>
        <w:t>53</w:t>
      </w:r>
      <w:r>
        <w:rPr>
          <w:rFonts w:hint="eastAsia"/>
        </w:rPr>
        <w:t>条规定：</w:t>
      </w:r>
    </w:p>
    <w:p w:rsidR="00000000" w:rsidRDefault="00000000">
      <w:pPr>
        <w:pStyle w:val="EndnoteText"/>
        <w:ind w:left="1530" w:hanging="810"/>
        <w:rPr>
          <w:rFonts w:hint="eastAsia"/>
        </w:rPr>
      </w:pPr>
      <w:r>
        <w:rPr>
          <w:rFonts w:hint="eastAsia"/>
        </w:rPr>
        <w:t>“</w:t>
      </w:r>
      <w:r>
        <w:rPr>
          <w:rFonts w:hint="eastAsia"/>
        </w:rPr>
        <w:t>(1)</w:t>
      </w:r>
      <w:r>
        <w:rPr>
          <w:rFonts w:hint="eastAsia"/>
        </w:rPr>
        <w:tab/>
      </w:r>
      <w:r>
        <w:rPr>
          <w:rFonts w:hint="eastAsia"/>
        </w:rPr>
        <w:t>为确保国家在国家危急状态或战争状态情况下的防卫安全，应当在绝对必要的程度上限制迁徙和居所自由以及和平集会的权利。</w:t>
      </w:r>
    </w:p>
    <w:p w:rsidR="00000000" w:rsidRDefault="00000000">
      <w:pPr>
        <w:pStyle w:val="EndnoteText"/>
        <w:ind w:left="1530" w:hanging="810"/>
        <w:rPr>
          <w:rFonts w:hint="eastAsia"/>
        </w:rPr>
      </w:pPr>
      <w:r>
        <w:rPr>
          <w:rFonts w:hint="eastAsia"/>
        </w:rPr>
        <w:t>“</w:t>
      </w:r>
      <w:r>
        <w:rPr>
          <w:rFonts w:hint="eastAsia"/>
        </w:rPr>
        <w:t>(2)</w:t>
      </w:r>
      <w:r>
        <w:rPr>
          <w:rFonts w:hint="eastAsia"/>
        </w:rPr>
        <w:tab/>
      </w:r>
      <w:r>
        <w:rPr>
          <w:rFonts w:hint="eastAsia"/>
        </w:rPr>
        <w:t>对迁徙自由和居所自由的限制包括有义务遵守：</w:t>
      </w:r>
    </w:p>
    <w:p w:rsidR="00000000" w:rsidRDefault="00000000">
      <w:pPr>
        <w:pStyle w:val="EndnoteText"/>
        <w:keepLines w:val="0"/>
        <w:numPr>
          <w:ilvl w:val="1"/>
          <w:numId w:val="64"/>
        </w:numPr>
        <w:tabs>
          <w:tab w:val="clear" w:pos="1817"/>
          <w:tab w:val="num" w:pos="257"/>
        </w:tabs>
        <w:ind w:left="2040" w:hanging="240"/>
        <w:rPr>
          <w:rFonts w:hint="eastAsia"/>
        </w:rPr>
      </w:pPr>
      <w:r>
        <w:rPr>
          <w:rFonts w:hint="eastAsia"/>
        </w:rPr>
        <w:t>不得进入指定区域的禁令；</w:t>
      </w:r>
    </w:p>
    <w:p w:rsidR="00000000" w:rsidRDefault="00000000">
      <w:pPr>
        <w:pStyle w:val="EndnoteText"/>
        <w:keepLines w:val="0"/>
        <w:numPr>
          <w:ilvl w:val="1"/>
          <w:numId w:val="64"/>
        </w:numPr>
        <w:tabs>
          <w:tab w:val="clear" w:pos="1817"/>
          <w:tab w:val="num" w:pos="257"/>
        </w:tabs>
        <w:ind w:left="2040" w:hanging="240"/>
        <w:rPr>
          <w:rFonts w:hint="eastAsia"/>
        </w:rPr>
      </w:pPr>
      <w:r>
        <w:rPr>
          <w:rFonts w:hint="eastAsia"/>
        </w:rPr>
        <w:t>留在永久居住地或在命令指定的地点的命令；</w:t>
      </w:r>
    </w:p>
    <w:p w:rsidR="00000000" w:rsidRDefault="00000000">
      <w:pPr>
        <w:pStyle w:val="EndnoteText"/>
        <w:keepLines w:val="0"/>
        <w:numPr>
          <w:ilvl w:val="1"/>
          <w:numId w:val="64"/>
        </w:numPr>
        <w:tabs>
          <w:tab w:val="clear" w:pos="1817"/>
          <w:tab w:val="num" w:pos="257"/>
        </w:tabs>
        <w:ind w:left="2040" w:hanging="240"/>
        <w:rPr>
          <w:rFonts w:hint="eastAsia"/>
        </w:rPr>
      </w:pPr>
      <w:r>
        <w:rPr>
          <w:rFonts w:hint="eastAsia"/>
        </w:rPr>
        <w:t>关于离开为保护居民而指定的房屋或建筑物的禁令。</w:t>
      </w:r>
    </w:p>
    <w:p w:rsidR="00000000" w:rsidRDefault="00000000">
      <w:pPr>
        <w:pStyle w:val="EndnoteText"/>
        <w:ind w:left="1530" w:hanging="810"/>
        <w:rPr>
          <w:rFonts w:hint="eastAsia"/>
        </w:rPr>
      </w:pPr>
      <w:r>
        <w:rPr>
          <w:rFonts w:hint="eastAsia"/>
        </w:rPr>
        <w:t>“</w:t>
      </w:r>
      <w:r>
        <w:rPr>
          <w:rFonts w:hint="eastAsia"/>
        </w:rPr>
        <w:t>(3)</w:t>
      </w:r>
      <w:r>
        <w:rPr>
          <w:rFonts w:hint="eastAsia"/>
        </w:rPr>
        <w:tab/>
      </w:r>
      <w:r>
        <w:rPr>
          <w:rFonts w:hint="eastAsia"/>
        </w:rPr>
        <w:t>对和平集会权利的限制包括有义务服从关于不准在公共场合召集集会包括街头游行和示威的禁令。</w:t>
      </w:r>
    </w:p>
    <w:p w:rsidR="00000000" w:rsidRDefault="00000000">
      <w:pPr>
        <w:pStyle w:val="EndnoteText"/>
        <w:ind w:left="1530" w:hanging="810"/>
        <w:rPr>
          <w:rFonts w:hint="eastAsia"/>
        </w:rPr>
      </w:pPr>
      <w:r>
        <w:rPr>
          <w:rFonts w:hint="eastAsia"/>
        </w:rPr>
        <w:t>“</w:t>
      </w:r>
      <w:r>
        <w:rPr>
          <w:rFonts w:hint="eastAsia"/>
        </w:rPr>
        <w:t>(4)</w:t>
      </w:r>
      <w:r>
        <w:rPr>
          <w:rFonts w:hint="eastAsia"/>
        </w:rPr>
        <w:tab/>
      </w:r>
      <w:r>
        <w:rPr>
          <w:rFonts w:hint="eastAsia"/>
        </w:rPr>
        <w:t>第</w:t>
      </w:r>
      <w:r>
        <w:rPr>
          <w:rFonts w:hint="eastAsia"/>
        </w:rPr>
        <w:t>2</w:t>
      </w:r>
      <w:r>
        <w:rPr>
          <w:rFonts w:hint="eastAsia"/>
        </w:rPr>
        <w:t>款不适用于在生命健康有直接危险的情况下从事救援工作或保证援助提供的自然人。</w:t>
      </w:r>
    </w:p>
    <w:p w:rsidR="00000000" w:rsidRDefault="00000000">
      <w:pPr>
        <w:pStyle w:val="EndnoteText"/>
        <w:ind w:left="1530" w:hanging="810"/>
        <w:rPr>
          <w:rFonts w:hint="eastAsia"/>
        </w:rPr>
      </w:pPr>
      <w:r>
        <w:rPr>
          <w:rFonts w:hint="eastAsia"/>
        </w:rPr>
        <w:t>“</w:t>
      </w:r>
      <w:r>
        <w:rPr>
          <w:rFonts w:hint="eastAsia"/>
        </w:rPr>
        <w:t>(5)</w:t>
      </w:r>
      <w:r>
        <w:rPr>
          <w:rFonts w:hint="eastAsia"/>
        </w:rPr>
        <w:tab/>
      </w:r>
      <w:r>
        <w:rPr>
          <w:rFonts w:hint="eastAsia"/>
        </w:rPr>
        <w:t>第</w:t>
      </w:r>
      <w:r>
        <w:rPr>
          <w:rFonts w:hint="eastAsia"/>
        </w:rPr>
        <w:t>2</w:t>
      </w:r>
      <w:r>
        <w:rPr>
          <w:rFonts w:hint="eastAsia"/>
        </w:rPr>
        <w:t>和第</w:t>
      </w:r>
      <w:r>
        <w:rPr>
          <w:rFonts w:hint="eastAsia"/>
        </w:rPr>
        <w:t>3</w:t>
      </w:r>
      <w:r>
        <w:rPr>
          <w:rFonts w:hint="eastAsia"/>
        </w:rPr>
        <w:t>款规定的对人权和基本自由的限制在地点、人员和时间方面的适用范围和具体说明由政府的指令作出。政令以与法规同样的方式进行宣布，并在大众媒体上公布。对人权和基本自由的限制在政令规定的时刻生效。</w:t>
      </w:r>
    </w:p>
    <w:p w:rsidR="00000000" w:rsidRDefault="00000000">
      <w:pPr>
        <w:pStyle w:val="EndnoteText"/>
        <w:ind w:left="1530" w:hanging="810"/>
        <w:rPr>
          <w:rFonts w:hint="eastAsia"/>
        </w:rPr>
      </w:pPr>
      <w:r>
        <w:rPr>
          <w:rFonts w:hint="eastAsia"/>
        </w:rPr>
        <w:t>“</w:t>
      </w:r>
      <w:r>
        <w:rPr>
          <w:rFonts w:hint="eastAsia"/>
        </w:rPr>
        <w:t>(6)</w:t>
      </w:r>
      <w:r>
        <w:rPr>
          <w:rFonts w:hint="eastAsia"/>
        </w:rPr>
        <w:tab/>
      </w:r>
      <w:r>
        <w:rPr>
          <w:rFonts w:hint="eastAsia"/>
        </w:rPr>
        <w:t>在捷克共和国受到约束的人权和基本自由条约允许的情况下，以上各款的规定不妨碍捷克共和国对其它人权也作出限制的权利。”</w:t>
      </w:r>
    </w:p>
  </w:endnote>
  <w:endnote w:id="98">
    <w:p w:rsidR="00000000" w:rsidRDefault="00000000">
      <w:pPr>
        <w:pStyle w:val="EndnoteText"/>
        <w:rPr>
          <w:rFonts w:hint="eastAsia"/>
        </w:rPr>
      </w:pPr>
      <w:r>
        <w:rPr>
          <w:rStyle w:val="EndnoteReference"/>
        </w:rPr>
        <w:endnoteRef/>
      </w:r>
      <w:r>
        <w:t xml:space="preserve"> </w:t>
      </w:r>
      <w:r>
        <w:tab/>
      </w:r>
      <w:r>
        <w:rPr>
          <w:rFonts w:hint="eastAsia"/>
        </w:rPr>
        <w:t>“外交事务部</w:t>
      </w:r>
      <w:r>
        <w:rPr>
          <w:rFonts w:hint="eastAsia"/>
        </w:rPr>
        <w:t>1976</w:t>
      </w:r>
      <w:r>
        <w:rPr>
          <w:rFonts w:hint="eastAsia"/>
        </w:rPr>
        <w:t>年</w:t>
      </w:r>
      <w:r>
        <w:rPr>
          <w:rFonts w:hint="eastAsia"/>
        </w:rPr>
        <w:t>5</w:t>
      </w:r>
      <w:r>
        <w:rPr>
          <w:rFonts w:hint="eastAsia"/>
        </w:rPr>
        <w:t>月</w:t>
      </w:r>
      <w:r>
        <w:rPr>
          <w:rFonts w:hint="eastAsia"/>
        </w:rPr>
        <w:t>10</w:t>
      </w:r>
      <w:r>
        <w:rPr>
          <w:rFonts w:hint="eastAsia"/>
        </w:rPr>
        <w:t>日关于《公民权利和政治权利国际公约》和《经济、社会、文化权利国际公约》的第</w:t>
      </w:r>
      <w:r>
        <w:rPr>
          <w:rFonts w:hint="eastAsia"/>
        </w:rPr>
        <w:t xml:space="preserve">120/1976 </w:t>
      </w:r>
      <w:r>
        <w:rPr>
          <w:rFonts w:hint="eastAsia"/>
        </w:rPr>
        <w:tab/>
      </w:r>
      <w:r>
        <w:t>Coll.</w:t>
      </w:r>
      <w:r>
        <w:rPr>
          <w:rFonts w:hint="eastAsia"/>
        </w:rPr>
        <w:t>号令”。</w:t>
      </w:r>
    </w:p>
  </w:endnote>
  <w:endnote w:id="99">
    <w:p w:rsidR="00000000" w:rsidRDefault="00000000">
      <w:pPr>
        <w:pStyle w:val="EndnoteText"/>
        <w:rPr>
          <w:rFonts w:hint="eastAsia"/>
        </w:rPr>
      </w:pPr>
      <w:r>
        <w:rPr>
          <w:rStyle w:val="EndnoteReference"/>
        </w:rPr>
        <w:endnoteRef/>
      </w:r>
      <w:r>
        <w:t xml:space="preserve"> </w:t>
      </w:r>
      <w:r>
        <w:tab/>
      </w:r>
      <w:r>
        <w:rPr>
          <w:rFonts w:hint="eastAsia"/>
        </w:rPr>
        <w:t>后来经过修订的“联邦外交事务部关于保护经第</w:t>
      </w:r>
      <w:r>
        <w:rPr>
          <w:rFonts w:hint="eastAsia"/>
        </w:rPr>
        <w:t>3</w:t>
      </w:r>
      <w:r>
        <w:rPr>
          <w:rFonts w:hint="eastAsia"/>
        </w:rPr>
        <w:t>、第</w:t>
      </w:r>
      <w:r>
        <w:rPr>
          <w:rFonts w:hint="eastAsia"/>
        </w:rPr>
        <w:t>5</w:t>
      </w:r>
      <w:r>
        <w:rPr>
          <w:rFonts w:hint="eastAsia"/>
        </w:rPr>
        <w:t>和第</w:t>
      </w:r>
      <w:r>
        <w:rPr>
          <w:rFonts w:hint="eastAsia"/>
        </w:rPr>
        <w:t>8</w:t>
      </w:r>
      <w:r>
        <w:rPr>
          <w:rFonts w:hint="eastAsia"/>
        </w:rPr>
        <w:t>号议定书修订的人权和基本自由的第</w:t>
      </w:r>
      <w:r>
        <w:rPr>
          <w:rFonts w:hint="eastAsia"/>
        </w:rPr>
        <w:t>209/1992 C</w:t>
      </w:r>
      <w:r>
        <w:t>oll.</w:t>
      </w:r>
      <w:r>
        <w:rPr>
          <w:rFonts w:hint="eastAsia"/>
        </w:rPr>
        <w:t xml:space="preserve"> </w:t>
      </w:r>
      <w:r>
        <w:rPr>
          <w:rFonts w:hint="eastAsia"/>
        </w:rPr>
        <w:t>号通告”。</w:t>
      </w:r>
    </w:p>
  </w:endnote>
  <w:endnote w:id="100">
    <w:p w:rsidR="00000000" w:rsidRDefault="00000000">
      <w:pPr>
        <w:pStyle w:val="EndnoteText"/>
        <w:rPr>
          <w:rFonts w:hint="eastAsia"/>
        </w:rPr>
      </w:pPr>
      <w:r>
        <w:rPr>
          <w:rStyle w:val="EndnoteReference"/>
        </w:rPr>
        <w:endnoteRef/>
      </w:r>
      <w:r>
        <w:t xml:space="preserve"> </w:t>
      </w:r>
      <w:r>
        <w:tab/>
      </w:r>
      <w:r>
        <w:rPr>
          <w:rFonts w:hint="eastAsia"/>
        </w:rPr>
        <w:t>后来经过修订的“关于民法的第</w:t>
      </w:r>
      <w:r>
        <w:rPr>
          <w:rFonts w:hint="eastAsia"/>
        </w:rPr>
        <w:t>40/1964 C</w:t>
      </w:r>
      <w:r>
        <w:t>oll.</w:t>
      </w:r>
      <w:r>
        <w:rPr>
          <w:rFonts w:hint="eastAsia"/>
        </w:rPr>
        <w:t>号法令”。</w:t>
      </w:r>
    </w:p>
  </w:endnote>
  <w:endnote w:id="101">
    <w:p w:rsidR="00000000" w:rsidRDefault="00000000">
      <w:pPr>
        <w:pStyle w:val="EndnoteText"/>
        <w:rPr>
          <w:rFonts w:hint="eastAsia"/>
        </w:rPr>
      </w:pPr>
      <w:r>
        <w:rPr>
          <w:rStyle w:val="EndnoteReference"/>
        </w:rPr>
        <w:endnoteRef/>
      </w:r>
      <w:r>
        <w:t xml:space="preserve"> </w:t>
      </w:r>
      <w:r>
        <w:rPr>
          <w:rFonts w:hint="eastAsia"/>
        </w:rPr>
        <w:tab/>
      </w:r>
      <w:r>
        <w:rPr>
          <w:rFonts w:hint="eastAsia"/>
        </w:rPr>
        <w:t>后来经修订的“关于劳动法的第</w:t>
      </w:r>
      <w:r>
        <w:rPr>
          <w:rFonts w:hint="eastAsia"/>
        </w:rPr>
        <w:t>65/1965</w:t>
      </w:r>
      <w:r>
        <w:rPr>
          <w:rFonts w:hint="eastAsia"/>
        </w:rPr>
        <w:t>号法令”。</w:t>
      </w:r>
    </w:p>
  </w:endnote>
  <w:endnote w:id="102">
    <w:p w:rsidR="00000000" w:rsidRDefault="00000000">
      <w:pPr>
        <w:pStyle w:val="EndnoteText"/>
        <w:rPr>
          <w:rFonts w:hint="eastAsia"/>
        </w:rPr>
      </w:pPr>
      <w:r>
        <w:rPr>
          <w:rStyle w:val="EndnoteReference"/>
        </w:rPr>
        <w:endnoteRef/>
      </w:r>
      <w:r>
        <w:t xml:space="preserve"> </w:t>
      </w:r>
      <w:r>
        <w:rPr>
          <w:rFonts w:hint="eastAsia"/>
        </w:rPr>
        <w:tab/>
      </w:r>
      <w:r>
        <w:rPr>
          <w:rFonts w:hint="eastAsia"/>
        </w:rPr>
        <w:t>“关于行使公共权利过程中由于裁决或错误的公务程序造成损害赔偿责任的第</w:t>
      </w:r>
      <w:r>
        <w:rPr>
          <w:rFonts w:hint="eastAsia"/>
        </w:rPr>
        <w:t xml:space="preserve">82/1998 </w:t>
      </w:r>
      <w:r>
        <w:t>Coll</w:t>
      </w:r>
      <w:r>
        <w:rPr>
          <w:rFonts w:hint="eastAsia"/>
        </w:rPr>
        <w:t>.</w:t>
      </w:r>
      <w:r>
        <w:rPr>
          <w:rFonts w:hint="eastAsia"/>
        </w:rPr>
        <w:t>号法令”。该法取代了不再适应变化中的社会状况的“关于国家机关的裁决或其错误的公务程序造成损害赔偿责任的第</w:t>
      </w:r>
      <w:r>
        <w:rPr>
          <w:rFonts w:hint="eastAsia"/>
        </w:rPr>
        <w:t xml:space="preserve">58/1969 </w:t>
      </w:r>
      <w:r>
        <w:t>Coll</w:t>
      </w:r>
      <w:r>
        <w:rPr>
          <w:rFonts w:hint="eastAsia"/>
        </w:rPr>
        <w:t>.</w:t>
      </w:r>
      <w:r>
        <w:rPr>
          <w:rFonts w:hint="eastAsia"/>
        </w:rPr>
        <w:t>号法令”，因为该法所依据的原则是国家作为唯一排他性的损害赔偿责任承担人。第</w:t>
      </w:r>
      <w:r>
        <w:rPr>
          <w:rFonts w:hint="eastAsia"/>
        </w:rPr>
        <w:t xml:space="preserve">58/1969 </w:t>
      </w:r>
      <w:r>
        <w:t>Coll</w:t>
      </w:r>
      <w:r>
        <w:rPr>
          <w:rFonts w:hint="eastAsia"/>
        </w:rPr>
        <w:t>.</w:t>
      </w:r>
      <w:r>
        <w:rPr>
          <w:rFonts w:hint="eastAsia"/>
        </w:rPr>
        <w:t>号法令中所载的这项定义与行使公共权力的宪法或法规的规定不再吻合，因为根据《捷克共和国宪法》的规定，这一权力也赋予国家以外的实体。</w:t>
      </w:r>
    </w:p>
  </w:endnote>
  <w:endnote w:id="103">
    <w:p w:rsidR="00000000" w:rsidRDefault="00000000">
      <w:pPr>
        <w:pStyle w:val="EndnoteText"/>
        <w:rPr>
          <w:rFonts w:hint="eastAsia"/>
        </w:rPr>
      </w:pPr>
      <w:r>
        <w:rPr>
          <w:rStyle w:val="EndnoteReference"/>
        </w:rPr>
        <w:endnoteRef/>
      </w:r>
      <w:r>
        <w:t xml:space="preserve"> </w:t>
      </w:r>
      <w:r>
        <w:rPr>
          <w:rFonts w:hint="eastAsia"/>
        </w:rPr>
        <w:tab/>
      </w:r>
      <w:r>
        <w:rPr>
          <w:rFonts w:hint="eastAsia"/>
        </w:rPr>
        <w:t>根据“关于行使公共权利过程中由于裁决或错误的公务程序造成损害赔偿责任的第</w:t>
      </w:r>
      <w:r>
        <w:rPr>
          <w:rFonts w:hint="eastAsia"/>
        </w:rPr>
        <w:t xml:space="preserve">82/1998 </w:t>
      </w:r>
      <w:r>
        <w:t>Coll</w:t>
      </w:r>
      <w:r>
        <w:rPr>
          <w:rFonts w:hint="eastAsia"/>
        </w:rPr>
        <w:t xml:space="preserve">. </w:t>
      </w:r>
      <w:r>
        <w:rPr>
          <w:rFonts w:hint="eastAsia"/>
        </w:rPr>
        <w:t>号法令”提起的诉讼程序的当事方，《刑法》规定的当事方，《民事诉讼法》规定的当事方或行政裁决诉讼程序中的各种定义的当事方。</w:t>
      </w:r>
    </w:p>
  </w:endnote>
  <w:endnote w:id="104">
    <w:p w:rsidR="00000000" w:rsidRDefault="00000000">
      <w:pPr>
        <w:pStyle w:val="EndnoteText"/>
        <w:rPr>
          <w:rFonts w:hint="eastAsia"/>
        </w:rPr>
      </w:pPr>
      <w:r>
        <w:rPr>
          <w:rStyle w:val="EndnoteReference"/>
        </w:rPr>
        <w:endnoteRef/>
      </w:r>
      <w:r>
        <w:t xml:space="preserve"> </w:t>
      </w:r>
      <w:r>
        <w:rPr>
          <w:rFonts w:hint="eastAsia"/>
        </w:rPr>
        <w:tab/>
      </w:r>
      <w:r>
        <w:rPr>
          <w:rFonts w:hint="eastAsia"/>
        </w:rPr>
        <w:t>在值得特别关注的案件中，对这一条件的履行是可以放弃的。</w:t>
      </w:r>
    </w:p>
  </w:endnote>
  <w:endnote w:id="105">
    <w:p w:rsidR="00000000" w:rsidRDefault="00000000">
      <w:pPr>
        <w:pStyle w:val="EndnoteText"/>
        <w:rPr>
          <w:rFonts w:hint="eastAsia"/>
        </w:rPr>
      </w:pPr>
      <w:r>
        <w:rPr>
          <w:rStyle w:val="EndnoteReference"/>
        </w:rPr>
        <w:endnoteRef/>
      </w:r>
      <w:r>
        <w:t xml:space="preserve"> </w:t>
      </w:r>
      <w:r>
        <w:rPr>
          <w:rFonts w:hint="eastAsia"/>
        </w:rPr>
        <w:tab/>
      </w:r>
      <w:r>
        <w:rPr>
          <w:rFonts w:hint="eastAsia"/>
        </w:rPr>
        <w:t>在一些孤立的案件中，有人抱怨这一条款违背了无罪推定原则。</w:t>
      </w:r>
    </w:p>
  </w:endnote>
  <w:endnote w:id="106">
    <w:p w:rsidR="00000000" w:rsidRDefault="00000000">
      <w:pPr>
        <w:pStyle w:val="EndnoteText"/>
      </w:pPr>
      <w:r>
        <w:rPr>
          <w:rStyle w:val="EndnoteReference"/>
        </w:rPr>
        <w:endnoteRef/>
      </w:r>
      <w:r>
        <w:t xml:space="preserve"> </w:t>
      </w:r>
      <w:r>
        <w:rPr>
          <w:rFonts w:hint="eastAsia"/>
        </w:rPr>
        <w:tab/>
      </w:r>
      <w:r>
        <w:rPr>
          <w:rFonts w:hint="eastAsia"/>
        </w:rPr>
        <w:t>不过，“关于行使公共权利过程中由于裁决或错误的公务程序造成损害赔偿责任的第</w:t>
      </w:r>
      <w:r>
        <w:rPr>
          <w:rFonts w:hint="eastAsia"/>
        </w:rPr>
        <w:t xml:space="preserve">82/1998 </w:t>
      </w:r>
      <w:r>
        <w:t>Coll</w:t>
      </w:r>
      <w:r>
        <w:rPr>
          <w:rFonts w:hint="eastAsia"/>
        </w:rPr>
        <w:t>.</w:t>
      </w:r>
      <w:r>
        <w:rPr>
          <w:rFonts w:hint="eastAsia"/>
        </w:rPr>
        <w:t>号法令”所载的法律规定仅适用于国家的公法活动所造成的损害；违反公法所规定的职责也会产生损害赔偿责任，但它是由私法来管制的，而且第</w:t>
      </w:r>
      <w:r>
        <w:rPr>
          <w:rFonts w:hint="eastAsia"/>
        </w:rPr>
        <w:t xml:space="preserve">82/1998 </w:t>
      </w:r>
      <w:r>
        <w:t>Coll.</w:t>
      </w:r>
      <w:r>
        <w:rPr>
          <w:rFonts w:hint="eastAsia"/>
        </w:rPr>
        <w:t xml:space="preserve"> </w:t>
      </w:r>
      <w:r>
        <w:rPr>
          <w:rFonts w:hint="eastAsia"/>
        </w:rPr>
        <w:t>号法令属于民法体系。《民法》是以附带的方式适用于该法规定的关系。</w:t>
      </w:r>
    </w:p>
  </w:endnote>
  <w:endnote w:id="107">
    <w:p w:rsidR="00000000" w:rsidRDefault="00000000">
      <w:pPr>
        <w:pStyle w:val="EndnoteText"/>
        <w:rPr>
          <w:rFonts w:hint="eastAsia"/>
        </w:rPr>
      </w:pPr>
      <w:r>
        <w:rPr>
          <w:rStyle w:val="EndnoteReference"/>
        </w:rPr>
        <w:endnoteRef/>
      </w:r>
      <w:r>
        <w:t xml:space="preserve"> </w:t>
      </w:r>
      <w:r>
        <w:rPr>
          <w:rFonts w:hint="eastAsia"/>
        </w:rPr>
        <w:tab/>
      </w:r>
      <w:r>
        <w:rPr>
          <w:rFonts w:hint="eastAsia"/>
        </w:rPr>
        <w:t>截至</w:t>
      </w:r>
      <w:r>
        <w:rPr>
          <w:rFonts w:hint="eastAsia"/>
        </w:rPr>
        <w:t>1999</w:t>
      </w:r>
      <w:r>
        <w:rPr>
          <w:rFonts w:hint="eastAsia"/>
        </w:rPr>
        <w:t>年</w:t>
      </w:r>
      <w:r>
        <w:rPr>
          <w:rFonts w:hint="eastAsia"/>
        </w:rPr>
        <w:t>8</w:t>
      </w:r>
      <w:r>
        <w:rPr>
          <w:rFonts w:hint="eastAsia"/>
        </w:rPr>
        <w:t>月</w:t>
      </w:r>
      <w:r>
        <w:rPr>
          <w:rFonts w:hint="eastAsia"/>
        </w:rPr>
        <w:t>30</w:t>
      </w:r>
      <w:r>
        <w:rPr>
          <w:rFonts w:hint="eastAsia"/>
        </w:rPr>
        <w:t>日捷克共和国批准的国际劳工组织公约，这些公约与本公约关系密切，捷克共和国自</w:t>
      </w:r>
      <w:r>
        <w:rPr>
          <w:rFonts w:hint="eastAsia"/>
        </w:rPr>
        <w:t>1993</w:t>
      </w:r>
      <w:r>
        <w:rPr>
          <w:rFonts w:hint="eastAsia"/>
        </w:rPr>
        <w:t>年以来提交多份执行情况报告：第</w:t>
      </w:r>
      <w:r>
        <w:t>12</w:t>
      </w:r>
      <w:r>
        <w:rPr>
          <w:rFonts w:hint="eastAsia"/>
        </w:rPr>
        <w:t>号，《</w:t>
      </w:r>
      <w:r>
        <w:t>(</w:t>
      </w:r>
      <w:r>
        <w:rPr>
          <w:rFonts w:hint="eastAsia"/>
        </w:rPr>
        <w:t>农业</w:t>
      </w:r>
      <w:r>
        <w:rPr>
          <w:rFonts w:hint="eastAsia"/>
        </w:rPr>
        <w:t>)</w:t>
      </w:r>
      <w:r>
        <w:rPr>
          <w:rFonts w:hint="eastAsia"/>
        </w:rPr>
        <w:t>工人赔偿公约》，</w:t>
      </w:r>
      <w:r>
        <w:rPr>
          <w:rFonts w:hint="eastAsia"/>
        </w:rPr>
        <w:t>192</w:t>
      </w:r>
      <w:r>
        <w:t>1</w:t>
      </w:r>
      <w:r>
        <w:rPr>
          <w:rFonts w:hint="eastAsia"/>
        </w:rPr>
        <w:t>年；第</w:t>
      </w:r>
      <w:r>
        <w:rPr>
          <w:rFonts w:hint="eastAsia"/>
        </w:rPr>
        <w:t>14</w:t>
      </w:r>
      <w:r>
        <w:rPr>
          <w:rFonts w:hint="eastAsia"/>
        </w:rPr>
        <w:t>号，《</w:t>
      </w:r>
      <w:r>
        <w:rPr>
          <w:rFonts w:hint="eastAsia"/>
        </w:rPr>
        <w:t>(</w:t>
      </w:r>
      <w:r>
        <w:rPr>
          <w:rFonts w:hint="eastAsia"/>
        </w:rPr>
        <w:t>工业</w:t>
      </w:r>
      <w:r>
        <w:rPr>
          <w:rFonts w:hint="eastAsia"/>
        </w:rPr>
        <w:t>)</w:t>
      </w:r>
      <w:r>
        <w:rPr>
          <w:rFonts w:hint="eastAsia"/>
        </w:rPr>
        <w:t>每周休息公约》，</w:t>
      </w:r>
      <w:r>
        <w:t>1921</w:t>
      </w:r>
      <w:r>
        <w:rPr>
          <w:rFonts w:hint="eastAsia"/>
        </w:rPr>
        <w:t>年；第</w:t>
      </w:r>
      <w:r>
        <w:t>17</w:t>
      </w:r>
      <w:r>
        <w:rPr>
          <w:rFonts w:hint="eastAsia"/>
        </w:rPr>
        <w:t>号</w:t>
      </w:r>
      <w:r>
        <w:t>，</w:t>
      </w:r>
      <w:r>
        <w:rPr>
          <w:rFonts w:hint="eastAsia"/>
        </w:rPr>
        <w:t>《工人</w:t>
      </w:r>
      <w:r>
        <w:rPr>
          <w:rFonts w:hint="eastAsia"/>
        </w:rPr>
        <w:t>(</w:t>
      </w:r>
      <w:r>
        <w:rPr>
          <w:rFonts w:hint="eastAsia"/>
        </w:rPr>
        <w:t>事故</w:t>
      </w:r>
      <w:r>
        <w:rPr>
          <w:rFonts w:hint="eastAsia"/>
        </w:rPr>
        <w:t>)</w:t>
      </w:r>
      <w:r>
        <w:rPr>
          <w:rFonts w:hint="eastAsia"/>
        </w:rPr>
        <w:t>赔偿公约》</w:t>
      </w:r>
      <w:r>
        <w:t>，</w:t>
      </w:r>
      <w:r>
        <w:t>1925</w:t>
      </w:r>
      <w:r>
        <w:rPr>
          <w:rFonts w:hint="eastAsia"/>
        </w:rPr>
        <w:t>年；第</w:t>
      </w:r>
      <w:r>
        <w:t>29</w:t>
      </w:r>
      <w:r>
        <w:rPr>
          <w:rFonts w:hint="eastAsia"/>
        </w:rPr>
        <w:t>号</w:t>
      </w:r>
      <w:r>
        <w:t>，</w:t>
      </w:r>
      <w:r>
        <w:rPr>
          <w:rFonts w:hint="eastAsia"/>
        </w:rPr>
        <w:t>《强迫劳动公约》</w:t>
      </w:r>
      <w:r>
        <w:t>，</w:t>
      </w:r>
      <w:r>
        <w:t>1930</w:t>
      </w:r>
      <w:r>
        <w:rPr>
          <w:rFonts w:hint="eastAsia"/>
        </w:rPr>
        <w:t>年；第</w:t>
      </w:r>
      <w:r>
        <w:t>42</w:t>
      </w:r>
      <w:r>
        <w:rPr>
          <w:rFonts w:hint="eastAsia"/>
        </w:rPr>
        <w:t>号</w:t>
      </w:r>
      <w:r>
        <w:t>，</w:t>
      </w:r>
      <w:r>
        <w:rPr>
          <w:rFonts w:hint="eastAsia"/>
        </w:rPr>
        <w:t>《工人</w:t>
      </w:r>
      <w:r>
        <w:rPr>
          <w:rFonts w:hint="eastAsia"/>
        </w:rPr>
        <w:t>(</w:t>
      </w:r>
      <w:r>
        <w:rPr>
          <w:rFonts w:hint="eastAsia"/>
        </w:rPr>
        <w:t>职业病</w:t>
      </w:r>
      <w:r>
        <w:rPr>
          <w:rFonts w:hint="eastAsia"/>
        </w:rPr>
        <w:t>)</w:t>
      </w:r>
      <w:r>
        <w:rPr>
          <w:rFonts w:hint="eastAsia"/>
        </w:rPr>
        <w:t>赔偿公约》</w:t>
      </w:r>
      <w:r>
        <w:t>(</w:t>
      </w:r>
      <w:r>
        <w:rPr>
          <w:rFonts w:hint="eastAsia"/>
        </w:rPr>
        <w:t>修正本</w:t>
      </w:r>
      <w:r>
        <w:rPr>
          <w:rFonts w:hint="eastAsia"/>
        </w:rPr>
        <w:t>)</w:t>
      </w:r>
      <w:r>
        <w:t>，</w:t>
      </w:r>
      <w:r>
        <w:t>1934</w:t>
      </w:r>
      <w:r>
        <w:rPr>
          <w:rFonts w:hint="eastAsia"/>
        </w:rPr>
        <w:t>年</w:t>
      </w:r>
      <w:r>
        <w:t>；</w:t>
      </w:r>
      <w:r>
        <w:rPr>
          <w:rFonts w:hint="eastAsia"/>
        </w:rPr>
        <w:t>第</w:t>
      </w:r>
      <w:r>
        <w:t>45</w:t>
      </w:r>
      <w:r>
        <w:rPr>
          <w:rFonts w:hint="eastAsia"/>
        </w:rPr>
        <w:t>号</w:t>
      </w:r>
      <w:r>
        <w:t>，</w:t>
      </w:r>
      <w:r>
        <w:rPr>
          <w:rFonts w:hint="eastAsia"/>
        </w:rPr>
        <w:t>《妇女井下作业公约》</w:t>
      </w:r>
      <w:r>
        <w:t>，</w:t>
      </w:r>
      <w:r>
        <w:t>193</w:t>
      </w:r>
      <w:r>
        <w:rPr>
          <w:rFonts w:hint="eastAsia"/>
        </w:rPr>
        <w:t>5</w:t>
      </w:r>
      <w:r>
        <w:rPr>
          <w:rFonts w:hint="eastAsia"/>
        </w:rPr>
        <w:t>年；第</w:t>
      </w:r>
      <w:r>
        <w:t>87</w:t>
      </w:r>
      <w:r>
        <w:rPr>
          <w:rFonts w:hint="eastAsia"/>
        </w:rPr>
        <w:t>号</w:t>
      </w:r>
      <w:r>
        <w:t>，</w:t>
      </w:r>
      <w:r>
        <w:rPr>
          <w:rFonts w:hint="eastAsia"/>
        </w:rPr>
        <w:t>《结社自由和保护组织权利公约》</w:t>
      </w:r>
      <w:r>
        <w:t>，</w:t>
      </w:r>
      <w:r>
        <w:t>1948</w:t>
      </w:r>
      <w:r>
        <w:rPr>
          <w:rFonts w:hint="eastAsia"/>
        </w:rPr>
        <w:t>年；第</w:t>
      </w:r>
      <w:r>
        <w:t>88</w:t>
      </w:r>
      <w:r>
        <w:rPr>
          <w:rFonts w:hint="eastAsia"/>
        </w:rPr>
        <w:t>号</w:t>
      </w:r>
      <w:r>
        <w:t>，</w:t>
      </w:r>
      <w:r>
        <w:rPr>
          <w:rFonts w:hint="eastAsia"/>
        </w:rPr>
        <w:t>《职业介绍设施公约》</w:t>
      </w:r>
      <w:r>
        <w:t>，</w:t>
      </w:r>
      <w:r>
        <w:t>1948</w:t>
      </w:r>
      <w:r>
        <w:rPr>
          <w:rFonts w:hint="eastAsia"/>
        </w:rPr>
        <w:t>年；第</w:t>
      </w:r>
      <w:r>
        <w:t>90</w:t>
      </w:r>
      <w:r>
        <w:rPr>
          <w:rFonts w:hint="eastAsia"/>
        </w:rPr>
        <w:t>号</w:t>
      </w:r>
      <w:r>
        <w:t>，</w:t>
      </w:r>
      <w:r>
        <w:rPr>
          <w:rFonts w:hint="eastAsia"/>
        </w:rPr>
        <w:t>《</w:t>
      </w:r>
      <w:r>
        <w:t>(</w:t>
      </w:r>
      <w:r>
        <w:rPr>
          <w:rFonts w:hint="eastAsia"/>
        </w:rPr>
        <w:t>工业</w:t>
      </w:r>
      <w:r>
        <w:rPr>
          <w:rFonts w:hint="eastAsia"/>
        </w:rPr>
        <w:t>)</w:t>
      </w:r>
      <w:r>
        <w:rPr>
          <w:rFonts w:hint="eastAsia"/>
        </w:rPr>
        <w:t>未成年人夜间工作公约》</w:t>
      </w:r>
      <w:r>
        <w:rPr>
          <w:rFonts w:hint="eastAsia"/>
        </w:rPr>
        <w:t>(</w:t>
      </w:r>
      <w:r>
        <w:rPr>
          <w:rFonts w:hint="eastAsia"/>
        </w:rPr>
        <w:t>修正本</w:t>
      </w:r>
      <w:r>
        <w:rPr>
          <w:rFonts w:hint="eastAsia"/>
        </w:rPr>
        <w:t>)</w:t>
      </w:r>
      <w:r>
        <w:t>，</w:t>
      </w:r>
      <w:r>
        <w:t>1948</w:t>
      </w:r>
      <w:r>
        <w:rPr>
          <w:rFonts w:hint="eastAsia"/>
        </w:rPr>
        <w:t>年；第</w:t>
      </w:r>
      <w:r>
        <w:t>95</w:t>
      </w:r>
      <w:r>
        <w:rPr>
          <w:rFonts w:hint="eastAsia"/>
        </w:rPr>
        <w:t>号</w:t>
      </w:r>
      <w:r>
        <w:t>，</w:t>
      </w:r>
      <w:r>
        <w:rPr>
          <w:rFonts w:hint="eastAsia"/>
        </w:rPr>
        <w:t>《保护工资公约》</w:t>
      </w:r>
      <w:r>
        <w:t>，</w:t>
      </w:r>
      <w:r>
        <w:t>1949</w:t>
      </w:r>
      <w:r>
        <w:rPr>
          <w:rFonts w:hint="eastAsia"/>
        </w:rPr>
        <w:t>年；第</w:t>
      </w:r>
      <w:r>
        <w:t>98</w:t>
      </w:r>
      <w:r>
        <w:rPr>
          <w:rFonts w:hint="eastAsia"/>
        </w:rPr>
        <w:t>号</w:t>
      </w:r>
      <w:r>
        <w:t>，</w:t>
      </w:r>
      <w:r>
        <w:rPr>
          <w:rFonts w:hint="eastAsia"/>
        </w:rPr>
        <w:t>《组织权利和集体谈判权利公约》</w:t>
      </w:r>
      <w:r>
        <w:t>，</w:t>
      </w:r>
      <w:r>
        <w:t>1949</w:t>
      </w:r>
      <w:r>
        <w:rPr>
          <w:rFonts w:hint="eastAsia"/>
        </w:rPr>
        <w:t>年；第</w:t>
      </w:r>
      <w:r>
        <w:t>100</w:t>
      </w:r>
      <w:r>
        <w:rPr>
          <w:rFonts w:hint="eastAsia"/>
        </w:rPr>
        <w:t>号</w:t>
      </w:r>
      <w:r>
        <w:t>，</w:t>
      </w:r>
      <w:r>
        <w:rPr>
          <w:rFonts w:hint="eastAsia"/>
        </w:rPr>
        <w:t>《同酬公约》</w:t>
      </w:r>
      <w:r>
        <w:t>，</w:t>
      </w:r>
      <w:r>
        <w:t>1951</w:t>
      </w:r>
      <w:r>
        <w:rPr>
          <w:rFonts w:hint="eastAsia"/>
        </w:rPr>
        <w:t>年；第</w:t>
      </w:r>
      <w:r>
        <w:t>105</w:t>
      </w:r>
      <w:r>
        <w:rPr>
          <w:rFonts w:hint="eastAsia"/>
        </w:rPr>
        <w:t>号</w:t>
      </w:r>
      <w:r>
        <w:t>，</w:t>
      </w:r>
      <w:r>
        <w:rPr>
          <w:rFonts w:hint="eastAsia"/>
        </w:rPr>
        <w:t>《废除强迫劳动公约》</w:t>
      </w:r>
      <w:r>
        <w:t>，</w:t>
      </w:r>
      <w:r>
        <w:t>1957</w:t>
      </w:r>
      <w:r>
        <w:rPr>
          <w:rFonts w:hint="eastAsia"/>
        </w:rPr>
        <w:t>年；第</w:t>
      </w:r>
      <w:r>
        <w:t>111</w:t>
      </w:r>
      <w:r>
        <w:rPr>
          <w:rFonts w:hint="eastAsia"/>
        </w:rPr>
        <w:t>号</w:t>
      </w:r>
      <w:r>
        <w:t>，</w:t>
      </w:r>
      <w:r>
        <w:rPr>
          <w:rFonts w:hint="eastAsia"/>
        </w:rPr>
        <w:t>《</w:t>
      </w:r>
      <w:r>
        <w:t>(</w:t>
      </w:r>
      <w:r>
        <w:rPr>
          <w:rFonts w:hint="eastAsia"/>
        </w:rPr>
        <w:t>就业和职业</w:t>
      </w:r>
      <w:r>
        <w:rPr>
          <w:rFonts w:hint="eastAsia"/>
        </w:rPr>
        <w:t>)</w:t>
      </w:r>
      <w:r>
        <w:rPr>
          <w:rFonts w:hint="eastAsia"/>
        </w:rPr>
        <w:t>歧视公约》</w:t>
      </w:r>
      <w:r>
        <w:t>，</w:t>
      </w:r>
      <w:r>
        <w:t>1958</w:t>
      </w:r>
      <w:r>
        <w:rPr>
          <w:rFonts w:hint="eastAsia"/>
        </w:rPr>
        <w:t>年；第</w:t>
      </w:r>
      <w:r>
        <w:t>122</w:t>
      </w:r>
      <w:r>
        <w:rPr>
          <w:rFonts w:hint="eastAsia"/>
        </w:rPr>
        <w:t>号</w:t>
      </w:r>
      <w:r>
        <w:t>，</w:t>
      </w:r>
      <w:r>
        <w:rPr>
          <w:rFonts w:hint="eastAsia"/>
        </w:rPr>
        <w:t>《就业政策公约》</w:t>
      </w:r>
      <w:r>
        <w:t>，</w:t>
      </w:r>
      <w:r>
        <w:t>1964</w:t>
      </w:r>
      <w:r>
        <w:rPr>
          <w:rFonts w:hint="eastAsia"/>
        </w:rPr>
        <w:t>年；第</w:t>
      </w:r>
      <w:r>
        <w:t>130</w:t>
      </w:r>
      <w:r>
        <w:rPr>
          <w:rFonts w:hint="eastAsia"/>
        </w:rPr>
        <w:t>号</w:t>
      </w:r>
      <w:r>
        <w:t>，</w:t>
      </w:r>
      <w:r>
        <w:rPr>
          <w:rFonts w:hint="eastAsia"/>
        </w:rPr>
        <w:t>《医疗和疾病津贴公约》</w:t>
      </w:r>
      <w:r>
        <w:t>，</w:t>
      </w:r>
      <w:r>
        <w:t>1969</w:t>
      </w:r>
      <w:r>
        <w:rPr>
          <w:rFonts w:hint="eastAsia"/>
        </w:rPr>
        <w:t>年；第</w:t>
      </w:r>
      <w:r>
        <w:t>132</w:t>
      </w:r>
      <w:r>
        <w:rPr>
          <w:rFonts w:hint="eastAsia"/>
        </w:rPr>
        <w:t>号</w:t>
      </w:r>
      <w:r>
        <w:t>，</w:t>
      </w:r>
      <w:r>
        <w:rPr>
          <w:rFonts w:hint="eastAsia"/>
        </w:rPr>
        <w:t>《带酬休假公约》</w:t>
      </w:r>
      <w:r>
        <w:t>(</w:t>
      </w:r>
      <w:r>
        <w:rPr>
          <w:rFonts w:hint="eastAsia"/>
        </w:rPr>
        <w:t>修正本</w:t>
      </w:r>
      <w:r>
        <w:rPr>
          <w:rFonts w:hint="eastAsia"/>
        </w:rPr>
        <w:t>)</w:t>
      </w:r>
      <w:r>
        <w:t>，</w:t>
      </w:r>
      <w:r>
        <w:t>1970</w:t>
      </w:r>
      <w:r>
        <w:rPr>
          <w:rFonts w:hint="eastAsia"/>
        </w:rPr>
        <w:t>年；第</w:t>
      </w:r>
      <w:r>
        <w:t>148</w:t>
      </w:r>
      <w:r>
        <w:rPr>
          <w:rFonts w:hint="eastAsia"/>
        </w:rPr>
        <w:t>号</w:t>
      </w:r>
      <w:r>
        <w:t>，</w:t>
      </w:r>
      <w:r>
        <w:rPr>
          <w:rFonts w:hint="eastAsia"/>
        </w:rPr>
        <w:t>《工作环境</w:t>
      </w:r>
      <w:r>
        <w:t>(</w:t>
      </w:r>
      <w:r>
        <w:rPr>
          <w:rFonts w:hint="eastAsia"/>
        </w:rPr>
        <w:t>空气污染、噪声和振动</w:t>
      </w:r>
      <w:r>
        <w:rPr>
          <w:rFonts w:hint="eastAsia"/>
        </w:rPr>
        <w:t>)</w:t>
      </w:r>
      <w:r>
        <w:rPr>
          <w:rFonts w:hint="eastAsia"/>
        </w:rPr>
        <w:t>公约》</w:t>
      </w:r>
      <w:r>
        <w:t>，</w:t>
      </w:r>
      <w:r>
        <w:t>1977</w:t>
      </w:r>
      <w:r>
        <w:rPr>
          <w:rFonts w:hint="eastAsia"/>
        </w:rPr>
        <w:t>年；第</w:t>
      </w:r>
      <w:r>
        <w:t>155</w:t>
      </w:r>
      <w:r>
        <w:rPr>
          <w:rFonts w:hint="eastAsia"/>
        </w:rPr>
        <w:t>号</w:t>
      </w:r>
      <w:r>
        <w:t>，</w:t>
      </w:r>
      <w:r>
        <w:rPr>
          <w:rFonts w:hint="eastAsia"/>
        </w:rPr>
        <w:t>《职业安全和卫生公约》</w:t>
      </w:r>
      <w:r>
        <w:t>，</w:t>
      </w:r>
      <w:r>
        <w:t>1981</w:t>
      </w:r>
      <w:r>
        <w:rPr>
          <w:rFonts w:hint="eastAsia"/>
        </w:rPr>
        <w:t>年；第</w:t>
      </w:r>
      <w:r>
        <w:t>159</w:t>
      </w:r>
      <w:r>
        <w:rPr>
          <w:rFonts w:hint="eastAsia"/>
        </w:rPr>
        <w:t>号</w:t>
      </w:r>
      <w:r>
        <w:t>，</w:t>
      </w:r>
      <w:r>
        <w:rPr>
          <w:rFonts w:hint="eastAsia"/>
        </w:rPr>
        <w:t>《</w:t>
      </w:r>
      <w:r>
        <w:rPr>
          <w:rFonts w:hint="eastAsia"/>
        </w:rPr>
        <w:t>(</w:t>
      </w:r>
      <w:r>
        <w:rPr>
          <w:rFonts w:hint="eastAsia"/>
        </w:rPr>
        <w:t>残疾人</w:t>
      </w:r>
      <w:r>
        <w:t>)</w:t>
      </w:r>
      <w:r>
        <w:rPr>
          <w:rFonts w:hint="eastAsia"/>
        </w:rPr>
        <w:t>职业康复和就业公约》</w:t>
      </w:r>
      <w:r>
        <w:t>，</w:t>
      </w:r>
      <w:r>
        <w:t>1983</w:t>
      </w:r>
      <w:r>
        <w:rPr>
          <w:rFonts w:hint="eastAsia"/>
        </w:rPr>
        <w:t>年</w:t>
      </w:r>
      <w:r>
        <w:t>；</w:t>
      </w:r>
      <w:r>
        <w:rPr>
          <w:rFonts w:hint="eastAsia"/>
        </w:rPr>
        <w:t>第</w:t>
      </w:r>
      <w:r>
        <w:t>167</w:t>
      </w:r>
      <w:r>
        <w:rPr>
          <w:rFonts w:hint="eastAsia"/>
        </w:rPr>
        <w:t>号</w:t>
      </w:r>
      <w:r>
        <w:t>，</w:t>
      </w:r>
      <w:r>
        <w:rPr>
          <w:rFonts w:hint="eastAsia"/>
        </w:rPr>
        <w:t>《建筑业安全和卫生公约》</w:t>
      </w:r>
      <w:r>
        <w:t>，</w:t>
      </w:r>
      <w:r>
        <w:t>1988</w:t>
      </w:r>
      <w:r>
        <w:rPr>
          <w:rFonts w:hint="eastAsia"/>
        </w:rPr>
        <w:t>年；第</w:t>
      </w:r>
      <w:r>
        <w:t>171</w:t>
      </w:r>
      <w:r>
        <w:rPr>
          <w:rFonts w:hint="eastAsia"/>
        </w:rPr>
        <w:t>号</w:t>
      </w:r>
      <w:r>
        <w:t>，</w:t>
      </w:r>
      <w:r>
        <w:rPr>
          <w:rFonts w:hint="eastAsia"/>
        </w:rPr>
        <w:t>《夜间工作公约》</w:t>
      </w:r>
      <w:r>
        <w:t>，</w:t>
      </w:r>
      <w:r>
        <w:t>1990</w:t>
      </w:r>
      <w:r>
        <w:rPr>
          <w:rFonts w:hint="eastAsia"/>
        </w:rPr>
        <w:t>年。</w:t>
      </w:r>
    </w:p>
  </w:endnote>
  <w:endnote w:id="108">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1/1991 Coll.</w:t>
      </w:r>
      <w:r>
        <w:rPr>
          <w:rFonts w:hint="eastAsia"/>
        </w:rPr>
        <w:t>号</w:t>
      </w:r>
      <w:r>
        <w:t>，</w:t>
      </w:r>
      <w:r>
        <w:rPr>
          <w:rFonts w:hint="eastAsia"/>
        </w:rPr>
        <w:t>《就业法》</w:t>
      </w:r>
      <w:r>
        <w:t>，</w:t>
      </w:r>
      <w:r>
        <w:rPr>
          <w:rFonts w:hint="eastAsia"/>
        </w:rPr>
        <w:t>后经修正。</w:t>
      </w:r>
    </w:p>
  </w:endnote>
  <w:endnote w:id="109">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9/1991 Coll.</w:t>
      </w:r>
      <w:r>
        <w:rPr>
          <w:rFonts w:hint="eastAsia"/>
        </w:rPr>
        <w:t>号</w:t>
      </w:r>
      <w:r>
        <w:t>，</w:t>
      </w:r>
      <w:r>
        <w:rPr>
          <w:rFonts w:hint="eastAsia"/>
        </w:rPr>
        <w:t>《捷克共和国就业和就业部门机构管辖权法》</w:t>
      </w:r>
      <w:r>
        <w:t>，</w:t>
      </w:r>
      <w:r>
        <w:rPr>
          <w:rFonts w:hint="eastAsia"/>
        </w:rPr>
        <w:t>后经修正。</w:t>
      </w:r>
    </w:p>
  </w:endnote>
  <w:endnote w:id="110">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65/1965 Coll.</w:t>
      </w:r>
      <w:r>
        <w:rPr>
          <w:rFonts w:hint="eastAsia"/>
        </w:rPr>
        <w:t>号</w:t>
      </w:r>
      <w:r>
        <w:t>，</w:t>
      </w:r>
      <w:r>
        <w:rPr>
          <w:rFonts w:hint="eastAsia"/>
        </w:rPr>
        <w:t>《劳动法》</w:t>
      </w:r>
      <w:r>
        <w:t>，</w:t>
      </w:r>
      <w:r>
        <w:rPr>
          <w:rFonts w:hint="eastAsia"/>
        </w:rPr>
        <w:t>后经修正。</w:t>
      </w:r>
    </w:p>
  </w:endnote>
  <w:endnote w:id="111">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231/1992 Coll.</w:t>
      </w:r>
      <w:r>
        <w:rPr>
          <w:rFonts w:hint="eastAsia"/>
        </w:rPr>
        <w:t>号</w:t>
      </w:r>
      <w:r>
        <w:t>，</w:t>
      </w:r>
      <w:r>
        <w:rPr>
          <w:rFonts w:hint="eastAsia"/>
        </w:rPr>
        <w:t>《劳动法》修正案</w:t>
      </w:r>
      <w:r>
        <w:t>，</w:t>
      </w:r>
      <w:r>
        <w:t>1992</w:t>
      </w:r>
      <w:r>
        <w:rPr>
          <w:rFonts w:hint="eastAsia"/>
        </w:rPr>
        <w:t>年</w:t>
      </w:r>
      <w:r>
        <w:t>5</w:t>
      </w:r>
      <w:r>
        <w:rPr>
          <w:rFonts w:hint="eastAsia"/>
        </w:rPr>
        <w:t>月</w:t>
      </w:r>
      <w:r>
        <w:t>29</w:t>
      </w:r>
      <w:r>
        <w:rPr>
          <w:rFonts w:hint="eastAsia"/>
        </w:rPr>
        <w:t>日生效</w:t>
      </w:r>
      <w:r>
        <w:t>。</w:t>
      </w:r>
    </w:p>
  </w:endnote>
  <w:endnote w:id="112">
    <w:p w:rsidR="00000000" w:rsidRDefault="00000000">
      <w:pPr>
        <w:pStyle w:val="EndnoteText"/>
        <w:rPr>
          <w:rFonts w:hint="eastAsia"/>
        </w:rPr>
      </w:pPr>
      <w:r>
        <w:rPr>
          <w:rStyle w:val="EndnoteReference"/>
        </w:rPr>
        <w:endnoteRef/>
      </w:r>
      <w:r>
        <w:t xml:space="preserve"> </w:t>
      </w:r>
      <w:r>
        <w:rPr>
          <w:rFonts w:hint="eastAsia"/>
        </w:rPr>
        <w:tab/>
      </w:r>
      <w:r>
        <w:rPr>
          <w:rFonts w:hint="eastAsia"/>
        </w:rPr>
        <w:t>国际劳工组织。</w:t>
      </w:r>
    </w:p>
  </w:endnote>
  <w:endnote w:id="113">
    <w:p w:rsidR="00000000" w:rsidRDefault="00000000">
      <w:pPr>
        <w:pStyle w:val="EndnoteText"/>
        <w:rPr>
          <w:rFonts w:hint="eastAsia"/>
        </w:rPr>
      </w:pPr>
      <w:r>
        <w:rPr>
          <w:rStyle w:val="EndnoteReference"/>
        </w:rPr>
        <w:endnoteRef/>
      </w:r>
      <w:r>
        <w:t xml:space="preserve"> </w:t>
      </w:r>
      <w:r>
        <w:rPr>
          <w:rFonts w:hint="eastAsia"/>
        </w:rPr>
        <w:tab/>
      </w:r>
      <w:r>
        <w:rPr>
          <w:rFonts w:hint="eastAsia"/>
        </w:rPr>
        <w:t>《劳动法》第</w:t>
      </w:r>
      <w:r>
        <w:t>36</w:t>
      </w:r>
      <w:r>
        <w:rPr>
          <w:rFonts w:hint="eastAsia"/>
        </w:rPr>
        <w:t>条第</w:t>
      </w:r>
      <w:r>
        <w:t>1</w:t>
      </w:r>
      <w:r>
        <w:rPr>
          <w:rFonts w:hint="eastAsia"/>
        </w:rPr>
        <w:t>款</w:t>
      </w:r>
      <w:r>
        <w:t>：</w:t>
      </w:r>
      <w:r>
        <w:t>"</w:t>
      </w:r>
      <w:r>
        <w:rPr>
          <w:rFonts w:hint="eastAsia"/>
        </w:rPr>
        <w:t>就业合同的议定条款只有在雇主和雇员同意改动的情况下才能改动。如果就业合同以书面形式订立</w:t>
      </w:r>
      <w:r>
        <w:t>，</w:t>
      </w:r>
      <w:r>
        <w:rPr>
          <w:rFonts w:hint="eastAsia"/>
        </w:rPr>
        <w:t>雇主也必须以书面形式对此合同作任何改动。</w:t>
      </w:r>
      <w:r>
        <w:t>"</w:t>
      </w:r>
    </w:p>
  </w:endnote>
  <w:endnote w:id="114">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140/1961 Coll.</w:t>
      </w:r>
      <w:r>
        <w:rPr>
          <w:rFonts w:hint="eastAsia"/>
        </w:rPr>
        <w:t>号</w:t>
      </w:r>
      <w:r>
        <w:t>，</w:t>
      </w:r>
      <w:r>
        <w:rPr>
          <w:rFonts w:hint="eastAsia"/>
        </w:rPr>
        <w:t>《刑法》</w:t>
      </w:r>
      <w:r>
        <w:t>，</w:t>
      </w:r>
      <w:r>
        <w:rPr>
          <w:rFonts w:hint="eastAsia"/>
        </w:rPr>
        <w:t>后经修正。</w:t>
      </w:r>
    </w:p>
  </w:endnote>
  <w:endnote w:id="115">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99/1963 Coll.</w:t>
      </w:r>
      <w:r>
        <w:rPr>
          <w:rFonts w:hint="eastAsia"/>
        </w:rPr>
        <w:t>号</w:t>
      </w:r>
      <w:r>
        <w:t>，</w:t>
      </w:r>
      <w:r>
        <w:rPr>
          <w:rFonts w:hint="eastAsia"/>
        </w:rPr>
        <w:t>《民事诉讼法》</w:t>
      </w:r>
      <w:r>
        <w:t>，</w:t>
      </w:r>
      <w:r>
        <w:rPr>
          <w:rFonts w:hint="eastAsia"/>
        </w:rPr>
        <w:t>后经修正。</w:t>
      </w:r>
    </w:p>
  </w:endnote>
  <w:endnote w:id="116">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13/1993 Coll.</w:t>
      </w:r>
      <w:r>
        <w:rPr>
          <w:rFonts w:hint="eastAsia"/>
        </w:rPr>
        <w:t>号</w:t>
      </w:r>
      <w:r>
        <w:t>，</w:t>
      </w:r>
      <w:r>
        <w:rPr>
          <w:rFonts w:hint="eastAsia"/>
        </w:rPr>
        <w:t>《海关法》</w:t>
      </w:r>
      <w:r>
        <w:t>，</w:t>
      </w:r>
      <w:r>
        <w:rPr>
          <w:rFonts w:hint="eastAsia"/>
        </w:rPr>
        <w:t>后经修正；财政部第</w:t>
      </w:r>
      <w:r>
        <w:t>259/1997 Coll.</w:t>
      </w:r>
      <w:r>
        <w:rPr>
          <w:rFonts w:hint="eastAsia"/>
        </w:rPr>
        <w:t>号令</w:t>
      </w:r>
      <w:r>
        <w:t>，</w:t>
      </w:r>
      <w:r>
        <w:rPr>
          <w:rFonts w:hint="eastAsia"/>
        </w:rPr>
        <w:t>《关于海关官</w:t>
      </w:r>
      <w:r>
        <w:rPr>
          <w:rFonts w:hint="eastAsia"/>
          <w:szCs w:val="16"/>
        </w:rPr>
        <w:t>员服务关系的某些细则》。</w:t>
      </w:r>
    </w:p>
  </w:endnote>
  <w:endnote w:id="117">
    <w:p w:rsidR="00000000" w:rsidRDefault="00000000">
      <w:pPr>
        <w:pStyle w:val="EndnoteText"/>
        <w:rPr>
          <w:rFonts w:hint="eastAsia"/>
        </w:rPr>
      </w:pPr>
      <w:r>
        <w:rPr>
          <w:rStyle w:val="EndnoteReference"/>
        </w:rPr>
        <w:endnoteRef/>
      </w:r>
      <w:r>
        <w:t xml:space="preserve"> </w:t>
      </w:r>
      <w:r>
        <w:rPr>
          <w:rFonts w:hint="eastAsia"/>
        </w:rPr>
        <w:tab/>
      </w:r>
      <w:r>
        <w:rPr>
          <w:rFonts w:hint="eastAsia"/>
          <w:szCs w:val="16"/>
        </w:rPr>
        <w:t>第</w:t>
      </w:r>
      <w:r>
        <w:rPr>
          <w:szCs w:val="16"/>
        </w:rPr>
        <w:t>151993 Coll.</w:t>
      </w:r>
      <w:r>
        <w:rPr>
          <w:rFonts w:hint="eastAsia"/>
          <w:szCs w:val="16"/>
        </w:rPr>
        <w:t>号</w:t>
      </w:r>
      <w:r>
        <w:rPr>
          <w:szCs w:val="16"/>
        </w:rPr>
        <w:t>，</w:t>
      </w:r>
      <w:r>
        <w:rPr>
          <w:rFonts w:hint="eastAsia"/>
          <w:szCs w:val="16"/>
        </w:rPr>
        <w:t>《捷克共和国武装部队法以及对某些法律的修正和补充》</w:t>
      </w:r>
      <w:r>
        <w:rPr>
          <w:szCs w:val="16"/>
        </w:rPr>
        <w:t>，</w:t>
      </w:r>
      <w:r>
        <w:rPr>
          <w:rFonts w:hint="eastAsia"/>
          <w:szCs w:val="16"/>
        </w:rPr>
        <w:t>后经修</w:t>
      </w:r>
      <w:r>
        <w:rPr>
          <w:rFonts w:hint="eastAsia"/>
        </w:rPr>
        <w:t>正；第</w:t>
      </w:r>
      <w:r>
        <w:t>76/1959 Coll.</w:t>
      </w:r>
      <w:r>
        <w:rPr>
          <w:rFonts w:hint="eastAsia"/>
        </w:rPr>
        <w:t>号</w:t>
      </w:r>
      <w:r>
        <w:t>，</w:t>
      </w:r>
      <w:r>
        <w:rPr>
          <w:rFonts w:hint="eastAsia"/>
        </w:rPr>
        <w:t>《军人的某些服务关系法》</w:t>
      </w:r>
      <w:r>
        <w:t>，</w:t>
      </w:r>
      <w:r>
        <w:rPr>
          <w:rFonts w:hint="eastAsia"/>
        </w:rPr>
        <w:t>后经修正</w:t>
      </w:r>
      <w:r>
        <w:t>。</w:t>
      </w:r>
    </w:p>
  </w:endnote>
  <w:endnote w:id="118">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154/1994 Coll.</w:t>
      </w:r>
      <w:r>
        <w:rPr>
          <w:rFonts w:hint="eastAsia"/>
        </w:rPr>
        <w:t>号</w:t>
      </w:r>
      <w:r>
        <w:t>，</w:t>
      </w:r>
      <w:r>
        <w:rPr>
          <w:rFonts w:hint="eastAsia"/>
        </w:rPr>
        <w:t>《安全情报部门法》</w:t>
      </w:r>
      <w:r>
        <w:t>，</w:t>
      </w:r>
      <w:r>
        <w:rPr>
          <w:rFonts w:hint="eastAsia"/>
        </w:rPr>
        <w:t>后经修正</w:t>
      </w:r>
      <w:r>
        <w:t>。</w:t>
      </w:r>
    </w:p>
  </w:endnote>
  <w:endnote w:id="119">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186/1992 Coll.</w:t>
      </w:r>
      <w:r>
        <w:rPr>
          <w:rFonts w:hint="eastAsia"/>
        </w:rPr>
        <w:t>号</w:t>
      </w:r>
      <w:r>
        <w:t>，</w:t>
      </w:r>
      <w:r>
        <w:rPr>
          <w:rFonts w:hint="eastAsia"/>
        </w:rPr>
        <w:t>《捷克共和国警察服务关系法》</w:t>
      </w:r>
      <w:r>
        <w:t>，</w:t>
      </w:r>
      <w:r>
        <w:rPr>
          <w:rFonts w:hint="eastAsia"/>
        </w:rPr>
        <w:t>后经修正。</w:t>
      </w:r>
    </w:p>
  </w:endnote>
  <w:endnote w:id="120">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133/1985 Coll.</w:t>
      </w:r>
      <w:r>
        <w:rPr>
          <w:rFonts w:hint="eastAsia"/>
        </w:rPr>
        <w:t>号</w:t>
      </w:r>
      <w:r>
        <w:t>，</w:t>
      </w:r>
      <w:r>
        <w:rPr>
          <w:rFonts w:hint="eastAsia"/>
        </w:rPr>
        <w:t>《防火法》</w:t>
      </w:r>
      <w:r>
        <w:t>，</w:t>
      </w:r>
      <w:r>
        <w:rPr>
          <w:rFonts w:hint="eastAsia"/>
        </w:rPr>
        <w:t>后经修正</w:t>
      </w:r>
      <w:r>
        <w:t>。</w:t>
      </w:r>
    </w:p>
  </w:endnote>
  <w:endnote w:id="121">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221/1999 Coll.</w:t>
      </w:r>
      <w:r>
        <w:rPr>
          <w:rFonts w:hint="eastAsia"/>
        </w:rPr>
        <w:t>号</w:t>
      </w:r>
      <w:r>
        <w:t>，</w:t>
      </w:r>
      <w:r>
        <w:rPr>
          <w:rFonts w:hint="eastAsia"/>
        </w:rPr>
        <w:t>《职业军人法》。</w:t>
      </w:r>
    </w:p>
  </w:endnote>
  <w:endnote w:id="122">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222/1999 Coll.</w:t>
      </w:r>
      <w:r>
        <w:rPr>
          <w:rFonts w:hint="eastAsia"/>
        </w:rPr>
        <w:t>号</w:t>
      </w:r>
      <w:r>
        <w:t>，</w:t>
      </w:r>
      <w:r>
        <w:rPr>
          <w:rFonts w:hint="eastAsia"/>
        </w:rPr>
        <w:t>《捷克共和国国防法》</w:t>
      </w:r>
      <w:r>
        <w:t>。</w:t>
      </w:r>
    </w:p>
  </w:endnote>
  <w:endnote w:id="123">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219/1999 Coll.</w:t>
      </w:r>
      <w:r>
        <w:rPr>
          <w:rFonts w:hint="eastAsia"/>
        </w:rPr>
        <w:t>号</w:t>
      </w:r>
      <w:r>
        <w:t>，</w:t>
      </w:r>
      <w:r>
        <w:rPr>
          <w:rFonts w:hint="eastAsia"/>
        </w:rPr>
        <w:t>《捷克共和国武装部队法》。</w:t>
      </w:r>
    </w:p>
  </w:endnote>
  <w:endnote w:id="124">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29/1984 Coll.</w:t>
      </w:r>
      <w:r>
        <w:rPr>
          <w:rFonts w:hint="eastAsia"/>
        </w:rPr>
        <w:t>号</w:t>
      </w:r>
      <w:r>
        <w:t>，</w:t>
      </w:r>
      <w:r>
        <w:rPr>
          <w:rFonts w:hint="eastAsia"/>
        </w:rPr>
        <w:t>《小学、中学和中学后职业学校法</w:t>
      </w:r>
      <w:r>
        <w:t>(</w:t>
      </w:r>
      <w:r>
        <w:rPr>
          <w:rFonts w:hint="eastAsia"/>
        </w:rPr>
        <w:t>教育法</w:t>
      </w:r>
      <w:r>
        <w:rPr>
          <w:rFonts w:hint="eastAsia"/>
        </w:rPr>
        <w:t>)</w:t>
      </w:r>
      <w:r>
        <w:rPr>
          <w:rFonts w:hint="eastAsia"/>
        </w:rPr>
        <w:t>》</w:t>
      </w:r>
      <w:r>
        <w:t>，</w:t>
      </w:r>
      <w:r>
        <w:rPr>
          <w:rFonts w:hint="eastAsia"/>
        </w:rPr>
        <w:t>后经修正。</w:t>
      </w:r>
    </w:p>
  </w:endnote>
  <w:endnote w:id="125">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21/1991 Coll.</w:t>
      </w:r>
      <w:r>
        <w:rPr>
          <w:rFonts w:hint="eastAsia"/>
        </w:rPr>
        <w:t>号劳动和社会事务部令</w:t>
      </w:r>
      <w:r>
        <w:t>，</w:t>
      </w:r>
      <w:r>
        <w:rPr>
          <w:rFonts w:hint="eastAsia"/>
        </w:rPr>
        <w:t>《安排对求职者和职工再培训条件细则》</w:t>
      </w:r>
      <w:r>
        <w:t>，</w:t>
      </w:r>
      <w:r>
        <w:rPr>
          <w:rFonts w:hint="eastAsia"/>
        </w:rPr>
        <w:t>后经修正。</w:t>
      </w:r>
    </w:p>
  </w:endnote>
  <w:endnote w:id="126">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123/1992 Coll.</w:t>
      </w:r>
      <w:r>
        <w:rPr>
          <w:rFonts w:hint="eastAsia"/>
        </w:rPr>
        <w:t>号</w:t>
      </w:r>
      <w:r>
        <w:t>，</w:t>
      </w:r>
      <w:r>
        <w:rPr>
          <w:rFonts w:hint="eastAsia"/>
        </w:rPr>
        <w:t>《捷克斯洛伐克联邦共和国外国人居留法》</w:t>
      </w:r>
      <w:r>
        <w:t>，</w:t>
      </w:r>
      <w:r>
        <w:rPr>
          <w:rFonts w:hint="eastAsia"/>
        </w:rPr>
        <w:t>后经修正</w:t>
      </w:r>
      <w:r>
        <w:t>。</w:t>
      </w:r>
    </w:p>
  </w:endnote>
  <w:endnote w:id="127">
    <w:p w:rsidR="00000000" w:rsidRDefault="00000000">
      <w:pPr>
        <w:pStyle w:val="EndnoteText"/>
        <w:rPr>
          <w:rFonts w:hint="eastAsia"/>
        </w:rPr>
      </w:pPr>
      <w:r>
        <w:rPr>
          <w:rStyle w:val="EndnoteReference"/>
        </w:rPr>
        <w:endnoteRef/>
      </w:r>
      <w:r>
        <w:t xml:space="preserve"> </w:t>
      </w:r>
      <w:r>
        <w:rPr>
          <w:rFonts w:hint="eastAsia"/>
        </w:rPr>
        <w:tab/>
      </w:r>
      <w:r>
        <w:rPr>
          <w:rFonts w:hint="eastAsia"/>
        </w:rPr>
        <w:t>修正第</w:t>
      </w:r>
      <w:r>
        <w:t>1/1991 Coll.</w:t>
      </w:r>
      <w:r>
        <w:rPr>
          <w:rFonts w:hint="eastAsia"/>
        </w:rPr>
        <w:t>号法律的第</w:t>
      </w:r>
      <w:r>
        <w:t>167/1999 Coll.</w:t>
      </w:r>
      <w:r>
        <w:rPr>
          <w:rFonts w:hint="eastAsia"/>
        </w:rPr>
        <w:t>号法律</w:t>
      </w:r>
      <w:r>
        <w:t>，</w:t>
      </w:r>
      <w:r>
        <w:rPr>
          <w:rFonts w:hint="eastAsia"/>
        </w:rPr>
        <w:t>《就业法》</w:t>
      </w:r>
      <w:r>
        <w:t>，</w:t>
      </w:r>
      <w:r>
        <w:rPr>
          <w:rFonts w:hint="eastAsia"/>
        </w:rPr>
        <w:t>后经修正</w:t>
      </w:r>
      <w:r>
        <w:t>;</w:t>
      </w:r>
      <w:r>
        <w:rPr>
          <w:rFonts w:hint="eastAsia"/>
        </w:rPr>
        <w:t>第</w:t>
      </w:r>
      <w:r>
        <w:t>9/1991 Coll.</w:t>
      </w:r>
      <w:r>
        <w:rPr>
          <w:rFonts w:hint="eastAsia"/>
        </w:rPr>
        <w:t>号</w:t>
      </w:r>
      <w:r>
        <w:t>，</w:t>
      </w:r>
      <w:r>
        <w:rPr>
          <w:rFonts w:hint="eastAsia"/>
        </w:rPr>
        <w:t>《捷克共和国就业和就业部门机构管辖权法》</w:t>
      </w:r>
      <w:r>
        <w:t>，</w:t>
      </w:r>
      <w:r>
        <w:rPr>
          <w:rFonts w:hint="eastAsia"/>
        </w:rPr>
        <w:t>后经修正；第</w:t>
      </w:r>
      <w:r>
        <w:t>65/1965 Coll.</w:t>
      </w:r>
      <w:r>
        <w:rPr>
          <w:rFonts w:hint="eastAsia"/>
        </w:rPr>
        <w:t>号</w:t>
      </w:r>
      <w:r>
        <w:t>，</w:t>
      </w:r>
      <w:r>
        <w:rPr>
          <w:rFonts w:hint="eastAsia"/>
        </w:rPr>
        <w:t>《劳动法》</w:t>
      </w:r>
      <w:r>
        <w:t>，</w:t>
      </w:r>
      <w:r>
        <w:rPr>
          <w:rFonts w:hint="eastAsia"/>
        </w:rPr>
        <w:t>后经修正</w:t>
      </w:r>
      <w:r>
        <w:t>。</w:t>
      </w:r>
    </w:p>
  </w:endnote>
  <w:endnote w:id="128">
    <w:p w:rsidR="00000000" w:rsidRDefault="00000000">
      <w:pPr>
        <w:pStyle w:val="EndnoteText"/>
        <w:rPr>
          <w:rFonts w:hint="eastAsia"/>
        </w:rPr>
      </w:pPr>
      <w:r>
        <w:rPr>
          <w:rStyle w:val="EndnoteReference"/>
        </w:rPr>
        <w:endnoteRef/>
      </w:r>
      <w:r>
        <w:t xml:space="preserve"> </w:t>
      </w:r>
      <w:r>
        <w:rPr>
          <w:rFonts w:hint="eastAsia"/>
        </w:rPr>
        <w:tab/>
      </w:r>
      <w:r>
        <w:rPr>
          <w:rFonts w:hint="eastAsia"/>
        </w:rPr>
        <w:t>根据在法律专辑中公布的《难民地位公约》和《难民地位议定书》</w:t>
      </w:r>
      <w:r>
        <w:t>，</w:t>
      </w:r>
      <w:r>
        <w:rPr>
          <w:rFonts w:hint="eastAsia"/>
        </w:rPr>
        <w:t>第</w:t>
      </w:r>
      <w:r>
        <w:t>208/1993 Coll.</w:t>
      </w:r>
      <w:r>
        <w:rPr>
          <w:rFonts w:hint="eastAsia"/>
        </w:rPr>
        <w:t>号和第</w:t>
      </w:r>
      <w:r>
        <w:t>498/1990 Coll.</w:t>
      </w:r>
      <w:r>
        <w:rPr>
          <w:rFonts w:hint="eastAsia"/>
        </w:rPr>
        <w:t>号</w:t>
      </w:r>
      <w:r>
        <w:t>，</w:t>
      </w:r>
      <w:r>
        <w:rPr>
          <w:rFonts w:hint="eastAsia"/>
        </w:rPr>
        <w:t>后经修正。</w:t>
      </w:r>
    </w:p>
  </w:endnote>
  <w:endnote w:id="129">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227/1993 Coll.</w:t>
      </w:r>
      <w:r>
        <w:rPr>
          <w:rFonts w:hint="eastAsia"/>
        </w:rPr>
        <w:t>号双边条约</w:t>
      </w:r>
      <w:r>
        <w:t>，</w:t>
      </w:r>
      <w:r>
        <w:rPr>
          <w:rFonts w:hint="eastAsia"/>
        </w:rPr>
        <w:t>《捷克共和国和斯洛伐克共和国关于公民就业的互惠公约》。</w:t>
      </w:r>
    </w:p>
  </w:endnote>
  <w:endnote w:id="130">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200/1990 Coll.</w:t>
      </w:r>
      <w:r>
        <w:rPr>
          <w:rFonts w:hint="eastAsia"/>
        </w:rPr>
        <w:t>号</w:t>
      </w:r>
      <w:r>
        <w:t>，</w:t>
      </w:r>
      <w:r>
        <w:rPr>
          <w:rFonts w:hint="eastAsia"/>
        </w:rPr>
        <w:t>《违法行为法》</w:t>
      </w:r>
      <w:r>
        <w:t>，</w:t>
      </w:r>
      <w:r>
        <w:rPr>
          <w:rFonts w:hint="eastAsia"/>
        </w:rPr>
        <w:t>后经修正。</w:t>
      </w:r>
    </w:p>
  </w:endnote>
  <w:endnote w:id="131">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455/1991 Coll.</w:t>
      </w:r>
      <w:r>
        <w:rPr>
          <w:rFonts w:hint="eastAsia"/>
        </w:rPr>
        <w:t>号</w:t>
      </w:r>
      <w:r>
        <w:t>，</w:t>
      </w:r>
      <w:r>
        <w:rPr>
          <w:rFonts w:hint="eastAsia"/>
        </w:rPr>
        <w:t>《营业法》</w:t>
      </w:r>
      <w:r>
        <w:t>(</w:t>
      </w:r>
      <w:r>
        <w:rPr>
          <w:rFonts w:hint="eastAsia"/>
        </w:rPr>
        <w:t>营业许可证法</w:t>
      </w:r>
      <w:r>
        <w:rPr>
          <w:rFonts w:hint="eastAsia"/>
        </w:rPr>
        <w:t>)</w:t>
      </w:r>
      <w:r>
        <w:t>，</w:t>
      </w:r>
      <w:r>
        <w:rPr>
          <w:rFonts w:hint="eastAsia"/>
        </w:rPr>
        <w:t>后经修正。</w:t>
      </w:r>
    </w:p>
  </w:endnote>
  <w:endnote w:id="132">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513/1991 Coll.</w:t>
      </w:r>
      <w:r>
        <w:rPr>
          <w:rFonts w:hint="eastAsia"/>
        </w:rPr>
        <w:t>号</w:t>
      </w:r>
      <w:r>
        <w:t>，</w:t>
      </w:r>
      <w:r>
        <w:rPr>
          <w:rFonts w:hint="eastAsia"/>
        </w:rPr>
        <w:t>《商业法》</w:t>
      </w:r>
      <w:r>
        <w:t>，</w:t>
      </w:r>
      <w:r>
        <w:rPr>
          <w:rFonts w:hint="eastAsia"/>
        </w:rPr>
        <w:t>后经修正。</w:t>
      </w:r>
    </w:p>
  </w:endnote>
  <w:endnote w:id="133">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105/1990 Coll.</w:t>
      </w:r>
      <w:r>
        <w:rPr>
          <w:rFonts w:hint="eastAsia"/>
        </w:rPr>
        <w:t>号</w:t>
      </w:r>
      <w:r>
        <w:t>，</w:t>
      </w:r>
      <w:r>
        <w:rPr>
          <w:rFonts w:hint="eastAsia"/>
        </w:rPr>
        <w:t>《公民私人经营企业法》</w:t>
      </w:r>
      <w:r>
        <w:t>，</w:t>
      </w:r>
      <w:r>
        <w:rPr>
          <w:rFonts w:hint="eastAsia"/>
        </w:rPr>
        <w:t>后经修正。</w:t>
      </w:r>
    </w:p>
  </w:endnote>
  <w:endnote w:id="134">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rPr>
          <w:lang w:val="fr-CH"/>
        </w:rPr>
        <w:t>85/1996</w:t>
      </w:r>
      <w:r>
        <w:t xml:space="preserve"> </w:t>
      </w:r>
      <w:r>
        <w:rPr>
          <w:lang w:val="fr-CH"/>
        </w:rPr>
        <w:t>Coll.</w:t>
      </w:r>
      <w:r>
        <w:rPr>
          <w:rFonts w:hint="eastAsia"/>
        </w:rPr>
        <w:t>号</w:t>
      </w:r>
      <w:r>
        <w:t>，</w:t>
      </w:r>
      <w:r>
        <w:rPr>
          <w:rFonts w:hint="eastAsia"/>
        </w:rPr>
        <w:t>《律师法</w:t>
      </w:r>
      <w:r>
        <w:rPr>
          <w:rFonts w:hint="eastAsia"/>
        </w:rPr>
        <w:t>)</w:t>
      </w:r>
      <w:r>
        <w:rPr>
          <w:rFonts w:hint="eastAsia"/>
        </w:rPr>
        <w:t>》</w:t>
      </w:r>
      <w:r>
        <w:t>，</w:t>
      </w:r>
      <w:r>
        <w:rPr>
          <w:rFonts w:hint="eastAsia"/>
        </w:rPr>
        <w:t>后经修正。</w:t>
      </w:r>
    </w:p>
  </w:endnote>
  <w:endnote w:id="135">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524/1992 Coll.</w:t>
      </w:r>
      <w:r>
        <w:rPr>
          <w:rFonts w:hint="eastAsia"/>
        </w:rPr>
        <w:t>号</w:t>
      </w:r>
      <w:r>
        <w:t>，</w:t>
      </w:r>
      <w:r>
        <w:rPr>
          <w:rFonts w:hint="eastAsia"/>
        </w:rPr>
        <w:t>《捷克共和国审计员和会计事务所法》</w:t>
      </w:r>
      <w:r>
        <w:t>，</w:t>
      </w:r>
      <w:r>
        <w:rPr>
          <w:rFonts w:hint="eastAsia"/>
        </w:rPr>
        <w:t>后经修正</w:t>
      </w:r>
      <w:r>
        <w:t>。</w:t>
      </w:r>
    </w:p>
  </w:endnote>
  <w:endnote w:id="136">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《捷克共和国罗姆民族境况以及政府协助其融入社会的措施的报告》</w:t>
      </w:r>
      <w:r>
        <w:t>，</w:t>
      </w:r>
      <w:r>
        <w:rPr>
          <w:rFonts w:hint="eastAsia"/>
        </w:rPr>
        <w:t>附于捷克共和国政府</w:t>
      </w:r>
      <w:r>
        <w:t>1997</w:t>
      </w:r>
      <w:r>
        <w:rPr>
          <w:rFonts w:hint="eastAsia"/>
        </w:rPr>
        <w:t>年</w:t>
      </w:r>
      <w:r>
        <w:t>10</w:t>
      </w:r>
      <w:r>
        <w:rPr>
          <w:rFonts w:hint="eastAsia"/>
        </w:rPr>
        <w:t>月</w:t>
      </w:r>
      <w:r>
        <w:t>20</w:t>
      </w:r>
      <w:r>
        <w:rPr>
          <w:rFonts w:hint="eastAsia"/>
        </w:rPr>
        <w:t>日第</w:t>
      </w:r>
      <w:r>
        <w:t>686</w:t>
      </w:r>
      <w:r>
        <w:rPr>
          <w:rFonts w:hint="eastAsia"/>
        </w:rPr>
        <w:t>号决议之后。</w:t>
      </w:r>
    </w:p>
  </w:endnote>
  <w:endnote w:id="137">
    <w:p w:rsidR="00000000" w:rsidRDefault="00000000">
      <w:pPr>
        <w:pStyle w:val="EndnoteText"/>
        <w:rPr>
          <w:rFonts w:hint="eastAsia"/>
        </w:rPr>
      </w:pPr>
      <w:r>
        <w:rPr>
          <w:rStyle w:val="EndnoteReference"/>
        </w:rPr>
        <w:endnoteRef/>
      </w:r>
      <w:r>
        <w:t xml:space="preserve"> </w:t>
      </w:r>
      <w:r>
        <w:rPr>
          <w:rFonts w:hint="eastAsia"/>
        </w:rPr>
        <w:tab/>
      </w:r>
      <w:r>
        <w:t>1997</w:t>
      </w:r>
      <w:r>
        <w:rPr>
          <w:rFonts w:hint="eastAsia"/>
        </w:rPr>
        <w:t>年和</w:t>
      </w:r>
      <w:r>
        <w:t>1998</w:t>
      </w:r>
      <w:r>
        <w:rPr>
          <w:rFonts w:hint="eastAsia"/>
        </w:rPr>
        <w:t>年</w:t>
      </w:r>
      <w:r>
        <w:t>，</w:t>
      </w:r>
      <w:r>
        <w:rPr>
          <w:rFonts w:hint="eastAsia"/>
        </w:rPr>
        <w:t>为罗姆人事务社会工作者开办了两期再培训班</w:t>
      </w:r>
      <w:r>
        <w:t>，</w:t>
      </w:r>
      <w:r>
        <w:rPr>
          <w:rFonts w:hint="eastAsia"/>
        </w:rPr>
        <w:t>罗姆人求职者也参加这些再培训班</w:t>
      </w:r>
      <w:r>
        <w:t>。</w:t>
      </w:r>
      <w:r>
        <w:rPr>
          <w:rFonts w:hint="eastAsia"/>
        </w:rPr>
        <w:t>后来大多数人找到了工作</w:t>
      </w:r>
      <w:r>
        <w:t>，</w:t>
      </w:r>
      <w:r>
        <w:rPr>
          <w:rFonts w:hint="eastAsia"/>
        </w:rPr>
        <w:t>在地、市办事处或反毒咨询中心担任顾问</w:t>
      </w:r>
      <w:r>
        <w:t>，</w:t>
      </w:r>
      <w:r>
        <w:rPr>
          <w:rFonts w:hint="eastAsia"/>
        </w:rPr>
        <w:t>或在学校当助理。</w:t>
      </w:r>
    </w:p>
  </w:endnote>
  <w:endnote w:id="138">
    <w:p w:rsidR="00000000" w:rsidRDefault="00000000">
      <w:pPr>
        <w:pStyle w:val="EndnoteText"/>
        <w:rPr>
          <w:rFonts w:hint="eastAsia"/>
        </w:rPr>
      </w:pPr>
      <w:r>
        <w:rPr>
          <w:rStyle w:val="EndnoteReference"/>
        </w:rPr>
        <w:endnoteRef/>
      </w:r>
      <w:r>
        <w:t xml:space="preserve"> </w:t>
      </w:r>
      <w:r>
        <w:rPr>
          <w:rFonts w:hint="eastAsia"/>
        </w:rPr>
        <w:tab/>
      </w:r>
      <w:r>
        <w:t>1998</w:t>
      </w:r>
      <w:r>
        <w:rPr>
          <w:rFonts w:hint="eastAsia"/>
        </w:rPr>
        <w:t>年</w:t>
      </w:r>
      <w:r>
        <w:t>，</w:t>
      </w:r>
      <w:r>
        <w:rPr>
          <w:rFonts w:hint="eastAsia"/>
        </w:rPr>
        <w:t>内政部提供</w:t>
      </w:r>
      <w:r>
        <w:rPr>
          <w:rFonts w:hint="eastAsia"/>
        </w:rPr>
        <w:t>2,</w:t>
      </w:r>
      <w:r>
        <w:t>819,000</w:t>
      </w:r>
      <w:r>
        <w:rPr>
          <w:rFonts w:hint="eastAsia"/>
        </w:rPr>
        <w:t>捷克克朗</w:t>
      </w:r>
      <w:r>
        <w:t>，</w:t>
      </w:r>
      <w:r>
        <w:rPr>
          <w:rFonts w:hint="eastAsia"/>
        </w:rPr>
        <w:t>支持</w:t>
      </w:r>
      <w:r>
        <w:t>10</w:t>
      </w:r>
      <w:r>
        <w:rPr>
          <w:rFonts w:hint="eastAsia"/>
        </w:rPr>
        <w:t>个通过罗姆青年的再培训、个人咨询和教育而实现就业的项目。</w:t>
      </w:r>
    </w:p>
  </w:endnote>
  <w:endnote w:id="139">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国家残疾、活动和参与分类－国家功能和残疾分类</w:t>
      </w:r>
      <w:r>
        <w:rPr>
          <w:szCs w:val="22"/>
        </w:rPr>
        <w:t>(ICIDH-2</w:t>
      </w:r>
      <w:r>
        <w:rPr>
          <w:rFonts w:hint="eastAsia"/>
          <w:szCs w:val="22"/>
        </w:rPr>
        <w:t>)</w:t>
      </w:r>
      <w:r>
        <w:rPr>
          <w:szCs w:val="22"/>
        </w:rPr>
        <w:t>。</w:t>
      </w:r>
    </w:p>
  </w:endnote>
  <w:endnote w:id="140">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捷克共和国政府</w:t>
      </w:r>
      <w:r>
        <w:rPr>
          <w:szCs w:val="22"/>
        </w:rPr>
        <w:t>1999</w:t>
      </w:r>
      <w:r>
        <w:rPr>
          <w:rFonts w:hint="eastAsia"/>
          <w:szCs w:val="22"/>
        </w:rPr>
        <w:t>年</w:t>
      </w:r>
      <w:r>
        <w:rPr>
          <w:szCs w:val="22"/>
        </w:rPr>
        <w:t>5</w:t>
      </w:r>
      <w:r>
        <w:rPr>
          <w:rFonts w:hint="eastAsia"/>
          <w:szCs w:val="22"/>
        </w:rPr>
        <w:t>月</w:t>
      </w:r>
      <w:r>
        <w:rPr>
          <w:szCs w:val="22"/>
        </w:rPr>
        <w:t>5</w:t>
      </w:r>
      <w:r>
        <w:rPr>
          <w:rFonts w:hint="eastAsia"/>
          <w:szCs w:val="22"/>
        </w:rPr>
        <w:t>日第</w:t>
      </w:r>
      <w:r>
        <w:rPr>
          <w:szCs w:val="22"/>
        </w:rPr>
        <w:t>418</w:t>
      </w:r>
      <w:r>
        <w:rPr>
          <w:rFonts w:hint="eastAsia"/>
          <w:szCs w:val="22"/>
        </w:rPr>
        <w:t>号关于国家就业计划的决议</w:t>
      </w:r>
      <w:r>
        <w:rPr>
          <w:szCs w:val="22"/>
        </w:rPr>
        <w:t>。</w:t>
      </w:r>
    </w:p>
  </w:endnote>
  <w:endnote w:id="141">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451/1991 Coll.</w:t>
      </w:r>
      <w:r>
        <w:rPr>
          <w:rFonts w:hint="eastAsia"/>
          <w:szCs w:val="22"/>
        </w:rPr>
        <w:t>号</w:t>
      </w:r>
      <w:r>
        <w:rPr>
          <w:szCs w:val="22"/>
        </w:rPr>
        <w:t>，</w:t>
      </w:r>
      <w:r>
        <w:rPr>
          <w:rFonts w:hint="eastAsia"/>
          <w:szCs w:val="22"/>
        </w:rPr>
        <w:t>《捷克斯洛伐克联邦共和国、捷克共和国和斯洛伐克共和国担任国家机构和组织某些职务的某些补充要求》</w:t>
      </w:r>
      <w:r>
        <w:rPr>
          <w:szCs w:val="22"/>
        </w:rPr>
        <w:t>，</w:t>
      </w:r>
      <w:r>
        <w:rPr>
          <w:rFonts w:hint="eastAsia"/>
          <w:szCs w:val="22"/>
        </w:rPr>
        <w:t>后经修正。</w:t>
      </w:r>
    </w:p>
  </w:endnote>
  <w:endnote w:id="142">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279/1991 Coll.</w:t>
      </w:r>
      <w:r>
        <w:rPr>
          <w:rFonts w:hint="eastAsia"/>
          <w:szCs w:val="22"/>
        </w:rPr>
        <w:t>号</w:t>
      </w:r>
      <w:r>
        <w:rPr>
          <w:szCs w:val="22"/>
        </w:rPr>
        <w:t>，</w:t>
      </w:r>
      <w:r>
        <w:rPr>
          <w:rFonts w:hint="eastAsia"/>
          <w:szCs w:val="22"/>
        </w:rPr>
        <w:t>《关于通过指定或任命担任捷克共和国某些警察职务或捷克共和国某些狱警职务的某些补充要求》</w:t>
      </w:r>
      <w:r>
        <w:rPr>
          <w:szCs w:val="22"/>
        </w:rPr>
        <w:t>，</w:t>
      </w:r>
      <w:r>
        <w:rPr>
          <w:rFonts w:hint="eastAsia"/>
          <w:szCs w:val="22"/>
        </w:rPr>
        <w:t>后经修正。</w:t>
      </w:r>
    </w:p>
  </w:endnote>
  <w:endnote w:id="143">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根据第</w:t>
      </w:r>
      <w:r>
        <w:rPr>
          <w:szCs w:val="22"/>
        </w:rPr>
        <w:t>455/1991 Coll.</w:t>
      </w:r>
      <w:r>
        <w:rPr>
          <w:rFonts w:hint="eastAsia"/>
          <w:szCs w:val="22"/>
        </w:rPr>
        <w:t>号《营业许可证法》第</w:t>
      </w:r>
      <w:r>
        <w:rPr>
          <w:szCs w:val="22"/>
        </w:rPr>
        <w:t>27</w:t>
      </w:r>
      <w:r>
        <w:rPr>
          <w:rFonts w:hint="eastAsia"/>
          <w:szCs w:val="22"/>
        </w:rPr>
        <w:t>条第</w:t>
      </w:r>
      <w:r>
        <w:rPr>
          <w:szCs w:val="22"/>
        </w:rPr>
        <w:t>2</w:t>
      </w:r>
      <w:r>
        <w:rPr>
          <w:rFonts w:hint="eastAsia"/>
          <w:szCs w:val="22"/>
        </w:rPr>
        <w:t>款</w:t>
      </w:r>
      <w:r>
        <w:rPr>
          <w:szCs w:val="22"/>
        </w:rPr>
        <w:t>，</w:t>
      </w:r>
      <w:r>
        <w:rPr>
          <w:rFonts w:hint="eastAsia"/>
          <w:szCs w:val="22"/>
        </w:rPr>
        <w:t>以及该法律的附件</w:t>
      </w:r>
      <w:r>
        <w:rPr>
          <w:szCs w:val="22"/>
        </w:rPr>
        <w:t>3</w:t>
      </w:r>
      <w:r>
        <w:rPr>
          <w:szCs w:val="22"/>
        </w:rPr>
        <w:t>。</w:t>
      </w:r>
    </w:p>
  </w:endnote>
  <w:endnote w:id="144">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这一事实存在争议</w:t>
      </w:r>
      <w:r>
        <w:rPr>
          <w:szCs w:val="22"/>
        </w:rPr>
        <w:t>，</w:t>
      </w:r>
      <w:r>
        <w:rPr>
          <w:rFonts w:hint="eastAsia"/>
          <w:szCs w:val="22"/>
        </w:rPr>
        <w:t>因为国家安全机关的前合作者也包括在压力下或正式签订合作协议的人。</w:t>
      </w:r>
    </w:p>
  </w:endnote>
  <w:endnote w:id="145">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捷克斯洛伐克共和国宪法法院</w:t>
      </w:r>
      <w:r>
        <w:rPr>
          <w:szCs w:val="22"/>
        </w:rPr>
        <w:t>1992</w:t>
      </w:r>
      <w:r>
        <w:rPr>
          <w:rFonts w:hint="eastAsia"/>
          <w:szCs w:val="22"/>
        </w:rPr>
        <w:t>年</w:t>
      </w:r>
      <w:r>
        <w:rPr>
          <w:szCs w:val="22"/>
        </w:rPr>
        <w:t>11</w:t>
      </w:r>
      <w:r>
        <w:rPr>
          <w:rFonts w:hint="eastAsia"/>
          <w:szCs w:val="22"/>
        </w:rPr>
        <w:t>月</w:t>
      </w:r>
      <w:r>
        <w:rPr>
          <w:szCs w:val="22"/>
        </w:rPr>
        <w:t>26</w:t>
      </w:r>
      <w:r>
        <w:rPr>
          <w:rFonts w:hint="eastAsia"/>
          <w:szCs w:val="22"/>
        </w:rPr>
        <w:t>日裁定</w:t>
      </w:r>
      <w:r>
        <w:rPr>
          <w:szCs w:val="22"/>
        </w:rPr>
        <w:t>，</w:t>
      </w:r>
      <w:r>
        <w:rPr>
          <w:rFonts w:hint="eastAsia"/>
          <w:szCs w:val="22"/>
        </w:rPr>
        <w:t>该法律的十项条款不符合《宪章》或《宪法》</w:t>
      </w:r>
      <w:r>
        <w:rPr>
          <w:szCs w:val="22"/>
        </w:rPr>
        <w:t>，</w:t>
      </w:r>
      <w:r>
        <w:rPr>
          <w:rFonts w:hint="eastAsia"/>
          <w:szCs w:val="22"/>
        </w:rPr>
        <w:t>从</w:t>
      </w:r>
      <w:r>
        <w:rPr>
          <w:szCs w:val="22"/>
        </w:rPr>
        <w:t>1993</w:t>
      </w:r>
      <w:r>
        <w:rPr>
          <w:rFonts w:hint="eastAsia"/>
          <w:szCs w:val="22"/>
        </w:rPr>
        <w:t>年</w:t>
      </w:r>
      <w:r>
        <w:rPr>
          <w:szCs w:val="22"/>
        </w:rPr>
        <w:t>6</w:t>
      </w:r>
      <w:r>
        <w:rPr>
          <w:rFonts w:hint="eastAsia"/>
          <w:szCs w:val="22"/>
        </w:rPr>
        <w:t>月</w:t>
      </w:r>
      <w:r>
        <w:rPr>
          <w:szCs w:val="22"/>
        </w:rPr>
        <w:t>15</w:t>
      </w:r>
      <w:r>
        <w:rPr>
          <w:rFonts w:hint="eastAsia"/>
          <w:szCs w:val="22"/>
        </w:rPr>
        <w:t>日起无效</w:t>
      </w:r>
      <w:r>
        <w:rPr>
          <w:szCs w:val="22"/>
        </w:rPr>
        <w:t>。</w:t>
      </w:r>
      <w:r>
        <w:rPr>
          <w:rFonts w:hint="eastAsia"/>
          <w:szCs w:val="22"/>
        </w:rPr>
        <w:t>于是</w:t>
      </w:r>
      <w:r>
        <w:rPr>
          <w:szCs w:val="22"/>
        </w:rPr>
        <w:t>，</w:t>
      </w:r>
      <w:r>
        <w:rPr>
          <w:rFonts w:hint="eastAsia"/>
          <w:szCs w:val="22"/>
        </w:rPr>
        <w:t>从应惩治的国家安全局秘密合作者类别中删除了生密者及其候选人员。</w:t>
      </w:r>
      <w:r>
        <w:rPr>
          <w:szCs w:val="22"/>
        </w:rPr>
        <w:t>1995</w:t>
      </w:r>
      <w:r>
        <w:rPr>
          <w:rFonts w:hint="eastAsia"/>
          <w:szCs w:val="22"/>
        </w:rPr>
        <w:t>年</w:t>
      </w:r>
      <w:r>
        <w:rPr>
          <w:szCs w:val="22"/>
        </w:rPr>
        <w:t>，</w:t>
      </w:r>
      <w:r>
        <w:rPr>
          <w:rFonts w:hint="eastAsia"/>
          <w:szCs w:val="22"/>
        </w:rPr>
        <w:t>《清理法》有效日期延至</w:t>
      </w:r>
      <w:r>
        <w:rPr>
          <w:szCs w:val="22"/>
        </w:rPr>
        <w:t>2000</w:t>
      </w:r>
      <w:r>
        <w:rPr>
          <w:rFonts w:hint="eastAsia"/>
          <w:szCs w:val="22"/>
        </w:rPr>
        <w:t>年</w:t>
      </w:r>
      <w:r>
        <w:rPr>
          <w:szCs w:val="22"/>
        </w:rPr>
        <w:t>，</w:t>
      </w:r>
      <w:r>
        <w:rPr>
          <w:rFonts w:hint="eastAsia"/>
          <w:szCs w:val="22"/>
        </w:rPr>
        <w:t>后被共和国总统否决。</w:t>
      </w:r>
    </w:p>
  </w:endnote>
  <w:endnote w:id="146">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根据第</w:t>
      </w:r>
      <w:r>
        <w:rPr>
          <w:szCs w:val="22"/>
        </w:rPr>
        <w:t>9/1991 Coll.</w:t>
      </w:r>
      <w:r>
        <w:rPr>
          <w:rFonts w:hint="eastAsia"/>
          <w:szCs w:val="22"/>
        </w:rPr>
        <w:t>号《捷克共和国就业和就业部门机构管辖权法》第</w:t>
      </w:r>
      <w:r>
        <w:rPr>
          <w:szCs w:val="22"/>
        </w:rPr>
        <w:t>5</w:t>
      </w:r>
      <w:r>
        <w:rPr>
          <w:rFonts w:hint="eastAsia"/>
          <w:szCs w:val="22"/>
        </w:rPr>
        <w:t>条</w:t>
      </w:r>
      <w:r>
        <w:rPr>
          <w:szCs w:val="22"/>
        </w:rPr>
        <w:t>，</w:t>
      </w:r>
      <w:r>
        <w:rPr>
          <w:rFonts w:hint="eastAsia"/>
          <w:szCs w:val="22"/>
        </w:rPr>
        <w:t>后经修正；劳动和社会事务部关于提供资助的第</w:t>
      </w:r>
      <w:r>
        <w:rPr>
          <w:szCs w:val="22"/>
        </w:rPr>
        <w:t>35/1997 Coll.</w:t>
      </w:r>
      <w:r>
        <w:rPr>
          <w:rFonts w:hint="eastAsia"/>
          <w:szCs w:val="22"/>
        </w:rPr>
        <w:t>号令。</w:t>
      </w:r>
    </w:p>
  </w:endnote>
  <w:endnote w:id="147">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捷克共和国政府</w:t>
      </w:r>
      <w:r>
        <w:rPr>
          <w:szCs w:val="22"/>
        </w:rPr>
        <w:t>1999</w:t>
      </w:r>
      <w:r>
        <w:rPr>
          <w:rFonts w:hint="eastAsia"/>
          <w:szCs w:val="22"/>
        </w:rPr>
        <w:t>年</w:t>
      </w:r>
      <w:r>
        <w:rPr>
          <w:szCs w:val="22"/>
        </w:rPr>
        <w:t>5</w:t>
      </w:r>
      <w:r>
        <w:rPr>
          <w:rFonts w:hint="eastAsia"/>
          <w:szCs w:val="22"/>
        </w:rPr>
        <w:t>月</w:t>
      </w:r>
      <w:r>
        <w:rPr>
          <w:szCs w:val="22"/>
        </w:rPr>
        <w:t>5</w:t>
      </w:r>
      <w:r>
        <w:rPr>
          <w:rFonts w:hint="eastAsia"/>
          <w:szCs w:val="22"/>
        </w:rPr>
        <w:t>日关于《国家就业计划》的第</w:t>
      </w:r>
      <w:r>
        <w:rPr>
          <w:rFonts w:hint="eastAsia"/>
          <w:szCs w:val="22"/>
        </w:rPr>
        <w:t>418</w:t>
      </w:r>
      <w:r>
        <w:rPr>
          <w:rFonts w:hint="eastAsia"/>
          <w:szCs w:val="22"/>
        </w:rPr>
        <w:t>号决议。</w:t>
      </w:r>
    </w:p>
  </w:endnote>
  <w:endnote w:id="148">
    <w:p w:rsidR="00000000" w:rsidRDefault="00000000">
      <w:pPr>
        <w:pStyle w:val="EndnoteText"/>
        <w:rPr>
          <w:rFonts w:hint="eastAsia"/>
        </w:rPr>
      </w:pPr>
      <w:r>
        <w:rPr>
          <w:rStyle w:val="EndnoteReference"/>
        </w:rPr>
        <w:endnoteRef/>
      </w:r>
      <w:r>
        <w:t xml:space="preserve"> </w:t>
      </w:r>
      <w:r>
        <w:rPr>
          <w:rFonts w:hint="eastAsia"/>
        </w:rPr>
        <w:tab/>
      </w:r>
      <w:r>
        <w:rPr>
          <w:szCs w:val="22"/>
        </w:rPr>
        <w:t>1990</w:t>
      </w:r>
      <w:r>
        <w:rPr>
          <w:rFonts w:hint="eastAsia"/>
          <w:szCs w:val="22"/>
        </w:rPr>
        <w:t>年代</w:t>
      </w:r>
      <w:r>
        <w:rPr>
          <w:szCs w:val="22"/>
        </w:rPr>
        <w:t>，</w:t>
      </w:r>
      <w:r>
        <w:rPr>
          <w:rFonts w:hint="eastAsia"/>
          <w:szCs w:val="22"/>
        </w:rPr>
        <w:t>欧洲委员会发出一份关于公共乘客运输的政治文件－绿皮书。它在其中强调个人流动的社会意义。绿皮书认为</w:t>
      </w:r>
      <w:r>
        <w:rPr>
          <w:szCs w:val="22"/>
        </w:rPr>
        <w:t>，</w:t>
      </w:r>
      <w:r>
        <w:rPr>
          <w:rFonts w:hint="eastAsia"/>
          <w:szCs w:val="22"/>
        </w:rPr>
        <w:t>利用公共乘客运输是欧洲公民的一项基本社会权利</w:t>
      </w:r>
      <w:r>
        <w:rPr>
          <w:szCs w:val="22"/>
        </w:rPr>
        <w:t>。</w:t>
      </w:r>
    </w:p>
  </w:endnote>
  <w:endnote w:id="149">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22/1999 Coll.</w:t>
      </w:r>
      <w:r>
        <w:rPr>
          <w:rFonts w:hint="eastAsia"/>
          <w:szCs w:val="22"/>
        </w:rPr>
        <w:t>号</w:t>
      </w:r>
      <w:r>
        <w:rPr>
          <w:szCs w:val="22"/>
        </w:rPr>
        <w:t>，</w:t>
      </w:r>
      <w:r>
        <w:rPr>
          <w:rFonts w:hint="eastAsia"/>
          <w:szCs w:val="22"/>
        </w:rPr>
        <w:t>《</w:t>
      </w:r>
      <w:r>
        <w:rPr>
          <w:szCs w:val="22"/>
        </w:rPr>
        <w:t>1999</w:t>
      </w:r>
      <w:r>
        <w:rPr>
          <w:rFonts w:hint="eastAsia"/>
          <w:szCs w:val="22"/>
        </w:rPr>
        <w:t>年捷克共和国国家预算法》。</w:t>
      </w:r>
    </w:p>
  </w:endnote>
  <w:endnote w:id="150">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捷克共和国政府</w:t>
      </w:r>
      <w:r>
        <w:rPr>
          <w:szCs w:val="22"/>
        </w:rPr>
        <w:t>1999</w:t>
      </w:r>
      <w:r>
        <w:rPr>
          <w:rFonts w:hint="eastAsia"/>
          <w:szCs w:val="22"/>
        </w:rPr>
        <w:t>年</w:t>
      </w:r>
      <w:r>
        <w:rPr>
          <w:szCs w:val="22"/>
        </w:rPr>
        <w:t>5</w:t>
      </w:r>
      <w:r>
        <w:rPr>
          <w:rFonts w:hint="eastAsia"/>
          <w:szCs w:val="22"/>
        </w:rPr>
        <w:t>月</w:t>
      </w:r>
      <w:r>
        <w:rPr>
          <w:szCs w:val="22"/>
        </w:rPr>
        <w:t>31</w:t>
      </w:r>
      <w:r>
        <w:rPr>
          <w:rFonts w:hint="eastAsia"/>
          <w:szCs w:val="22"/>
        </w:rPr>
        <w:t>日第</w:t>
      </w:r>
      <w:r>
        <w:rPr>
          <w:szCs w:val="22"/>
        </w:rPr>
        <w:t>534</w:t>
      </w:r>
      <w:r>
        <w:rPr>
          <w:rFonts w:hint="eastAsia"/>
          <w:szCs w:val="22"/>
        </w:rPr>
        <w:t>号决议</w:t>
      </w:r>
      <w:r>
        <w:rPr>
          <w:szCs w:val="22"/>
        </w:rPr>
        <w:t>，</w:t>
      </w:r>
      <w:r>
        <w:rPr>
          <w:rFonts w:hint="eastAsia"/>
          <w:szCs w:val="22"/>
        </w:rPr>
        <w:t>《关于采取紧急措施解决劳动力市场目前情况的建议》。</w:t>
      </w:r>
    </w:p>
  </w:endnote>
  <w:endnote w:id="151">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捷克共和国《经济和社会协议理事会规约》</w:t>
      </w:r>
      <w:r>
        <w:rPr>
          <w:szCs w:val="22"/>
        </w:rPr>
        <w:t>，</w:t>
      </w:r>
      <w:r>
        <w:rPr>
          <w:rFonts w:hint="eastAsia"/>
          <w:szCs w:val="22"/>
        </w:rPr>
        <w:t>第</w:t>
      </w:r>
      <w:r>
        <w:rPr>
          <w:szCs w:val="22"/>
        </w:rPr>
        <w:t>1</w:t>
      </w:r>
      <w:r>
        <w:rPr>
          <w:rFonts w:hint="eastAsia"/>
          <w:szCs w:val="22"/>
        </w:rPr>
        <w:t>条。</w:t>
      </w:r>
    </w:p>
  </w:endnote>
  <w:endnote w:id="152">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201/1997 Coll.</w:t>
      </w:r>
      <w:r>
        <w:rPr>
          <w:rFonts w:hint="eastAsia"/>
          <w:szCs w:val="22"/>
        </w:rPr>
        <w:t>号</w:t>
      </w:r>
      <w:r>
        <w:rPr>
          <w:szCs w:val="22"/>
        </w:rPr>
        <w:t>，</w:t>
      </w:r>
      <w:r>
        <w:rPr>
          <w:rFonts w:hint="eastAsia"/>
          <w:szCs w:val="22"/>
        </w:rPr>
        <w:t>《关于国家检察机关工资和某些其他待遇的规定》</w:t>
      </w:r>
      <w:r>
        <w:rPr>
          <w:szCs w:val="22"/>
        </w:rPr>
        <w:t>：</w:t>
      </w:r>
      <w:r>
        <w:rPr>
          <w:rFonts w:hint="eastAsia"/>
          <w:szCs w:val="22"/>
        </w:rPr>
        <w:t>第</w:t>
      </w:r>
      <w:r>
        <w:rPr>
          <w:szCs w:val="22"/>
        </w:rPr>
        <w:t>143/1992 Coll.</w:t>
      </w:r>
      <w:r>
        <w:rPr>
          <w:rFonts w:hint="eastAsia"/>
          <w:szCs w:val="22"/>
        </w:rPr>
        <w:t>号修正和补充法律</w:t>
      </w:r>
      <w:r>
        <w:rPr>
          <w:szCs w:val="22"/>
        </w:rPr>
        <w:t>，</w:t>
      </w:r>
      <w:r>
        <w:rPr>
          <w:rFonts w:hint="eastAsia"/>
          <w:szCs w:val="22"/>
        </w:rPr>
        <w:t>《关于预算及某些其他组织和机构中工资和待命工作报酬的规定》</w:t>
      </w:r>
      <w:r>
        <w:rPr>
          <w:szCs w:val="22"/>
        </w:rPr>
        <w:t>，</w:t>
      </w:r>
      <w:r>
        <w:rPr>
          <w:rFonts w:hint="eastAsia"/>
          <w:szCs w:val="22"/>
        </w:rPr>
        <w:t>后经修正。</w:t>
      </w:r>
    </w:p>
  </w:endnote>
  <w:endnote w:id="153">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328/1991 Coll.</w:t>
      </w:r>
      <w:r>
        <w:rPr>
          <w:rFonts w:hint="eastAsia"/>
          <w:szCs w:val="22"/>
        </w:rPr>
        <w:t>号</w:t>
      </w:r>
      <w:r>
        <w:rPr>
          <w:szCs w:val="22"/>
        </w:rPr>
        <w:t>，</w:t>
      </w:r>
      <w:r>
        <w:rPr>
          <w:rFonts w:hint="eastAsia"/>
          <w:szCs w:val="22"/>
        </w:rPr>
        <w:t>《破产和清算法》</w:t>
      </w:r>
      <w:r>
        <w:rPr>
          <w:szCs w:val="22"/>
        </w:rPr>
        <w:t>，</w:t>
      </w:r>
      <w:r>
        <w:rPr>
          <w:rFonts w:hint="eastAsia"/>
          <w:szCs w:val="22"/>
        </w:rPr>
        <w:t>后经修正</w:t>
      </w:r>
      <w:r>
        <w:rPr>
          <w:szCs w:val="22"/>
        </w:rPr>
        <w:t>。</w:t>
      </w:r>
    </w:p>
  </w:endnote>
  <w:endnote w:id="154">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2/1991 Coll.</w:t>
      </w:r>
      <w:r>
        <w:rPr>
          <w:rFonts w:hint="eastAsia"/>
          <w:szCs w:val="22"/>
        </w:rPr>
        <w:t>号</w:t>
      </w:r>
      <w:r>
        <w:rPr>
          <w:szCs w:val="22"/>
        </w:rPr>
        <w:t>，</w:t>
      </w:r>
      <w:r>
        <w:rPr>
          <w:rFonts w:hint="eastAsia"/>
          <w:szCs w:val="22"/>
        </w:rPr>
        <w:t>《集体谈判严》</w:t>
      </w:r>
      <w:r>
        <w:rPr>
          <w:szCs w:val="22"/>
        </w:rPr>
        <w:t>，</w:t>
      </w:r>
      <w:r>
        <w:rPr>
          <w:rFonts w:hint="eastAsia"/>
          <w:szCs w:val="22"/>
        </w:rPr>
        <w:t>后经修正</w:t>
      </w:r>
      <w:r>
        <w:rPr>
          <w:szCs w:val="22"/>
        </w:rPr>
        <w:t>。</w:t>
      </w:r>
    </w:p>
  </w:endnote>
  <w:endnote w:id="155">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捷克共和国政府第</w:t>
      </w:r>
      <w:r>
        <w:rPr>
          <w:szCs w:val="22"/>
        </w:rPr>
        <w:t>253/1995 Coll.</w:t>
      </w:r>
      <w:r>
        <w:rPr>
          <w:rFonts w:hint="eastAsia"/>
          <w:szCs w:val="22"/>
        </w:rPr>
        <w:t>号条例</w:t>
      </w:r>
      <w:r>
        <w:rPr>
          <w:szCs w:val="22"/>
        </w:rPr>
        <w:t>，</w:t>
      </w:r>
      <w:r>
        <w:rPr>
          <w:rFonts w:hint="eastAsia"/>
          <w:szCs w:val="22"/>
        </w:rPr>
        <w:t>《关于国家行政机关、某些其他团体和市政府雇员工资的规定》</w:t>
      </w:r>
      <w:r>
        <w:rPr>
          <w:szCs w:val="22"/>
        </w:rPr>
        <w:t>，</w:t>
      </w:r>
      <w:r>
        <w:rPr>
          <w:rFonts w:hint="eastAsia"/>
          <w:szCs w:val="22"/>
        </w:rPr>
        <w:t>后经第</w:t>
      </w:r>
      <w:r>
        <w:rPr>
          <w:szCs w:val="22"/>
        </w:rPr>
        <w:t>78/l994 Coll.</w:t>
      </w:r>
      <w:r>
        <w:rPr>
          <w:rFonts w:hint="eastAsia"/>
          <w:szCs w:val="22"/>
        </w:rPr>
        <w:t>号政府条例、第</w:t>
      </w:r>
      <w:r>
        <w:rPr>
          <w:szCs w:val="22"/>
        </w:rPr>
        <w:t>142/1995 Coll.</w:t>
      </w:r>
      <w:r>
        <w:rPr>
          <w:rFonts w:hint="eastAsia"/>
          <w:szCs w:val="22"/>
        </w:rPr>
        <w:t>号政府条例、第</w:t>
      </w:r>
      <w:r>
        <w:rPr>
          <w:szCs w:val="22"/>
        </w:rPr>
        <w:t xml:space="preserve">71/1996 </w:t>
      </w:r>
      <w:r>
        <w:rPr>
          <w:rFonts w:hint="eastAsia"/>
          <w:szCs w:val="22"/>
        </w:rPr>
        <w:t>C</w:t>
      </w:r>
      <w:r>
        <w:rPr>
          <w:szCs w:val="22"/>
        </w:rPr>
        <w:t>oll.</w:t>
      </w:r>
      <w:r>
        <w:rPr>
          <w:rFonts w:hint="eastAsia"/>
          <w:szCs w:val="22"/>
        </w:rPr>
        <w:t>号政府条例、第</w:t>
      </w:r>
      <w:r>
        <w:rPr>
          <w:szCs w:val="22"/>
        </w:rPr>
        <w:t>326/1996 Coll.</w:t>
      </w:r>
      <w:r>
        <w:rPr>
          <w:rFonts w:hint="eastAsia"/>
          <w:szCs w:val="22"/>
        </w:rPr>
        <w:t>号政府条例、第</w:t>
      </w:r>
      <w:r>
        <w:rPr>
          <w:szCs w:val="22"/>
        </w:rPr>
        <w:t>353/1997 Coll.</w:t>
      </w:r>
      <w:r>
        <w:rPr>
          <w:rFonts w:hint="eastAsia"/>
          <w:szCs w:val="22"/>
        </w:rPr>
        <w:t>号政府条例和第</w:t>
      </w:r>
      <w:r>
        <w:rPr>
          <w:szCs w:val="22"/>
        </w:rPr>
        <w:t xml:space="preserve">248/1998 </w:t>
      </w:r>
      <w:r>
        <w:rPr>
          <w:rFonts w:hint="eastAsia"/>
          <w:szCs w:val="22"/>
        </w:rPr>
        <w:t>C</w:t>
      </w:r>
      <w:r>
        <w:rPr>
          <w:szCs w:val="22"/>
        </w:rPr>
        <w:t>oll.</w:t>
      </w:r>
      <w:r>
        <w:rPr>
          <w:rFonts w:hint="eastAsia"/>
          <w:szCs w:val="22"/>
        </w:rPr>
        <w:t>号政府条例修正。</w:t>
      </w:r>
    </w:p>
  </w:endnote>
  <w:endnote w:id="156">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捷克共和国政府第</w:t>
      </w:r>
      <w:r>
        <w:rPr>
          <w:szCs w:val="22"/>
        </w:rPr>
        <w:t>86/1993 Coll.</w:t>
      </w:r>
      <w:r>
        <w:rPr>
          <w:rFonts w:hint="eastAsia"/>
          <w:szCs w:val="22"/>
        </w:rPr>
        <w:t>号条例</w:t>
      </w:r>
      <w:r>
        <w:rPr>
          <w:szCs w:val="22"/>
        </w:rPr>
        <w:t>，</w:t>
      </w:r>
      <w:r>
        <w:rPr>
          <w:rFonts w:hint="eastAsia"/>
          <w:szCs w:val="22"/>
        </w:rPr>
        <w:t>《关于向教会牧师和宗教团体提供个人收入的规定》</w:t>
      </w:r>
      <w:r>
        <w:rPr>
          <w:szCs w:val="22"/>
        </w:rPr>
        <w:t>，</w:t>
      </w:r>
      <w:r>
        <w:rPr>
          <w:rFonts w:hint="eastAsia"/>
          <w:szCs w:val="22"/>
        </w:rPr>
        <w:t>后经第</w:t>
      </w:r>
      <w:r>
        <w:rPr>
          <w:szCs w:val="22"/>
        </w:rPr>
        <w:t>273/1995 Coll.</w:t>
      </w:r>
      <w:r>
        <w:rPr>
          <w:rFonts w:hint="eastAsia"/>
          <w:szCs w:val="22"/>
        </w:rPr>
        <w:t>号政府条例和第</w:t>
      </w:r>
      <w:r>
        <w:rPr>
          <w:szCs w:val="22"/>
        </w:rPr>
        <w:t>322/1998 Coll.</w:t>
      </w:r>
      <w:r>
        <w:rPr>
          <w:rFonts w:hint="eastAsia"/>
          <w:szCs w:val="22"/>
        </w:rPr>
        <w:t>号政府条例修正</w:t>
      </w:r>
      <w:r>
        <w:rPr>
          <w:szCs w:val="22"/>
        </w:rPr>
        <w:t>。</w:t>
      </w:r>
    </w:p>
  </w:endnote>
  <w:endnote w:id="157">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捷克共和国政府第</w:t>
      </w:r>
      <w:r>
        <w:rPr>
          <w:szCs w:val="22"/>
        </w:rPr>
        <w:t>48/1995 Coll.</w:t>
      </w:r>
      <w:r>
        <w:rPr>
          <w:rFonts w:hint="eastAsia"/>
          <w:szCs w:val="22"/>
        </w:rPr>
        <w:t>号条例</w:t>
      </w:r>
      <w:r>
        <w:rPr>
          <w:szCs w:val="22"/>
        </w:rPr>
        <w:t>，</w:t>
      </w:r>
      <w:r>
        <w:rPr>
          <w:rFonts w:hint="eastAsia"/>
          <w:szCs w:val="22"/>
        </w:rPr>
        <w:t>《关于确定预算拨款组织及某些其他组织和机构工资和待命工作报酬的资金数额的规定》</w:t>
      </w:r>
      <w:r>
        <w:rPr>
          <w:szCs w:val="22"/>
        </w:rPr>
        <w:t>，</w:t>
      </w:r>
      <w:r>
        <w:rPr>
          <w:rFonts w:hint="eastAsia"/>
          <w:szCs w:val="22"/>
        </w:rPr>
        <w:t>后经第</w:t>
      </w:r>
      <w:r>
        <w:rPr>
          <w:szCs w:val="22"/>
        </w:rPr>
        <w:t>144/1995 Coll.</w:t>
      </w:r>
      <w:r>
        <w:rPr>
          <w:rFonts w:hint="eastAsia"/>
          <w:szCs w:val="22"/>
        </w:rPr>
        <w:t>号政府条例、第</w:t>
      </w:r>
      <w:r>
        <w:rPr>
          <w:szCs w:val="22"/>
        </w:rPr>
        <w:t xml:space="preserve">209/1995 </w:t>
      </w:r>
      <w:r>
        <w:rPr>
          <w:rFonts w:hint="eastAsia"/>
          <w:szCs w:val="22"/>
        </w:rPr>
        <w:t>C</w:t>
      </w:r>
      <w:r>
        <w:rPr>
          <w:szCs w:val="22"/>
        </w:rPr>
        <w:t>oll.</w:t>
      </w:r>
      <w:r>
        <w:rPr>
          <w:rFonts w:hint="eastAsia"/>
          <w:szCs w:val="22"/>
        </w:rPr>
        <w:t>号</w:t>
      </w:r>
      <w:r>
        <w:rPr>
          <w:rFonts w:hint="eastAsia"/>
        </w:rPr>
        <w:t>政府条例、第</w:t>
      </w:r>
      <w:r>
        <w:t>306/1995 Coll.</w:t>
      </w:r>
      <w:r>
        <w:rPr>
          <w:rFonts w:hint="eastAsia"/>
        </w:rPr>
        <w:t>号政府条例、第</w:t>
      </w:r>
      <w:r>
        <w:t>137/1997</w:t>
      </w:r>
      <w:r>
        <w:rPr>
          <w:szCs w:val="22"/>
        </w:rPr>
        <w:t xml:space="preserve"> </w:t>
      </w:r>
      <w:r>
        <w:rPr>
          <w:rFonts w:hint="eastAsia"/>
          <w:szCs w:val="22"/>
        </w:rPr>
        <w:t>C</w:t>
      </w:r>
      <w:r>
        <w:rPr>
          <w:szCs w:val="22"/>
        </w:rPr>
        <w:t>oll.</w:t>
      </w:r>
      <w:r>
        <w:rPr>
          <w:rFonts w:hint="eastAsia"/>
        </w:rPr>
        <w:t>号政府条例、第</w:t>
      </w:r>
      <w:r>
        <w:t>349/1997</w:t>
      </w:r>
      <w:r>
        <w:rPr>
          <w:szCs w:val="22"/>
        </w:rPr>
        <w:t xml:space="preserve"> </w:t>
      </w:r>
      <w:r>
        <w:rPr>
          <w:rFonts w:hint="eastAsia"/>
          <w:szCs w:val="22"/>
        </w:rPr>
        <w:t>C</w:t>
      </w:r>
      <w:r>
        <w:rPr>
          <w:szCs w:val="22"/>
        </w:rPr>
        <w:t>oll.</w:t>
      </w:r>
      <w:r>
        <w:rPr>
          <w:rFonts w:hint="eastAsia"/>
        </w:rPr>
        <w:t>号政府条例、第</w:t>
      </w:r>
      <w:r>
        <w:t>319/1998</w:t>
      </w:r>
      <w:r>
        <w:rPr>
          <w:szCs w:val="22"/>
        </w:rPr>
        <w:t xml:space="preserve"> Coll.</w:t>
      </w:r>
      <w:r>
        <w:rPr>
          <w:rFonts w:hint="eastAsia"/>
          <w:szCs w:val="22"/>
        </w:rPr>
        <w:t>号</w:t>
      </w:r>
      <w:r>
        <w:rPr>
          <w:rFonts w:hint="eastAsia"/>
        </w:rPr>
        <w:t>政府条例和第</w:t>
      </w:r>
      <w:r>
        <w:t>332/1999 Coll.</w:t>
      </w:r>
      <w:r>
        <w:rPr>
          <w:rFonts w:hint="eastAsia"/>
        </w:rPr>
        <w:t>号政府条例修正</w:t>
      </w:r>
      <w:r>
        <w:t>。</w:t>
      </w:r>
    </w:p>
  </w:endnote>
  <w:endnote w:id="158">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捷克共和国政府第</w:t>
      </w:r>
      <w:r>
        <w:t>303/1995</w:t>
      </w:r>
      <w:r>
        <w:rPr>
          <w:rFonts w:hint="eastAsia"/>
        </w:rPr>
        <w:t>号条例</w:t>
      </w:r>
      <w:r>
        <w:t>，</w:t>
      </w:r>
      <w:r>
        <w:rPr>
          <w:rFonts w:hint="eastAsia"/>
        </w:rPr>
        <w:t>《关于最低工资的规定》</w:t>
      </w:r>
      <w:r>
        <w:t>，</w:t>
      </w:r>
      <w:r>
        <w:rPr>
          <w:rFonts w:hint="eastAsia"/>
        </w:rPr>
        <w:t>后经第</w:t>
      </w:r>
      <w:r>
        <w:t>320/l997 Coll.</w:t>
      </w:r>
      <w:r>
        <w:rPr>
          <w:rFonts w:hint="eastAsia"/>
        </w:rPr>
        <w:t>号、第</w:t>
      </w:r>
      <w:r>
        <w:t>317/1998 Coll.</w:t>
      </w:r>
      <w:r>
        <w:rPr>
          <w:rFonts w:hint="eastAsia"/>
        </w:rPr>
        <w:t>号、第</w:t>
      </w:r>
      <w:r>
        <w:t>131/1999 Coll.</w:t>
      </w:r>
      <w:r>
        <w:rPr>
          <w:rFonts w:hint="eastAsia"/>
        </w:rPr>
        <w:t>号和第</w:t>
      </w:r>
      <w:r>
        <w:t>313/1999</w:t>
      </w:r>
      <w:r>
        <w:rPr>
          <w:szCs w:val="22"/>
        </w:rPr>
        <w:t xml:space="preserve"> </w:t>
      </w:r>
      <w:r>
        <w:rPr>
          <w:rFonts w:hint="eastAsia"/>
          <w:szCs w:val="22"/>
        </w:rPr>
        <w:t>C</w:t>
      </w:r>
      <w:r>
        <w:rPr>
          <w:szCs w:val="22"/>
        </w:rPr>
        <w:t>oll.</w:t>
      </w:r>
      <w:r>
        <w:rPr>
          <w:rFonts w:hint="eastAsia"/>
        </w:rPr>
        <w:t>号政府条例的修正</w:t>
      </w:r>
      <w:r>
        <w:t>。</w:t>
      </w:r>
    </w:p>
  </w:endnote>
  <w:endnote w:id="159">
    <w:p w:rsidR="00000000" w:rsidRDefault="00000000">
      <w:pPr>
        <w:pStyle w:val="EndnoteText"/>
        <w:rPr>
          <w:rFonts w:hint="eastAsia"/>
        </w:rPr>
      </w:pPr>
      <w:r>
        <w:rPr>
          <w:rStyle w:val="EndnoteReference"/>
        </w:rPr>
        <w:endnoteRef/>
      </w:r>
      <w:r>
        <w:t xml:space="preserve"> </w:t>
      </w:r>
      <w:r>
        <w:rPr>
          <w:rFonts w:hint="eastAsia"/>
        </w:rPr>
        <w:t>关于《劳动法》执行细则的第</w:t>
      </w:r>
      <w:r>
        <w:t>108/1994 Coll.</w:t>
      </w:r>
      <w:r>
        <w:rPr>
          <w:rFonts w:hint="eastAsia"/>
        </w:rPr>
        <w:t>号政府条例。</w:t>
      </w:r>
      <w:r>
        <w:rPr>
          <w:rFonts w:hint="eastAsia"/>
        </w:rPr>
        <w:tab/>
      </w:r>
    </w:p>
  </w:endnote>
  <w:endnote w:id="160">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捷克共和国政府第</w:t>
      </w:r>
      <w:r>
        <w:t>333/1993</w:t>
      </w:r>
      <w:r>
        <w:rPr>
          <w:szCs w:val="22"/>
        </w:rPr>
        <w:t xml:space="preserve"> Coll.</w:t>
      </w:r>
      <w:r>
        <w:rPr>
          <w:rFonts w:hint="eastAsia"/>
          <w:szCs w:val="22"/>
        </w:rPr>
        <w:t>号</w:t>
      </w:r>
      <w:r>
        <w:rPr>
          <w:rFonts w:hint="eastAsia"/>
        </w:rPr>
        <w:t>条例</w:t>
      </w:r>
      <w:r>
        <w:t>，</w:t>
      </w:r>
      <w:r>
        <w:rPr>
          <w:rFonts w:hint="eastAsia"/>
        </w:rPr>
        <w:t>《关于制定艰苦或有害健康工作环境和夜班工作的最低工资水平和工资津贴的规定》</w:t>
      </w:r>
      <w:r>
        <w:t>，</w:t>
      </w:r>
      <w:r>
        <w:rPr>
          <w:rFonts w:hint="eastAsia"/>
        </w:rPr>
        <w:t>后经第</w:t>
      </w:r>
      <w:r>
        <w:t>308/1995 Coll.</w:t>
      </w:r>
      <w:r>
        <w:rPr>
          <w:rFonts w:hint="eastAsia"/>
        </w:rPr>
        <w:t>号、第</w:t>
      </w:r>
      <w:r>
        <w:t>356/1997 Coll.</w:t>
      </w:r>
      <w:r>
        <w:rPr>
          <w:rFonts w:hint="eastAsia"/>
        </w:rPr>
        <w:t>号、第</w:t>
      </w:r>
      <w:r>
        <w:t>318/l998 Coll.</w:t>
      </w:r>
      <w:r>
        <w:rPr>
          <w:rFonts w:hint="eastAsia"/>
        </w:rPr>
        <w:t>号、第</w:t>
      </w:r>
      <w:r>
        <w:t>312/1999</w:t>
      </w:r>
      <w:r>
        <w:rPr>
          <w:szCs w:val="22"/>
        </w:rPr>
        <w:t xml:space="preserve"> </w:t>
      </w:r>
      <w:r>
        <w:rPr>
          <w:rFonts w:hint="eastAsia"/>
          <w:szCs w:val="22"/>
        </w:rPr>
        <w:t>C</w:t>
      </w:r>
      <w:r>
        <w:rPr>
          <w:szCs w:val="22"/>
        </w:rPr>
        <w:t>oll.</w:t>
      </w:r>
      <w:r>
        <w:rPr>
          <w:rFonts w:hint="eastAsia"/>
        </w:rPr>
        <w:t>号和第</w:t>
      </w:r>
      <w:r>
        <w:t>132/1999 Coll.</w:t>
      </w:r>
      <w:r>
        <w:rPr>
          <w:rFonts w:hint="eastAsia"/>
        </w:rPr>
        <w:t>号政府条例修正</w:t>
      </w:r>
      <w:r>
        <w:t>。</w:t>
      </w:r>
    </w:p>
  </w:endnote>
  <w:endnote w:id="161">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捷克共和国政府第</w:t>
      </w:r>
      <w:r>
        <w:t>252/1992 Coll.</w:t>
      </w:r>
      <w:r>
        <w:rPr>
          <w:rFonts w:hint="eastAsia"/>
        </w:rPr>
        <w:t>号条例</w:t>
      </w:r>
      <w:r>
        <w:t>，</w:t>
      </w:r>
      <w:r>
        <w:rPr>
          <w:rFonts w:hint="eastAsia"/>
        </w:rPr>
        <w:t>《关于为艰苦工作条件或有害健康工作条件下的工作提供特别补充津贴及其数额的规定》</w:t>
      </w:r>
      <w:r>
        <w:t>，</w:t>
      </w:r>
      <w:r>
        <w:rPr>
          <w:rFonts w:hint="eastAsia"/>
        </w:rPr>
        <w:t>后经第</w:t>
      </w:r>
      <w:r>
        <w:t>77/1994 Coll.</w:t>
      </w:r>
      <w:r>
        <w:rPr>
          <w:rFonts w:hint="eastAsia"/>
        </w:rPr>
        <w:t>号政府条例修正</w:t>
      </w:r>
      <w:r>
        <w:t>。</w:t>
      </w:r>
    </w:p>
  </w:endnote>
  <w:endnote w:id="162">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捷克共和国政府第</w:t>
      </w:r>
      <w:r>
        <w:t>63/1998 Coll.</w:t>
      </w:r>
      <w:r>
        <w:rPr>
          <w:rFonts w:hint="eastAsia"/>
        </w:rPr>
        <w:t>号条例</w:t>
      </w:r>
      <w:r>
        <w:t>，</w:t>
      </w:r>
      <w:r>
        <w:rPr>
          <w:rFonts w:hint="eastAsia"/>
        </w:rPr>
        <w:t>《关于计算不得为执行判决从每月工资扣留的基本部分的方法以及制定可不受限制加以扣留的工资部分的规定》</w:t>
      </w:r>
      <w:r>
        <w:t>。</w:t>
      </w:r>
    </w:p>
  </w:endnote>
  <w:endnote w:id="163">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捷克共和国政府第</w:t>
      </w:r>
      <w:r>
        <w:t>251/1992 Coll.</w:t>
      </w:r>
      <w:r>
        <w:rPr>
          <w:rFonts w:hint="eastAsia"/>
        </w:rPr>
        <w:t>号条例</w:t>
      </w:r>
      <w:r>
        <w:t>，</w:t>
      </w:r>
      <w:r>
        <w:rPr>
          <w:rFonts w:hint="eastAsia"/>
        </w:rPr>
        <w:t>《关于预算拨款组织和某些其他组织雇员工资的规定》</w:t>
      </w:r>
      <w:r>
        <w:t>，</w:t>
      </w:r>
      <w:r>
        <w:rPr>
          <w:rFonts w:hint="eastAsia"/>
        </w:rPr>
        <w:t>后经修正。</w:t>
      </w:r>
    </w:p>
  </w:endnote>
  <w:endnote w:id="164">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捷克共和国政府第</w:t>
      </w:r>
      <w:r>
        <w:t>79/1994 Coll.</w:t>
      </w:r>
      <w:r>
        <w:rPr>
          <w:rFonts w:hint="eastAsia"/>
        </w:rPr>
        <w:t>号条例</w:t>
      </w:r>
      <w:r>
        <w:t>，</w:t>
      </w:r>
      <w:r>
        <w:rPr>
          <w:rFonts w:hint="eastAsia"/>
        </w:rPr>
        <w:t>《关于武装部队、安全部队和服务部门、海关行政机构、消防队成员和某些其他组织雇员工资的政府条例》</w:t>
      </w:r>
      <w:r>
        <w:t>，</w:t>
      </w:r>
      <w:r>
        <w:rPr>
          <w:rFonts w:hint="eastAsia"/>
        </w:rPr>
        <w:t>后经修正</w:t>
      </w:r>
      <w:r>
        <w:t>。</w:t>
      </w:r>
    </w:p>
  </w:endnote>
  <w:endnote w:id="165">
    <w:p w:rsidR="00000000" w:rsidRDefault="00000000">
      <w:pPr>
        <w:pStyle w:val="EndnoteText"/>
        <w:rPr>
          <w:rFonts w:hint="eastAsia"/>
        </w:rPr>
      </w:pPr>
      <w:r>
        <w:rPr>
          <w:rStyle w:val="EndnoteReference"/>
        </w:rPr>
        <w:endnoteRef/>
      </w:r>
      <w:r>
        <w:t xml:space="preserve"> </w:t>
      </w:r>
      <w:r>
        <w:rPr>
          <w:rFonts w:hint="eastAsia"/>
        </w:rPr>
        <w:tab/>
      </w:r>
      <w:r>
        <w:rPr>
          <w:rFonts w:hint="eastAsia"/>
        </w:rPr>
        <w:t>迄今为止</w:t>
      </w:r>
      <w:r>
        <w:t>，</w:t>
      </w:r>
      <w:r>
        <w:rPr>
          <w:rFonts w:hint="eastAsia"/>
        </w:rPr>
        <w:t>扣除自然人社会和医疗保险及收入税预付款后</w:t>
      </w:r>
      <w:r>
        <w:t>，</w:t>
      </w:r>
      <w:r>
        <w:rPr>
          <w:rFonts w:hint="eastAsia"/>
        </w:rPr>
        <w:t>最低工资职工的工资甚至无法维持个人最低生活水平</w:t>
      </w:r>
      <w:r>
        <w:t>。</w:t>
      </w:r>
    </w:p>
  </w:endnote>
  <w:endnote w:id="166">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w:t>
      </w:r>
      <w:r>
        <w:t>1998</w:t>
      </w:r>
      <w:r>
        <w:rPr>
          <w:rFonts w:hint="eastAsia"/>
        </w:rPr>
        <w:t>年</w:t>
      </w:r>
      <w:r>
        <w:t>8</w:t>
      </w:r>
      <w:r>
        <w:rPr>
          <w:rFonts w:hint="eastAsia"/>
        </w:rPr>
        <w:t>月</w:t>
      </w:r>
      <w:r>
        <w:t>5</w:t>
      </w:r>
      <w:r>
        <w:rPr>
          <w:rFonts w:hint="eastAsia"/>
        </w:rPr>
        <w:t>日第</w:t>
      </w:r>
      <w:r>
        <w:t>504</w:t>
      </w:r>
      <w:r>
        <w:rPr>
          <w:rFonts w:hint="eastAsia"/>
        </w:rPr>
        <w:t>号决议</w:t>
      </w:r>
      <w:r>
        <w:t>，</w:t>
      </w:r>
      <w:r>
        <w:rPr>
          <w:rFonts w:hint="eastAsia"/>
        </w:rPr>
        <w:t>《政府计划宣言》。</w:t>
      </w:r>
    </w:p>
  </w:endnote>
  <w:endnote w:id="167">
    <w:p w:rsidR="00000000" w:rsidRDefault="00000000">
      <w:pPr>
        <w:pStyle w:val="EndnoteText"/>
        <w:rPr>
          <w:rFonts w:hint="eastAsia"/>
        </w:rPr>
      </w:pPr>
      <w:r>
        <w:rPr>
          <w:rStyle w:val="EndnoteReference"/>
        </w:rPr>
        <w:endnoteRef/>
      </w:r>
      <w:r>
        <w:t xml:space="preserve"> </w:t>
      </w:r>
      <w:r>
        <w:rPr>
          <w:rFonts w:hint="eastAsia"/>
        </w:rPr>
        <w:tab/>
      </w:r>
      <w:r>
        <w:rPr>
          <w:rFonts w:hint="eastAsia"/>
        </w:rPr>
        <w:t>根据政府第</w:t>
      </w:r>
      <w:r>
        <w:t>333/1993</w:t>
      </w:r>
      <w:r>
        <w:rPr>
          <w:rFonts w:hint="eastAsia"/>
        </w:rPr>
        <w:t>号《关于制定艰苦或有害健康环境和夜班工作的最低工资水平和工资津贴的规定》</w:t>
      </w:r>
      <w:r>
        <w:t>，</w:t>
      </w:r>
      <w:r>
        <w:rPr>
          <w:rFonts w:hint="eastAsia"/>
        </w:rPr>
        <w:t>后经修正。</w:t>
      </w:r>
    </w:p>
  </w:endnote>
  <w:endnote w:id="168">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453/1991 Coll.</w:t>
      </w:r>
      <w:r>
        <w:rPr>
          <w:rFonts w:hint="eastAsia"/>
        </w:rPr>
        <w:t>号</w:t>
      </w:r>
      <w:r>
        <w:t>，</w:t>
      </w:r>
      <w:r>
        <w:rPr>
          <w:rFonts w:hint="eastAsia"/>
        </w:rPr>
        <w:t>《最低生活水平法》</w:t>
      </w:r>
      <w:r>
        <w:t>，</w:t>
      </w:r>
      <w:r>
        <w:rPr>
          <w:rFonts w:hint="eastAsia"/>
        </w:rPr>
        <w:t>后经修正。最后一次确定最低生活水平数额是修正第</w:t>
      </w:r>
      <w:r>
        <w:t>42//1998 Coll.</w:t>
      </w:r>
      <w:r>
        <w:rPr>
          <w:rFonts w:hint="eastAsia"/>
        </w:rPr>
        <w:t>号法律</w:t>
      </w:r>
      <w:r>
        <w:t>，</w:t>
      </w:r>
      <w:r>
        <w:rPr>
          <w:rFonts w:hint="eastAsia"/>
        </w:rPr>
        <w:t>增加了最低生活水平数额。详见关于执行《公约》第</w:t>
      </w:r>
      <w:r>
        <w:t>11</w:t>
      </w:r>
      <w:r>
        <w:rPr>
          <w:rFonts w:hint="eastAsia"/>
        </w:rPr>
        <w:t>条的部分。</w:t>
      </w:r>
    </w:p>
  </w:endnote>
  <w:endnote w:id="169">
    <w:p w:rsidR="00000000" w:rsidRDefault="00000000">
      <w:pPr>
        <w:pStyle w:val="EndnoteText"/>
        <w:rPr>
          <w:rFonts w:hint="eastAsia"/>
        </w:rPr>
      </w:pPr>
      <w:r>
        <w:rPr>
          <w:rStyle w:val="EndnoteReference"/>
        </w:rPr>
        <w:endnoteRef/>
      </w:r>
      <w:r>
        <w:t xml:space="preserve"> </w:t>
      </w:r>
      <w:r>
        <w:rPr>
          <w:rFonts w:hint="eastAsia"/>
        </w:rPr>
        <w:tab/>
      </w:r>
      <w:r>
        <w:t>1999</w:t>
      </w:r>
      <w:r>
        <w:rPr>
          <w:rFonts w:hint="eastAsia"/>
        </w:rPr>
        <w:t>年</w:t>
      </w:r>
      <w:r>
        <w:t>11</w:t>
      </w:r>
      <w:r>
        <w:rPr>
          <w:rFonts w:hint="eastAsia"/>
        </w:rPr>
        <w:t>月</w:t>
      </w:r>
      <w:r>
        <w:t>30</w:t>
      </w:r>
      <w:r>
        <w:rPr>
          <w:rFonts w:hint="eastAsia"/>
        </w:rPr>
        <w:t>日</w:t>
      </w:r>
      <w:r>
        <w:t>，</w:t>
      </w:r>
      <w:r>
        <w:rPr>
          <w:rFonts w:hint="eastAsia"/>
        </w:rPr>
        <w:t>劳动和社会事务部向政府提交了以下讨论草案</w:t>
      </w:r>
      <w:r>
        <w:t>：</w:t>
      </w:r>
      <w:r>
        <w:t>(a)</w:t>
      </w:r>
      <w:r>
        <w:rPr>
          <w:rFonts w:hint="eastAsia"/>
        </w:rPr>
        <w:t>修正第</w:t>
      </w:r>
      <w:r>
        <w:t>65/1965 Coll.</w:t>
      </w:r>
      <w:r>
        <w:rPr>
          <w:rFonts w:hint="eastAsia"/>
        </w:rPr>
        <w:t>号《劳动法》</w:t>
      </w:r>
      <w:r>
        <w:rPr>
          <w:rFonts w:hint="eastAsia"/>
        </w:rPr>
        <w:t>(</w:t>
      </w:r>
      <w:r>
        <w:rPr>
          <w:rFonts w:hint="eastAsia"/>
        </w:rPr>
        <w:t>后经修正</w:t>
      </w:r>
      <w:r>
        <w:rPr>
          <w:rFonts w:hint="eastAsia"/>
        </w:rPr>
        <w:t>)</w:t>
      </w:r>
      <w:r>
        <w:rPr>
          <w:rFonts w:hint="eastAsia"/>
        </w:rPr>
        <w:t>以及其他法律的法律草案</w:t>
      </w:r>
      <w:r>
        <w:rPr>
          <w:rFonts w:hint="eastAsia"/>
        </w:rPr>
        <w:t>(</w:t>
      </w:r>
      <w:r>
        <w:rPr>
          <w:rFonts w:hint="eastAsia"/>
        </w:rPr>
        <w:t>国会众议院</w:t>
      </w:r>
      <w:r>
        <w:t>2000</w:t>
      </w:r>
      <w:r>
        <w:rPr>
          <w:rFonts w:hint="eastAsia"/>
        </w:rPr>
        <w:t>年</w:t>
      </w:r>
      <w:r>
        <w:t>4</w:t>
      </w:r>
      <w:r>
        <w:rPr>
          <w:rFonts w:hint="eastAsia"/>
        </w:rPr>
        <w:t>月</w:t>
      </w:r>
      <w:r>
        <w:t>18</w:t>
      </w:r>
      <w:r>
        <w:rPr>
          <w:rFonts w:hint="eastAsia"/>
        </w:rPr>
        <w:t>日通过；</w:t>
      </w:r>
      <w:r>
        <w:t>(b)</w:t>
      </w:r>
      <w:r>
        <w:rPr>
          <w:rFonts w:hint="eastAsia"/>
        </w:rPr>
        <w:t>修正第</w:t>
      </w:r>
      <w:r>
        <w:t>1/1992 Coll.</w:t>
      </w:r>
      <w:r>
        <w:rPr>
          <w:rFonts w:hint="eastAsia"/>
        </w:rPr>
        <w:t>号《工资、待命工作报酬和平均收入法》</w:t>
      </w:r>
      <w:r>
        <w:t>(</w:t>
      </w:r>
      <w:r>
        <w:rPr>
          <w:rFonts w:hint="eastAsia"/>
        </w:rPr>
        <w:t>后经修正</w:t>
      </w:r>
      <w:r>
        <w:t>)</w:t>
      </w:r>
      <w:r>
        <w:rPr>
          <w:rFonts w:hint="eastAsia"/>
        </w:rPr>
        <w:t>的法律草案；</w:t>
      </w:r>
      <w:r>
        <w:t>(c)</w:t>
      </w:r>
      <w:r>
        <w:rPr>
          <w:rFonts w:hint="eastAsia"/>
        </w:rPr>
        <w:t>修正第</w:t>
      </w:r>
      <w:r>
        <w:t>143/1992 Coll.</w:t>
      </w:r>
      <w:r>
        <w:rPr>
          <w:rFonts w:hint="eastAsia"/>
        </w:rPr>
        <w:t>号《关于预算拨款组织及某些其他组织和机构工资和待命工作报酬的规定》</w:t>
      </w:r>
      <w:r>
        <w:t>(</w:t>
      </w:r>
      <w:r>
        <w:rPr>
          <w:rFonts w:hint="eastAsia"/>
        </w:rPr>
        <w:t>后经修正</w:t>
      </w:r>
      <w:r>
        <w:rPr>
          <w:rFonts w:hint="eastAsia"/>
        </w:rPr>
        <w:t>)</w:t>
      </w:r>
      <w:r>
        <w:rPr>
          <w:rFonts w:hint="eastAsia"/>
        </w:rPr>
        <w:t>的法律草案。</w:t>
      </w:r>
    </w:p>
  </w:endnote>
  <w:endnote w:id="170">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328J1991</w:t>
      </w:r>
      <w:r>
        <w:rPr>
          <w:szCs w:val="22"/>
        </w:rPr>
        <w:t xml:space="preserve"> Coll.</w:t>
      </w:r>
      <w:r>
        <w:rPr>
          <w:rFonts w:hint="eastAsia"/>
          <w:szCs w:val="22"/>
        </w:rPr>
        <w:t>号</w:t>
      </w:r>
      <w:r>
        <w:t>，</w:t>
      </w:r>
      <w:r>
        <w:rPr>
          <w:rFonts w:hint="eastAsia"/>
        </w:rPr>
        <w:t>《破产和清算法》</w:t>
      </w:r>
      <w:r>
        <w:t>，</w:t>
      </w:r>
      <w:r>
        <w:rPr>
          <w:rFonts w:hint="eastAsia"/>
        </w:rPr>
        <w:t>后经修正</w:t>
      </w:r>
      <w:r>
        <w:t>。</w:t>
      </w:r>
    </w:p>
  </w:endnote>
  <w:endnote w:id="171">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w:t>
      </w:r>
      <w:r>
        <w:t>1999</w:t>
      </w:r>
      <w:r>
        <w:rPr>
          <w:rFonts w:hint="eastAsia"/>
        </w:rPr>
        <w:t>年</w:t>
      </w:r>
      <w:r>
        <w:t>11</w:t>
      </w:r>
      <w:r>
        <w:rPr>
          <w:rFonts w:hint="eastAsia"/>
        </w:rPr>
        <w:t>月</w:t>
      </w:r>
      <w:r>
        <w:t>15</w:t>
      </w:r>
      <w:r>
        <w:rPr>
          <w:rFonts w:hint="eastAsia"/>
        </w:rPr>
        <w:t>日第</w:t>
      </w:r>
      <w:r>
        <w:t>1209</w:t>
      </w:r>
      <w:r>
        <w:rPr>
          <w:rFonts w:hint="eastAsia"/>
        </w:rPr>
        <w:t>号决议</w:t>
      </w:r>
      <w:r>
        <w:t>，</w:t>
      </w:r>
      <w:r>
        <w:rPr>
          <w:rFonts w:hint="eastAsia"/>
        </w:rPr>
        <w:t>附件</w:t>
      </w:r>
      <w:r>
        <w:t>，</w:t>
      </w:r>
      <w:r>
        <w:rPr>
          <w:rFonts w:hint="eastAsia"/>
        </w:rPr>
        <w:t>《政府直接答复欧洲委员会</w:t>
      </w:r>
      <w:r>
        <w:t>1999</w:t>
      </w:r>
      <w:r>
        <w:rPr>
          <w:rFonts w:hint="eastAsia"/>
        </w:rPr>
        <w:t>年捷克共和国定期报告的立法建议概述》。捷克共和国议会</w:t>
      </w:r>
      <w:r>
        <w:t>2000</w:t>
      </w:r>
      <w:r>
        <w:rPr>
          <w:rFonts w:hint="eastAsia"/>
        </w:rPr>
        <w:t>年</w:t>
      </w:r>
      <w:r>
        <w:t>3</w:t>
      </w:r>
      <w:r>
        <w:rPr>
          <w:rFonts w:hint="eastAsia"/>
        </w:rPr>
        <w:t>月通过了该法律。</w:t>
      </w:r>
    </w:p>
  </w:endnote>
  <w:endnote w:id="172">
    <w:p w:rsidR="00000000" w:rsidRDefault="00000000">
      <w:pPr>
        <w:pStyle w:val="EndnoteText"/>
        <w:rPr>
          <w:rFonts w:hint="eastAsia"/>
        </w:rPr>
      </w:pPr>
      <w:r>
        <w:rPr>
          <w:rStyle w:val="EndnoteReference"/>
        </w:rPr>
        <w:endnoteRef/>
      </w:r>
      <w:r>
        <w:t xml:space="preserve"> </w:t>
      </w:r>
      <w:r>
        <w:rPr>
          <w:rFonts w:hint="eastAsia"/>
        </w:rPr>
        <w:tab/>
      </w:r>
      <w:r>
        <w:rPr>
          <w:rFonts w:hint="eastAsia"/>
        </w:rPr>
        <w:t>欧洲委员会</w:t>
      </w:r>
      <w:r>
        <w:t>1980</w:t>
      </w:r>
      <w:r>
        <w:rPr>
          <w:rFonts w:hint="eastAsia"/>
        </w:rPr>
        <w:t>年</w:t>
      </w:r>
      <w:r>
        <w:t>10</w:t>
      </w:r>
      <w:r>
        <w:rPr>
          <w:rFonts w:hint="eastAsia"/>
        </w:rPr>
        <w:t>月</w:t>
      </w:r>
      <w:r>
        <w:t>2</w:t>
      </w:r>
      <w:r>
        <w:rPr>
          <w:rFonts w:hint="eastAsia"/>
        </w:rPr>
        <w:t>0</w:t>
      </w:r>
      <w:r>
        <w:rPr>
          <w:rFonts w:hint="eastAsia"/>
        </w:rPr>
        <w:t>日第</w:t>
      </w:r>
      <w:r>
        <w:t>80/987</w:t>
      </w:r>
      <w:r>
        <w:rPr>
          <w:rFonts w:hint="eastAsia"/>
        </w:rPr>
        <w:t>号委员会指令</w:t>
      </w:r>
      <w:r>
        <w:t>，</w:t>
      </w:r>
      <w:r>
        <w:rPr>
          <w:rFonts w:hint="eastAsia"/>
        </w:rPr>
        <w:t>涉及企业破产时对雇员的保护</w:t>
      </w:r>
      <w:r>
        <w:t>。</w:t>
      </w:r>
    </w:p>
  </w:endnote>
  <w:endnote w:id="173">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174/1968 Coll.</w:t>
      </w:r>
      <w:r>
        <w:rPr>
          <w:rFonts w:hint="eastAsia"/>
        </w:rPr>
        <w:t>号</w:t>
      </w:r>
      <w:r>
        <w:t>，</w:t>
      </w:r>
      <w:r>
        <w:rPr>
          <w:rFonts w:hint="eastAsia"/>
        </w:rPr>
        <w:t>《国家专门监督劳动安全法》</w:t>
      </w:r>
      <w:r>
        <w:t>，</w:t>
      </w:r>
      <w:r>
        <w:rPr>
          <w:rFonts w:hint="eastAsia"/>
        </w:rPr>
        <w:t>后经修正</w:t>
      </w:r>
      <w:r>
        <w:t>，</w:t>
      </w:r>
      <w:r>
        <w:rPr>
          <w:rFonts w:hint="eastAsia"/>
        </w:rPr>
        <w:t>特别是经第</w:t>
      </w:r>
      <w:r>
        <w:t>47/1994</w:t>
      </w:r>
      <w:r>
        <w:rPr>
          <w:rFonts w:hint="eastAsia"/>
        </w:rPr>
        <w:t>号法律修正。</w:t>
      </w:r>
    </w:p>
  </w:endnote>
  <w:endnote w:id="174">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t>20/1966 Coll.</w:t>
      </w:r>
      <w:r>
        <w:rPr>
          <w:rFonts w:hint="eastAsia"/>
        </w:rPr>
        <w:t>号</w:t>
      </w:r>
      <w:r>
        <w:t>，</w:t>
      </w:r>
      <w:r>
        <w:rPr>
          <w:rFonts w:hint="eastAsia"/>
        </w:rPr>
        <w:t>《公共卫生法》</w:t>
      </w:r>
      <w:r>
        <w:t>，</w:t>
      </w:r>
      <w:r>
        <w:rPr>
          <w:rFonts w:hint="eastAsia"/>
        </w:rPr>
        <w:t>后经修正</w:t>
      </w:r>
      <w:r>
        <w:t>。</w:t>
      </w:r>
    </w:p>
  </w:endnote>
  <w:endnote w:id="175">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rPr>
          <w:rFonts w:hint="eastAsia"/>
        </w:rPr>
        <w:t>61</w:t>
      </w:r>
      <w:r>
        <w:t>/19</w:t>
      </w:r>
      <w:r>
        <w:rPr>
          <w:rFonts w:hint="eastAsia"/>
        </w:rPr>
        <w:t>88</w:t>
      </w:r>
      <w:r>
        <w:t xml:space="preserve"> Coll.</w:t>
      </w:r>
      <w:r>
        <w:rPr>
          <w:rFonts w:hint="eastAsia"/>
        </w:rPr>
        <w:t>号</w:t>
      </w:r>
      <w:r>
        <w:t>，</w:t>
      </w:r>
      <w:r>
        <w:rPr>
          <w:rFonts w:hint="eastAsia"/>
        </w:rPr>
        <w:t>《采矿活动、爆炸品和国家矿务局法》</w:t>
      </w:r>
      <w:r>
        <w:t>，</w:t>
      </w:r>
      <w:r>
        <w:rPr>
          <w:rFonts w:hint="eastAsia"/>
        </w:rPr>
        <w:t>后经修正</w:t>
      </w:r>
      <w:r>
        <w:t>。</w:t>
      </w:r>
    </w:p>
  </w:endnote>
  <w:endnote w:id="176">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卫生部第</w:t>
      </w:r>
      <w:r>
        <w:rPr>
          <w:szCs w:val="2"/>
        </w:rPr>
        <w:t>45/1996</w:t>
      </w:r>
      <w:r>
        <w:rPr>
          <w:szCs w:val="22"/>
        </w:rPr>
        <w:t xml:space="preserve"> </w:t>
      </w:r>
      <w:r>
        <w:rPr>
          <w:rFonts w:hint="eastAsia"/>
          <w:szCs w:val="22"/>
        </w:rPr>
        <w:t>C</w:t>
      </w:r>
      <w:r>
        <w:rPr>
          <w:szCs w:val="22"/>
        </w:rPr>
        <w:t>oll.</w:t>
      </w:r>
      <w:r>
        <w:rPr>
          <w:rFonts w:hint="eastAsia"/>
          <w:szCs w:val="22"/>
        </w:rPr>
        <w:t>号</w:t>
      </w:r>
      <w:r>
        <w:rPr>
          <w:rFonts w:hint="eastAsia"/>
          <w:szCs w:val="2"/>
        </w:rPr>
        <w:t>令</w:t>
      </w:r>
      <w:r>
        <w:rPr>
          <w:szCs w:val="2"/>
        </w:rPr>
        <w:t>，</w:t>
      </w:r>
      <w:r>
        <w:rPr>
          <w:rFonts w:hint="eastAsia"/>
          <w:szCs w:val="2"/>
        </w:rPr>
        <w:t>《关于创造和维护有益健康的生活条件的规定》</w:t>
      </w:r>
      <w:r>
        <w:rPr>
          <w:szCs w:val="2"/>
        </w:rPr>
        <w:t>，</w:t>
      </w:r>
      <w:r>
        <w:rPr>
          <w:rFonts w:hint="eastAsia"/>
          <w:szCs w:val="2"/>
        </w:rPr>
        <w:t>后经修正</w:t>
      </w:r>
      <w:r>
        <w:rPr>
          <w:szCs w:val="2"/>
        </w:rPr>
        <w:t>。</w:t>
      </w:r>
    </w:p>
  </w:endnote>
  <w:endnote w:id="177">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捷克劳动安全局和捷克矿务局第</w:t>
      </w:r>
      <w:r>
        <w:rPr>
          <w:rFonts w:hint="eastAsia"/>
          <w:szCs w:val="2"/>
        </w:rPr>
        <w:t>110</w:t>
      </w:r>
      <w:r>
        <w:rPr>
          <w:szCs w:val="2"/>
        </w:rPr>
        <w:t>/1975 Coll.</w:t>
      </w:r>
      <w:r>
        <w:rPr>
          <w:rFonts w:hint="eastAsia"/>
          <w:szCs w:val="2"/>
        </w:rPr>
        <w:t>号令</w:t>
      </w:r>
      <w:r>
        <w:rPr>
          <w:szCs w:val="2"/>
        </w:rPr>
        <w:t>，</w:t>
      </w:r>
      <w:r>
        <w:rPr>
          <w:rFonts w:hint="eastAsia"/>
          <w:szCs w:val="2"/>
        </w:rPr>
        <w:t>《关于工伤记录和登记以及操作失误</w:t>
      </w:r>
      <w:r>
        <w:rPr>
          <w:szCs w:val="2"/>
        </w:rPr>
        <w:t>(</w:t>
      </w:r>
      <w:r>
        <w:rPr>
          <w:rFonts w:hint="eastAsia"/>
          <w:szCs w:val="2"/>
        </w:rPr>
        <w:t>事故</w:t>
      </w:r>
      <w:r>
        <w:rPr>
          <w:szCs w:val="2"/>
        </w:rPr>
        <w:t>)</w:t>
      </w:r>
      <w:r>
        <w:rPr>
          <w:rFonts w:hint="eastAsia"/>
          <w:szCs w:val="2"/>
        </w:rPr>
        <w:t>和技术设备故障报告的规定》</w:t>
      </w:r>
      <w:r>
        <w:rPr>
          <w:szCs w:val="2"/>
        </w:rPr>
        <w:t>，</w:t>
      </w:r>
      <w:r>
        <w:rPr>
          <w:rFonts w:hint="eastAsia"/>
          <w:szCs w:val="2"/>
        </w:rPr>
        <w:t>后经修正</w:t>
      </w:r>
      <w:r>
        <w:rPr>
          <w:szCs w:val="2"/>
        </w:rPr>
        <w:t>。</w:t>
      </w:r>
    </w:p>
  </w:endnote>
  <w:endnote w:id="178">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捷克劳动和社会事务部第</w:t>
      </w:r>
      <w:r>
        <w:rPr>
          <w:szCs w:val="2"/>
        </w:rPr>
        <w:t>204/1994 Coll.</w:t>
      </w:r>
      <w:r>
        <w:rPr>
          <w:rFonts w:hint="eastAsia"/>
          <w:szCs w:val="2"/>
        </w:rPr>
        <w:t>号令</w:t>
      </w:r>
      <w:r>
        <w:rPr>
          <w:szCs w:val="2"/>
        </w:rPr>
        <w:t>，</w:t>
      </w:r>
      <w:r>
        <w:rPr>
          <w:rFonts w:hint="eastAsia"/>
          <w:szCs w:val="2"/>
        </w:rPr>
        <w:t>《关于提供个人劳动保护设备以及洗涤、清洁和消毒物品的范围和条件的规定》</w:t>
      </w:r>
      <w:r>
        <w:rPr>
          <w:szCs w:val="2"/>
        </w:rPr>
        <w:t>，</w:t>
      </w:r>
      <w:r>
        <w:rPr>
          <w:rFonts w:hint="eastAsia"/>
          <w:szCs w:val="2"/>
        </w:rPr>
        <w:t>后经第</w:t>
      </w:r>
      <w:r>
        <w:rPr>
          <w:szCs w:val="2"/>
        </w:rPr>
        <w:t>279/1998 Coll.</w:t>
      </w:r>
      <w:r>
        <w:rPr>
          <w:rFonts w:hint="eastAsia"/>
          <w:szCs w:val="2"/>
        </w:rPr>
        <w:t>号法律修正</w:t>
      </w:r>
      <w:r>
        <w:rPr>
          <w:szCs w:val="2"/>
        </w:rPr>
        <w:t>。</w:t>
      </w:r>
    </w:p>
  </w:endnote>
  <w:endnote w:id="179">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捷克劳动安全局第</w:t>
      </w:r>
      <w:r>
        <w:rPr>
          <w:szCs w:val="2"/>
        </w:rPr>
        <w:t>48/1982</w:t>
      </w:r>
      <w:r>
        <w:rPr>
          <w:szCs w:val="22"/>
        </w:rPr>
        <w:t xml:space="preserve"> Coll.</w:t>
      </w:r>
      <w:r>
        <w:rPr>
          <w:rFonts w:hint="eastAsia"/>
          <w:szCs w:val="22"/>
        </w:rPr>
        <w:t>号令</w:t>
      </w:r>
      <w:r>
        <w:rPr>
          <w:szCs w:val="2"/>
        </w:rPr>
        <w:t>,</w:t>
      </w:r>
      <w:r>
        <w:rPr>
          <w:rFonts w:hint="eastAsia"/>
          <w:szCs w:val="2"/>
        </w:rPr>
        <w:t>《关于确保劳动安全以及技术设备安全的基本要求》</w:t>
      </w:r>
      <w:r>
        <w:rPr>
          <w:szCs w:val="2"/>
        </w:rPr>
        <w:t>，</w:t>
      </w:r>
      <w:r>
        <w:rPr>
          <w:rFonts w:hint="eastAsia"/>
          <w:szCs w:val="2"/>
        </w:rPr>
        <w:t>后经修正</w:t>
      </w:r>
      <w:r>
        <w:rPr>
          <w:szCs w:val="2"/>
        </w:rPr>
        <w:t>。</w:t>
      </w:r>
    </w:p>
  </w:endnote>
  <w:endnote w:id="180">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在拟订的《劳动法》修正案中</w:t>
      </w:r>
      <w:r>
        <w:rPr>
          <w:szCs w:val="2"/>
        </w:rPr>
        <w:t>，</w:t>
      </w:r>
      <w:r>
        <w:rPr>
          <w:rFonts w:hint="eastAsia"/>
          <w:szCs w:val="2"/>
        </w:rPr>
        <w:t>将根据欧洲委员会关于确定工作时间的某些指令</w:t>
      </w:r>
      <w:r>
        <w:rPr>
          <w:szCs w:val="2"/>
        </w:rPr>
        <w:t>，</w:t>
      </w:r>
      <w:r>
        <w:rPr>
          <w:rFonts w:hint="eastAsia"/>
          <w:szCs w:val="2"/>
        </w:rPr>
        <w:t>决定工作时间和假期</w:t>
      </w:r>
      <w:r>
        <w:rPr>
          <w:szCs w:val="2"/>
        </w:rPr>
        <w:t>(93</w:t>
      </w:r>
      <w:r>
        <w:rPr>
          <w:rFonts w:hint="eastAsia"/>
          <w:szCs w:val="2"/>
        </w:rPr>
        <w:t>/</w:t>
      </w:r>
      <w:r>
        <w:rPr>
          <w:szCs w:val="2"/>
        </w:rPr>
        <w:t>104/EC</w:t>
      </w:r>
      <w:r>
        <w:rPr>
          <w:rFonts w:hint="eastAsia"/>
          <w:szCs w:val="2"/>
        </w:rPr>
        <w:t>)</w:t>
      </w:r>
      <w:r>
        <w:rPr>
          <w:szCs w:val="2"/>
        </w:rPr>
        <w:t>。</w:t>
      </w:r>
    </w:p>
  </w:endnote>
  <w:endnote w:id="181">
    <w:p w:rsidR="00000000" w:rsidRDefault="00000000">
      <w:pPr>
        <w:pStyle w:val="EndnoteText"/>
      </w:pPr>
      <w:r>
        <w:rPr>
          <w:rStyle w:val="EndnoteReference"/>
        </w:rPr>
        <w:endnoteRef/>
      </w:r>
      <w:r>
        <w:t xml:space="preserve"> </w:t>
      </w:r>
      <w:r>
        <w:rPr>
          <w:rFonts w:hint="eastAsia"/>
        </w:rPr>
        <w:tab/>
      </w:r>
      <w:r>
        <w:rPr>
          <w:rFonts w:hint="eastAsia"/>
          <w:szCs w:val="2"/>
        </w:rPr>
        <w:t>劳动和社会事务部第</w:t>
      </w:r>
      <w:r>
        <w:rPr>
          <w:szCs w:val="2"/>
        </w:rPr>
        <w:t>63/1968 Coll.</w:t>
      </w:r>
      <w:r>
        <w:rPr>
          <w:rFonts w:hint="eastAsia"/>
          <w:szCs w:val="2"/>
        </w:rPr>
        <w:t>号令</w:t>
      </w:r>
      <w:r>
        <w:rPr>
          <w:szCs w:val="2"/>
        </w:rPr>
        <w:t>，</w:t>
      </w:r>
      <w:r>
        <w:rPr>
          <w:rFonts w:hint="eastAsia"/>
          <w:szCs w:val="2"/>
        </w:rPr>
        <w:t>《关于缩短每周工作时间和实行五天工作周作业及工作制度的原则》</w:t>
      </w:r>
      <w:r>
        <w:rPr>
          <w:szCs w:val="2"/>
        </w:rPr>
        <w:t>，</w:t>
      </w:r>
      <w:r>
        <w:rPr>
          <w:rFonts w:hint="eastAsia"/>
          <w:szCs w:val="2"/>
        </w:rPr>
        <w:t>后经第</w:t>
      </w:r>
      <w:r>
        <w:rPr>
          <w:szCs w:val="2"/>
        </w:rPr>
        <w:t>200/1968 Coll.</w:t>
      </w:r>
      <w:r>
        <w:rPr>
          <w:rFonts w:hint="eastAsia"/>
          <w:szCs w:val="2"/>
        </w:rPr>
        <w:t>号令修正</w:t>
      </w:r>
      <w:r>
        <w:rPr>
          <w:szCs w:val="2"/>
        </w:rPr>
        <w:t>，</w:t>
      </w:r>
      <w:r>
        <w:rPr>
          <w:rFonts w:hint="eastAsia"/>
          <w:szCs w:val="2"/>
        </w:rPr>
        <w:t>以及其他修正和补充。</w:t>
      </w:r>
    </w:p>
  </w:endnote>
  <w:endnote w:id="182">
    <w:p w:rsidR="00000000" w:rsidRDefault="00000000">
      <w:pPr>
        <w:pStyle w:val="EndnoteText"/>
      </w:pPr>
      <w:r>
        <w:rPr>
          <w:rStyle w:val="EndnoteReference"/>
        </w:rPr>
        <w:endnoteRef/>
      </w:r>
      <w:r>
        <w:t xml:space="preserve"> </w:t>
      </w:r>
      <w:r>
        <w:rPr>
          <w:rFonts w:hint="eastAsia"/>
        </w:rPr>
        <w:tab/>
      </w:r>
      <w:r>
        <w:rPr>
          <w:rFonts w:hint="eastAsia"/>
          <w:szCs w:val="2"/>
        </w:rPr>
        <w:t>第</w:t>
      </w:r>
      <w:r>
        <w:rPr>
          <w:szCs w:val="2"/>
        </w:rPr>
        <w:t>93/1951 Coll.</w:t>
      </w:r>
      <w:r>
        <w:rPr>
          <w:rFonts w:hint="eastAsia"/>
          <w:szCs w:val="2"/>
        </w:rPr>
        <w:t>号令</w:t>
      </w:r>
      <w:r>
        <w:rPr>
          <w:szCs w:val="2"/>
        </w:rPr>
        <w:t>，</w:t>
      </w:r>
      <w:r>
        <w:rPr>
          <w:rFonts w:hint="eastAsia"/>
          <w:szCs w:val="2"/>
        </w:rPr>
        <w:t>《关于国家法定假日、非工作日、纪念日和重要日期的规定》</w:t>
      </w:r>
      <w:r>
        <w:rPr>
          <w:szCs w:val="2"/>
        </w:rPr>
        <w:t>，</w:t>
      </w:r>
      <w:r>
        <w:rPr>
          <w:rFonts w:hint="eastAsia"/>
          <w:szCs w:val="2"/>
        </w:rPr>
        <w:t>后经修正。</w:t>
      </w:r>
    </w:p>
  </w:endnote>
  <w:endnote w:id="183">
    <w:p w:rsidR="00000000" w:rsidRDefault="00000000">
      <w:pPr>
        <w:pStyle w:val="EndnoteText"/>
      </w:pPr>
      <w:r>
        <w:rPr>
          <w:rStyle w:val="EndnoteReference"/>
        </w:rPr>
        <w:endnoteRef/>
      </w:r>
      <w:r>
        <w:t xml:space="preserve"> </w:t>
      </w:r>
      <w:r>
        <w:rPr>
          <w:rFonts w:hint="eastAsia"/>
        </w:rPr>
        <w:tab/>
      </w:r>
      <w:r>
        <w:rPr>
          <w:rFonts w:hint="eastAsia"/>
          <w:szCs w:val="2"/>
        </w:rPr>
        <w:t>第</w:t>
      </w:r>
      <w:r>
        <w:rPr>
          <w:szCs w:val="2"/>
        </w:rPr>
        <w:t>1/1992 Coll.</w:t>
      </w:r>
      <w:r>
        <w:rPr>
          <w:rFonts w:hint="eastAsia"/>
          <w:szCs w:val="2"/>
        </w:rPr>
        <w:t>号</w:t>
      </w:r>
      <w:r>
        <w:rPr>
          <w:szCs w:val="2"/>
        </w:rPr>
        <w:t>，</w:t>
      </w:r>
      <w:r>
        <w:rPr>
          <w:rFonts w:hint="eastAsia"/>
          <w:szCs w:val="2"/>
        </w:rPr>
        <w:t>《关于工资、待命工作报酬和平均收入的规定》</w:t>
      </w:r>
      <w:r>
        <w:rPr>
          <w:szCs w:val="2"/>
        </w:rPr>
        <w:t>。</w:t>
      </w:r>
      <w:r>
        <w:rPr>
          <w:rFonts w:hint="eastAsia"/>
          <w:szCs w:val="2"/>
        </w:rPr>
        <w:t>后经修正。</w:t>
      </w:r>
    </w:p>
  </w:endnote>
  <w:endnote w:id="184">
    <w:p w:rsidR="00000000" w:rsidRDefault="00000000">
      <w:pPr>
        <w:pStyle w:val="EndnoteText"/>
      </w:pPr>
      <w:r>
        <w:rPr>
          <w:rStyle w:val="EndnoteReference"/>
        </w:rPr>
        <w:endnoteRef/>
      </w:r>
      <w:r>
        <w:t xml:space="preserve"> </w:t>
      </w:r>
      <w:r>
        <w:rPr>
          <w:rFonts w:hint="eastAsia"/>
        </w:rPr>
        <w:tab/>
      </w:r>
      <w:r>
        <w:rPr>
          <w:rFonts w:hint="eastAsia"/>
          <w:szCs w:val="2"/>
        </w:rPr>
        <w:t>第</w:t>
      </w:r>
      <w:r>
        <w:rPr>
          <w:szCs w:val="2"/>
        </w:rPr>
        <w:t>143/1992 Coll.</w:t>
      </w:r>
      <w:r>
        <w:rPr>
          <w:szCs w:val="2"/>
        </w:rPr>
        <w:t>，</w:t>
      </w:r>
      <w:r>
        <w:rPr>
          <w:rFonts w:hint="eastAsia"/>
          <w:szCs w:val="2"/>
        </w:rPr>
        <w:t>《关于预算拨款组织及某些其他组织和机构工资和待命工作报酬的规定》</w:t>
      </w:r>
      <w:r>
        <w:rPr>
          <w:szCs w:val="2"/>
        </w:rPr>
        <w:t>，</w:t>
      </w:r>
      <w:r>
        <w:rPr>
          <w:rFonts w:hint="eastAsia"/>
          <w:szCs w:val="2"/>
        </w:rPr>
        <w:t>后经修正。</w:t>
      </w:r>
    </w:p>
  </w:endnote>
  <w:endnote w:id="185">
    <w:p w:rsidR="00000000" w:rsidRDefault="00000000">
      <w:pPr>
        <w:pStyle w:val="EndnoteText"/>
      </w:pPr>
      <w:r>
        <w:rPr>
          <w:rStyle w:val="EndnoteReference"/>
        </w:rPr>
        <w:endnoteRef/>
      </w:r>
      <w:r>
        <w:t xml:space="preserve"> </w:t>
      </w:r>
      <w:r>
        <w:rPr>
          <w:rFonts w:hint="eastAsia"/>
        </w:rPr>
        <w:tab/>
      </w:r>
      <w:r>
        <w:rPr>
          <w:rFonts w:hint="eastAsia"/>
          <w:szCs w:val="2"/>
        </w:rPr>
        <w:t>第</w:t>
      </w:r>
      <w:r>
        <w:rPr>
          <w:szCs w:val="2"/>
        </w:rPr>
        <w:t>83/1990 Coll.</w:t>
      </w:r>
      <w:r>
        <w:rPr>
          <w:rFonts w:hint="eastAsia"/>
          <w:szCs w:val="2"/>
        </w:rPr>
        <w:t>号</w:t>
      </w:r>
      <w:r>
        <w:rPr>
          <w:szCs w:val="2"/>
        </w:rPr>
        <w:t>，</w:t>
      </w:r>
      <w:r>
        <w:rPr>
          <w:rFonts w:hint="eastAsia"/>
          <w:szCs w:val="2"/>
        </w:rPr>
        <w:t>《公民结社法》</w:t>
      </w:r>
      <w:r>
        <w:rPr>
          <w:szCs w:val="2"/>
        </w:rPr>
        <w:t>，</w:t>
      </w:r>
      <w:r>
        <w:rPr>
          <w:rFonts w:hint="eastAsia"/>
          <w:szCs w:val="2"/>
        </w:rPr>
        <w:t>后经修正</w:t>
      </w:r>
      <w:r>
        <w:rPr>
          <w:szCs w:val="2"/>
        </w:rPr>
        <w:t>，</w:t>
      </w:r>
      <w:r>
        <w:rPr>
          <w:rFonts w:hint="eastAsia"/>
          <w:szCs w:val="2"/>
        </w:rPr>
        <w:t>特别是经第</w:t>
      </w:r>
      <w:r>
        <w:rPr>
          <w:szCs w:val="2"/>
        </w:rPr>
        <w:t>300/1990 Coll.</w:t>
      </w:r>
      <w:r>
        <w:rPr>
          <w:rFonts w:hint="eastAsia"/>
          <w:szCs w:val="2"/>
        </w:rPr>
        <w:t>号、第</w:t>
      </w:r>
      <w:r>
        <w:rPr>
          <w:szCs w:val="2"/>
        </w:rPr>
        <w:t>513/1991 Coll.</w:t>
      </w:r>
      <w:r>
        <w:rPr>
          <w:rFonts w:hint="eastAsia"/>
          <w:szCs w:val="2"/>
        </w:rPr>
        <w:t>号和第</w:t>
      </w:r>
      <w:r>
        <w:rPr>
          <w:szCs w:val="2"/>
        </w:rPr>
        <w:t>68/1993 Coll.</w:t>
      </w:r>
      <w:r>
        <w:rPr>
          <w:rFonts w:hint="eastAsia"/>
          <w:szCs w:val="2"/>
        </w:rPr>
        <w:t>号法律的修正</w:t>
      </w:r>
      <w:r>
        <w:rPr>
          <w:szCs w:val="2"/>
        </w:rPr>
        <w:t>。</w:t>
      </w:r>
    </w:p>
  </w:endnote>
  <w:endnote w:id="186">
    <w:p w:rsidR="00000000" w:rsidRDefault="00000000">
      <w:pPr>
        <w:pStyle w:val="EndnoteText"/>
      </w:pPr>
      <w:r>
        <w:rPr>
          <w:rStyle w:val="EndnoteReference"/>
        </w:rPr>
        <w:endnoteRef/>
      </w:r>
      <w:r>
        <w:t xml:space="preserve"> </w:t>
      </w:r>
      <w:r>
        <w:rPr>
          <w:rFonts w:hint="eastAsia"/>
        </w:rPr>
        <w:tab/>
      </w:r>
      <w:r>
        <w:rPr>
          <w:rFonts w:hint="eastAsia"/>
          <w:szCs w:val="2"/>
        </w:rPr>
        <w:t>联邦外交部第</w:t>
      </w:r>
      <w:r>
        <w:rPr>
          <w:szCs w:val="2"/>
        </w:rPr>
        <w:t>489/1990 Coll.</w:t>
      </w:r>
      <w:r>
        <w:rPr>
          <w:rFonts w:hint="eastAsia"/>
          <w:szCs w:val="2"/>
        </w:rPr>
        <w:t>号通知</w:t>
      </w:r>
      <w:r>
        <w:rPr>
          <w:szCs w:val="2"/>
        </w:rPr>
        <w:t>，</w:t>
      </w:r>
      <w:r>
        <w:rPr>
          <w:rFonts w:hint="eastAsia"/>
          <w:szCs w:val="2"/>
        </w:rPr>
        <w:t>《结社自由和保护组织权利公约》</w:t>
      </w:r>
      <w:r>
        <w:rPr>
          <w:szCs w:val="2"/>
        </w:rPr>
        <w:t>。</w:t>
      </w:r>
    </w:p>
  </w:endnote>
  <w:endnote w:id="187">
    <w:p w:rsidR="00000000" w:rsidRDefault="00000000">
      <w:pPr>
        <w:pStyle w:val="EndnoteText"/>
      </w:pPr>
      <w:r>
        <w:rPr>
          <w:rStyle w:val="EndnoteReference"/>
        </w:rPr>
        <w:endnoteRef/>
      </w:r>
      <w:r>
        <w:t xml:space="preserve"> </w:t>
      </w:r>
      <w:r>
        <w:rPr>
          <w:rFonts w:hint="eastAsia"/>
        </w:rPr>
        <w:tab/>
      </w:r>
      <w:r>
        <w:rPr>
          <w:rFonts w:hint="eastAsia"/>
          <w:szCs w:val="2"/>
        </w:rPr>
        <w:t>联邦外交部第</w:t>
      </w:r>
      <w:r>
        <w:rPr>
          <w:szCs w:val="2"/>
        </w:rPr>
        <w:t>470/1990 Coll.</w:t>
      </w:r>
      <w:r>
        <w:rPr>
          <w:rFonts w:hint="eastAsia"/>
          <w:szCs w:val="2"/>
        </w:rPr>
        <w:t>号通知</w:t>
      </w:r>
      <w:r>
        <w:rPr>
          <w:szCs w:val="2"/>
        </w:rPr>
        <w:t>，</w:t>
      </w:r>
      <w:r>
        <w:rPr>
          <w:rFonts w:hint="eastAsia"/>
          <w:szCs w:val="2"/>
        </w:rPr>
        <w:t>《组织权利和集体谈判公约》</w:t>
      </w:r>
      <w:r>
        <w:rPr>
          <w:szCs w:val="2"/>
        </w:rPr>
        <w:t>。</w:t>
      </w:r>
    </w:p>
  </w:endnote>
  <w:endnote w:id="188">
    <w:p w:rsidR="00000000" w:rsidRDefault="00000000">
      <w:pPr>
        <w:pStyle w:val="EndnoteText"/>
      </w:pPr>
      <w:r>
        <w:rPr>
          <w:rStyle w:val="EndnoteReference"/>
        </w:rPr>
        <w:endnoteRef/>
      </w:r>
      <w:r>
        <w:t xml:space="preserve"> </w:t>
      </w:r>
      <w:r>
        <w:rPr>
          <w:rFonts w:hint="eastAsia"/>
        </w:rPr>
        <w:tab/>
      </w:r>
      <w:r>
        <w:rPr>
          <w:rFonts w:hint="eastAsia"/>
          <w:szCs w:val="2"/>
        </w:rPr>
        <w:t>第</w:t>
      </w:r>
      <w:r>
        <w:rPr>
          <w:szCs w:val="2"/>
        </w:rPr>
        <w:t>100/1988 Coll.</w:t>
      </w:r>
      <w:r>
        <w:rPr>
          <w:rFonts w:hint="eastAsia"/>
          <w:szCs w:val="2"/>
        </w:rPr>
        <w:t>号</w:t>
      </w:r>
      <w:r>
        <w:rPr>
          <w:szCs w:val="2"/>
        </w:rPr>
        <w:t>，</w:t>
      </w:r>
      <w:r>
        <w:rPr>
          <w:rFonts w:hint="eastAsia"/>
          <w:szCs w:val="2"/>
        </w:rPr>
        <w:t>《社会保障法》</w:t>
      </w:r>
      <w:r>
        <w:rPr>
          <w:szCs w:val="2"/>
        </w:rPr>
        <w:t>，</w:t>
      </w:r>
      <w:r>
        <w:rPr>
          <w:rFonts w:hint="eastAsia"/>
          <w:szCs w:val="2"/>
        </w:rPr>
        <w:t>后经修正</w:t>
      </w:r>
      <w:r>
        <w:rPr>
          <w:szCs w:val="2"/>
        </w:rPr>
        <w:t>。</w:t>
      </w:r>
    </w:p>
  </w:endnote>
  <w:endnote w:id="189">
    <w:p w:rsidR="00000000" w:rsidRDefault="00000000">
      <w:pPr>
        <w:pStyle w:val="EndnoteText"/>
      </w:pPr>
      <w:r>
        <w:rPr>
          <w:rStyle w:val="EndnoteReference"/>
        </w:rPr>
        <w:endnoteRef/>
      </w:r>
      <w:r>
        <w:t xml:space="preserve"> </w:t>
      </w:r>
      <w:r>
        <w:rPr>
          <w:rFonts w:hint="eastAsia"/>
        </w:rPr>
        <w:tab/>
      </w:r>
      <w:r>
        <w:rPr>
          <w:rFonts w:hint="eastAsia"/>
          <w:szCs w:val="2"/>
        </w:rPr>
        <w:t>第</w:t>
      </w:r>
      <w:r>
        <w:rPr>
          <w:szCs w:val="2"/>
        </w:rPr>
        <w:t>117/1995 Coll.</w:t>
      </w:r>
      <w:r>
        <w:rPr>
          <w:rFonts w:hint="eastAsia"/>
          <w:szCs w:val="2"/>
        </w:rPr>
        <w:t>号</w:t>
      </w:r>
      <w:r>
        <w:rPr>
          <w:szCs w:val="2"/>
        </w:rPr>
        <w:t>，</w:t>
      </w:r>
      <w:r>
        <w:rPr>
          <w:rFonts w:hint="eastAsia"/>
          <w:szCs w:val="2"/>
        </w:rPr>
        <w:t>《国家社会抚养扶助法》</w:t>
      </w:r>
      <w:r>
        <w:rPr>
          <w:szCs w:val="2"/>
        </w:rPr>
        <w:t>，</w:t>
      </w:r>
      <w:r>
        <w:rPr>
          <w:rFonts w:hint="eastAsia"/>
          <w:szCs w:val="2"/>
        </w:rPr>
        <w:t>后经修正。</w:t>
      </w:r>
    </w:p>
  </w:endnote>
  <w:endnote w:id="190">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第</w:t>
      </w:r>
      <w:r>
        <w:rPr>
          <w:szCs w:val="2"/>
        </w:rPr>
        <w:t>482/1991 Coll.</w:t>
      </w:r>
      <w:r>
        <w:rPr>
          <w:rFonts w:hint="eastAsia"/>
          <w:szCs w:val="2"/>
        </w:rPr>
        <w:t>号</w:t>
      </w:r>
      <w:r>
        <w:rPr>
          <w:szCs w:val="2"/>
        </w:rPr>
        <w:t>，</w:t>
      </w:r>
      <w:r>
        <w:rPr>
          <w:rFonts w:hint="eastAsia"/>
          <w:szCs w:val="2"/>
        </w:rPr>
        <w:t>《社会贫困法》</w:t>
      </w:r>
      <w:r>
        <w:rPr>
          <w:szCs w:val="2"/>
        </w:rPr>
        <w:t>，</w:t>
      </w:r>
      <w:r>
        <w:rPr>
          <w:rFonts w:hint="eastAsia"/>
          <w:szCs w:val="2"/>
        </w:rPr>
        <w:t>后经修正</w:t>
      </w:r>
      <w:r>
        <w:rPr>
          <w:szCs w:val="2"/>
        </w:rPr>
        <w:t>。</w:t>
      </w:r>
    </w:p>
  </w:endnote>
  <w:endnote w:id="191">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第</w:t>
      </w:r>
      <w:r>
        <w:rPr>
          <w:szCs w:val="2"/>
        </w:rPr>
        <w:t>155/19</w:t>
      </w:r>
      <w:r>
        <w:rPr>
          <w:rFonts w:hint="eastAsia"/>
          <w:szCs w:val="2"/>
        </w:rPr>
        <w:t>95</w:t>
      </w:r>
      <w:r>
        <w:rPr>
          <w:szCs w:val="2"/>
        </w:rPr>
        <w:t xml:space="preserve"> Coll.</w:t>
      </w:r>
      <w:r>
        <w:rPr>
          <w:rFonts w:hint="eastAsia"/>
          <w:szCs w:val="2"/>
        </w:rPr>
        <w:t>号</w:t>
      </w:r>
      <w:r>
        <w:rPr>
          <w:szCs w:val="2"/>
        </w:rPr>
        <w:t>，</w:t>
      </w:r>
      <w:r>
        <w:rPr>
          <w:rFonts w:hint="eastAsia"/>
          <w:szCs w:val="2"/>
        </w:rPr>
        <w:t>《养恤金保险法》</w:t>
      </w:r>
      <w:r>
        <w:rPr>
          <w:szCs w:val="2"/>
        </w:rPr>
        <w:t>，</w:t>
      </w:r>
      <w:r>
        <w:rPr>
          <w:rFonts w:hint="eastAsia"/>
          <w:szCs w:val="2"/>
        </w:rPr>
        <w:t>后经修正。</w:t>
      </w:r>
    </w:p>
  </w:endnote>
  <w:endnote w:id="192">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第</w:t>
      </w:r>
      <w:r>
        <w:rPr>
          <w:szCs w:val="2"/>
        </w:rPr>
        <w:t>54/1956 Coll.</w:t>
      </w:r>
      <w:r>
        <w:rPr>
          <w:rFonts w:hint="eastAsia"/>
          <w:szCs w:val="2"/>
        </w:rPr>
        <w:t>号</w:t>
      </w:r>
      <w:r>
        <w:rPr>
          <w:szCs w:val="2"/>
        </w:rPr>
        <w:t>，</w:t>
      </w:r>
      <w:r>
        <w:rPr>
          <w:rFonts w:hint="eastAsia"/>
          <w:szCs w:val="2"/>
        </w:rPr>
        <w:t>《职工疾病保险法》</w:t>
      </w:r>
      <w:r>
        <w:rPr>
          <w:szCs w:val="2"/>
        </w:rPr>
        <w:t>，</w:t>
      </w:r>
      <w:r>
        <w:rPr>
          <w:rFonts w:hint="eastAsia"/>
          <w:szCs w:val="2"/>
        </w:rPr>
        <w:t>后经修正。</w:t>
      </w:r>
    </w:p>
  </w:endnote>
  <w:endnote w:id="193">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第</w:t>
      </w:r>
      <w:r>
        <w:rPr>
          <w:szCs w:val="2"/>
        </w:rPr>
        <w:t>582/1991 Coll.</w:t>
      </w:r>
      <w:r>
        <w:rPr>
          <w:rFonts w:hint="eastAsia"/>
          <w:szCs w:val="2"/>
        </w:rPr>
        <w:t>号</w:t>
      </w:r>
      <w:r>
        <w:rPr>
          <w:szCs w:val="2"/>
        </w:rPr>
        <w:t>，</w:t>
      </w:r>
      <w:r>
        <w:rPr>
          <w:rFonts w:hint="eastAsia"/>
          <w:szCs w:val="2"/>
        </w:rPr>
        <w:t>《社会保障组织和实施法》</w:t>
      </w:r>
      <w:r>
        <w:rPr>
          <w:szCs w:val="2"/>
        </w:rPr>
        <w:t>，</w:t>
      </w:r>
      <w:r>
        <w:rPr>
          <w:rFonts w:hint="eastAsia"/>
          <w:szCs w:val="2"/>
        </w:rPr>
        <w:t>后经修正。</w:t>
      </w:r>
    </w:p>
  </w:endnote>
  <w:endnote w:id="194">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第</w:t>
      </w:r>
      <w:r>
        <w:rPr>
          <w:szCs w:val="2"/>
        </w:rPr>
        <w:t>589/1992 Coll.</w:t>
      </w:r>
      <w:r>
        <w:rPr>
          <w:rFonts w:hint="eastAsia"/>
          <w:szCs w:val="2"/>
        </w:rPr>
        <w:t>号</w:t>
      </w:r>
      <w:r>
        <w:rPr>
          <w:szCs w:val="2"/>
        </w:rPr>
        <w:t>，</w:t>
      </w:r>
      <w:r>
        <w:rPr>
          <w:rFonts w:hint="eastAsia"/>
          <w:szCs w:val="2"/>
        </w:rPr>
        <w:t>《社会保障和国家就业政策缴费法》</w:t>
      </w:r>
      <w:r>
        <w:rPr>
          <w:szCs w:val="2"/>
        </w:rPr>
        <w:t>，</w:t>
      </w:r>
      <w:r>
        <w:rPr>
          <w:rFonts w:hint="eastAsia"/>
          <w:szCs w:val="2"/>
        </w:rPr>
        <w:t>后经修正。</w:t>
      </w:r>
    </w:p>
  </w:endnote>
  <w:endnote w:id="195">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第</w:t>
      </w:r>
      <w:r>
        <w:rPr>
          <w:szCs w:val="2"/>
        </w:rPr>
        <w:t>42/1994 Coll.</w:t>
      </w:r>
      <w:r>
        <w:rPr>
          <w:rFonts w:hint="eastAsia"/>
          <w:szCs w:val="2"/>
        </w:rPr>
        <w:t>号</w:t>
      </w:r>
      <w:r>
        <w:rPr>
          <w:szCs w:val="2"/>
        </w:rPr>
        <w:t>，</w:t>
      </w:r>
      <w:r>
        <w:rPr>
          <w:rFonts w:hint="eastAsia"/>
          <w:szCs w:val="2"/>
        </w:rPr>
        <w:t>《国家补充缴纳养恤金保险法以及对某些执行细则的修正》</w:t>
      </w:r>
      <w:r>
        <w:rPr>
          <w:szCs w:val="2"/>
        </w:rPr>
        <w:t>，</w:t>
      </w:r>
      <w:r>
        <w:rPr>
          <w:rFonts w:hint="eastAsia"/>
          <w:szCs w:val="2"/>
        </w:rPr>
        <w:t>后经修正</w:t>
      </w:r>
      <w:r>
        <w:rPr>
          <w:szCs w:val="2"/>
        </w:rPr>
        <w:t>。</w:t>
      </w:r>
    </w:p>
  </w:endnote>
  <w:endnote w:id="196">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到</w:t>
      </w:r>
      <w:r>
        <w:rPr>
          <w:szCs w:val="2"/>
        </w:rPr>
        <w:t>1995</w:t>
      </w:r>
      <w:r>
        <w:rPr>
          <w:rFonts w:hint="eastAsia"/>
          <w:szCs w:val="2"/>
        </w:rPr>
        <w:t>年</w:t>
      </w:r>
      <w:r>
        <w:rPr>
          <w:szCs w:val="2"/>
        </w:rPr>
        <w:t>，</w:t>
      </w:r>
      <w:r>
        <w:rPr>
          <w:rFonts w:hint="eastAsia"/>
          <w:szCs w:val="2"/>
        </w:rPr>
        <w:t>男性退休年龄为</w:t>
      </w:r>
      <w:r>
        <w:rPr>
          <w:szCs w:val="2"/>
        </w:rPr>
        <w:t>60</w:t>
      </w:r>
      <w:r>
        <w:rPr>
          <w:rFonts w:hint="eastAsia"/>
          <w:szCs w:val="2"/>
        </w:rPr>
        <w:t>岁</w:t>
      </w:r>
      <w:r>
        <w:rPr>
          <w:szCs w:val="2"/>
        </w:rPr>
        <w:t>，</w:t>
      </w:r>
      <w:r>
        <w:rPr>
          <w:rFonts w:hint="eastAsia"/>
          <w:szCs w:val="2"/>
        </w:rPr>
        <w:t>女性为</w:t>
      </w:r>
      <w:r>
        <w:rPr>
          <w:szCs w:val="2"/>
        </w:rPr>
        <w:t>53-57</w:t>
      </w:r>
      <w:r>
        <w:rPr>
          <w:rFonts w:hint="eastAsia"/>
          <w:szCs w:val="2"/>
        </w:rPr>
        <w:t>岁</w:t>
      </w:r>
      <w:r>
        <w:rPr>
          <w:rFonts w:hint="eastAsia"/>
          <w:szCs w:val="2"/>
        </w:rPr>
        <w:t>(</w:t>
      </w:r>
      <w:r>
        <w:rPr>
          <w:rFonts w:hint="eastAsia"/>
          <w:szCs w:val="2"/>
        </w:rPr>
        <w:t>取决于扶育的子女数</w:t>
      </w:r>
      <w:r>
        <w:rPr>
          <w:rFonts w:hint="eastAsia"/>
          <w:szCs w:val="2"/>
        </w:rPr>
        <w:t>)</w:t>
      </w:r>
      <w:r>
        <w:rPr>
          <w:szCs w:val="2"/>
        </w:rPr>
        <w:t>。</w:t>
      </w:r>
    </w:p>
  </w:endnote>
  <w:endnote w:id="197">
    <w:p w:rsidR="00000000" w:rsidRDefault="00000000">
      <w:pPr>
        <w:pStyle w:val="EndnoteText"/>
        <w:rPr>
          <w:rFonts w:hint="eastAsia"/>
        </w:rPr>
      </w:pPr>
      <w:r>
        <w:rPr>
          <w:rStyle w:val="EndnoteReference"/>
        </w:rPr>
        <w:endnoteRef/>
      </w:r>
      <w:r>
        <w:t xml:space="preserve"> </w:t>
      </w:r>
      <w:r>
        <w:rPr>
          <w:rFonts w:hint="eastAsia"/>
        </w:rPr>
        <w:tab/>
      </w:r>
      <w:r>
        <w:rPr>
          <w:rFonts w:hint="eastAsia"/>
          <w:szCs w:val="2"/>
        </w:rPr>
        <w:t>第</w:t>
      </w:r>
      <w:r>
        <w:rPr>
          <w:szCs w:val="2"/>
        </w:rPr>
        <w:t>42/1994 Coll.</w:t>
      </w:r>
      <w:r>
        <w:rPr>
          <w:rFonts w:hint="eastAsia"/>
          <w:szCs w:val="2"/>
        </w:rPr>
        <w:t>号</w:t>
      </w:r>
      <w:r>
        <w:rPr>
          <w:szCs w:val="2"/>
        </w:rPr>
        <w:t>，</w:t>
      </w:r>
      <w:r>
        <w:rPr>
          <w:rFonts w:hint="eastAsia"/>
          <w:szCs w:val="2"/>
        </w:rPr>
        <w:t>《国家补充缴纳养恤金保险法以及对某些执行细则的修正》</w:t>
      </w:r>
      <w:r>
        <w:rPr>
          <w:szCs w:val="2"/>
        </w:rPr>
        <w:t>，</w:t>
      </w:r>
      <w:r>
        <w:rPr>
          <w:rFonts w:hint="eastAsia"/>
          <w:szCs w:val="2"/>
        </w:rPr>
        <w:t>后经修正</w:t>
      </w:r>
      <w:r>
        <w:rPr>
          <w:szCs w:val="2"/>
        </w:rPr>
        <w:t>。</w:t>
      </w:r>
    </w:p>
  </w:endnote>
  <w:endnote w:id="198">
    <w:p w:rsidR="00000000" w:rsidRDefault="00000000">
      <w:pPr>
        <w:pStyle w:val="EndnoteText"/>
        <w:rPr>
          <w:rFonts w:hint="eastAsia"/>
        </w:rPr>
      </w:pPr>
      <w:r>
        <w:rPr>
          <w:rStyle w:val="EndnoteReference"/>
        </w:rPr>
        <w:endnoteRef/>
      </w:r>
      <w:r>
        <w:t xml:space="preserve"> </w:t>
      </w:r>
      <w:r>
        <w:rPr>
          <w:rFonts w:hint="eastAsia"/>
        </w:rPr>
        <w:tab/>
      </w:r>
      <w:r>
        <w:rPr>
          <w:szCs w:val="2"/>
        </w:rPr>
        <w:t>1996</w:t>
      </w:r>
      <w:r>
        <w:rPr>
          <w:rFonts w:hint="eastAsia"/>
          <w:szCs w:val="2"/>
        </w:rPr>
        <w:t>年为两次</w:t>
      </w:r>
      <w:r>
        <w:rPr>
          <w:szCs w:val="2"/>
        </w:rPr>
        <w:t>，</w:t>
      </w:r>
      <w:r>
        <w:rPr>
          <w:rFonts w:hint="eastAsia"/>
          <w:szCs w:val="2"/>
        </w:rPr>
        <w:t>然后是</w:t>
      </w:r>
      <w:r>
        <w:rPr>
          <w:szCs w:val="2"/>
        </w:rPr>
        <w:t>1997</w:t>
      </w:r>
      <w:r>
        <w:rPr>
          <w:rFonts w:hint="eastAsia"/>
          <w:szCs w:val="2"/>
        </w:rPr>
        <w:t>年和</w:t>
      </w:r>
      <w:r>
        <w:rPr>
          <w:szCs w:val="2"/>
        </w:rPr>
        <w:t>1998</w:t>
      </w:r>
      <w:r>
        <w:rPr>
          <w:rFonts w:hint="eastAsia"/>
          <w:szCs w:val="2"/>
        </w:rPr>
        <w:t>年。最后一次是</w:t>
      </w:r>
      <w:r>
        <w:rPr>
          <w:szCs w:val="2"/>
        </w:rPr>
        <w:t>1998</w:t>
      </w:r>
      <w:r>
        <w:rPr>
          <w:rFonts w:hint="eastAsia"/>
          <w:szCs w:val="2"/>
        </w:rPr>
        <w:t>年</w:t>
      </w:r>
      <w:r>
        <w:rPr>
          <w:szCs w:val="2"/>
        </w:rPr>
        <w:t>7</w:t>
      </w:r>
      <w:r>
        <w:rPr>
          <w:rFonts w:hint="eastAsia"/>
          <w:szCs w:val="2"/>
        </w:rPr>
        <w:t>月通过捷克共和国政府</w:t>
      </w:r>
      <w:r>
        <w:rPr>
          <w:szCs w:val="2"/>
        </w:rPr>
        <w:t>1998</w:t>
      </w:r>
      <w:r>
        <w:rPr>
          <w:rFonts w:hint="eastAsia"/>
          <w:szCs w:val="2"/>
        </w:rPr>
        <w:t>年第</w:t>
      </w:r>
      <w:r>
        <w:rPr>
          <w:szCs w:val="2"/>
        </w:rPr>
        <w:t>104/1998 Coll.</w:t>
      </w:r>
      <w:r>
        <w:rPr>
          <w:rFonts w:hint="eastAsia"/>
          <w:szCs w:val="2"/>
        </w:rPr>
        <w:t>号《增加养恤金令》增加的。</w:t>
      </w:r>
    </w:p>
  </w:endnote>
  <w:endnote w:id="199">
    <w:p w:rsidR="00000000" w:rsidRDefault="00000000">
      <w:pPr>
        <w:pStyle w:val="EndnoteText"/>
        <w:rPr>
          <w:rFonts w:hint="eastAsia"/>
        </w:rPr>
      </w:pPr>
      <w:r>
        <w:rPr>
          <w:rStyle w:val="EndnoteReference"/>
        </w:rPr>
        <w:endnoteRef/>
      </w:r>
      <w:r>
        <w:t xml:space="preserve"> </w:t>
      </w:r>
      <w:r>
        <w:rPr>
          <w:rFonts w:hint="eastAsia"/>
        </w:rPr>
        <w:tab/>
      </w:r>
      <w:r>
        <w:rPr>
          <w:rFonts w:hint="eastAsia"/>
          <w:szCs w:val="6"/>
        </w:rPr>
        <w:t>第</w:t>
      </w:r>
      <w:r>
        <w:rPr>
          <w:szCs w:val="6"/>
        </w:rPr>
        <w:t>589/1992 Coll.</w:t>
      </w:r>
      <w:r>
        <w:rPr>
          <w:rFonts w:hint="eastAsia"/>
          <w:szCs w:val="6"/>
        </w:rPr>
        <w:t>号</w:t>
      </w:r>
      <w:r>
        <w:rPr>
          <w:szCs w:val="6"/>
        </w:rPr>
        <w:t>，</w:t>
      </w:r>
      <w:r>
        <w:rPr>
          <w:rFonts w:hint="eastAsia"/>
          <w:szCs w:val="6"/>
        </w:rPr>
        <w:t>《社会保障和国家就业政策缴费法》</w:t>
      </w:r>
      <w:r>
        <w:rPr>
          <w:szCs w:val="6"/>
        </w:rPr>
        <w:t>，</w:t>
      </w:r>
      <w:r>
        <w:rPr>
          <w:rFonts w:hint="eastAsia"/>
          <w:szCs w:val="6"/>
        </w:rPr>
        <w:t>后经修正。从事非创业性工作的所有职工都必须参加</w:t>
      </w:r>
      <w:r>
        <w:rPr>
          <w:szCs w:val="6"/>
        </w:rPr>
        <w:t>，</w:t>
      </w:r>
      <w:r>
        <w:rPr>
          <w:rFonts w:hint="eastAsia"/>
          <w:szCs w:val="6"/>
        </w:rPr>
        <w:t>但少量或偶而从事创业性工作的人除外</w:t>
      </w:r>
      <w:r>
        <w:rPr>
          <w:szCs w:val="6"/>
        </w:rPr>
        <w:t>。</w:t>
      </w:r>
      <w:r>
        <w:rPr>
          <w:rFonts w:hint="eastAsia"/>
          <w:szCs w:val="6"/>
        </w:rPr>
        <w:t>为未来职业做准备的学生也须参加</w:t>
      </w:r>
      <w:r>
        <w:rPr>
          <w:rFonts w:hint="eastAsia"/>
          <w:szCs w:val="6"/>
        </w:rPr>
        <w:t>(</w:t>
      </w:r>
      <w:r>
        <w:rPr>
          <w:rFonts w:hint="eastAsia"/>
          <w:szCs w:val="6"/>
        </w:rPr>
        <w:t>他们只有权得到妇幼津贴</w:t>
      </w:r>
      <w:r>
        <w:rPr>
          <w:rFonts w:hint="eastAsia"/>
          <w:szCs w:val="6"/>
        </w:rPr>
        <w:t>)</w:t>
      </w:r>
      <w:r>
        <w:rPr>
          <w:rFonts w:hint="eastAsia"/>
          <w:szCs w:val="6"/>
        </w:rPr>
        <w:t>。自谋职业者如果登记</w:t>
      </w:r>
      <w:r>
        <w:rPr>
          <w:szCs w:val="6"/>
        </w:rPr>
        <w:t>，</w:t>
      </w:r>
      <w:r>
        <w:rPr>
          <w:rFonts w:hint="eastAsia"/>
          <w:szCs w:val="6"/>
        </w:rPr>
        <w:t>可以缴纳疾病保险</w:t>
      </w:r>
      <w:r>
        <w:rPr>
          <w:szCs w:val="6"/>
        </w:rPr>
        <w:t>(</w:t>
      </w:r>
      <w:r>
        <w:rPr>
          <w:rFonts w:hint="eastAsia"/>
          <w:szCs w:val="6"/>
        </w:rPr>
        <w:t>只能享受疾病津贴和妇幼津贴</w:t>
      </w:r>
      <w:r>
        <w:rPr>
          <w:rFonts w:hint="eastAsia"/>
          <w:szCs w:val="6"/>
        </w:rPr>
        <w:t>)</w:t>
      </w:r>
      <w:r>
        <w:rPr>
          <w:szCs w:val="6"/>
        </w:rPr>
        <w:t>。</w:t>
      </w:r>
    </w:p>
  </w:endnote>
  <w:endnote w:id="200">
    <w:p w:rsidR="00000000" w:rsidRDefault="00000000">
      <w:pPr>
        <w:pStyle w:val="EndnoteText"/>
        <w:rPr>
          <w:rFonts w:hint="eastAsia"/>
        </w:rPr>
      </w:pPr>
      <w:r>
        <w:rPr>
          <w:rStyle w:val="EndnoteReference"/>
        </w:rPr>
        <w:endnoteRef/>
      </w:r>
      <w:r>
        <w:t xml:space="preserve"> </w:t>
      </w:r>
      <w:r>
        <w:rPr>
          <w:rFonts w:hint="eastAsia"/>
        </w:rPr>
        <w:tab/>
      </w:r>
      <w:r>
        <w:rPr>
          <w:rFonts w:hint="eastAsia"/>
          <w:szCs w:val="6"/>
        </w:rPr>
        <w:t>捷克共和国劳动和社会事务部第</w:t>
      </w:r>
      <w:r>
        <w:rPr>
          <w:szCs w:val="6"/>
        </w:rPr>
        <w:t>31/1993 Coll.</w:t>
      </w:r>
      <w:r>
        <w:rPr>
          <w:rFonts w:hint="eastAsia"/>
          <w:szCs w:val="6"/>
        </w:rPr>
        <w:t>号令《关于为社会保障的目的评估暂时失去工作能力的规定》第</w:t>
      </w:r>
      <w:r>
        <w:rPr>
          <w:szCs w:val="6"/>
        </w:rPr>
        <w:t>2</w:t>
      </w:r>
      <w:r>
        <w:rPr>
          <w:rFonts w:hint="eastAsia"/>
          <w:szCs w:val="6"/>
        </w:rPr>
        <w:t>条</w:t>
      </w:r>
      <w:r>
        <w:rPr>
          <w:szCs w:val="6"/>
        </w:rPr>
        <w:t>，</w:t>
      </w:r>
      <w:r>
        <w:rPr>
          <w:rFonts w:hint="eastAsia"/>
          <w:szCs w:val="6"/>
        </w:rPr>
        <w:t>后经修正。</w:t>
      </w:r>
    </w:p>
  </w:endnote>
  <w:endnote w:id="201">
    <w:p w:rsidR="00000000" w:rsidRDefault="00000000">
      <w:pPr>
        <w:pStyle w:val="EndnoteText"/>
        <w:rPr>
          <w:rFonts w:hint="eastAsia"/>
        </w:rPr>
      </w:pPr>
      <w:r>
        <w:rPr>
          <w:rStyle w:val="EndnoteReference"/>
        </w:rPr>
        <w:endnoteRef/>
      </w:r>
      <w:r>
        <w:t xml:space="preserve"> </w:t>
      </w:r>
      <w:r>
        <w:rPr>
          <w:rFonts w:hint="eastAsia"/>
        </w:rPr>
        <w:tab/>
      </w:r>
      <w:r>
        <w:rPr>
          <w:rFonts w:hint="eastAsia"/>
          <w:szCs w:val="6"/>
        </w:rPr>
        <w:t>数额由第</w:t>
      </w:r>
      <w:r>
        <w:rPr>
          <w:szCs w:val="6"/>
        </w:rPr>
        <w:t>61/1999 Coll.</w:t>
      </w:r>
      <w:r>
        <w:rPr>
          <w:rFonts w:hint="eastAsia"/>
          <w:szCs w:val="6"/>
        </w:rPr>
        <w:t>号《疾病保险法》修正案确定</w:t>
      </w:r>
      <w:r>
        <w:rPr>
          <w:szCs w:val="6"/>
        </w:rPr>
        <w:t>，</w:t>
      </w:r>
      <w:r>
        <w:rPr>
          <w:szCs w:val="6"/>
        </w:rPr>
        <w:t>1999</w:t>
      </w:r>
      <w:r>
        <w:rPr>
          <w:rFonts w:hint="eastAsia"/>
          <w:szCs w:val="6"/>
        </w:rPr>
        <w:t>年</w:t>
      </w:r>
      <w:r>
        <w:rPr>
          <w:szCs w:val="6"/>
        </w:rPr>
        <w:t>10</w:t>
      </w:r>
      <w:r>
        <w:rPr>
          <w:rFonts w:hint="eastAsia"/>
          <w:szCs w:val="6"/>
        </w:rPr>
        <w:t>月</w:t>
      </w:r>
      <w:r>
        <w:rPr>
          <w:szCs w:val="6"/>
        </w:rPr>
        <w:t>1</w:t>
      </w:r>
      <w:r>
        <w:rPr>
          <w:rFonts w:hint="eastAsia"/>
          <w:szCs w:val="6"/>
        </w:rPr>
        <w:t>日生效。之前</w:t>
      </w:r>
      <w:r>
        <w:rPr>
          <w:szCs w:val="6"/>
        </w:rPr>
        <w:t>，</w:t>
      </w:r>
      <w:r>
        <w:rPr>
          <w:rFonts w:hint="eastAsia"/>
          <w:szCs w:val="6"/>
        </w:rPr>
        <w:t>疾病津贴以</w:t>
      </w:r>
      <w:r>
        <w:rPr>
          <w:szCs w:val="6"/>
        </w:rPr>
        <w:t>270</w:t>
      </w:r>
      <w:r>
        <w:rPr>
          <w:rFonts w:hint="eastAsia"/>
          <w:szCs w:val="6"/>
        </w:rPr>
        <w:t>捷克克朗的最高数额计算。</w:t>
      </w:r>
    </w:p>
  </w:endnote>
  <w:endnote w:id="202">
    <w:p w:rsidR="00000000" w:rsidRDefault="00000000">
      <w:pPr>
        <w:pStyle w:val="EndnoteText"/>
        <w:rPr>
          <w:rFonts w:hint="eastAsia"/>
        </w:rPr>
      </w:pPr>
      <w:r>
        <w:rPr>
          <w:rStyle w:val="EndnoteReference"/>
        </w:rPr>
        <w:endnoteRef/>
      </w:r>
      <w:r>
        <w:t xml:space="preserve"> </w:t>
      </w:r>
      <w:r>
        <w:rPr>
          <w:rFonts w:hint="eastAsia"/>
        </w:rPr>
        <w:tab/>
      </w:r>
      <w:r>
        <w:rPr>
          <w:rFonts w:hint="eastAsia"/>
          <w:szCs w:val="6"/>
        </w:rPr>
        <w:t>第</w:t>
      </w:r>
      <w:r>
        <w:rPr>
          <w:szCs w:val="6"/>
        </w:rPr>
        <w:t>1/1991</w:t>
      </w:r>
      <w:r>
        <w:rPr>
          <w:rFonts w:hint="eastAsia"/>
          <w:szCs w:val="6"/>
        </w:rPr>
        <w:t>号</w:t>
      </w:r>
      <w:r>
        <w:rPr>
          <w:szCs w:val="6"/>
        </w:rPr>
        <w:t>，</w:t>
      </w:r>
      <w:r>
        <w:rPr>
          <w:rFonts w:hint="eastAsia"/>
          <w:szCs w:val="6"/>
        </w:rPr>
        <w:t>《就业法》</w:t>
      </w:r>
      <w:r>
        <w:rPr>
          <w:szCs w:val="6"/>
        </w:rPr>
        <w:t>，</w:t>
      </w:r>
      <w:r>
        <w:rPr>
          <w:rFonts w:hint="eastAsia"/>
          <w:szCs w:val="6"/>
        </w:rPr>
        <w:t>后经修正</w:t>
      </w:r>
      <w:r>
        <w:rPr>
          <w:szCs w:val="6"/>
        </w:rPr>
        <w:t>，</w:t>
      </w:r>
      <w:r>
        <w:rPr>
          <w:rFonts w:hint="eastAsia"/>
          <w:szCs w:val="6"/>
        </w:rPr>
        <w:t>第</w:t>
      </w:r>
      <w:r>
        <w:rPr>
          <w:szCs w:val="6"/>
        </w:rPr>
        <w:t>12-18</w:t>
      </w:r>
      <w:r>
        <w:rPr>
          <w:rFonts w:hint="eastAsia"/>
          <w:szCs w:val="6"/>
        </w:rPr>
        <w:t>条。</w:t>
      </w:r>
    </w:p>
  </w:endnote>
  <w:endnote w:id="203">
    <w:p w:rsidR="00000000" w:rsidRDefault="00000000">
      <w:pPr>
        <w:pStyle w:val="EndnoteText"/>
        <w:rPr>
          <w:rFonts w:hint="eastAsia"/>
        </w:rPr>
      </w:pPr>
      <w:r>
        <w:rPr>
          <w:rStyle w:val="EndnoteReference"/>
        </w:rPr>
        <w:endnoteRef/>
      </w:r>
      <w:r>
        <w:t xml:space="preserve"> </w:t>
      </w:r>
      <w:r>
        <w:rPr>
          <w:rFonts w:hint="eastAsia"/>
        </w:rPr>
        <w:tab/>
      </w:r>
      <w:r>
        <w:rPr>
          <w:rFonts w:hint="eastAsia"/>
          <w:szCs w:val="6"/>
        </w:rPr>
        <w:t>第</w:t>
      </w:r>
      <w:r>
        <w:rPr>
          <w:szCs w:val="6"/>
        </w:rPr>
        <w:t>117/1995 Coll.</w:t>
      </w:r>
      <w:r>
        <w:rPr>
          <w:rFonts w:hint="eastAsia"/>
          <w:szCs w:val="6"/>
        </w:rPr>
        <w:t>号</w:t>
      </w:r>
      <w:r>
        <w:rPr>
          <w:szCs w:val="6"/>
        </w:rPr>
        <w:t>，</w:t>
      </w:r>
      <w:r>
        <w:rPr>
          <w:rFonts w:hint="eastAsia"/>
          <w:szCs w:val="6"/>
        </w:rPr>
        <w:t>《国家社会抚养扶助法》</w:t>
      </w:r>
      <w:r>
        <w:rPr>
          <w:szCs w:val="6"/>
        </w:rPr>
        <w:t>，</w:t>
      </w:r>
      <w:r>
        <w:rPr>
          <w:rFonts w:hint="eastAsia"/>
          <w:szCs w:val="6"/>
        </w:rPr>
        <w:t>后经修正。</w:t>
      </w:r>
    </w:p>
  </w:endnote>
  <w:endnote w:id="204">
    <w:p w:rsidR="00000000" w:rsidRDefault="00000000">
      <w:pPr>
        <w:pStyle w:val="EndnoteText"/>
        <w:rPr>
          <w:rFonts w:hint="eastAsia"/>
        </w:rPr>
      </w:pPr>
      <w:r>
        <w:rPr>
          <w:rStyle w:val="EndnoteReference"/>
        </w:rPr>
        <w:endnoteRef/>
      </w:r>
      <w:r>
        <w:t xml:space="preserve"> </w:t>
      </w:r>
      <w:r>
        <w:rPr>
          <w:rFonts w:hint="eastAsia"/>
        </w:rPr>
        <w:tab/>
      </w:r>
      <w:r>
        <w:rPr>
          <w:rFonts w:hint="eastAsia"/>
          <w:szCs w:val="6"/>
        </w:rPr>
        <w:t>根据该法律</w:t>
      </w:r>
      <w:r>
        <w:rPr>
          <w:szCs w:val="6"/>
        </w:rPr>
        <w:t>，</w:t>
      </w:r>
      <w:r>
        <w:rPr>
          <w:rFonts w:hint="eastAsia"/>
          <w:szCs w:val="6"/>
        </w:rPr>
        <w:t>永久居住是指根据以下特别法律给予外国人的长期居留资格：第</w:t>
      </w:r>
      <w:r>
        <w:rPr>
          <w:szCs w:val="6"/>
        </w:rPr>
        <w:t>123/1992 Coll.</w:t>
      </w:r>
      <w:r>
        <w:rPr>
          <w:rFonts w:hint="eastAsia"/>
          <w:szCs w:val="6"/>
        </w:rPr>
        <w:t>号《捷克斯洛伐克联邦共和国外国人居留和居住法》</w:t>
      </w:r>
      <w:r>
        <w:rPr>
          <w:szCs w:val="6"/>
        </w:rPr>
        <w:t>(</w:t>
      </w:r>
      <w:r>
        <w:rPr>
          <w:rFonts w:hint="eastAsia"/>
          <w:szCs w:val="6"/>
        </w:rPr>
        <w:t>后经修正</w:t>
      </w:r>
      <w:r>
        <w:rPr>
          <w:rFonts w:hint="eastAsia"/>
          <w:szCs w:val="6"/>
        </w:rPr>
        <w:t>)</w:t>
      </w:r>
      <w:r>
        <w:rPr>
          <w:rFonts w:hint="eastAsia"/>
          <w:szCs w:val="6"/>
        </w:rPr>
        <w:t>第</w:t>
      </w:r>
      <w:r>
        <w:rPr>
          <w:szCs w:val="6"/>
        </w:rPr>
        <w:t>6</w:t>
      </w:r>
      <w:r>
        <w:rPr>
          <w:rFonts w:hint="eastAsia"/>
          <w:szCs w:val="6"/>
        </w:rPr>
        <w:t>条、第</w:t>
      </w:r>
      <w:r>
        <w:rPr>
          <w:szCs w:val="6"/>
        </w:rPr>
        <w:t>135/1982 Coll.</w:t>
      </w:r>
      <w:r>
        <w:rPr>
          <w:rFonts w:hint="eastAsia"/>
          <w:szCs w:val="6"/>
        </w:rPr>
        <w:t>号《公民居所报告和登记法》</w:t>
      </w:r>
      <w:r>
        <w:rPr>
          <w:szCs w:val="6"/>
        </w:rPr>
        <w:t>(</w:t>
      </w:r>
      <w:r>
        <w:rPr>
          <w:rFonts w:hint="eastAsia"/>
          <w:szCs w:val="6"/>
        </w:rPr>
        <w:t>后经修正</w:t>
      </w:r>
      <w:r>
        <w:rPr>
          <w:rFonts w:hint="eastAsia"/>
          <w:szCs w:val="6"/>
        </w:rPr>
        <w:t>)</w:t>
      </w:r>
      <w:r>
        <w:rPr>
          <w:rFonts w:hint="eastAsia"/>
          <w:szCs w:val="6"/>
        </w:rPr>
        <w:t>第</w:t>
      </w:r>
      <w:r>
        <w:rPr>
          <w:szCs w:val="6"/>
        </w:rPr>
        <w:t>4</w:t>
      </w:r>
      <w:r>
        <w:rPr>
          <w:rFonts w:hint="eastAsia"/>
          <w:szCs w:val="6"/>
        </w:rPr>
        <w:t>条和第</w:t>
      </w:r>
      <w:r>
        <w:rPr>
          <w:szCs w:val="6"/>
        </w:rPr>
        <w:t>123/1992 Coll.</w:t>
      </w:r>
      <w:r>
        <w:rPr>
          <w:rFonts w:hint="eastAsia"/>
          <w:szCs w:val="6"/>
        </w:rPr>
        <w:t>号《捷克斯洛伐克联邦共和国外国人居留和居住法》</w:t>
      </w:r>
      <w:r>
        <w:rPr>
          <w:szCs w:val="6"/>
        </w:rPr>
        <w:t>(</w:t>
      </w:r>
      <w:r>
        <w:rPr>
          <w:rFonts w:hint="eastAsia"/>
          <w:szCs w:val="6"/>
        </w:rPr>
        <w:t>后经修正</w:t>
      </w:r>
      <w:r>
        <w:rPr>
          <w:szCs w:val="6"/>
        </w:rPr>
        <w:t>)</w:t>
      </w:r>
      <w:r>
        <w:rPr>
          <w:rFonts w:hint="eastAsia"/>
          <w:szCs w:val="6"/>
        </w:rPr>
        <w:t>第</w:t>
      </w:r>
      <w:r>
        <w:rPr>
          <w:szCs w:val="6"/>
        </w:rPr>
        <w:t>7</w:t>
      </w:r>
      <w:r>
        <w:rPr>
          <w:rFonts w:hint="eastAsia"/>
          <w:szCs w:val="6"/>
        </w:rPr>
        <w:t>条和第</w:t>
      </w:r>
      <w:r>
        <w:rPr>
          <w:szCs w:val="6"/>
        </w:rPr>
        <w:t>19</w:t>
      </w:r>
      <w:r>
        <w:rPr>
          <w:rFonts w:hint="eastAsia"/>
          <w:szCs w:val="6"/>
        </w:rPr>
        <w:t>条第</w:t>
      </w:r>
      <w:r>
        <w:rPr>
          <w:rFonts w:hint="eastAsia"/>
          <w:szCs w:val="6"/>
        </w:rPr>
        <w:t>3</w:t>
      </w:r>
      <w:r>
        <w:rPr>
          <w:rFonts w:hint="eastAsia"/>
          <w:szCs w:val="6"/>
        </w:rPr>
        <w:t>款。根据第</w:t>
      </w:r>
      <w:r>
        <w:rPr>
          <w:szCs w:val="6"/>
        </w:rPr>
        <w:t>498/1990 Coll.</w:t>
      </w:r>
      <w:r>
        <w:rPr>
          <w:rFonts w:hint="eastAsia"/>
          <w:szCs w:val="6"/>
        </w:rPr>
        <w:t>号《难民法》</w:t>
      </w:r>
      <w:r>
        <w:rPr>
          <w:rFonts w:hint="eastAsia"/>
          <w:szCs w:val="6"/>
        </w:rPr>
        <w:t>(</w:t>
      </w:r>
      <w:r>
        <w:rPr>
          <w:rFonts w:hint="eastAsia"/>
          <w:szCs w:val="6"/>
        </w:rPr>
        <w:t>后经修正</w:t>
      </w:r>
      <w:r>
        <w:rPr>
          <w:rFonts w:hint="eastAsia"/>
          <w:szCs w:val="6"/>
        </w:rPr>
        <w:t>)</w:t>
      </w:r>
      <w:r>
        <w:rPr>
          <w:szCs w:val="6"/>
        </w:rPr>
        <w:t>，</w:t>
      </w:r>
      <w:r>
        <w:rPr>
          <w:rFonts w:hint="eastAsia"/>
          <w:szCs w:val="6"/>
        </w:rPr>
        <w:t>被准予难民地位的人也被视为获准具有长期居住权的人</w:t>
      </w:r>
      <w:r>
        <w:rPr>
          <w:szCs w:val="6"/>
        </w:rPr>
        <w:t>，</w:t>
      </w:r>
      <w:r>
        <w:rPr>
          <w:rFonts w:hint="eastAsia"/>
          <w:szCs w:val="6"/>
        </w:rPr>
        <w:t>符合享受国家福利扶助津贴的条件</w:t>
      </w:r>
      <w:r>
        <w:rPr>
          <w:szCs w:val="6"/>
        </w:rPr>
        <w:t>。</w:t>
      </w:r>
    </w:p>
  </w:endnote>
  <w:endnote w:id="205">
    <w:p w:rsidR="00000000" w:rsidRDefault="00000000">
      <w:pPr>
        <w:pStyle w:val="EndnoteText"/>
        <w:rPr>
          <w:rFonts w:hint="eastAsia"/>
        </w:rPr>
      </w:pPr>
      <w:r>
        <w:rPr>
          <w:rStyle w:val="EndnoteReference"/>
        </w:rPr>
        <w:endnoteRef/>
      </w:r>
      <w:r>
        <w:t xml:space="preserve"> </w:t>
      </w:r>
      <w:r>
        <w:rPr>
          <w:rFonts w:hint="eastAsia"/>
        </w:rPr>
        <w:tab/>
      </w:r>
      <w:r>
        <w:rPr>
          <w:rFonts w:hint="eastAsia"/>
          <w:szCs w:val="6"/>
        </w:rPr>
        <w:t>因此</w:t>
      </w:r>
      <w:r>
        <w:rPr>
          <w:szCs w:val="6"/>
        </w:rPr>
        <w:t>，</w:t>
      </w:r>
      <w:r>
        <w:rPr>
          <w:rFonts w:hint="eastAsia"/>
          <w:szCs w:val="6"/>
        </w:rPr>
        <w:t>乍看上去</w:t>
      </w:r>
      <w:r>
        <w:rPr>
          <w:szCs w:val="6"/>
        </w:rPr>
        <w:t>，</w:t>
      </w:r>
      <w:r>
        <w:rPr>
          <w:rFonts w:hint="eastAsia"/>
          <w:szCs w:val="6"/>
        </w:rPr>
        <w:t>该法律第</w:t>
      </w:r>
      <w:r>
        <w:rPr>
          <w:szCs w:val="6"/>
        </w:rPr>
        <w:t>3</w:t>
      </w:r>
      <w:r>
        <w:rPr>
          <w:rFonts w:hint="eastAsia"/>
          <w:szCs w:val="6"/>
        </w:rPr>
        <w:t>条第</w:t>
      </w:r>
      <w:r>
        <w:rPr>
          <w:szCs w:val="6"/>
        </w:rPr>
        <w:t>1</w:t>
      </w:r>
      <w:r>
        <w:rPr>
          <w:rFonts w:hint="eastAsia"/>
          <w:szCs w:val="6"/>
        </w:rPr>
        <w:t>款与《儿童权利公约》第</w:t>
      </w:r>
      <w:r>
        <w:rPr>
          <w:szCs w:val="6"/>
        </w:rPr>
        <w:t>2</w:t>
      </w:r>
      <w:r>
        <w:rPr>
          <w:rFonts w:hint="eastAsia"/>
          <w:szCs w:val="6"/>
        </w:rPr>
        <w:t>条第</w:t>
      </w:r>
      <w:r>
        <w:rPr>
          <w:szCs w:val="6"/>
        </w:rPr>
        <w:t>1</w:t>
      </w:r>
      <w:r>
        <w:rPr>
          <w:rFonts w:hint="eastAsia"/>
          <w:szCs w:val="6"/>
        </w:rPr>
        <w:t>款和第</w:t>
      </w:r>
      <w:r>
        <w:rPr>
          <w:szCs w:val="6"/>
        </w:rPr>
        <w:t>3</w:t>
      </w:r>
      <w:r>
        <w:rPr>
          <w:rFonts w:hint="eastAsia"/>
          <w:szCs w:val="6"/>
        </w:rPr>
        <w:t>条第</w:t>
      </w:r>
      <w:r>
        <w:rPr>
          <w:szCs w:val="6"/>
        </w:rPr>
        <w:t>1</w:t>
      </w:r>
      <w:r>
        <w:rPr>
          <w:rFonts w:hint="eastAsia"/>
          <w:szCs w:val="6"/>
        </w:rPr>
        <w:t>、</w:t>
      </w:r>
      <w:r>
        <w:rPr>
          <w:szCs w:val="6"/>
        </w:rPr>
        <w:t>2</w:t>
      </w:r>
      <w:r>
        <w:rPr>
          <w:rFonts w:hint="eastAsia"/>
          <w:szCs w:val="6"/>
        </w:rPr>
        <w:t>款产生的义务不完全符合。《儿童权利公约》第</w:t>
      </w:r>
      <w:r>
        <w:rPr>
          <w:szCs w:val="6"/>
        </w:rPr>
        <w:t>2</w:t>
      </w:r>
      <w:r>
        <w:rPr>
          <w:rFonts w:hint="eastAsia"/>
          <w:szCs w:val="6"/>
        </w:rPr>
        <w:t>条第</w:t>
      </w:r>
      <w:r>
        <w:rPr>
          <w:szCs w:val="6"/>
        </w:rPr>
        <w:t>1</w:t>
      </w:r>
      <w:r>
        <w:rPr>
          <w:rFonts w:hint="eastAsia"/>
          <w:szCs w:val="6"/>
        </w:rPr>
        <w:t>款规定</w:t>
      </w:r>
      <w:r>
        <w:rPr>
          <w:szCs w:val="6"/>
        </w:rPr>
        <w:t>，</w:t>
      </w:r>
      <w:r>
        <w:rPr>
          <w:rFonts w:hint="eastAsia"/>
          <w:szCs w:val="6"/>
        </w:rPr>
        <w:t>“缔约国应尊重本公约所载列的权利</w:t>
      </w:r>
      <w:r>
        <w:rPr>
          <w:szCs w:val="6"/>
        </w:rPr>
        <w:t>，</w:t>
      </w:r>
      <w:r>
        <w:rPr>
          <w:rFonts w:hint="eastAsia"/>
          <w:szCs w:val="6"/>
        </w:rPr>
        <w:t>并确保其管辖范围内的每一儿童均享受此种权利</w:t>
      </w:r>
      <w:r>
        <w:rPr>
          <w:szCs w:val="6"/>
        </w:rPr>
        <w:t>，</w:t>
      </w:r>
      <w:r>
        <w:rPr>
          <w:rFonts w:hint="eastAsia"/>
          <w:szCs w:val="6"/>
        </w:rPr>
        <w:t>不因儿童或其父母或法定监护人的种族、肤色、性别、语言、宗教、政治或其他见解、民族、族裔或社会刽出身、财产、伤残、出生或其他身份而有任何差别</w:t>
      </w:r>
      <w:r>
        <w:rPr>
          <w:szCs w:val="6"/>
        </w:rPr>
        <w:t>。</w:t>
      </w:r>
      <w:r>
        <w:rPr>
          <w:szCs w:val="6"/>
        </w:rPr>
        <w:t>”</w:t>
      </w:r>
      <w:r>
        <w:rPr>
          <w:rFonts w:hint="eastAsia"/>
          <w:szCs w:val="6"/>
        </w:rPr>
        <w:t>第</w:t>
      </w:r>
      <w:r>
        <w:rPr>
          <w:rFonts w:hint="eastAsia"/>
          <w:szCs w:val="6"/>
        </w:rPr>
        <w:t>3</w:t>
      </w:r>
      <w:r>
        <w:rPr>
          <w:rFonts w:hint="eastAsia"/>
          <w:szCs w:val="6"/>
        </w:rPr>
        <w:t>条第</w:t>
      </w:r>
      <w:r>
        <w:rPr>
          <w:rFonts w:hint="eastAsia"/>
          <w:szCs w:val="6"/>
        </w:rPr>
        <w:t>1</w:t>
      </w:r>
      <w:r>
        <w:rPr>
          <w:rFonts w:hint="eastAsia"/>
          <w:szCs w:val="6"/>
        </w:rPr>
        <w:t>款规定，“关于儿童的一切行动</w:t>
      </w:r>
      <w:r>
        <w:rPr>
          <w:szCs w:val="6"/>
        </w:rPr>
        <w:t>，</w:t>
      </w:r>
      <w:r>
        <w:rPr>
          <w:rFonts w:hint="eastAsia"/>
          <w:szCs w:val="6"/>
        </w:rPr>
        <w:t>不论是由公私社会福利机构、法院、行政当局或立法机构执行</w:t>
      </w:r>
      <w:r>
        <w:rPr>
          <w:szCs w:val="6"/>
        </w:rPr>
        <w:t>，</w:t>
      </w:r>
      <w:r>
        <w:rPr>
          <w:rFonts w:hint="eastAsia"/>
          <w:szCs w:val="6"/>
        </w:rPr>
        <w:t>均应以儿童的最大利益为一种首要考虑</w:t>
      </w:r>
      <w:r>
        <w:rPr>
          <w:szCs w:val="6"/>
        </w:rPr>
        <w:t>。</w:t>
      </w:r>
      <w:r>
        <w:rPr>
          <w:szCs w:val="6"/>
        </w:rPr>
        <w:t>”</w:t>
      </w:r>
      <w:r>
        <w:rPr>
          <w:rFonts w:hint="eastAsia"/>
          <w:szCs w:val="6"/>
        </w:rPr>
        <w:t>第</w:t>
      </w:r>
      <w:r>
        <w:rPr>
          <w:rFonts w:hint="eastAsia"/>
          <w:szCs w:val="6"/>
        </w:rPr>
        <w:t>3</w:t>
      </w:r>
      <w:r>
        <w:rPr>
          <w:rFonts w:hint="eastAsia"/>
          <w:szCs w:val="6"/>
        </w:rPr>
        <w:t>条第</w:t>
      </w:r>
      <w:r>
        <w:rPr>
          <w:rFonts w:hint="eastAsia"/>
          <w:szCs w:val="6"/>
        </w:rPr>
        <w:t>2</w:t>
      </w:r>
      <w:r>
        <w:rPr>
          <w:rFonts w:hint="eastAsia"/>
          <w:szCs w:val="6"/>
        </w:rPr>
        <w:t>款规定，“缔约国承担确保儿童享有其幸福所必需的保护和照料</w:t>
      </w:r>
      <w:r>
        <w:rPr>
          <w:szCs w:val="6"/>
        </w:rPr>
        <w:t>，</w:t>
      </w:r>
      <w:r>
        <w:rPr>
          <w:rFonts w:hint="eastAsia"/>
          <w:szCs w:val="6"/>
        </w:rPr>
        <w:t>考虑到其父母……的权利和义务</w:t>
      </w:r>
      <w:r>
        <w:rPr>
          <w:szCs w:val="6"/>
        </w:rPr>
        <w:t>，</w:t>
      </w:r>
      <w:r>
        <w:rPr>
          <w:rFonts w:hint="eastAsia"/>
          <w:szCs w:val="6"/>
        </w:rPr>
        <w:t>并</w:t>
      </w:r>
      <w:r>
        <w:rPr>
          <w:rFonts w:hint="eastAsia"/>
          <w:szCs w:val="2"/>
        </w:rPr>
        <w:t>为此采取一切适当的立法和行政措施。”</w:t>
      </w:r>
    </w:p>
  </w:endnote>
  <w:endnote w:id="206">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158/1998 Coll.</w:t>
      </w:r>
      <w:r>
        <w:rPr>
          <w:rFonts w:hint="eastAsia"/>
          <w:szCs w:val="22"/>
        </w:rPr>
        <w:t>号修正案</w:t>
      </w:r>
      <w:r>
        <w:rPr>
          <w:szCs w:val="22"/>
        </w:rPr>
        <w:t>，</w:t>
      </w:r>
      <w:r>
        <w:rPr>
          <w:rFonts w:hint="eastAsia"/>
          <w:szCs w:val="22"/>
        </w:rPr>
        <w:t>修正第</w:t>
      </w:r>
      <w:r>
        <w:rPr>
          <w:rFonts w:hint="eastAsia"/>
          <w:szCs w:val="22"/>
        </w:rPr>
        <w:t>117</w:t>
      </w:r>
      <w:r>
        <w:rPr>
          <w:szCs w:val="22"/>
        </w:rPr>
        <w:t>/1995 Coll.</w:t>
      </w:r>
      <w:r>
        <w:rPr>
          <w:rFonts w:hint="eastAsia"/>
          <w:szCs w:val="22"/>
        </w:rPr>
        <w:t>号《国家社会抚养扶助法》</w:t>
      </w:r>
      <w:r>
        <w:rPr>
          <w:szCs w:val="22"/>
        </w:rPr>
        <w:t>，</w:t>
      </w:r>
      <w:r>
        <w:rPr>
          <w:rFonts w:hint="eastAsia"/>
          <w:szCs w:val="22"/>
        </w:rPr>
        <w:t>后经修正。</w:t>
      </w:r>
    </w:p>
  </w:endnote>
  <w:endnote w:id="207">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1</w:t>
      </w:r>
      <w:r>
        <w:rPr>
          <w:rFonts w:hint="eastAsia"/>
          <w:szCs w:val="22"/>
        </w:rPr>
        <w:t>37</w:t>
      </w:r>
      <w:r>
        <w:rPr>
          <w:szCs w:val="22"/>
        </w:rPr>
        <w:t>/199</w:t>
      </w:r>
      <w:r>
        <w:rPr>
          <w:rFonts w:hint="eastAsia"/>
          <w:szCs w:val="22"/>
        </w:rPr>
        <w:t>6</w:t>
      </w:r>
      <w:r>
        <w:rPr>
          <w:szCs w:val="22"/>
        </w:rPr>
        <w:t xml:space="preserve"> Coll.</w:t>
      </w:r>
      <w:r>
        <w:rPr>
          <w:rFonts w:hint="eastAsia"/>
          <w:szCs w:val="22"/>
        </w:rPr>
        <w:t>号修正案</w:t>
      </w:r>
      <w:r>
        <w:rPr>
          <w:szCs w:val="22"/>
        </w:rPr>
        <w:t>，</w:t>
      </w:r>
      <w:r>
        <w:rPr>
          <w:rFonts w:hint="eastAsia"/>
          <w:szCs w:val="22"/>
        </w:rPr>
        <w:t>修正第</w:t>
      </w:r>
      <w:r>
        <w:rPr>
          <w:rFonts w:hint="eastAsia"/>
          <w:szCs w:val="22"/>
        </w:rPr>
        <w:t>117</w:t>
      </w:r>
      <w:r>
        <w:rPr>
          <w:szCs w:val="22"/>
        </w:rPr>
        <w:t>/1995 Coll.</w:t>
      </w:r>
      <w:r>
        <w:rPr>
          <w:rFonts w:hint="eastAsia"/>
          <w:szCs w:val="22"/>
        </w:rPr>
        <w:t>号《国家社会抚养扶助法》</w:t>
      </w:r>
      <w:r>
        <w:rPr>
          <w:szCs w:val="22"/>
        </w:rPr>
        <w:t>，</w:t>
      </w:r>
      <w:r>
        <w:rPr>
          <w:rFonts w:hint="eastAsia"/>
          <w:szCs w:val="22"/>
        </w:rPr>
        <w:t>后经修正。</w:t>
      </w:r>
    </w:p>
  </w:endnote>
  <w:endnote w:id="208">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自</w:t>
      </w:r>
      <w:r>
        <w:rPr>
          <w:szCs w:val="22"/>
        </w:rPr>
        <w:t>2000</w:t>
      </w:r>
      <w:r>
        <w:rPr>
          <w:rFonts w:hint="eastAsia"/>
          <w:szCs w:val="22"/>
        </w:rPr>
        <w:t>年</w:t>
      </w:r>
      <w:r>
        <w:rPr>
          <w:szCs w:val="22"/>
        </w:rPr>
        <w:t>1</w:t>
      </w:r>
      <w:r>
        <w:rPr>
          <w:rFonts w:hint="eastAsia"/>
          <w:szCs w:val="22"/>
        </w:rPr>
        <w:t>月</w:t>
      </w:r>
      <w:r>
        <w:rPr>
          <w:szCs w:val="22"/>
        </w:rPr>
        <w:t>1</w:t>
      </w:r>
      <w:r>
        <w:rPr>
          <w:rFonts w:hint="eastAsia"/>
          <w:szCs w:val="22"/>
        </w:rPr>
        <w:t>日起</w:t>
      </w:r>
      <w:r>
        <w:rPr>
          <w:szCs w:val="22"/>
        </w:rPr>
        <w:t>，</w:t>
      </w:r>
      <w:r>
        <w:rPr>
          <w:rFonts w:hint="eastAsia"/>
          <w:szCs w:val="22"/>
        </w:rPr>
        <w:t>一项修正捷克共和国外国人居留法的法规生效</w:t>
      </w:r>
      <w:r>
        <w:rPr>
          <w:szCs w:val="22"/>
        </w:rPr>
        <w:t>，</w:t>
      </w:r>
      <w:r>
        <w:rPr>
          <w:rFonts w:hint="eastAsia"/>
          <w:szCs w:val="22"/>
        </w:rPr>
        <w:t>自</w:t>
      </w:r>
      <w:r>
        <w:rPr>
          <w:szCs w:val="22"/>
        </w:rPr>
        <w:t>2000</w:t>
      </w:r>
      <w:r>
        <w:rPr>
          <w:rFonts w:hint="eastAsia"/>
          <w:szCs w:val="22"/>
        </w:rPr>
        <w:t>年</w:t>
      </w:r>
      <w:r>
        <w:rPr>
          <w:szCs w:val="22"/>
        </w:rPr>
        <w:t>4</w:t>
      </w:r>
      <w:r>
        <w:rPr>
          <w:rFonts w:hint="eastAsia"/>
          <w:szCs w:val="22"/>
        </w:rPr>
        <w:t>月</w:t>
      </w:r>
      <w:r>
        <w:rPr>
          <w:szCs w:val="22"/>
        </w:rPr>
        <w:t>1</w:t>
      </w:r>
      <w:r>
        <w:rPr>
          <w:rFonts w:hint="eastAsia"/>
          <w:szCs w:val="22"/>
        </w:rPr>
        <w:t>日</w:t>
      </w:r>
      <w:r>
        <w:rPr>
          <w:rFonts w:hint="eastAsia"/>
          <w:szCs w:val="26"/>
        </w:rPr>
        <w:t>起</w:t>
      </w:r>
      <w:r>
        <w:rPr>
          <w:szCs w:val="26"/>
        </w:rPr>
        <w:t>，</w:t>
      </w:r>
      <w:r>
        <w:rPr>
          <w:rFonts w:hint="eastAsia"/>
          <w:szCs w:val="26"/>
        </w:rPr>
        <w:t>这项修正案还将反映在领取国家福利扶助津贴资格的法规中。从该日起</w:t>
      </w:r>
      <w:r>
        <w:rPr>
          <w:szCs w:val="26"/>
        </w:rPr>
        <w:t>，</w:t>
      </w:r>
      <w:r>
        <w:rPr>
          <w:rFonts w:hint="eastAsia"/>
          <w:szCs w:val="26"/>
        </w:rPr>
        <w:t>具有常住资格的</w:t>
      </w:r>
      <w:r>
        <w:rPr>
          <w:rFonts w:hint="eastAsia"/>
          <w:szCs w:val="22"/>
        </w:rPr>
        <w:t>人、托付替代家庭扶养的儿童以及准予庇护地位的人</w:t>
      </w:r>
      <w:r>
        <w:rPr>
          <w:rFonts w:hint="eastAsia"/>
          <w:szCs w:val="22"/>
        </w:rPr>
        <w:t>(</w:t>
      </w:r>
      <w:r>
        <w:rPr>
          <w:rFonts w:hint="eastAsia"/>
          <w:szCs w:val="22"/>
        </w:rPr>
        <w:t>以前的难民</w:t>
      </w:r>
      <w:r>
        <w:rPr>
          <w:rFonts w:hint="eastAsia"/>
          <w:szCs w:val="22"/>
        </w:rPr>
        <w:t>)</w:t>
      </w:r>
      <w:r>
        <w:rPr>
          <w:szCs w:val="22"/>
        </w:rPr>
        <w:t>，</w:t>
      </w:r>
      <w:r>
        <w:rPr>
          <w:rFonts w:hint="eastAsia"/>
          <w:szCs w:val="22"/>
        </w:rPr>
        <w:t>其享受国家福利扶助津贴的资格</w:t>
      </w:r>
      <w:r>
        <w:rPr>
          <w:szCs w:val="22"/>
        </w:rPr>
        <w:t>，</w:t>
      </w:r>
      <w:r>
        <w:rPr>
          <w:rFonts w:hint="eastAsia"/>
          <w:szCs w:val="22"/>
        </w:rPr>
        <w:t>将以与</w:t>
      </w:r>
      <w:r>
        <w:rPr>
          <w:szCs w:val="22"/>
        </w:rPr>
        <w:t>2001</w:t>
      </w:r>
      <w:r>
        <w:rPr>
          <w:rFonts w:hint="eastAsia"/>
          <w:szCs w:val="22"/>
        </w:rPr>
        <w:t>年</w:t>
      </w:r>
      <w:r>
        <w:rPr>
          <w:szCs w:val="22"/>
        </w:rPr>
        <w:t>4</w:t>
      </w:r>
      <w:r>
        <w:rPr>
          <w:rFonts w:hint="eastAsia"/>
          <w:szCs w:val="22"/>
        </w:rPr>
        <w:t>月</w:t>
      </w:r>
      <w:r>
        <w:rPr>
          <w:szCs w:val="22"/>
        </w:rPr>
        <w:t>1</w:t>
      </w:r>
      <w:r>
        <w:rPr>
          <w:rFonts w:hint="eastAsia"/>
          <w:szCs w:val="22"/>
        </w:rPr>
        <w:t>日以前相同的方式评估。对于暂时居住捷克共和国的人</w:t>
      </w:r>
      <w:r>
        <w:rPr>
          <w:szCs w:val="22"/>
        </w:rPr>
        <w:t>(</w:t>
      </w:r>
      <w:r>
        <w:rPr>
          <w:rFonts w:hint="eastAsia"/>
          <w:szCs w:val="22"/>
        </w:rPr>
        <w:t>也包括根据</w:t>
      </w:r>
      <w:r>
        <w:rPr>
          <w:szCs w:val="22"/>
        </w:rPr>
        <w:t>2000</w:t>
      </w:r>
      <w:r>
        <w:rPr>
          <w:rFonts w:hint="eastAsia"/>
          <w:szCs w:val="22"/>
        </w:rPr>
        <w:t>年</w:t>
      </w:r>
      <w:r>
        <w:rPr>
          <w:szCs w:val="22"/>
        </w:rPr>
        <w:t>1</w:t>
      </w:r>
      <w:r>
        <w:rPr>
          <w:rFonts w:hint="eastAsia"/>
          <w:szCs w:val="22"/>
        </w:rPr>
        <w:t>月</w:t>
      </w:r>
      <w:r>
        <w:rPr>
          <w:szCs w:val="22"/>
        </w:rPr>
        <w:t>1</w:t>
      </w:r>
      <w:r>
        <w:rPr>
          <w:rFonts w:hint="eastAsia"/>
          <w:szCs w:val="22"/>
        </w:rPr>
        <w:t>日前生效的外国人居留法长期居留的人</w:t>
      </w:r>
      <w:r>
        <w:rPr>
          <w:rFonts w:hint="eastAsia"/>
          <w:szCs w:val="22"/>
        </w:rPr>
        <w:t>)</w:t>
      </w:r>
      <w:r>
        <w:rPr>
          <w:szCs w:val="22"/>
        </w:rPr>
        <w:t>，</w:t>
      </w:r>
      <w:r>
        <w:rPr>
          <w:rFonts w:hint="eastAsia"/>
          <w:szCs w:val="22"/>
        </w:rPr>
        <w:t>其享受国家福利扶助津贴资格取决于在捷克共和国居住</w:t>
      </w:r>
      <w:r>
        <w:rPr>
          <w:szCs w:val="22"/>
        </w:rPr>
        <w:t>365</w:t>
      </w:r>
      <w:r>
        <w:rPr>
          <w:rFonts w:hint="eastAsia"/>
          <w:szCs w:val="22"/>
        </w:rPr>
        <w:t>天</w:t>
      </w:r>
      <w:r>
        <w:rPr>
          <w:szCs w:val="22"/>
        </w:rPr>
        <w:t>，</w:t>
      </w:r>
      <w:r>
        <w:rPr>
          <w:rFonts w:hint="eastAsia"/>
          <w:szCs w:val="22"/>
        </w:rPr>
        <w:t>相当于以前一年的长期居住时间</w:t>
      </w:r>
      <w:r>
        <w:rPr>
          <w:szCs w:val="22"/>
        </w:rPr>
        <w:t>。</w:t>
      </w:r>
      <w:r>
        <w:rPr>
          <w:rFonts w:hint="eastAsia"/>
          <w:szCs w:val="22"/>
        </w:rPr>
        <w:t>所以</w:t>
      </w:r>
      <w:r>
        <w:rPr>
          <w:szCs w:val="22"/>
        </w:rPr>
        <w:t>，</w:t>
      </w:r>
      <w:r>
        <w:rPr>
          <w:rFonts w:hint="eastAsia"/>
          <w:szCs w:val="22"/>
        </w:rPr>
        <w:t>当按居留时间可以享受福利扶助津贴时</w:t>
      </w:r>
      <w:r>
        <w:rPr>
          <w:szCs w:val="22"/>
        </w:rPr>
        <w:t>，</w:t>
      </w:r>
      <w:r>
        <w:rPr>
          <w:rFonts w:hint="eastAsia"/>
          <w:szCs w:val="22"/>
        </w:rPr>
        <w:t>有别于游客等外国人在捷克共和国临时逗留的情况</w:t>
      </w:r>
      <w:r>
        <w:rPr>
          <w:szCs w:val="22"/>
        </w:rPr>
        <w:t>。</w:t>
      </w:r>
      <w:r>
        <w:rPr>
          <w:rFonts w:hint="eastAsia"/>
          <w:szCs w:val="22"/>
        </w:rPr>
        <w:t>然而</w:t>
      </w:r>
      <w:r>
        <w:rPr>
          <w:szCs w:val="22"/>
        </w:rPr>
        <w:t>，</w:t>
      </w:r>
      <w:r>
        <w:rPr>
          <w:rFonts w:hint="eastAsia"/>
          <w:szCs w:val="22"/>
        </w:rPr>
        <w:t>允许地区办事处和劳动和社会事务部豁免常住条件要求的规定仍然有效</w:t>
      </w:r>
      <w:r>
        <w:rPr>
          <w:szCs w:val="22"/>
        </w:rPr>
        <w:t>，</w:t>
      </w:r>
      <w:r>
        <w:rPr>
          <w:rFonts w:hint="eastAsia"/>
          <w:szCs w:val="22"/>
        </w:rPr>
        <w:t>从而限制了法律适用的严苛</w:t>
      </w:r>
      <w:r>
        <w:rPr>
          <w:szCs w:val="22"/>
        </w:rPr>
        <w:t>。</w:t>
      </w:r>
    </w:p>
  </w:endnote>
  <w:endnote w:id="209">
    <w:p w:rsidR="00000000" w:rsidRDefault="00000000">
      <w:pPr>
        <w:pStyle w:val="EndnoteText"/>
        <w:rPr>
          <w:rFonts w:hint="eastAsia"/>
        </w:rPr>
      </w:pPr>
      <w:r>
        <w:rPr>
          <w:rStyle w:val="EndnoteReference"/>
        </w:rPr>
        <w:endnoteRef/>
      </w:r>
      <w:r>
        <w:t xml:space="preserve"> </w:t>
      </w:r>
      <w:r>
        <w:rPr>
          <w:rFonts w:hint="eastAsia"/>
        </w:rPr>
        <w:tab/>
      </w:r>
      <w:r>
        <w:rPr>
          <w:rFonts w:hint="eastAsia"/>
          <w:szCs w:val="22"/>
        </w:rPr>
        <w:t>第</w:t>
      </w:r>
      <w:r>
        <w:rPr>
          <w:szCs w:val="22"/>
        </w:rPr>
        <w:t>463/1991 Coll.</w:t>
      </w:r>
      <w:r>
        <w:rPr>
          <w:rFonts w:hint="eastAsia"/>
          <w:szCs w:val="22"/>
        </w:rPr>
        <w:t>号</w:t>
      </w:r>
      <w:r>
        <w:rPr>
          <w:szCs w:val="22"/>
        </w:rPr>
        <w:t>，</w:t>
      </w:r>
      <w:r>
        <w:rPr>
          <w:rFonts w:hint="eastAsia"/>
          <w:szCs w:val="22"/>
        </w:rPr>
        <w:t>《最低生活水平法》</w:t>
      </w:r>
      <w:r>
        <w:rPr>
          <w:szCs w:val="22"/>
        </w:rPr>
        <w:t>，</w:t>
      </w:r>
      <w:r>
        <w:rPr>
          <w:rFonts w:hint="eastAsia"/>
          <w:szCs w:val="22"/>
        </w:rPr>
        <w:t>后经修正。</w:t>
      </w:r>
    </w:p>
    <w:p w:rsidR="00000000" w:rsidRDefault="00000000">
      <w:pPr>
        <w:pStyle w:val="EndnoteText"/>
        <w:rPr>
          <w:rFonts w:hint="eastAsia"/>
        </w:rPr>
      </w:pPr>
    </w:p>
  </w:endnote>
  <w:endnote w:id="210">
    <w:p w:rsidR="00000000" w:rsidRDefault="00000000">
      <w:pPr>
        <w:pStyle w:val="EndnoteText"/>
        <w:rPr>
          <w:rFonts w:hint="eastAsia"/>
        </w:rPr>
      </w:pPr>
      <w:r>
        <w:rPr>
          <w:rStyle w:val="EndnoteReference"/>
        </w:rPr>
        <w:endnoteRef/>
      </w:r>
      <w:r>
        <w:t xml:space="preserve"> </w:t>
      </w:r>
      <w:r>
        <w:rPr>
          <w:rFonts w:hint="eastAsia"/>
        </w:rPr>
        <w:tab/>
      </w:r>
      <w:r>
        <w:t>Act No. 482/1991 Coll.</w:t>
      </w:r>
      <w:r>
        <w:rPr>
          <w:lang w:val="en-GB"/>
        </w:rPr>
        <w:t>，</w:t>
      </w:r>
      <w:r>
        <w:t>on Social Neediness, as subsequently amended</w:t>
      </w:r>
      <w:r>
        <w:rPr>
          <w:rFonts w:hint="eastAsia"/>
        </w:rPr>
        <w:t>。</w:t>
      </w:r>
    </w:p>
  </w:endnote>
  <w:endnote w:id="211">
    <w:p w:rsidR="00000000" w:rsidRDefault="00000000">
      <w:pPr>
        <w:pStyle w:val="EndnoteText"/>
        <w:rPr>
          <w:rFonts w:hint="eastAsia"/>
        </w:rPr>
      </w:pPr>
      <w:r>
        <w:rPr>
          <w:rStyle w:val="EndnoteReference"/>
        </w:rPr>
        <w:endnoteRef/>
      </w:r>
      <w:r>
        <w:t xml:space="preserve"> </w:t>
      </w:r>
      <w:r>
        <w:rPr>
          <w:rFonts w:hint="eastAsia"/>
        </w:rPr>
        <w:tab/>
      </w:r>
      <w:r>
        <w:t>Act No. 463/1991 Coll.</w:t>
      </w:r>
      <w:r>
        <w:rPr>
          <w:lang w:val="en-GB"/>
        </w:rPr>
        <w:t>，</w:t>
      </w:r>
      <w:r>
        <w:t>on the Subsistence Level, as subsequently amended</w:t>
      </w:r>
      <w:r>
        <w:rPr>
          <w:rFonts w:hint="eastAsia"/>
        </w:rPr>
        <w:t>。</w:t>
      </w:r>
    </w:p>
  </w:endnote>
  <w:endnote w:id="212">
    <w:p w:rsidR="00000000" w:rsidRDefault="00000000">
      <w:pPr>
        <w:pStyle w:val="EndnoteText"/>
        <w:rPr>
          <w:rFonts w:hint="eastAsia"/>
        </w:rPr>
      </w:pPr>
      <w:r>
        <w:rPr>
          <w:rStyle w:val="EndnoteReference"/>
        </w:rPr>
        <w:endnoteRef/>
      </w:r>
      <w:r>
        <w:t xml:space="preserve"> </w:t>
      </w:r>
      <w:r>
        <w:rPr>
          <w:rFonts w:hint="eastAsia"/>
        </w:rPr>
        <w:tab/>
      </w:r>
      <w:r>
        <w:rPr>
          <w:rFonts w:hint="eastAsia"/>
        </w:rPr>
        <w:t>共同评估人员根据维持生计水平法第</w:t>
      </w:r>
      <w:r>
        <w:rPr>
          <w:rFonts w:hint="eastAsia"/>
        </w:rPr>
        <w:t>4</w:t>
      </w:r>
      <w:r>
        <w:rPr>
          <w:rFonts w:hint="eastAsia"/>
        </w:rPr>
        <w:t>条主要指需抚养子女及其父母、配偶、男或女伙伴和长期住在一起并共同支付开支需要的其他人。</w:t>
      </w:r>
    </w:p>
  </w:endnote>
  <w:endnote w:id="213">
    <w:p w:rsidR="00000000" w:rsidRDefault="00000000">
      <w:pPr>
        <w:pStyle w:val="EndnoteText"/>
        <w:rPr>
          <w:rFonts w:hint="eastAsia"/>
        </w:rPr>
      </w:pPr>
      <w:r>
        <w:rPr>
          <w:rStyle w:val="EndnoteReference"/>
        </w:rPr>
        <w:endnoteRef/>
      </w:r>
      <w:r>
        <w:t xml:space="preserve"> </w:t>
      </w:r>
      <w:r>
        <w:rPr>
          <w:rFonts w:hint="eastAsia"/>
        </w:rPr>
        <w:tab/>
      </w:r>
      <w:r>
        <w:rPr>
          <w:rFonts w:hint="eastAsia"/>
        </w:rPr>
        <w:t>根据维持生计水平法第</w:t>
      </w:r>
      <w:r>
        <w:rPr>
          <w:rFonts w:hint="eastAsia"/>
        </w:rPr>
        <w:t>6</w:t>
      </w:r>
      <w:r>
        <w:rPr>
          <w:rFonts w:hint="eastAsia"/>
        </w:rPr>
        <w:t>条，这种收入指要付个人所得税、疾病保险和养老保险财务津贴、寻找工作者的物质保障、赡养费、国家福利津贴和社会照顾津贴</w:t>
      </w:r>
      <w:r>
        <w:rPr>
          <w:rFonts w:hint="eastAsia"/>
        </w:rPr>
        <w:t>(</w:t>
      </w:r>
      <w:r>
        <w:rPr>
          <w:rFonts w:hint="eastAsia"/>
        </w:rPr>
        <w:t>一次性津贴除外</w:t>
      </w:r>
      <w:r>
        <w:rPr>
          <w:rFonts w:hint="eastAsia"/>
        </w:rPr>
        <w:t>)</w:t>
      </w:r>
      <w:r>
        <w:rPr>
          <w:rFonts w:hint="eastAsia"/>
        </w:rPr>
        <w:t>和其他重复性或经常收入。</w:t>
      </w:r>
    </w:p>
  </w:endnote>
  <w:endnote w:id="214">
    <w:p w:rsidR="00000000" w:rsidRDefault="00000000">
      <w:pPr>
        <w:pStyle w:val="EndnoteText"/>
        <w:rPr>
          <w:rFonts w:hint="eastAsia"/>
        </w:rPr>
      </w:pPr>
      <w:r>
        <w:rPr>
          <w:rStyle w:val="EndnoteReference"/>
        </w:rPr>
        <w:endnoteRef/>
      </w:r>
      <w:r>
        <w:t xml:space="preserve"> </w:t>
      </w:r>
      <w:r>
        <w:rPr>
          <w:rFonts w:hint="eastAsia"/>
        </w:rPr>
        <w:tab/>
      </w:r>
      <w:r>
        <w:rPr>
          <w:rFonts w:hint="eastAsia"/>
        </w:rPr>
        <w:t>政府条例</w:t>
      </w:r>
      <w:r>
        <w:rPr>
          <w:rFonts w:hint="eastAsia"/>
        </w:rPr>
        <w:t>N</w:t>
      </w:r>
      <w:r>
        <w:t xml:space="preserve">o. </w:t>
      </w:r>
      <w:r>
        <w:rPr>
          <w:rFonts w:hint="eastAsia"/>
        </w:rPr>
        <w:t>42/1998</w:t>
      </w:r>
      <w:r>
        <w:t xml:space="preserve"> Coll.</w:t>
      </w:r>
      <w:r>
        <w:rPr>
          <w:rFonts w:hint="eastAsia"/>
        </w:rPr>
        <w:t>，附件。它提高了维持生计水平的数额。在</w:t>
      </w:r>
      <w:r>
        <w:rPr>
          <w:rFonts w:hint="eastAsia"/>
        </w:rPr>
        <w:t>2000</w:t>
      </w:r>
      <w:r>
        <w:rPr>
          <w:rFonts w:hint="eastAsia"/>
        </w:rPr>
        <w:t>年</w:t>
      </w:r>
      <w:r>
        <w:rPr>
          <w:rFonts w:hint="eastAsia"/>
        </w:rPr>
        <w:t>1</w:t>
      </w:r>
      <w:r>
        <w:rPr>
          <w:rFonts w:hint="eastAsia"/>
        </w:rPr>
        <w:t>月达到提高条件后，维持生计水平将从</w:t>
      </w:r>
      <w:r>
        <w:rPr>
          <w:rFonts w:hint="eastAsia"/>
        </w:rPr>
        <w:t>2000</w:t>
      </w:r>
      <w:r>
        <w:rPr>
          <w:rFonts w:hint="eastAsia"/>
        </w:rPr>
        <w:t>年</w:t>
      </w:r>
      <w:r>
        <w:rPr>
          <w:rFonts w:hint="eastAsia"/>
        </w:rPr>
        <w:t>4</w:t>
      </w:r>
      <w:r>
        <w:rPr>
          <w:rFonts w:hint="eastAsia"/>
        </w:rPr>
        <w:t>月</w:t>
      </w:r>
      <w:r>
        <w:rPr>
          <w:rFonts w:hint="eastAsia"/>
        </w:rPr>
        <w:t>1</w:t>
      </w:r>
      <w:r>
        <w:rPr>
          <w:rFonts w:hint="eastAsia"/>
        </w:rPr>
        <w:t>日起提高</w:t>
      </w:r>
      <w:r>
        <w:rPr>
          <w:rFonts w:hint="eastAsia"/>
        </w:rPr>
        <w:t>(</w:t>
      </w:r>
      <w:r>
        <w:rPr>
          <w:rFonts w:hint="eastAsia"/>
        </w:rPr>
        <w:t>政府</w:t>
      </w:r>
      <w:r>
        <w:rPr>
          <w:rFonts w:hint="eastAsia"/>
        </w:rPr>
        <w:t>2000</w:t>
      </w:r>
      <w:r>
        <w:rPr>
          <w:rFonts w:hint="eastAsia"/>
        </w:rPr>
        <w:t>年</w:t>
      </w:r>
      <w:r>
        <w:rPr>
          <w:rFonts w:hint="eastAsia"/>
        </w:rPr>
        <w:t>3</w:t>
      </w:r>
      <w:r>
        <w:rPr>
          <w:rFonts w:hint="eastAsia"/>
        </w:rPr>
        <w:t>月</w:t>
      </w:r>
      <w:r>
        <w:rPr>
          <w:rFonts w:hint="eastAsia"/>
        </w:rPr>
        <w:t>8</w:t>
      </w:r>
      <w:r>
        <w:rPr>
          <w:rFonts w:hint="eastAsia"/>
        </w:rPr>
        <w:t>日第</w:t>
      </w:r>
      <w:r>
        <w:rPr>
          <w:rFonts w:hint="eastAsia"/>
        </w:rPr>
        <w:t>243</w:t>
      </w:r>
      <w:r>
        <w:rPr>
          <w:rFonts w:hint="eastAsia"/>
        </w:rPr>
        <w:t>号决议批准的政府条例</w:t>
      </w:r>
      <w:r>
        <w:rPr>
          <w:rFonts w:hint="eastAsia"/>
        </w:rPr>
        <w:t>)</w:t>
      </w:r>
      <w:r>
        <w:rPr>
          <w:rFonts w:hint="eastAsia"/>
        </w:rPr>
        <w:t>。</w:t>
      </w:r>
    </w:p>
  </w:endnote>
  <w:endnote w:id="215">
    <w:p w:rsidR="00000000" w:rsidRDefault="00000000">
      <w:pPr>
        <w:pStyle w:val="EndnoteText"/>
        <w:rPr>
          <w:rFonts w:hint="eastAsia"/>
        </w:rPr>
      </w:pPr>
      <w:r>
        <w:rPr>
          <w:rStyle w:val="EndnoteReference"/>
        </w:rPr>
        <w:endnoteRef/>
      </w:r>
      <w:r>
        <w:t xml:space="preserve"> </w:t>
      </w:r>
      <w:r>
        <w:rPr>
          <w:rFonts w:hint="eastAsia"/>
        </w:rPr>
        <w:tab/>
      </w:r>
      <w:r>
        <w:rPr>
          <w:rFonts w:hint="eastAsia"/>
        </w:rPr>
        <w:t>社会贫困法第</w:t>
      </w:r>
      <w:r>
        <w:rPr>
          <w:rFonts w:hint="eastAsia"/>
        </w:rPr>
        <w:t>2</w:t>
      </w:r>
      <w:r>
        <w:rPr>
          <w:rFonts w:hint="eastAsia"/>
        </w:rPr>
        <w:t>条规定：“</w:t>
      </w:r>
      <w:r>
        <w:t>(1)</w:t>
      </w:r>
      <w:r>
        <w:rPr>
          <w:rFonts w:hint="eastAsia"/>
        </w:rPr>
        <w:t xml:space="preserve"> </w:t>
      </w:r>
      <w:r>
        <w:rPr>
          <w:rFonts w:hint="eastAsia"/>
        </w:rPr>
        <w:t>如果根据适当专门医生的建议，一公民健康状况需要增加饮食开支，在评估社会贫困时，特别法律</w:t>
      </w:r>
      <w:r>
        <w:rPr>
          <w:rFonts w:hint="eastAsia"/>
        </w:rPr>
        <w:t xml:space="preserve">(Act No. 463/1991 </w:t>
      </w:r>
      <w:r>
        <w:t>Coll.</w:t>
      </w:r>
      <w:r>
        <w:t>，</w:t>
      </w:r>
      <w:r>
        <w:t xml:space="preserve"> </w:t>
      </w:r>
      <w:r>
        <w:rPr>
          <w:rFonts w:hint="eastAsia"/>
        </w:rPr>
        <w:t>第</w:t>
      </w:r>
      <w:r>
        <w:rPr>
          <w:rFonts w:hint="eastAsia"/>
        </w:rPr>
        <w:t>3</w:t>
      </w:r>
      <w:r>
        <w:rPr>
          <w:rFonts w:hint="eastAsia"/>
        </w:rPr>
        <w:t>条第</w:t>
      </w:r>
      <w:r>
        <w:rPr>
          <w:rFonts w:hint="eastAsia"/>
        </w:rPr>
        <w:t>2</w:t>
      </w:r>
      <w:r>
        <w:rPr>
          <w:rFonts w:hint="eastAsia"/>
        </w:rPr>
        <w:t>款</w:t>
      </w:r>
      <w:r>
        <w:rPr>
          <w:rFonts w:hint="eastAsia"/>
        </w:rPr>
        <w:t>)</w:t>
      </w:r>
      <w:r>
        <w:rPr>
          <w:rFonts w:hint="eastAsia"/>
        </w:rPr>
        <w:t>规定公民购买食物和其他基本个人需要的必要数额每月增加</w:t>
      </w:r>
      <w:r>
        <w:rPr>
          <w:rFonts w:hint="eastAsia"/>
        </w:rPr>
        <w:t>600</w:t>
      </w:r>
      <w:r>
        <w:rPr>
          <w:rFonts w:hint="eastAsia"/>
        </w:rPr>
        <w:t>克朗。</w:t>
      </w:r>
      <w:r>
        <w:t>(2)</w:t>
      </w:r>
      <w:r>
        <w:rPr>
          <w:rFonts w:hint="eastAsia"/>
        </w:rPr>
        <w:t xml:space="preserve"> </w:t>
      </w:r>
      <w:r>
        <w:rPr>
          <w:rFonts w:hint="eastAsia"/>
        </w:rPr>
        <w:t>在评估得到特别照顾</w:t>
      </w:r>
      <w:r>
        <w:rPr>
          <w:rFonts w:hint="eastAsia"/>
        </w:rPr>
        <w:t xml:space="preserve">(ID </w:t>
      </w:r>
      <w:r>
        <w:t>card</w:t>
      </w:r>
      <w:r>
        <w:rPr>
          <w:rFonts w:hint="eastAsia"/>
        </w:rPr>
        <w:t xml:space="preserve"> ZTP/P)</w:t>
      </w:r>
      <w:r>
        <w:rPr>
          <w:rFonts w:hint="eastAsia"/>
        </w:rPr>
        <w:t>的公民的社会贫困程度时，特别法律</w:t>
      </w:r>
      <w:r>
        <w:rPr>
          <w:rFonts w:hint="eastAsia"/>
        </w:rPr>
        <w:t>(</w:t>
      </w:r>
      <w:r>
        <w:t xml:space="preserve">Act No. </w:t>
      </w:r>
      <w:r>
        <w:rPr>
          <w:rFonts w:hint="eastAsia"/>
        </w:rPr>
        <w:t xml:space="preserve">463/1991 </w:t>
      </w:r>
      <w:r>
        <w:t>Coll.</w:t>
      </w:r>
      <w:r>
        <w:t>，</w:t>
      </w:r>
      <w:r>
        <w:t xml:space="preserve"> </w:t>
      </w:r>
      <w:r>
        <w:rPr>
          <w:rFonts w:hint="eastAsia"/>
        </w:rPr>
        <w:t>第</w:t>
      </w:r>
      <w:r>
        <w:rPr>
          <w:rFonts w:hint="eastAsia"/>
        </w:rPr>
        <w:t>3</w:t>
      </w:r>
      <w:r>
        <w:rPr>
          <w:rFonts w:hint="eastAsia"/>
        </w:rPr>
        <w:t>条第</w:t>
      </w:r>
      <w:r>
        <w:rPr>
          <w:rFonts w:hint="eastAsia"/>
        </w:rPr>
        <w:t>8</w:t>
      </w:r>
      <w:r>
        <w:rPr>
          <w:rFonts w:hint="eastAsia"/>
        </w:rPr>
        <w:t>款</w:t>
      </w:r>
      <w:r>
        <w:rPr>
          <w:rFonts w:hint="eastAsia"/>
        </w:rPr>
        <w:t>)</w:t>
      </w:r>
      <w:r>
        <w:rPr>
          <w:rFonts w:hint="eastAsia"/>
        </w:rPr>
        <w:t>规定的保证必要家庭支出的必要数额每月增加</w:t>
      </w:r>
      <w:r>
        <w:rPr>
          <w:rFonts w:hint="eastAsia"/>
        </w:rPr>
        <w:t>600</w:t>
      </w:r>
      <w:r>
        <w:rPr>
          <w:rFonts w:hint="eastAsia"/>
        </w:rPr>
        <w:t>克朗。就共同评估的人员而言，即使住在同一家庭的若干人得到三级特殊照顾</w:t>
      </w:r>
      <w:r>
        <w:rPr>
          <w:rFonts w:hint="eastAsia"/>
        </w:rPr>
        <w:t xml:space="preserve">(ID </w:t>
      </w:r>
      <w:r>
        <w:t>card</w:t>
      </w:r>
      <w:r>
        <w:rPr>
          <w:rFonts w:hint="eastAsia"/>
        </w:rPr>
        <w:t xml:space="preserve"> ZTP/P)</w:t>
      </w:r>
      <w:r>
        <w:rPr>
          <w:rFonts w:hint="eastAsia"/>
        </w:rPr>
        <w:t>，上句提到的增加计算时最多翻一番”</w:t>
      </w:r>
      <w:r>
        <w:rPr>
          <w:rFonts w:hint="eastAsia"/>
        </w:rPr>
        <w:t>(</w:t>
      </w:r>
      <w:r>
        <w:t>Act No. 40/1964 Coll.</w:t>
      </w:r>
      <w:r>
        <w:t>，</w:t>
      </w:r>
      <w:r>
        <w:t xml:space="preserve"> the Civil Code, as subsequently amended, </w:t>
      </w:r>
      <w:r>
        <w:rPr>
          <w:rFonts w:hint="eastAsia"/>
        </w:rPr>
        <w:t>第</w:t>
      </w:r>
      <w:r>
        <w:rPr>
          <w:rFonts w:hint="eastAsia"/>
        </w:rPr>
        <w:t>115</w:t>
      </w:r>
      <w:r>
        <w:rPr>
          <w:rFonts w:hint="eastAsia"/>
        </w:rPr>
        <w:t>条</w:t>
      </w:r>
      <w:r>
        <w:rPr>
          <w:rFonts w:hint="eastAsia"/>
        </w:rPr>
        <w:t>)</w:t>
      </w:r>
      <w:r>
        <w:rPr>
          <w:rFonts w:hint="eastAsia"/>
        </w:rPr>
        <w:t>。</w:t>
      </w:r>
    </w:p>
  </w:endnote>
  <w:endnote w:id="21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社会照顾制度所依据的是：</w:t>
      </w:r>
      <w:r>
        <w:t>Act No. 100/1988 Coll.</w:t>
      </w:r>
      <w:r>
        <w:t>，</w:t>
      </w:r>
      <w:r>
        <w:t>on Social Security, as subsequently amended, Act No. 482/1991 Coll.</w:t>
      </w:r>
      <w:r>
        <w:t>，</w:t>
      </w:r>
      <w:r>
        <w:t xml:space="preserve">on Social Neediness, as subsequently amended, </w:t>
      </w:r>
      <w:r>
        <w:rPr>
          <w:rFonts w:hint="eastAsia"/>
        </w:rPr>
        <w:t>劳工和社会事务部法令</w:t>
      </w:r>
      <w:r>
        <w:rPr>
          <w:rFonts w:hint="eastAsia"/>
        </w:rPr>
        <w:t>N</w:t>
      </w:r>
      <w:r>
        <w:t xml:space="preserve">o. </w:t>
      </w:r>
      <w:r>
        <w:rPr>
          <w:rFonts w:hint="eastAsia"/>
        </w:rPr>
        <w:t>182/1991</w:t>
      </w:r>
      <w:r>
        <w:t xml:space="preserve"> Coll.</w:t>
      </w:r>
      <w:r>
        <w:rPr>
          <w:rFonts w:hint="eastAsia"/>
        </w:rPr>
        <w:t>，该法令执行社会保障法和随后经修正的捷克民族议会关于捷克共和国社会保障管辖机构法和其它法律规章。</w:t>
      </w:r>
    </w:p>
  </w:endnote>
  <w:endnote w:id="21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根据经修正家庭法和修正与补充其他法的</w:t>
      </w:r>
      <w:r>
        <w:rPr>
          <w:rFonts w:hint="eastAsia"/>
        </w:rPr>
        <w:t>A</w:t>
      </w:r>
      <w:r>
        <w:t xml:space="preserve">ct No </w:t>
      </w:r>
      <w:r>
        <w:rPr>
          <w:rFonts w:hint="eastAsia"/>
        </w:rPr>
        <w:t>91/1998 C</w:t>
      </w:r>
      <w:r>
        <w:t>oll.</w:t>
      </w:r>
      <w:r>
        <w:rPr>
          <w:rFonts w:hint="eastAsia"/>
        </w:rPr>
        <w:t>修正的</w:t>
      </w:r>
      <w:r>
        <w:t xml:space="preserve">Act No. </w:t>
      </w:r>
      <w:r>
        <w:rPr>
          <w:rFonts w:hint="eastAsia"/>
        </w:rPr>
        <w:t xml:space="preserve">94/1993 </w:t>
      </w:r>
      <w:r>
        <w:t>Coll.</w:t>
      </w:r>
      <w:r>
        <w:rPr>
          <w:rFonts w:hint="eastAsia"/>
        </w:rPr>
        <w:t>第</w:t>
      </w:r>
      <w:r>
        <w:rPr>
          <w:rFonts w:hint="eastAsia"/>
        </w:rPr>
        <w:t>105</w:t>
      </w:r>
      <w:r>
        <w:rPr>
          <w:rFonts w:hint="eastAsia"/>
        </w:rPr>
        <w:t>条，共同财产机构取代原未分所有权机构。</w:t>
      </w:r>
    </w:p>
  </w:endnote>
  <w:endnote w:id="218">
    <w:p w:rsidR="00000000" w:rsidRDefault="00000000">
      <w:pPr>
        <w:pStyle w:val="EndnoteText"/>
        <w:rPr>
          <w:rFonts w:hint="eastAsia"/>
        </w:rPr>
      </w:pPr>
      <w:r>
        <w:rPr>
          <w:rStyle w:val="EndnoteReference"/>
        </w:rPr>
        <w:endnoteRef/>
      </w:r>
      <w:r>
        <w:t xml:space="preserve"> </w:t>
      </w:r>
      <w:r>
        <w:rPr>
          <w:rFonts w:hint="eastAsia"/>
        </w:rPr>
        <w:t xml:space="preserve"> M</w:t>
      </w:r>
      <w:r>
        <w:t>. Holub and H. Nová (1998)</w:t>
      </w:r>
      <w:r>
        <w:t>；</w:t>
      </w:r>
      <w:r>
        <w:t>The Act on the Family and Related Regulations, Prague, Linde Praha, pp.36-61</w:t>
      </w:r>
      <w:r>
        <w:rPr>
          <w:rFonts w:hint="eastAsia"/>
        </w:rPr>
        <w:t>。</w:t>
      </w:r>
    </w:p>
  </w:endnote>
  <w:endnote w:id="219">
    <w:p w:rsidR="00000000" w:rsidRDefault="00000000">
      <w:pPr>
        <w:pStyle w:val="EndnoteText"/>
        <w:rPr>
          <w:rFonts w:hint="eastAsia"/>
        </w:rPr>
      </w:pPr>
      <w:r>
        <w:rPr>
          <w:rStyle w:val="EndnoteReference"/>
        </w:rPr>
        <w:endnoteRef/>
      </w:r>
      <w:r>
        <w:t xml:space="preserve"> </w:t>
      </w:r>
      <w:r>
        <w:rPr>
          <w:rFonts w:hint="eastAsia"/>
        </w:rPr>
        <w:t xml:space="preserve"> </w:t>
      </w:r>
      <w:r>
        <w:t>Act No. 100/1988 Coll.</w:t>
      </w:r>
      <w:r>
        <w:t>，</w:t>
      </w:r>
      <w:r>
        <w:t>on SocialSecurity, as subsequently amended</w:t>
      </w:r>
      <w:r>
        <w:rPr>
          <w:rFonts w:hint="eastAsia"/>
        </w:rPr>
        <w:t>。</w:t>
      </w:r>
    </w:p>
  </w:endnote>
  <w:endnote w:id="220">
    <w:p w:rsidR="00000000" w:rsidRDefault="00000000">
      <w:pPr>
        <w:pStyle w:val="EndnoteText"/>
        <w:rPr>
          <w:rFonts w:hint="eastAsia"/>
        </w:rPr>
      </w:pPr>
      <w:r>
        <w:rPr>
          <w:rStyle w:val="EndnoteReference"/>
        </w:rPr>
        <w:endnoteRef/>
      </w:r>
      <w:r>
        <w:t xml:space="preserve"> </w:t>
      </w:r>
      <w:r>
        <w:rPr>
          <w:rFonts w:hint="eastAsia"/>
        </w:rPr>
        <w:t xml:space="preserve"> </w:t>
      </w:r>
      <w:r>
        <w:t>Act No.114/1988 Coll.</w:t>
      </w:r>
      <w:r>
        <w:t>，</w:t>
      </w:r>
      <w:r>
        <w:t>on the Jurisdiction of Authorities of the CR in Social Security, as subsequently amended</w:t>
      </w:r>
      <w:r>
        <w:rPr>
          <w:rFonts w:hint="eastAsia"/>
        </w:rPr>
        <w:t>。</w:t>
      </w:r>
    </w:p>
  </w:endnote>
  <w:endnote w:id="22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具有约束力的一般法律条例是卫生部修改劳工法</w:t>
      </w:r>
      <w:r>
        <w:rPr>
          <w:rFonts w:hint="eastAsia"/>
        </w:rPr>
        <w:t>N</w:t>
      </w:r>
      <w:r>
        <w:t xml:space="preserve">o. </w:t>
      </w:r>
      <w:r>
        <w:rPr>
          <w:rFonts w:hint="eastAsia"/>
        </w:rPr>
        <w:t>261/1997 C</w:t>
      </w:r>
      <w:r>
        <w:t xml:space="preserve">oll. </w:t>
      </w:r>
      <w:r>
        <w:rPr>
          <w:rFonts w:hint="eastAsia"/>
        </w:rPr>
        <w:t>的程序令，它对在工作场所保护妇女健康作了新规定。劳工法对禁止所有妇女、孕妇和分娩后不到</w:t>
      </w:r>
      <w:r>
        <w:rPr>
          <w:rFonts w:hint="eastAsia"/>
        </w:rPr>
        <w:t>9</w:t>
      </w:r>
      <w:r>
        <w:rPr>
          <w:rFonts w:hint="eastAsia"/>
        </w:rPr>
        <w:t>个月的母亲和青少年从事的工作任务和前往的工作场所作了规定。程序令第</w:t>
      </w:r>
      <w:r>
        <w:rPr>
          <w:rFonts w:hint="eastAsia"/>
        </w:rPr>
        <w:t>1</w:t>
      </w:r>
      <w:r>
        <w:rPr>
          <w:rFonts w:hint="eastAsia"/>
        </w:rPr>
        <w:t>至</w:t>
      </w:r>
      <w:r>
        <w:rPr>
          <w:rFonts w:hint="eastAsia"/>
        </w:rPr>
        <w:t>3</w:t>
      </w:r>
      <w:r>
        <w:rPr>
          <w:rFonts w:hint="eastAsia"/>
        </w:rPr>
        <w:t>条的广泛规定也对这些工作类型和工作场所作了界定。</w:t>
      </w:r>
    </w:p>
  </w:endnote>
  <w:endnote w:id="222">
    <w:p w:rsidR="00000000" w:rsidRDefault="00000000">
      <w:pPr>
        <w:pStyle w:val="EndnoteText"/>
        <w:rPr>
          <w:rFonts w:hint="eastAsia"/>
        </w:rPr>
      </w:pPr>
      <w:r>
        <w:rPr>
          <w:rStyle w:val="EndnoteReference"/>
        </w:rPr>
        <w:endnoteRef/>
      </w:r>
      <w:r>
        <w:t xml:space="preserve"> </w:t>
      </w:r>
      <w:r>
        <w:rPr>
          <w:rFonts w:hint="eastAsia"/>
        </w:rPr>
        <w:t xml:space="preserve"> </w:t>
      </w:r>
      <w:r>
        <w:t>Act No. 88/1968 Coll.</w:t>
      </w:r>
      <w:r>
        <w:t>，</w:t>
      </w:r>
      <w:r>
        <w:t>on Extending Maternity Leave, on Benefits in Maternity and on Benefits for Children from Sickness Insurance, as subsequently amended</w:t>
      </w:r>
      <w:r>
        <w:rPr>
          <w:rFonts w:hint="eastAsia"/>
        </w:rPr>
        <w:t>。</w:t>
      </w:r>
    </w:p>
  </w:endnote>
  <w:endnote w:id="22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联合国儿童基金会。</w:t>
      </w:r>
    </w:p>
  </w:endnote>
  <w:endnote w:id="22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欧洲聚磷酸盐研究中心。</w:t>
      </w:r>
    </w:p>
  </w:endnote>
  <w:endnote w:id="22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欧洲工会大会。</w:t>
      </w:r>
    </w:p>
  </w:endnote>
  <w:endnote w:id="226">
    <w:p w:rsidR="00000000" w:rsidRDefault="00000000">
      <w:pPr>
        <w:pStyle w:val="EndnoteText"/>
        <w:rPr>
          <w:rFonts w:hint="eastAsia"/>
        </w:rPr>
      </w:pPr>
      <w:r>
        <w:rPr>
          <w:rStyle w:val="EndnoteReference"/>
        </w:rPr>
        <w:endnoteRef/>
      </w:r>
      <w:r>
        <w:rPr>
          <w:rFonts w:hint="eastAsia"/>
        </w:rPr>
        <w:t xml:space="preserve">  </w:t>
      </w:r>
      <w:r>
        <w:t>Act No. 117/1995 Coll.</w:t>
      </w:r>
      <w:r>
        <w:rPr>
          <w:lang w:val="en-GB"/>
        </w:rPr>
        <w:t>，</w:t>
      </w:r>
      <w:r>
        <w:t>on State Social Care Support, as subsequently amended</w:t>
      </w:r>
      <w:r>
        <w:rPr>
          <w:rFonts w:hint="eastAsia"/>
        </w:rPr>
        <w:t>。</w:t>
      </w:r>
    </w:p>
  </w:endnote>
  <w:endnote w:id="22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这种措施和所有其他福利津贴的重要性近几年一直在下降，下列事实说明了这一点：这些福利津贴支出虽在增加，但其占国内生产总值的百分比从长远角度而言在减少。</w:t>
      </w:r>
    </w:p>
  </w:endnote>
  <w:endnote w:id="228">
    <w:p w:rsidR="00000000" w:rsidRDefault="00000000">
      <w:pPr>
        <w:pStyle w:val="EndnoteText"/>
      </w:pPr>
      <w:r>
        <w:rPr>
          <w:rStyle w:val="EndnoteReference"/>
        </w:rPr>
        <w:endnoteRef/>
      </w:r>
      <w:r>
        <w:t xml:space="preserve"> </w:t>
      </w:r>
      <w:r>
        <w:rPr>
          <w:rFonts w:hint="eastAsia"/>
        </w:rPr>
        <w:t xml:space="preserve"> </w:t>
      </w:r>
      <w:r>
        <w:t>Act No. 382/1990 Coll.</w:t>
      </w:r>
      <w:r>
        <w:rPr>
          <w:lang w:val="en-GB"/>
        </w:rPr>
        <w:t>，</w:t>
      </w:r>
      <w:r>
        <w:t>on the Parental Benefit, as subsequently amended</w:t>
      </w:r>
      <w:r>
        <w:rPr>
          <w:rFonts w:hint="eastAsia"/>
        </w:rPr>
        <w:t>。</w:t>
      </w:r>
    </w:p>
  </w:endnote>
  <w:endnote w:id="229">
    <w:p w:rsidR="00000000" w:rsidRDefault="00000000">
      <w:pPr>
        <w:pStyle w:val="EndnoteText"/>
        <w:rPr>
          <w:rFonts w:hint="eastAsia"/>
        </w:rPr>
      </w:pPr>
      <w:r>
        <w:rPr>
          <w:rStyle w:val="EndnoteReference"/>
        </w:rPr>
        <w:endnoteRef/>
      </w:r>
      <w:r>
        <w:t xml:space="preserve"> </w:t>
      </w:r>
      <w:r>
        <w:rPr>
          <w:rFonts w:hint="eastAsia"/>
        </w:rPr>
        <w:tab/>
      </w:r>
      <w:r>
        <w:t>Act No. 66/1986 Coll., on Abortion.</w:t>
      </w:r>
    </w:p>
  </w:endnote>
  <w:endnote w:id="230">
    <w:p w:rsidR="00000000" w:rsidRDefault="00000000">
      <w:pPr>
        <w:pStyle w:val="EndnoteText"/>
        <w:rPr>
          <w:rFonts w:hint="eastAsia"/>
        </w:rPr>
      </w:pPr>
      <w:r>
        <w:rPr>
          <w:rStyle w:val="EndnoteReference"/>
        </w:rPr>
        <w:endnoteRef/>
      </w:r>
      <w:r>
        <w:t xml:space="preserve"> </w:t>
      </w:r>
      <w:r>
        <w:rPr>
          <w:rFonts w:hint="eastAsia"/>
        </w:rPr>
        <w:tab/>
      </w:r>
      <w:r>
        <w:t>Notification of the Federal Ministry of Foreign Affairs No. 104/1991 Coll., on the Convention on the Rights of the Child.</w:t>
      </w:r>
    </w:p>
  </w:endnote>
  <w:endnote w:id="231">
    <w:p w:rsidR="00000000" w:rsidRDefault="00000000">
      <w:pPr>
        <w:pStyle w:val="EndnoteText"/>
        <w:rPr>
          <w:rFonts w:hint="eastAsia"/>
        </w:rPr>
      </w:pPr>
      <w:r>
        <w:rPr>
          <w:rStyle w:val="EndnoteReference"/>
        </w:rPr>
        <w:endnoteRef/>
      </w:r>
      <w:r>
        <w:t xml:space="preserve"> </w:t>
      </w:r>
      <w:r>
        <w:rPr>
          <w:rFonts w:hint="eastAsia"/>
        </w:rPr>
        <w:tab/>
      </w:r>
      <w:r>
        <w:rPr>
          <w:rFonts w:hint="eastAsia"/>
        </w:rPr>
        <w:t>世界儿童问题首脑会议与会者通过了题为“儿童的生存、保护和发展问题世界宣言”的文件。</w:t>
      </w:r>
    </w:p>
  </w:endnote>
  <w:endnote w:id="232">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w:t>
      </w:r>
      <w:r>
        <w:rPr>
          <w:rFonts w:hint="eastAsia"/>
        </w:rPr>
        <w:t>1999</w:t>
      </w:r>
      <w:r>
        <w:rPr>
          <w:rFonts w:hint="eastAsia"/>
        </w:rPr>
        <w:t>年</w:t>
      </w:r>
      <w:r>
        <w:rPr>
          <w:rFonts w:hint="eastAsia"/>
        </w:rPr>
        <w:t>1</w:t>
      </w:r>
      <w:r>
        <w:rPr>
          <w:rFonts w:hint="eastAsia"/>
        </w:rPr>
        <w:t>月</w:t>
      </w:r>
      <w:r>
        <w:rPr>
          <w:rFonts w:hint="eastAsia"/>
        </w:rPr>
        <w:t>1</w:t>
      </w:r>
      <w:r>
        <w:rPr>
          <w:rFonts w:hint="eastAsia"/>
        </w:rPr>
        <w:t>日第一号决议，截至</w:t>
      </w:r>
      <w:r>
        <w:rPr>
          <w:rFonts w:hint="eastAsia"/>
        </w:rPr>
        <w:t>2002</w:t>
      </w:r>
      <w:r>
        <w:rPr>
          <w:rFonts w:hint="eastAsia"/>
        </w:rPr>
        <w:t>年，捷克共和国关于青年一代的国家政策大纲。</w:t>
      </w:r>
    </w:p>
  </w:endnote>
  <w:endnote w:id="233">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w:t>
      </w:r>
      <w:r>
        <w:rPr>
          <w:rFonts w:hint="eastAsia"/>
        </w:rPr>
        <w:t>1999</w:t>
      </w:r>
      <w:r>
        <w:rPr>
          <w:rFonts w:hint="eastAsia"/>
        </w:rPr>
        <w:t>年</w:t>
      </w:r>
      <w:r>
        <w:rPr>
          <w:rFonts w:hint="eastAsia"/>
        </w:rPr>
        <w:t>7</w:t>
      </w:r>
      <w:r>
        <w:rPr>
          <w:rFonts w:hint="eastAsia"/>
        </w:rPr>
        <w:t>月</w:t>
      </w:r>
      <w:r>
        <w:rPr>
          <w:rFonts w:hint="eastAsia"/>
        </w:rPr>
        <w:t>7</w:t>
      </w:r>
      <w:r>
        <w:rPr>
          <w:rFonts w:hint="eastAsia"/>
        </w:rPr>
        <w:t>日第</w:t>
      </w:r>
      <w:r>
        <w:rPr>
          <w:rFonts w:hint="eastAsia"/>
        </w:rPr>
        <w:t>696</w:t>
      </w:r>
      <w:r>
        <w:rPr>
          <w:rFonts w:hint="eastAsia"/>
        </w:rPr>
        <w:t>号决议，它批准了委员会的章程。</w:t>
      </w:r>
    </w:p>
  </w:endnote>
  <w:endnote w:id="234">
    <w:p w:rsidR="00000000" w:rsidRDefault="00000000">
      <w:pPr>
        <w:pStyle w:val="EndnoteText"/>
      </w:pPr>
      <w:r>
        <w:rPr>
          <w:rStyle w:val="EndnoteReference"/>
        </w:rPr>
        <w:endnoteRef/>
      </w:r>
      <w:r>
        <w:t xml:space="preserve"> </w:t>
      </w:r>
      <w:r>
        <w:rPr>
          <w:rFonts w:hint="eastAsia"/>
        </w:rPr>
        <w:tab/>
        <w:t>A</w:t>
      </w:r>
      <w:r>
        <w:t xml:space="preserve">ct. No. </w:t>
      </w:r>
      <w:r>
        <w:rPr>
          <w:rFonts w:hint="eastAsia"/>
        </w:rPr>
        <w:t xml:space="preserve">359/1999 </w:t>
      </w:r>
      <w:r>
        <w:t>Coll.</w:t>
      </w:r>
      <w:r>
        <w:rPr>
          <w:rFonts w:hint="eastAsia"/>
        </w:rPr>
        <w:t>,</w:t>
      </w:r>
      <w:r>
        <w:t xml:space="preserve"> on Social Legal Protection of Children.</w:t>
      </w:r>
    </w:p>
  </w:endnote>
  <w:endnote w:id="235">
    <w:p w:rsidR="00000000" w:rsidRDefault="00000000">
      <w:pPr>
        <w:pStyle w:val="EndnoteText"/>
        <w:rPr>
          <w:rFonts w:hint="eastAsia"/>
        </w:rPr>
      </w:pPr>
      <w:r>
        <w:rPr>
          <w:rStyle w:val="EndnoteReference"/>
        </w:rPr>
        <w:endnoteRef/>
      </w:r>
      <w:r>
        <w:t xml:space="preserve"> </w:t>
      </w:r>
      <w:r>
        <w:rPr>
          <w:rFonts w:hint="eastAsia"/>
        </w:rPr>
        <w:tab/>
      </w:r>
      <w:r>
        <w:rPr>
          <w:rFonts w:hint="eastAsia"/>
        </w:rPr>
        <w:t>然而，甚至在新法生效之前，从病理学角度保护儿童以及预防和咨询活动已成为区或市社会事务部门和得到国家预算补贴的非政府和非营利组织的工作的一部分。</w:t>
      </w:r>
    </w:p>
  </w:endnote>
  <w:endnote w:id="236">
    <w:p w:rsidR="00000000" w:rsidRDefault="00000000">
      <w:pPr>
        <w:pStyle w:val="EndnoteText"/>
        <w:rPr>
          <w:rFonts w:hint="eastAsia"/>
        </w:rPr>
      </w:pPr>
      <w:r>
        <w:rPr>
          <w:rStyle w:val="EndnoteReference"/>
        </w:rPr>
        <w:endnoteRef/>
      </w:r>
      <w:r>
        <w:t xml:space="preserve"> </w:t>
      </w:r>
      <w:r>
        <w:rPr>
          <w:rFonts w:hint="eastAsia"/>
        </w:rPr>
        <w:tab/>
      </w:r>
      <w:r>
        <w:rPr>
          <w:rFonts w:hint="eastAsia"/>
        </w:rPr>
        <w:t>捷克共和国政府</w:t>
      </w:r>
      <w:r>
        <w:rPr>
          <w:rFonts w:hint="eastAsia"/>
        </w:rPr>
        <w:t>1994</w:t>
      </w:r>
      <w:r>
        <w:rPr>
          <w:rFonts w:hint="eastAsia"/>
        </w:rPr>
        <w:t>年</w:t>
      </w:r>
      <w:r>
        <w:rPr>
          <w:rFonts w:hint="eastAsia"/>
        </w:rPr>
        <w:t>6</w:t>
      </w:r>
      <w:r>
        <w:rPr>
          <w:rFonts w:hint="eastAsia"/>
        </w:rPr>
        <w:t>月</w:t>
      </w:r>
      <w:r>
        <w:rPr>
          <w:rFonts w:hint="eastAsia"/>
        </w:rPr>
        <w:t>15</w:t>
      </w:r>
      <w:r>
        <w:rPr>
          <w:rFonts w:hint="eastAsia"/>
        </w:rPr>
        <w:t>日第</w:t>
      </w:r>
      <w:r>
        <w:rPr>
          <w:rFonts w:hint="eastAsia"/>
        </w:rPr>
        <w:t>341</w:t>
      </w:r>
      <w:r>
        <w:rPr>
          <w:rFonts w:hint="eastAsia"/>
        </w:rPr>
        <w:t>号决议，社会预防和犯罪预防方案</w:t>
      </w:r>
      <w:r>
        <w:rPr>
          <w:rFonts w:hint="eastAsia"/>
          <w:spacing w:val="10"/>
        </w:rPr>
        <w:t>－目前情况和直到</w:t>
      </w:r>
      <w:r>
        <w:rPr>
          <w:rFonts w:hint="eastAsia"/>
          <w:spacing w:val="10"/>
        </w:rPr>
        <w:t>1996</w:t>
      </w:r>
      <w:r>
        <w:rPr>
          <w:rFonts w:hint="eastAsia"/>
          <w:spacing w:val="10"/>
        </w:rPr>
        <w:t>年的起点。</w:t>
      </w:r>
    </w:p>
  </w:endnote>
  <w:endnote w:id="237">
    <w:p w:rsidR="00000000" w:rsidRDefault="00000000">
      <w:pPr>
        <w:pStyle w:val="EndnoteText"/>
        <w:rPr>
          <w:rFonts w:hint="eastAsia"/>
        </w:rPr>
      </w:pPr>
      <w:r>
        <w:rPr>
          <w:rStyle w:val="EndnoteReference"/>
        </w:rPr>
        <w:endnoteRef/>
      </w:r>
      <w:r>
        <w:t xml:space="preserve">  Act No. 65/1965 Coll., the Labour Code, as subsequently amended.</w:t>
      </w:r>
    </w:p>
  </w:endnote>
  <w:endnote w:id="238">
    <w:p w:rsidR="00000000" w:rsidRDefault="00000000">
      <w:pPr>
        <w:pStyle w:val="EndnoteText"/>
        <w:rPr>
          <w:rFonts w:hint="eastAsia"/>
        </w:rPr>
      </w:pPr>
      <w:r>
        <w:rPr>
          <w:rStyle w:val="EndnoteReference"/>
        </w:rPr>
        <w:endnoteRef/>
      </w:r>
      <w:r>
        <w:t xml:space="preserve"> </w:t>
      </w:r>
      <w:r>
        <w:rPr>
          <w:rFonts w:hint="eastAsia"/>
        </w:rPr>
        <w:tab/>
        <w:t>A</w:t>
      </w:r>
      <w:r>
        <w:t>ct No. 65/1965 Coll., the Labour Code, as subsequently amended</w:t>
      </w:r>
      <w:r>
        <w:rPr>
          <w:rFonts w:hint="eastAsia"/>
        </w:rPr>
        <w:t>。</w:t>
      </w:r>
    </w:p>
  </w:endnote>
  <w:endnote w:id="239">
    <w:p w:rsidR="00000000" w:rsidRDefault="00000000">
      <w:pPr>
        <w:pStyle w:val="EndnoteText"/>
      </w:pPr>
      <w:r>
        <w:rPr>
          <w:rStyle w:val="EndnoteReference"/>
        </w:rPr>
        <w:endnoteRef/>
      </w:r>
      <w:r>
        <w:t xml:space="preserve"> </w:t>
      </w:r>
      <w:r>
        <w:rPr>
          <w:rFonts w:hint="eastAsia"/>
        </w:rPr>
        <w:tab/>
      </w:r>
      <w:r>
        <w:t>Decree of the Minister of Health No. 261/1997 Coll., Setting Work and Workplaces which Are Forbidden to all Women, Pregnant Women, Mothers until the End of the ninth month After Childbirth and Juveniles, and Conditions under Which Juveniles May Exceptionally Perform this Work for Reasons of Training for Occupations, as subsequently amended.</w:t>
      </w:r>
    </w:p>
  </w:endnote>
  <w:endnote w:id="240">
    <w:p w:rsidR="00000000" w:rsidRDefault="00000000">
      <w:pPr>
        <w:pStyle w:val="EndnoteText"/>
        <w:rPr>
          <w:rFonts w:hint="eastAsia"/>
        </w:rPr>
      </w:pPr>
      <w:r>
        <w:rPr>
          <w:rStyle w:val="EndnoteReference"/>
        </w:rPr>
        <w:endnoteRef/>
      </w:r>
      <w:r>
        <w:t xml:space="preserve"> </w:t>
      </w:r>
      <w:r>
        <w:rPr>
          <w:rFonts w:hint="eastAsia"/>
        </w:rPr>
        <w:tab/>
      </w:r>
      <w:r>
        <w:t>Act No. 468/1991 Coll., on Radio and Television Broadcasting, as subsequently amended</w:t>
      </w:r>
      <w:r>
        <w:rPr>
          <w:rFonts w:hint="eastAsia"/>
        </w:rPr>
        <w:t>。</w:t>
      </w:r>
    </w:p>
  </w:endnote>
  <w:endnote w:id="241">
    <w:p w:rsidR="00000000" w:rsidRDefault="00000000">
      <w:pPr>
        <w:pStyle w:val="EndnoteText"/>
        <w:rPr>
          <w:rFonts w:hint="eastAsia"/>
        </w:rPr>
      </w:pPr>
      <w:r>
        <w:rPr>
          <w:rStyle w:val="EndnoteReference"/>
        </w:rPr>
        <w:endnoteRef/>
      </w:r>
      <w:r>
        <w:t xml:space="preserve"> </w:t>
      </w:r>
      <w:r>
        <w:rPr>
          <w:rFonts w:hint="eastAsia"/>
        </w:rPr>
        <w:tab/>
      </w:r>
      <w:r>
        <w:t>Act No. 273/1993 Coll., on Certain Conditions for the Production, Dissemination and Archiving of Audio-Visual Works, and Amending and supplementing Certain Acts and Certain other Regulations.</w:t>
      </w:r>
    </w:p>
  </w:endnote>
  <w:endnote w:id="242">
    <w:p w:rsidR="00000000" w:rsidRDefault="00000000">
      <w:pPr>
        <w:pStyle w:val="EndnoteText"/>
      </w:pPr>
      <w:r>
        <w:rPr>
          <w:rStyle w:val="EndnoteReference"/>
        </w:rPr>
        <w:endnoteRef/>
      </w:r>
      <w:r>
        <w:t xml:space="preserve"> </w:t>
      </w:r>
      <w:r>
        <w:rPr>
          <w:rFonts w:hint="eastAsia"/>
        </w:rPr>
        <w:t xml:space="preserve"> </w:t>
      </w:r>
      <w:r>
        <w:t>Act No. 40/1995 Coll.</w:t>
      </w:r>
      <w:r>
        <w:t>，</w:t>
      </w:r>
      <w:r>
        <w:t>on Regulation of Advertising, as subsequently amended</w:t>
      </w:r>
      <w:r>
        <w:rPr>
          <w:rFonts w:hint="eastAsia"/>
        </w:rPr>
        <w:t>。</w:t>
      </w:r>
    </w:p>
  </w:endnote>
  <w:endnote w:id="243">
    <w:p w:rsidR="00000000" w:rsidRDefault="00000000">
      <w:pPr>
        <w:pStyle w:val="EndnoteText"/>
        <w:rPr>
          <w:rFonts w:hint="eastAsia"/>
        </w:rPr>
      </w:pPr>
      <w:r>
        <w:rPr>
          <w:rStyle w:val="EndnoteReference"/>
        </w:rPr>
        <w:endnoteRef/>
      </w:r>
      <w:r>
        <w:t xml:space="preserve"> </w:t>
      </w:r>
      <w:r>
        <w:rPr>
          <w:rFonts w:hint="eastAsia"/>
        </w:rPr>
        <w:t xml:space="preserve"> </w:t>
      </w:r>
      <w:r>
        <w:t>Act No. 140/1991 Coll.</w:t>
      </w:r>
      <w:r>
        <w:t>，</w:t>
      </w:r>
      <w:r>
        <w:t>on the Criminal Code, as subsequently amended</w:t>
      </w:r>
      <w:r>
        <w:rPr>
          <w:rFonts w:hint="eastAsia"/>
        </w:rPr>
        <w:t>。</w:t>
      </w:r>
    </w:p>
  </w:endnote>
  <w:endnote w:id="24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1992</w:t>
      </w:r>
      <w:r>
        <w:rPr>
          <w:rFonts w:hint="eastAsia"/>
        </w:rPr>
        <w:t>年</w:t>
      </w:r>
      <w:r>
        <w:rPr>
          <w:rFonts w:hint="eastAsia"/>
        </w:rPr>
        <w:t>4</w:t>
      </w:r>
      <w:r>
        <w:rPr>
          <w:rFonts w:hint="eastAsia"/>
        </w:rPr>
        <w:t>月</w:t>
      </w:r>
      <w:r>
        <w:rPr>
          <w:rFonts w:hint="eastAsia"/>
        </w:rPr>
        <w:t>15</w:t>
      </w:r>
      <w:r>
        <w:rPr>
          <w:rFonts w:hint="eastAsia"/>
        </w:rPr>
        <w:t>日关于国家保健方案的第</w:t>
      </w:r>
      <w:r>
        <w:rPr>
          <w:rFonts w:hint="eastAsia"/>
        </w:rPr>
        <w:t>273</w:t>
      </w:r>
      <w:r>
        <w:rPr>
          <w:rFonts w:hint="eastAsia"/>
        </w:rPr>
        <w:t>号决议。</w:t>
      </w:r>
    </w:p>
  </w:endnote>
  <w:endnote w:id="245">
    <w:p w:rsidR="00000000" w:rsidRDefault="00000000">
      <w:pPr>
        <w:pStyle w:val="EndnoteText"/>
        <w:rPr>
          <w:rFonts w:hint="eastAsia"/>
        </w:rPr>
      </w:pPr>
      <w:r>
        <w:rPr>
          <w:rStyle w:val="EndnoteReference"/>
        </w:rPr>
        <w:endnoteRef/>
      </w:r>
      <w:r>
        <w:t xml:space="preserve"> </w:t>
      </w:r>
      <w:r>
        <w:rPr>
          <w:rFonts w:hint="eastAsia"/>
        </w:rPr>
        <w:t xml:space="preserve"> </w:t>
      </w:r>
      <w:r>
        <w:t>Decree of the Ministry of Finance No. 176/1993 Coll., on Rent from Dwellings and Payment for Services Provided with Use of a Dwelling, as subsequently amended.</w:t>
      </w:r>
    </w:p>
  </w:endnote>
  <w:endnote w:id="246">
    <w:p w:rsidR="00000000" w:rsidRDefault="00000000">
      <w:pPr>
        <w:pStyle w:val="EndnoteText"/>
        <w:rPr>
          <w:rFonts w:hint="eastAsia"/>
        </w:rPr>
      </w:pPr>
      <w:r>
        <w:rPr>
          <w:rStyle w:val="EndnoteReference"/>
        </w:rPr>
        <w:endnoteRef/>
      </w:r>
      <w:r>
        <w:tab/>
        <w:t>Act No. 102/1992 Coll., which Amends Certain Questions Related to Promulgation of Act No. 509/1991 Coll., which Amends, Supplements and Adjusts the Civil Code, as subsequently amended.</w:t>
      </w:r>
      <w:r>
        <w:rPr>
          <w:rFonts w:hint="eastAsia"/>
        </w:rPr>
        <w:t>。</w:t>
      </w:r>
    </w:p>
  </w:endnote>
  <w:endnote w:id="247">
    <w:p w:rsidR="00000000" w:rsidRDefault="00000000">
      <w:pPr>
        <w:pStyle w:val="EndnoteText"/>
        <w:rPr>
          <w:rFonts w:hint="eastAsia"/>
        </w:rPr>
      </w:pPr>
      <w:r>
        <w:rPr>
          <w:rStyle w:val="EndnoteReference"/>
        </w:rPr>
        <w:endnoteRef/>
      </w:r>
      <w:r>
        <w:tab/>
        <w:t>Under Act No. 117/1995 Coll.</w:t>
      </w:r>
      <w:r>
        <w:rPr>
          <w:lang w:val="en-GB"/>
        </w:rPr>
        <w:t>，</w:t>
      </w:r>
      <w:r>
        <w:t xml:space="preserve">on State Social Care Support </w:t>
      </w:r>
      <w:r>
        <w:rPr>
          <w:lang w:val="en-GB"/>
        </w:rPr>
        <w:t>，</w:t>
      </w:r>
      <w:r>
        <w:t xml:space="preserve"> as subsequently amended</w:t>
      </w:r>
      <w:r>
        <w:rPr>
          <w:lang w:val="en-GB"/>
        </w:rPr>
        <w:t>；</w:t>
      </w:r>
      <w:r>
        <w:t xml:space="preserve"> sections 26 </w:t>
      </w:r>
      <w:r>
        <w:rPr>
          <w:u w:val="single"/>
        </w:rPr>
        <w:t>et seq</w:t>
      </w:r>
      <w:r>
        <w:rPr>
          <w:rFonts w:hint="eastAsia"/>
        </w:rPr>
        <w:t>。</w:t>
      </w:r>
    </w:p>
  </w:endnote>
  <w:endnote w:id="248">
    <w:p w:rsidR="00000000" w:rsidRDefault="00000000">
      <w:pPr>
        <w:pStyle w:val="EndnoteText"/>
        <w:rPr>
          <w:rFonts w:hint="eastAsia"/>
        </w:rPr>
      </w:pPr>
      <w:r>
        <w:rPr>
          <w:rStyle w:val="EndnoteReference"/>
        </w:rPr>
        <w:endnoteRef/>
      </w:r>
      <w:r>
        <w:rPr>
          <w:rFonts w:hint="eastAsia"/>
        </w:rPr>
        <w:tab/>
      </w:r>
      <w:r>
        <w:t>Under Act No. 132/1997 Coll.</w:t>
      </w:r>
      <w:r>
        <w:rPr>
          <w:lang w:val="en-GB"/>
        </w:rPr>
        <w:t>，</w:t>
      </w:r>
      <w:r>
        <w:t>on the Welfare Benefit Compensating for Rent and Amending Act No. 117/1995 Coll.</w:t>
      </w:r>
      <w:r>
        <w:rPr>
          <w:lang w:val="en-GB"/>
        </w:rPr>
        <w:t>，</w:t>
      </w:r>
      <w:r>
        <w:t xml:space="preserve">on State Social Care Support </w:t>
      </w:r>
      <w:r>
        <w:rPr>
          <w:lang w:val="en-GB"/>
        </w:rPr>
        <w:t>，</w:t>
      </w:r>
      <w:r>
        <w:t xml:space="preserve"> as subsequently amended</w:t>
      </w:r>
      <w:r>
        <w:rPr>
          <w:rFonts w:hint="eastAsia"/>
        </w:rPr>
        <w:t>。</w:t>
      </w:r>
    </w:p>
  </w:endnote>
  <w:endnote w:id="249">
    <w:p w:rsidR="00000000" w:rsidRDefault="00000000">
      <w:pPr>
        <w:pStyle w:val="EndnoteText"/>
        <w:rPr>
          <w:rFonts w:hint="eastAsia"/>
        </w:rPr>
      </w:pPr>
      <w:r>
        <w:rPr>
          <w:rStyle w:val="EndnoteReference"/>
        </w:rPr>
        <w:endnoteRef/>
      </w:r>
      <w:r>
        <w:rPr>
          <w:rFonts w:hint="eastAsia"/>
        </w:rPr>
        <w:tab/>
      </w:r>
      <w:r>
        <w:t>Under Act No. 75/1997 Coll.</w:t>
      </w:r>
      <w:r>
        <w:rPr>
          <w:lang w:val="en-GB"/>
        </w:rPr>
        <w:t>，</w:t>
      </w:r>
      <w:r>
        <w:t>on the Welfare Benefit Compensating for the Price Increase in Heating Fuel</w:t>
      </w:r>
      <w:r>
        <w:rPr>
          <w:rFonts w:hint="eastAsia"/>
        </w:rPr>
        <w:t>。</w:t>
      </w:r>
    </w:p>
  </w:endnote>
  <w:endnote w:id="250">
    <w:p w:rsidR="00000000" w:rsidRDefault="00000000">
      <w:pPr>
        <w:pStyle w:val="EndnoteText"/>
        <w:rPr>
          <w:rFonts w:hint="eastAsia"/>
        </w:rPr>
      </w:pPr>
      <w:r>
        <w:rPr>
          <w:rStyle w:val="EndnoteReference"/>
        </w:rPr>
        <w:endnoteRef/>
      </w:r>
      <w:r>
        <w:tab/>
      </w:r>
      <w:r>
        <w:rPr>
          <w:rFonts w:hint="eastAsia"/>
        </w:rPr>
        <w:t>资料来源：住房政策概念草案，关于“对房租给予新福利捐款的原则”的部分。见捷克共和国政府</w:t>
      </w:r>
      <w:r>
        <w:rPr>
          <w:rFonts w:hint="eastAsia"/>
        </w:rPr>
        <w:t>1999</w:t>
      </w:r>
      <w:r>
        <w:rPr>
          <w:rFonts w:hint="eastAsia"/>
        </w:rPr>
        <w:t>年</w:t>
      </w:r>
      <w:r>
        <w:rPr>
          <w:rFonts w:hint="eastAsia"/>
        </w:rPr>
        <w:t>10</w:t>
      </w:r>
      <w:r>
        <w:rPr>
          <w:rFonts w:hint="eastAsia"/>
        </w:rPr>
        <w:t>月</w:t>
      </w:r>
      <w:r>
        <w:rPr>
          <w:rFonts w:hint="eastAsia"/>
        </w:rPr>
        <w:t>18</w:t>
      </w:r>
      <w:r>
        <w:rPr>
          <w:rFonts w:hint="eastAsia"/>
        </w:rPr>
        <w:t>日关于住房政策大纲的第</w:t>
      </w:r>
      <w:r>
        <w:rPr>
          <w:rFonts w:hint="eastAsia"/>
        </w:rPr>
        <w:t>1088</w:t>
      </w:r>
      <w:r>
        <w:rPr>
          <w:rFonts w:hint="eastAsia"/>
        </w:rPr>
        <w:t>号决议。</w:t>
      </w:r>
    </w:p>
  </w:endnote>
  <w:endnote w:id="251">
    <w:p w:rsidR="00000000" w:rsidRDefault="00000000">
      <w:pPr>
        <w:pStyle w:val="EndnoteText"/>
      </w:pPr>
      <w:r>
        <w:rPr>
          <w:rStyle w:val="EndnoteReference"/>
        </w:rPr>
        <w:endnoteRef/>
      </w:r>
      <w:r>
        <w:tab/>
        <w:t>Act No. 102/1992 Coll.</w:t>
      </w:r>
      <w:r>
        <w:rPr>
          <w:lang w:val="en-GB"/>
        </w:rPr>
        <w:t>，</w:t>
      </w:r>
      <w:r>
        <w:t>which Amends Certain Questions Related to Promulgation of Act No. 509/1991 Coll.</w:t>
      </w:r>
      <w:r>
        <w:rPr>
          <w:lang w:val="en-GB"/>
        </w:rPr>
        <w:t>，</w:t>
      </w:r>
      <w:r>
        <w:t>which Amends, Supplements and Adjusts the Civil Code</w:t>
      </w:r>
      <w:r>
        <w:rPr>
          <w:rFonts w:hint="eastAsia"/>
        </w:rPr>
        <w:t>。</w:t>
      </w:r>
    </w:p>
  </w:endnote>
  <w:endnote w:id="252">
    <w:p w:rsidR="00000000" w:rsidRDefault="00000000">
      <w:pPr>
        <w:pStyle w:val="EndnoteText"/>
        <w:rPr>
          <w:rFonts w:hint="eastAsia"/>
        </w:rPr>
      </w:pPr>
      <w:r>
        <w:rPr>
          <w:rStyle w:val="EndnoteReference"/>
        </w:rPr>
        <w:endnoteRef/>
      </w:r>
      <w:r>
        <w:tab/>
        <w:t>Act No. 72/1994 Coll.</w:t>
      </w:r>
      <w:r>
        <w:rPr>
          <w:lang w:val="en-GB"/>
        </w:rPr>
        <w:t>，</w:t>
      </w:r>
      <w:r>
        <w:t>which Regulates Certain Co-ownership Rights to Buildings and Certain Ownership Rights to Dwellings and Non-residential Premises and Supplements Certain Acts (the Act on Dwelling Ownership)</w:t>
      </w:r>
      <w:r>
        <w:rPr>
          <w:lang w:val="en-GB"/>
        </w:rPr>
        <w:t>，</w:t>
      </w:r>
      <w:r>
        <w:t xml:space="preserve"> as amended by Act No. 273/1994 Coll</w:t>
      </w:r>
      <w:r>
        <w:rPr>
          <w:rFonts w:hint="eastAsia"/>
        </w:rPr>
        <w:t>。</w:t>
      </w:r>
    </w:p>
  </w:endnote>
  <w:endnote w:id="253">
    <w:p w:rsidR="00000000" w:rsidRDefault="00000000">
      <w:pPr>
        <w:pStyle w:val="EndnoteText"/>
        <w:rPr>
          <w:rFonts w:hint="eastAsia"/>
        </w:rPr>
      </w:pPr>
      <w:r>
        <w:rPr>
          <w:rStyle w:val="EndnoteReference"/>
        </w:rPr>
        <w:endnoteRef/>
      </w:r>
      <w:r>
        <w:tab/>
        <w:t>Act No. 526/1990 Coll.</w:t>
      </w:r>
      <w:r>
        <w:t>，</w:t>
      </w:r>
      <w:r>
        <w:t>on Prices, as subsequently amended</w:t>
      </w:r>
      <w:r>
        <w:rPr>
          <w:rFonts w:hint="eastAsia"/>
        </w:rPr>
        <w:t>。</w:t>
      </w:r>
    </w:p>
  </w:endnote>
  <w:endnote w:id="254">
    <w:p w:rsidR="00000000" w:rsidRDefault="00000000">
      <w:pPr>
        <w:pStyle w:val="EndnoteText"/>
        <w:rPr>
          <w:rFonts w:hint="eastAsia"/>
        </w:rPr>
      </w:pPr>
      <w:r>
        <w:rPr>
          <w:rStyle w:val="EndnoteReference"/>
        </w:rPr>
        <w:endnoteRef/>
      </w:r>
      <w:r>
        <w:tab/>
        <w:t>Act No. 367/1990 Coll.</w:t>
      </w:r>
      <w:r>
        <w:t>，</w:t>
      </w:r>
      <w:r>
        <w:t>on Municipalities, as subsequently amended</w:t>
      </w:r>
      <w:r>
        <w:rPr>
          <w:rFonts w:hint="eastAsia"/>
        </w:rPr>
        <w:t>。</w:t>
      </w:r>
    </w:p>
  </w:endnote>
  <w:endnote w:id="255">
    <w:p w:rsidR="00000000" w:rsidRDefault="00000000">
      <w:pPr>
        <w:pStyle w:val="EndnoteText"/>
      </w:pPr>
      <w:r>
        <w:rPr>
          <w:rStyle w:val="EndnoteReference"/>
        </w:rPr>
        <w:endnoteRef/>
      </w:r>
      <w:r>
        <w:tab/>
        <w:t>Act No. 418/1990 Coll.</w:t>
      </w:r>
      <w:r>
        <w:t>，</w:t>
      </w:r>
      <w:r>
        <w:t>on the Capital City of Prague, as subsequently amended</w:t>
      </w:r>
      <w:r>
        <w:rPr>
          <w:rFonts w:hint="eastAsia"/>
        </w:rPr>
        <w:t>。</w:t>
      </w:r>
    </w:p>
  </w:endnote>
  <w:endnote w:id="256">
    <w:p w:rsidR="00000000" w:rsidRDefault="00000000">
      <w:pPr>
        <w:pStyle w:val="EndnoteText"/>
        <w:rPr>
          <w:rFonts w:hint="eastAsia"/>
        </w:rPr>
      </w:pPr>
      <w:r>
        <w:rPr>
          <w:rStyle w:val="EndnoteReference"/>
        </w:rPr>
        <w:endnoteRef/>
      </w:r>
      <w:r>
        <w:tab/>
        <w:t>Decree of the Ministry of Finance No. 85/1997 Coll.</w:t>
      </w:r>
      <w:r>
        <w:rPr>
          <w:lang w:val="en-GB"/>
        </w:rPr>
        <w:t>，</w:t>
      </w:r>
      <w:r>
        <w:t>on Rent from Dwellings Established in Cooperative Houses and Consideration for Services Provided with Use of These Dwellings</w:t>
      </w:r>
      <w:r>
        <w:rPr>
          <w:rFonts w:hint="eastAsia"/>
        </w:rPr>
        <w:t>。</w:t>
      </w:r>
    </w:p>
  </w:endnote>
  <w:endnote w:id="257">
    <w:p w:rsidR="00000000" w:rsidRDefault="00000000">
      <w:pPr>
        <w:pStyle w:val="EndnoteText"/>
      </w:pPr>
      <w:r>
        <w:rPr>
          <w:rStyle w:val="EndnoteReference"/>
        </w:rPr>
        <w:endnoteRef/>
      </w:r>
      <w:r>
        <w:tab/>
        <w:t>Act No. 140/1961 Coll.</w:t>
      </w:r>
      <w:r>
        <w:rPr>
          <w:lang w:val="en-GB"/>
        </w:rPr>
        <w:t>，</w:t>
      </w:r>
      <w:r>
        <w:t>the Criminal Code, as subsequently amended</w:t>
      </w:r>
      <w:r>
        <w:rPr>
          <w:rFonts w:hint="eastAsia"/>
        </w:rPr>
        <w:t>。</w:t>
      </w:r>
    </w:p>
  </w:endnote>
  <w:endnote w:id="258">
    <w:p w:rsidR="00000000" w:rsidRDefault="00000000">
      <w:pPr>
        <w:pStyle w:val="EndnoteText"/>
      </w:pPr>
      <w:r>
        <w:rPr>
          <w:rStyle w:val="EndnoteReference"/>
        </w:rPr>
        <w:endnoteRef/>
      </w:r>
      <w:r>
        <w:tab/>
        <w:t>Act No. 50/1976 Coll.</w:t>
      </w:r>
      <w:r>
        <w:rPr>
          <w:lang w:val="en-GB"/>
        </w:rPr>
        <w:t>，</w:t>
      </w:r>
      <w:r>
        <w:t>on Zoning and the Building Code (the Building Act)</w:t>
      </w:r>
      <w:r>
        <w:rPr>
          <w:lang w:val="en-GB"/>
        </w:rPr>
        <w:t>，</w:t>
      </w:r>
      <w:r>
        <w:t>as subsequently amended and related and implementing regulations</w:t>
      </w:r>
      <w:r>
        <w:rPr>
          <w:rFonts w:hint="eastAsia"/>
        </w:rPr>
        <w:t>。</w:t>
      </w:r>
    </w:p>
  </w:endnote>
  <w:endnote w:id="259">
    <w:p w:rsidR="00000000" w:rsidRDefault="00000000">
      <w:pPr>
        <w:pStyle w:val="EndnoteText"/>
        <w:rPr>
          <w:rFonts w:hint="eastAsia"/>
        </w:rPr>
      </w:pPr>
      <w:r>
        <w:rPr>
          <w:rStyle w:val="EndnoteReference"/>
        </w:rPr>
        <w:endnoteRef/>
      </w:r>
      <w:r>
        <w:tab/>
        <w:t>Act No. 265/1992 Coll.</w:t>
      </w:r>
      <w:r>
        <w:rPr>
          <w:lang w:val="en-GB"/>
        </w:rPr>
        <w:t>，</w:t>
      </w:r>
      <w:r>
        <w:t>on Registration of Ownership and Other Substantive Rights to Real Estate, as subsequently amended</w:t>
      </w:r>
      <w:r>
        <w:rPr>
          <w:rFonts w:hint="eastAsia"/>
        </w:rPr>
        <w:t>。</w:t>
      </w:r>
    </w:p>
  </w:endnote>
  <w:endnote w:id="260">
    <w:p w:rsidR="00000000" w:rsidRDefault="00000000">
      <w:pPr>
        <w:pStyle w:val="EndnoteText"/>
        <w:rPr>
          <w:rFonts w:hint="eastAsia"/>
        </w:rPr>
      </w:pPr>
      <w:r>
        <w:rPr>
          <w:rStyle w:val="EndnoteReference"/>
        </w:rPr>
        <w:endnoteRef/>
      </w:r>
      <w:r>
        <w:tab/>
        <w:t>Act No. 344/1992 Coll.</w:t>
      </w:r>
      <w:r>
        <w:rPr>
          <w:lang w:val="en-GB"/>
        </w:rPr>
        <w:t>，</w:t>
      </w:r>
      <w:r>
        <w:t>on the Real Estate Register (the Real Estate Register Act)</w:t>
      </w:r>
      <w:r>
        <w:rPr>
          <w:lang w:val="en-GB"/>
        </w:rPr>
        <w:t>，</w:t>
      </w:r>
      <w:r>
        <w:t xml:space="preserve"> as subsequently amended</w:t>
      </w:r>
      <w:r>
        <w:rPr>
          <w:rFonts w:hint="eastAsia"/>
        </w:rPr>
        <w:t>。</w:t>
      </w:r>
    </w:p>
  </w:endnote>
  <w:endnote w:id="261">
    <w:p w:rsidR="00000000" w:rsidRDefault="00000000">
      <w:pPr>
        <w:pStyle w:val="EndnoteText"/>
        <w:rPr>
          <w:rFonts w:hint="eastAsia"/>
        </w:rPr>
      </w:pPr>
      <w:r>
        <w:rPr>
          <w:rStyle w:val="EndnoteReference"/>
        </w:rPr>
        <w:endnoteRef/>
      </w:r>
      <w:r>
        <w:tab/>
        <w:t>Act No. 427/1990 Coll.</w:t>
      </w:r>
      <w:r>
        <w:rPr>
          <w:lang w:val="en-GB"/>
        </w:rPr>
        <w:t>，</w:t>
      </w:r>
      <w:r>
        <w:t>on Transfers of State Ownership of Certain Things to Other Legal Entities or Natural Persons, as subsequently amended</w:t>
      </w:r>
      <w:r>
        <w:rPr>
          <w:rFonts w:hint="eastAsia"/>
        </w:rPr>
        <w:t>。</w:t>
      </w:r>
    </w:p>
  </w:endnote>
  <w:endnote w:id="262">
    <w:p w:rsidR="00000000" w:rsidRDefault="00000000">
      <w:pPr>
        <w:pStyle w:val="EndnoteText"/>
        <w:rPr>
          <w:rFonts w:hint="eastAsia"/>
        </w:rPr>
      </w:pPr>
      <w:r>
        <w:rPr>
          <w:rStyle w:val="EndnoteReference"/>
        </w:rPr>
        <w:endnoteRef/>
      </w:r>
      <w:r>
        <w:tab/>
        <w:t>Act No. 229/1990 Coll.</w:t>
      </w:r>
      <w:r>
        <w:rPr>
          <w:lang w:val="en-GB"/>
        </w:rPr>
        <w:t>，</w:t>
      </w:r>
      <w:r>
        <w:t>Regulating Ownership of Land and other Agricultural Property, as subsequently amended</w:t>
      </w:r>
      <w:r>
        <w:rPr>
          <w:rFonts w:hint="eastAsia"/>
        </w:rPr>
        <w:t>。</w:t>
      </w:r>
    </w:p>
  </w:endnote>
  <w:endnote w:id="263">
    <w:p w:rsidR="00000000" w:rsidRDefault="00000000">
      <w:pPr>
        <w:pStyle w:val="EndnoteText"/>
        <w:rPr>
          <w:rFonts w:hint="eastAsia"/>
        </w:rPr>
      </w:pPr>
      <w:r>
        <w:rPr>
          <w:rStyle w:val="EndnoteReference"/>
        </w:rPr>
        <w:endnoteRef/>
      </w:r>
      <w:r>
        <w:tab/>
        <w:t>Act No. 92/1991 Coll.</w:t>
      </w:r>
      <w:r>
        <w:rPr>
          <w:lang w:val="en-GB"/>
        </w:rPr>
        <w:t>，</w:t>
      </w:r>
      <w:r>
        <w:t>on Conditions for Transfer of State Property to Other Persons, as subsequently amended</w:t>
      </w:r>
      <w:r>
        <w:rPr>
          <w:rFonts w:hint="eastAsia"/>
        </w:rPr>
        <w:t>。</w:t>
      </w:r>
    </w:p>
  </w:endnote>
  <w:endnote w:id="264">
    <w:p w:rsidR="00000000" w:rsidRDefault="00000000">
      <w:pPr>
        <w:pStyle w:val="EndnoteText"/>
        <w:rPr>
          <w:rFonts w:hint="eastAsia"/>
        </w:rPr>
      </w:pPr>
      <w:r>
        <w:rPr>
          <w:rStyle w:val="EndnoteReference"/>
        </w:rPr>
        <w:endnoteRef/>
      </w:r>
      <w:r>
        <w:tab/>
        <w:t>Act No. 172/1991 Coll.</w:t>
      </w:r>
      <w:r>
        <w:rPr>
          <w:lang w:val="en-GB"/>
        </w:rPr>
        <w:t>，</w:t>
      </w:r>
      <w:r>
        <w:t>on the Transfer of Certain Things from the Ownership of the Czech Republic to the Ownership of Municipalities, as subsequently amended</w:t>
      </w:r>
      <w:r>
        <w:rPr>
          <w:rFonts w:hint="eastAsia"/>
        </w:rPr>
        <w:t>。</w:t>
      </w:r>
    </w:p>
  </w:endnote>
  <w:endnote w:id="265">
    <w:p w:rsidR="00000000" w:rsidRDefault="00000000">
      <w:pPr>
        <w:pStyle w:val="EndnoteText"/>
        <w:rPr>
          <w:rFonts w:hint="eastAsia"/>
        </w:rPr>
      </w:pPr>
      <w:r>
        <w:rPr>
          <w:rStyle w:val="EndnoteReference"/>
        </w:rPr>
        <w:endnoteRef/>
      </w:r>
      <w:r>
        <w:tab/>
        <w:t>Act No. 42/1992 Coll.</w:t>
      </w:r>
      <w:r>
        <w:rPr>
          <w:lang w:val="en-GB"/>
        </w:rPr>
        <w:t>，</w:t>
      </w:r>
      <w:r>
        <w:t>Act Regulating Ownership Relations and Settling Property Entitlements in Cooperatives, as subsequently amended</w:t>
      </w:r>
      <w:r>
        <w:rPr>
          <w:rFonts w:hint="eastAsia"/>
        </w:rPr>
        <w:t>。</w:t>
      </w:r>
    </w:p>
  </w:endnote>
  <w:endnote w:id="266">
    <w:p w:rsidR="00000000" w:rsidRDefault="00000000">
      <w:pPr>
        <w:pStyle w:val="EndnoteText"/>
      </w:pPr>
      <w:r>
        <w:rPr>
          <w:rStyle w:val="EndnoteReference"/>
        </w:rPr>
        <w:endnoteRef/>
      </w:r>
      <w:r>
        <w:rPr>
          <w:rFonts w:hint="eastAsia"/>
        </w:rPr>
        <w:tab/>
      </w:r>
      <w:r>
        <w:t>Act No. 151/1997 Coll.</w:t>
      </w:r>
      <w:r>
        <w:rPr>
          <w:b/>
          <w:bCs/>
          <w:i/>
          <w:iCs/>
          <w:lang w:val="en-GB"/>
        </w:rPr>
        <w:t>，</w:t>
      </w:r>
      <w:r>
        <w:t>on Property Assessment and Amending Certain Acts</w:t>
      </w:r>
      <w:r>
        <w:rPr>
          <w:rFonts w:hint="eastAsia"/>
        </w:rPr>
        <w:t>。</w:t>
      </w:r>
    </w:p>
  </w:endnote>
  <w:endnote w:id="267">
    <w:p w:rsidR="00000000" w:rsidRDefault="00000000">
      <w:pPr>
        <w:pStyle w:val="EndnoteText"/>
      </w:pPr>
      <w:r>
        <w:rPr>
          <w:rStyle w:val="EndnoteReference"/>
        </w:rPr>
        <w:endnoteRef/>
      </w:r>
      <w:r>
        <w:tab/>
      </w:r>
      <w:r>
        <w:rPr>
          <w:rFonts w:hint="eastAsia"/>
        </w:rPr>
        <w:t>房东只有经</w:t>
      </w:r>
      <w:r>
        <w:rPr>
          <w:rFonts w:hint="eastAsia"/>
        </w:rPr>
        <w:t>(</w:t>
      </w:r>
      <w:r>
        <w:rPr>
          <w:rFonts w:hint="eastAsia"/>
        </w:rPr>
        <w:t>主管</w:t>
      </w:r>
      <w:r>
        <w:rPr>
          <w:rFonts w:hint="eastAsia"/>
        </w:rPr>
        <w:t>)</w:t>
      </w:r>
      <w:r>
        <w:rPr>
          <w:rFonts w:hint="eastAsia"/>
        </w:rPr>
        <w:t>法院的同意并仅出于下列原因方可发出终止出租公寓合同的通知：</w:t>
      </w:r>
    </w:p>
    <w:p w:rsidR="00000000" w:rsidRDefault="00000000">
      <w:pPr>
        <w:pStyle w:val="EndnoteText"/>
        <w:numPr>
          <w:ilvl w:val="0"/>
          <w:numId w:val="890"/>
        </w:numPr>
        <w:rPr>
          <w:rFonts w:hint="eastAsia"/>
        </w:rPr>
      </w:pPr>
      <w:r>
        <w:rPr>
          <w:rFonts w:hint="eastAsia"/>
        </w:rPr>
        <w:t>如果他自己、其配偶、其子女、其孙子孙女、女婿或媳妇、其父母或兄弟姐妹需要；</w:t>
      </w:r>
    </w:p>
    <w:p w:rsidR="00000000" w:rsidRDefault="00000000">
      <w:pPr>
        <w:numPr>
          <w:ilvl w:val="0"/>
          <w:numId w:val="890"/>
        </w:numPr>
        <w:rPr>
          <w:rFonts w:eastAsia="KaiTi_GB2312" w:hint="eastAsia"/>
        </w:rPr>
      </w:pPr>
      <w:r>
        <w:rPr>
          <w:rFonts w:eastAsia="KaiTi_GB2312" w:hint="eastAsia"/>
        </w:rPr>
        <w:t>如</w:t>
      </w:r>
      <w:r>
        <w:rPr>
          <w:rFonts w:eastAsia="KaiTi_GB2312" w:hint="eastAsia"/>
          <w:spacing w:val="0"/>
        </w:rPr>
        <w:t>果租户停止为房东工作而房东需要把公寓给将为他工作的另</w:t>
      </w:r>
      <w:r>
        <w:rPr>
          <w:rFonts w:eastAsia="KaiTi_GB2312" w:hint="eastAsia"/>
        </w:rPr>
        <w:t>一租户；</w:t>
      </w:r>
    </w:p>
    <w:p w:rsidR="00000000" w:rsidRDefault="00000000">
      <w:pPr>
        <w:numPr>
          <w:ilvl w:val="0"/>
          <w:numId w:val="890"/>
        </w:numPr>
        <w:rPr>
          <w:rFonts w:eastAsia="KaiTi_GB2312" w:hint="eastAsia"/>
        </w:rPr>
      </w:pPr>
      <w:r>
        <w:rPr>
          <w:rFonts w:eastAsia="KaiTi_GB2312" w:hint="eastAsia"/>
        </w:rPr>
        <w:t>如果租户或与其住在一起的人尽管在收到书面警告后仍严重破坏住房里的适当道德；</w:t>
      </w:r>
    </w:p>
    <w:p w:rsidR="00000000" w:rsidRDefault="00000000">
      <w:pPr>
        <w:numPr>
          <w:ilvl w:val="0"/>
          <w:numId w:val="890"/>
        </w:numPr>
        <w:rPr>
          <w:rFonts w:eastAsia="KaiTi_GB2312" w:hint="eastAsia"/>
        </w:rPr>
      </w:pPr>
      <w:r>
        <w:rPr>
          <w:rFonts w:eastAsia="KaiTi_GB2312" w:hint="eastAsia"/>
        </w:rPr>
        <w:t>如果租户严重违背公寓租契规定的义务，特别是在超过</w:t>
      </w:r>
      <w:r>
        <w:rPr>
          <w:rFonts w:eastAsia="KaiTi_GB2312" w:hint="eastAsia"/>
        </w:rPr>
        <w:t>3</w:t>
      </w:r>
      <w:r>
        <w:rPr>
          <w:rFonts w:eastAsia="KaiTi_GB2312" w:hint="eastAsia"/>
        </w:rPr>
        <w:t>个月的时期内不支付房租或与使用公寓有关的服务费用；</w:t>
      </w:r>
    </w:p>
    <w:p w:rsidR="00000000" w:rsidRDefault="00000000">
      <w:pPr>
        <w:numPr>
          <w:ilvl w:val="0"/>
          <w:numId w:val="890"/>
        </w:numPr>
        <w:rPr>
          <w:rFonts w:eastAsia="KaiTi_GB2312" w:hint="eastAsia"/>
        </w:rPr>
      </w:pPr>
      <w:r>
        <w:rPr>
          <w:rFonts w:eastAsia="KaiTi_GB2312" w:hint="eastAsia"/>
        </w:rPr>
        <w:t>如果出于公共利益必须处理公寓或大楼使之不能使用，或如果公寓或大楼需要修缮，在较长一段时间内不能使用；</w:t>
      </w:r>
    </w:p>
    <w:p w:rsidR="00000000" w:rsidRDefault="00000000">
      <w:pPr>
        <w:numPr>
          <w:ilvl w:val="0"/>
          <w:numId w:val="890"/>
        </w:numPr>
        <w:rPr>
          <w:rFonts w:eastAsia="KaiTi_GB2312" w:hint="eastAsia"/>
        </w:rPr>
      </w:pPr>
      <w:r>
        <w:rPr>
          <w:rFonts w:eastAsia="KaiTi_GB2312" w:hint="eastAsia"/>
        </w:rPr>
        <w:t>如果公寓在结构上与指定用于经营商店或一些其他商业活动的房屋相联和这些非居民住所的租户想使用该公寓；</w:t>
      </w:r>
    </w:p>
    <w:p w:rsidR="00000000" w:rsidRDefault="00000000">
      <w:pPr>
        <w:numPr>
          <w:ilvl w:val="0"/>
          <w:numId w:val="890"/>
        </w:numPr>
        <w:rPr>
          <w:rFonts w:eastAsia="KaiTi_GB2312" w:hint="eastAsia"/>
        </w:rPr>
      </w:pPr>
      <w:r>
        <w:rPr>
          <w:rFonts w:eastAsia="KaiTi_GB2312" w:hint="eastAsia"/>
        </w:rPr>
        <w:t>如果</w:t>
      </w:r>
      <w:r>
        <w:rPr>
          <w:rFonts w:eastAsia="KaiTi_GB2312" w:hint="eastAsia"/>
          <w:spacing w:val="0"/>
        </w:rPr>
        <w:t>租户有两处或两处以上公寓，除非没有理由要求他仅使用一处</w:t>
      </w:r>
      <w:r>
        <w:rPr>
          <w:rFonts w:eastAsia="KaiTi_GB2312" w:hint="eastAsia"/>
        </w:rPr>
        <w:t>公寓；</w:t>
      </w:r>
    </w:p>
    <w:p w:rsidR="00000000" w:rsidRDefault="00000000">
      <w:pPr>
        <w:numPr>
          <w:ilvl w:val="0"/>
          <w:numId w:val="890"/>
        </w:numPr>
        <w:rPr>
          <w:rFonts w:eastAsia="KaiTi_GB2312"/>
        </w:rPr>
      </w:pPr>
      <w:r>
        <w:rPr>
          <w:rFonts w:eastAsia="KaiTi_GB2312" w:hint="eastAsia"/>
        </w:rPr>
        <w:t>如果租户无认真的理由而没有使用该公寓或如果他无认真的理由而仅偶尔使用该公寓；</w:t>
      </w:r>
    </w:p>
    <w:p w:rsidR="00000000" w:rsidRDefault="00000000">
      <w:pPr>
        <w:numPr>
          <w:ilvl w:val="0"/>
          <w:numId w:val="890"/>
        </w:numPr>
        <w:rPr>
          <w:rFonts w:eastAsia="KaiTi_GB2312" w:hint="eastAsia"/>
        </w:rPr>
      </w:pPr>
      <w:r>
        <w:rPr>
          <w:rFonts w:eastAsia="KaiTi_GB2312" w:hint="eastAsia"/>
        </w:rPr>
        <w:t>如果该公寓有特殊指定用途或住在有特殊指定用途的建筑内的租户不是残疾人。</w:t>
      </w:r>
    </w:p>
  </w:endnote>
  <w:endnote w:id="268">
    <w:p w:rsidR="00000000" w:rsidRDefault="00000000">
      <w:pPr>
        <w:pStyle w:val="EndnoteText"/>
        <w:rPr>
          <w:rFonts w:hint="eastAsia"/>
        </w:rPr>
      </w:pPr>
      <w:r>
        <w:rPr>
          <w:rStyle w:val="EndnoteReference"/>
        </w:rPr>
        <w:endnoteRef/>
      </w:r>
      <w:r>
        <w:tab/>
        <w:t>Act No. 117/1995 Coll.</w:t>
      </w:r>
      <w:r>
        <w:rPr>
          <w:lang w:val="en-GB"/>
        </w:rPr>
        <w:t>，</w:t>
      </w:r>
      <w:r>
        <w:t xml:space="preserve">on State Social Care Support </w:t>
      </w:r>
      <w:r>
        <w:rPr>
          <w:lang w:val="en-GB"/>
        </w:rPr>
        <w:t>，</w:t>
      </w:r>
      <w:r>
        <w:t>as subsequently amended</w:t>
      </w:r>
      <w:r>
        <w:rPr>
          <w:rFonts w:hint="eastAsia"/>
        </w:rPr>
        <w:t>。</w:t>
      </w:r>
    </w:p>
  </w:endnote>
  <w:endnote w:id="269">
    <w:p w:rsidR="00000000" w:rsidRDefault="00000000">
      <w:pPr>
        <w:pStyle w:val="EndnoteText"/>
        <w:rPr>
          <w:rFonts w:hint="eastAsia"/>
        </w:rPr>
      </w:pPr>
      <w:r>
        <w:rPr>
          <w:rStyle w:val="EndnoteReference"/>
        </w:rPr>
        <w:endnoteRef/>
      </w:r>
      <w:r>
        <w:tab/>
        <w:t>Act No. 586/1992 Coll.</w:t>
      </w:r>
      <w:r>
        <w:rPr>
          <w:lang w:val="en-GB"/>
        </w:rPr>
        <w:t>，</w:t>
      </w:r>
      <w:r>
        <w:t>on Income Taxes, as subsequently amended</w:t>
      </w:r>
      <w:r>
        <w:rPr>
          <w:rFonts w:hint="eastAsia"/>
        </w:rPr>
        <w:t>。</w:t>
      </w:r>
    </w:p>
  </w:endnote>
  <w:endnote w:id="270">
    <w:p w:rsidR="00000000" w:rsidRDefault="00000000">
      <w:pPr>
        <w:pStyle w:val="EndnoteText"/>
      </w:pPr>
      <w:r>
        <w:rPr>
          <w:rStyle w:val="EndnoteReference"/>
        </w:rPr>
        <w:endnoteRef/>
      </w:r>
      <w:r>
        <w:tab/>
        <w:t>Act No. 96/1993 Coll.</w:t>
      </w:r>
      <w:r>
        <w:rPr>
          <w:lang w:val="en-GB"/>
        </w:rPr>
        <w:t>，</w:t>
      </w:r>
      <w:r>
        <w:t>on Building Savings Accounts and State Support of Building Savings Accounts and Supplementing Act No. 586/1992 Coll.</w:t>
      </w:r>
      <w:r>
        <w:rPr>
          <w:lang w:val="en-GB"/>
        </w:rPr>
        <w:t>，</w:t>
      </w:r>
      <w:r>
        <w:t>on Income Taxes, as amended by Act No. 83/1995 Coll</w:t>
      </w:r>
      <w:r>
        <w:rPr>
          <w:rFonts w:hint="eastAsia"/>
        </w:rPr>
        <w:t>。</w:t>
      </w:r>
    </w:p>
  </w:endnote>
  <w:endnote w:id="271">
    <w:p w:rsidR="00000000" w:rsidRDefault="00000000">
      <w:pPr>
        <w:pStyle w:val="EndnoteText"/>
        <w:rPr>
          <w:rFonts w:hint="eastAsia"/>
        </w:rPr>
      </w:pPr>
      <w:r>
        <w:rPr>
          <w:rStyle w:val="EndnoteReference"/>
        </w:rPr>
        <w:endnoteRef/>
      </w:r>
      <w:r>
        <w:tab/>
        <w:t>Government Decree No. 244/1995 Coll.</w:t>
      </w:r>
      <w:r>
        <w:t>，</w:t>
      </w:r>
      <w:r>
        <w:t xml:space="preserve"> which Sets Conditions for State Financial Support for Mortgage Loans for House Building, as subsequently amended, Government Decree No. 149/1997 Coll.</w:t>
      </w:r>
      <w:r>
        <w:t>，</w:t>
      </w:r>
      <w:r>
        <w:t xml:space="preserve"> which Sets Conditions for Providing Additional Financial Support for Mortgages for House Building</w:t>
      </w:r>
      <w:r>
        <w:rPr>
          <w:rFonts w:hint="eastAsia"/>
        </w:rPr>
        <w:t>。</w:t>
      </w:r>
    </w:p>
  </w:endnote>
  <w:endnote w:id="272">
    <w:p w:rsidR="00000000" w:rsidRDefault="00000000">
      <w:pPr>
        <w:pStyle w:val="EndnoteText"/>
        <w:rPr>
          <w:rFonts w:hint="eastAsia"/>
        </w:rPr>
      </w:pPr>
      <w:r>
        <w:rPr>
          <w:rStyle w:val="EndnoteReference"/>
        </w:rPr>
        <w:endnoteRef/>
      </w:r>
      <w:r>
        <w:tab/>
        <w:t>Government Decree No. 148/1997 Coll.</w:t>
      </w:r>
      <w:r>
        <w:rPr>
          <w:lang w:val="en-GB"/>
        </w:rPr>
        <w:t>，</w:t>
      </w:r>
      <w:r>
        <w:t>on Providing Interest-Free Loans for House Building, as subsequently amended</w:t>
      </w:r>
      <w:r>
        <w:rPr>
          <w:rFonts w:hint="eastAsia"/>
        </w:rPr>
        <w:t>。</w:t>
      </w:r>
    </w:p>
  </w:endnote>
  <w:endnote w:id="273">
    <w:p w:rsidR="00000000" w:rsidRDefault="00000000">
      <w:pPr>
        <w:pStyle w:val="EndnoteText"/>
        <w:rPr>
          <w:rFonts w:hint="eastAsia"/>
        </w:rPr>
      </w:pPr>
      <w:r>
        <w:rPr>
          <w:rStyle w:val="EndnoteReference"/>
        </w:rPr>
        <w:endnoteRef/>
      </w:r>
      <w:r>
        <w:tab/>
        <w:t>Act No. 50/1976 Coll.</w:t>
      </w:r>
      <w:r>
        <w:rPr>
          <w:lang w:val="en-GB"/>
        </w:rPr>
        <w:t>，</w:t>
      </w:r>
      <w:r>
        <w:t>on Zoning and the Building Code (the Building Act)</w:t>
      </w:r>
      <w:r>
        <w:rPr>
          <w:lang w:val="en-GB"/>
        </w:rPr>
        <w:t>，</w:t>
      </w:r>
      <w:r>
        <w:t xml:space="preserve"> as subsequently amended</w:t>
      </w:r>
      <w:r>
        <w:rPr>
          <w:rFonts w:hint="eastAsia"/>
        </w:rPr>
        <w:t>。</w:t>
      </w:r>
    </w:p>
  </w:endnote>
  <w:endnote w:id="274">
    <w:p w:rsidR="00000000" w:rsidRDefault="00000000">
      <w:pPr>
        <w:pStyle w:val="EndnoteText"/>
        <w:rPr>
          <w:rFonts w:hint="eastAsia"/>
        </w:rPr>
      </w:pPr>
      <w:r>
        <w:rPr>
          <w:rStyle w:val="EndnoteReference"/>
        </w:rPr>
        <w:endnoteRef/>
      </w:r>
      <w:r>
        <w:tab/>
        <w:t>Decree of the Ministry for Local Development No. 131/1998 Coll.</w:t>
      </w:r>
      <w:r>
        <w:rPr>
          <w:lang w:val="en-GB"/>
        </w:rPr>
        <w:t>，</w:t>
      </w:r>
      <w:r>
        <w:t>on Bases for Zoning and Zoning Documentation</w:t>
      </w:r>
      <w:r>
        <w:rPr>
          <w:rFonts w:hint="eastAsia"/>
        </w:rPr>
        <w:t>。</w:t>
      </w:r>
    </w:p>
  </w:endnote>
  <w:endnote w:id="275">
    <w:p w:rsidR="00000000" w:rsidRDefault="00000000">
      <w:pPr>
        <w:pStyle w:val="EndnoteText"/>
        <w:rPr>
          <w:rFonts w:hint="eastAsia"/>
        </w:rPr>
      </w:pPr>
      <w:r>
        <w:rPr>
          <w:rStyle w:val="EndnoteReference"/>
        </w:rPr>
        <w:endnoteRef/>
      </w:r>
      <w:r>
        <w:tab/>
        <w:t>Decree of the Ministry for Local Development No. 137/1998 Coll.</w:t>
      </w:r>
      <w:r>
        <w:rPr>
          <w:lang w:val="en-GB"/>
        </w:rPr>
        <w:t>，</w:t>
      </w:r>
      <w:r>
        <w:t>on General Technical Requirements for Construction</w:t>
      </w:r>
      <w:r>
        <w:rPr>
          <w:rFonts w:hint="eastAsia"/>
        </w:rPr>
        <w:t>。</w:t>
      </w:r>
    </w:p>
  </w:endnote>
  <w:endnote w:id="276">
    <w:p w:rsidR="00000000" w:rsidRDefault="00000000">
      <w:pPr>
        <w:pStyle w:val="EndnoteText"/>
        <w:rPr>
          <w:rFonts w:hint="eastAsia"/>
        </w:rPr>
      </w:pPr>
      <w:r>
        <w:rPr>
          <w:rStyle w:val="EndnoteReference"/>
        </w:rPr>
        <w:endnoteRef/>
      </w:r>
      <w:r>
        <w:tab/>
        <w:t>Act No. 244/1992 Coll.</w:t>
      </w:r>
      <w:r>
        <w:rPr>
          <w:lang w:val="en-GB"/>
        </w:rPr>
        <w:t>，</w:t>
      </w:r>
      <w:r>
        <w:t>on Evaluating Effects on the Environment</w:t>
      </w:r>
      <w:r>
        <w:rPr>
          <w:rFonts w:hint="eastAsia"/>
        </w:rPr>
        <w:t>。</w:t>
      </w:r>
    </w:p>
  </w:endnote>
  <w:endnote w:id="277">
    <w:p w:rsidR="00000000" w:rsidRDefault="00000000">
      <w:pPr>
        <w:pStyle w:val="EndnoteText"/>
        <w:rPr>
          <w:rFonts w:hint="eastAsia"/>
        </w:rPr>
      </w:pPr>
      <w:r>
        <w:rPr>
          <w:rStyle w:val="EndnoteReference"/>
        </w:rPr>
        <w:endnoteRef/>
      </w:r>
      <w:r>
        <w:tab/>
      </w:r>
      <w:r>
        <w:rPr>
          <w:rFonts w:hint="eastAsia"/>
        </w:rPr>
        <w:t>过渡住房是提供住处和社会服务的社会设施、房屋和公寓单元，例如提供给从接受制度教育的学校设施或在达到成人年龄后从保护性监禁中获释的青年人，服刑后获释或离开戒毒中心的人等。</w:t>
      </w:r>
    </w:p>
  </w:endnote>
  <w:endnote w:id="278">
    <w:p w:rsidR="00000000" w:rsidRDefault="00000000">
      <w:pPr>
        <w:pStyle w:val="EndnoteText"/>
        <w:rPr>
          <w:rFonts w:hint="eastAsia"/>
        </w:rPr>
      </w:pPr>
      <w:r>
        <w:rPr>
          <w:rStyle w:val="EndnoteReference"/>
        </w:rPr>
        <w:endnoteRef/>
      </w:r>
      <w:r>
        <w:tab/>
        <w:t>Act No. 102/1992 Coll.</w:t>
      </w:r>
      <w:r>
        <w:rPr>
          <w:lang w:val="en-GB"/>
        </w:rPr>
        <w:t>，</w:t>
      </w:r>
      <w:r>
        <w:t>which Amends Certain Questions Related to Promulgation of Act No. 509/1991 Coll.</w:t>
      </w:r>
      <w:r>
        <w:rPr>
          <w:lang w:val="en-GB"/>
        </w:rPr>
        <w:t>，</w:t>
      </w:r>
      <w:r>
        <w:t>which Amends, Supplements and Adjusts the Civil Code, as subsequently amended</w:t>
      </w:r>
      <w:r>
        <w:rPr>
          <w:rFonts w:hint="eastAsia"/>
        </w:rPr>
        <w:t>。</w:t>
      </w:r>
    </w:p>
  </w:endnote>
  <w:endnote w:id="279">
    <w:p w:rsidR="00000000" w:rsidRDefault="00000000">
      <w:pPr>
        <w:pStyle w:val="EndnoteText"/>
        <w:rPr>
          <w:rFonts w:hint="eastAsia"/>
        </w:rPr>
      </w:pPr>
      <w:r>
        <w:rPr>
          <w:rStyle w:val="EndnoteReference"/>
        </w:rPr>
        <w:endnoteRef/>
      </w:r>
      <w:r>
        <w:tab/>
        <w:t>Act No. 95/1999 Coll.</w:t>
      </w:r>
      <w:r>
        <w:rPr>
          <w:lang w:val="en-GB"/>
        </w:rPr>
        <w:t>，</w:t>
      </w:r>
      <w:r>
        <w:t>on Conditions for Transfer of Agricultural and Forest Lands from State Ownership to Other Persons and Amending Act No. 569/1991 Coll.</w:t>
      </w:r>
      <w:r>
        <w:rPr>
          <w:lang w:val="en-GB"/>
        </w:rPr>
        <w:t>，</w:t>
      </w:r>
      <w:r>
        <w:t xml:space="preserve"> on the Land Stock of the CR, as subsequently amended</w:t>
      </w:r>
      <w:r>
        <w:rPr>
          <w:rFonts w:hint="eastAsia"/>
        </w:rPr>
        <w:t>。</w:t>
      </w:r>
    </w:p>
  </w:endnote>
  <w:endnote w:id="280">
    <w:p w:rsidR="00000000" w:rsidRDefault="00000000">
      <w:pPr>
        <w:pStyle w:val="EndnoteText"/>
        <w:rPr>
          <w:rFonts w:hint="eastAsia"/>
        </w:rPr>
      </w:pPr>
      <w:r>
        <w:rPr>
          <w:rStyle w:val="EndnoteReference"/>
        </w:rPr>
        <w:endnoteRef/>
      </w:r>
      <w:r>
        <w:tab/>
        <w:t>Act No. 357/1992 Coll.</w:t>
      </w:r>
      <w:r>
        <w:rPr>
          <w:lang w:val="en-GB"/>
        </w:rPr>
        <w:t>，</w:t>
      </w:r>
      <w:r>
        <w:t>on Inheritance, Gift and Real Estate Transfer Tax, as subsequently amended</w:t>
      </w:r>
      <w:r>
        <w:rPr>
          <w:rFonts w:hint="eastAsia"/>
        </w:rPr>
        <w:t>。</w:t>
      </w:r>
    </w:p>
  </w:endnote>
  <w:endnote w:id="281">
    <w:p w:rsidR="00000000" w:rsidRDefault="00000000">
      <w:pPr>
        <w:pStyle w:val="EndnoteText"/>
        <w:rPr>
          <w:rFonts w:hint="eastAsia"/>
        </w:rPr>
      </w:pPr>
      <w:r>
        <w:rPr>
          <w:rStyle w:val="EndnoteReference"/>
        </w:rPr>
        <w:endnoteRef/>
      </w:r>
      <w:r>
        <w:rPr>
          <w:rFonts w:hint="eastAsia"/>
        </w:rPr>
        <w:tab/>
      </w:r>
      <w:r>
        <w:rPr>
          <w:rFonts w:hint="eastAsia"/>
        </w:rPr>
        <w:t>尤其涉及到</w:t>
      </w:r>
      <w:r>
        <w:rPr>
          <w:rFonts w:hint="eastAsia"/>
        </w:rPr>
        <w:t>1993</w:t>
      </w:r>
      <w:r>
        <w:rPr>
          <w:rFonts w:hint="eastAsia"/>
        </w:rPr>
        <w:t>年之前缔结的租赁合同的规章，不分租户的实际社会情况，在根据原租赁合同房租受到管制的情况中，依据契约转让或公寓交换而缔结的合同。在</w:t>
      </w:r>
      <w:r>
        <w:rPr>
          <w:rFonts w:hint="eastAsia"/>
        </w:rPr>
        <w:t>1999</w:t>
      </w:r>
      <w:r>
        <w:rPr>
          <w:rFonts w:hint="eastAsia"/>
        </w:rPr>
        <w:t>年，这类规章适用于所有出租公寓的</w:t>
      </w:r>
      <w:r>
        <w:rPr>
          <w:rFonts w:hint="eastAsia"/>
        </w:rPr>
        <w:t>95.3%</w:t>
      </w:r>
      <w:r>
        <w:rPr>
          <w:rFonts w:hint="eastAsia"/>
        </w:rPr>
        <w:t>和总房源的</w:t>
      </w:r>
      <w:r>
        <w:rPr>
          <w:rFonts w:hint="eastAsia"/>
        </w:rPr>
        <w:t>29.4%</w:t>
      </w:r>
      <w:r>
        <w:rPr>
          <w:rFonts w:hint="eastAsia"/>
        </w:rPr>
        <w:t>。不到</w:t>
      </w:r>
      <w:r>
        <w:rPr>
          <w:rFonts w:hint="eastAsia"/>
        </w:rPr>
        <w:t>5%</w:t>
      </w:r>
      <w:r>
        <w:rPr>
          <w:rFonts w:hint="eastAsia"/>
        </w:rPr>
        <w:t>的出租住房的房租自由－按市场－商定或房租按开支管制</w:t>
      </w:r>
      <w:r>
        <w:rPr>
          <w:rFonts w:hint="eastAsia"/>
        </w:rPr>
        <w:t>(</w:t>
      </w:r>
      <w:r>
        <w:rPr>
          <w:rFonts w:hint="eastAsia"/>
        </w:rPr>
        <w:t>特别是国家补贴的新市政当局住房</w:t>
      </w:r>
      <w:r>
        <w:rPr>
          <w:rFonts w:hint="eastAsia"/>
        </w:rPr>
        <w:t>)</w:t>
      </w:r>
      <w:r>
        <w:rPr>
          <w:rFonts w:hint="eastAsia"/>
        </w:rPr>
        <w:t>。因此，房租全面受到管制，包括租户社会情况不需要实行房租管制的公寓。</w:t>
      </w:r>
    </w:p>
  </w:endnote>
  <w:endnote w:id="282">
    <w:p w:rsidR="00000000" w:rsidRDefault="00000000">
      <w:pPr>
        <w:pStyle w:val="EndnoteText"/>
        <w:rPr>
          <w:rFonts w:hint="eastAsia"/>
        </w:rPr>
      </w:pPr>
      <w:r>
        <w:rPr>
          <w:rStyle w:val="EndnoteReference"/>
        </w:rPr>
        <w:endnoteRef/>
      </w:r>
      <w:r>
        <w:rPr>
          <w:rFonts w:hint="eastAsia"/>
        </w:rPr>
        <w:tab/>
      </w:r>
      <w:r>
        <w:rPr>
          <w:rFonts w:hint="eastAsia"/>
        </w:rPr>
        <w:t>宪章第</w:t>
      </w:r>
      <w:r>
        <w:rPr>
          <w:rFonts w:hint="eastAsia"/>
        </w:rPr>
        <w:t>11</w:t>
      </w:r>
      <w:r>
        <w:rPr>
          <w:rFonts w:hint="eastAsia"/>
        </w:rPr>
        <w:t>条第</w:t>
      </w:r>
      <w:r>
        <w:rPr>
          <w:rFonts w:hint="eastAsia"/>
        </w:rPr>
        <w:t>4</w:t>
      </w:r>
      <w:r>
        <w:rPr>
          <w:rFonts w:hint="eastAsia"/>
        </w:rPr>
        <w:t>款规定：“为了公共利益依据法律并通过赔偿允许没收财产权或对其实行一些强制性限制。”</w:t>
      </w:r>
    </w:p>
  </w:endnote>
  <w:endnote w:id="283">
    <w:p w:rsidR="00000000" w:rsidRDefault="00000000">
      <w:pPr>
        <w:pStyle w:val="EndnoteText"/>
        <w:rPr>
          <w:rFonts w:hint="eastAsia"/>
        </w:rPr>
      </w:pPr>
      <w:r>
        <w:rPr>
          <w:rStyle w:val="EndnoteReference"/>
        </w:rPr>
        <w:endnoteRef/>
      </w:r>
      <w:r>
        <w:rPr>
          <w:rFonts w:hint="eastAsia"/>
        </w:rPr>
        <w:t xml:space="preserve">  </w:t>
      </w:r>
      <w:r>
        <w:rPr>
          <w:rFonts w:hint="eastAsia"/>
        </w:rPr>
        <w:t>捷克共和国政府</w:t>
      </w:r>
      <w:r>
        <w:rPr>
          <w:rFonts w:hint="eastAsia"/>
        </w:rPr>
        <w:t>1999</w:t>
      </w:r>
      <w:r>
        <w:rPr>
          <w:rFonts w:hint="eastAsia"/>
        </w:rPr>
        <w:t>年</w:t>
      </w:r>
      <w:r>
        <w:rPr>
          <w:rFonts w:hint="eastAsia"/>
        </w:rPr>
        <w:t>10</w:t>
      </w:r>
      <w:r>
        <w:rPr>
          <w:rFonts w:hint="eastAsia"/>
        </w:rPr>
        <w:t>月</w:t>
      </w:r>
      <w:r>
        <w:rPr>
          <w:rFonts w:hint="eastAsia"/>
        </w:rPr>
        <w:t>18</w:t>
      </w:r>
      <w:r>
        <w:rPr>
          <w:rFonts w:hint="eastAsia"/>
        </w:rPr>
        <w:t>日第</w:t>
      </w:r>
      <w:r>
        <w:rPr>
          <w:rFonts w:hint="eastAsia"/>
        </w:rPr>
        <w:t>1088</w:t>
      </w:r>
      <w:r>
        <w:rPr>
          <w:rFonts w:hint="eastAsia"/>
        </w:rPr>
        <w:t>号决议，住房政策纲要。</w:t>
      </w:r>
    </w:p>
  </w:endnote>
  <w:endnote w:id="284">
    <w:p w:rsidR="00000000" w:rsidRDefault="00000000">
      <w:pPr>
        <w:pStyle w:val="EndnoteText"/>
        <w:rPr>
          <w:rFonts w:hint="eastAsia"/>
        </w:rPr>
      </w:pPr>
      <w:r>
        <w:rPr>
          <w:rStyle w:val="EndnoteReference"/>
        </w:rPr>
        <w:endnoteRef/>
      </w:r>
      <w:r>
        <w:t xml:space="preserve">  Act No. 222/1994 Coll.</w:t>
      </w:r>
      <w:r>
        <w:rPr>
          <w:lang w:val="en-GB"/>
        </w:rPr>
        <w:t>，</w:t>
      </w:r>
      <w:r>
        <w:t>on Conditions for Conducting Business and State Administration in the Energy Sectors and on the State Energy Inspection, as subsequently amended.</w:t>
      </w:r>
    </w:p>
  </w:endnote>
  <w:endnote w:id="285">
    <w:p w:rsidR="00000000" w:rsidRDefault="00000000">
      <w:pPr>
        <w:pStyle w:val="EndnoteText"/>
        <w:rPr>
          <w:rFonts w:hint="eastAsia"/>
        </w:rPr>
      </w:pPr>
      <w:r>
        <w:rPr>
          <w:rStyle w:val="EndnoteReference"/>
        </w:rPr>
        <w:endnoteRef/>
      </w:r>
      <w:r>
        <w:rPr>
          <w:rFonts w:hint="eastAsia"/>
        </w:rPr>
        <w:t xml:space="preserve">  </w:t>
      </w:r>
      <w:r>
        <w:rPr>
          <w:rFonts w:hint="eastAsia"/>
        </w:rPr>
        <w:t>捷克共和国政府</w:t>
      </w:r>
      <w:r>
        <w:rPr>
          <w:rFonts w:hint="eastAsia"/>
        </w:rPr>
        <w:t>1994</w:t>
      </w:r>
      <w:r>
        <w:rPr>
          <w:rFonts w:hint="eastAsia"/>
        </w:rPr>
        <w:t>年</w:t>
      </w:r>
      <w:r>
        <w:rPr>
          <w:rFonts w:hint="eastAsia"/>
        </w:rPr>
        <w:t>3</w:t>
      </w:r>
      <w:r>
        <w:rPr>
          <w:rFonts w:hint="eastAsia"/>
        </w:rPr>
        <w:t>月</w:t>
      </w:r>
      <w:r>
        <w:rPr>
          <w:rFonts w:hint="eastAsia"/>
        </w:rPr>
        <w:t>9</w:t>
      </w:r>
      <w:r>
        <w:rPr>
          <w:rFonts w:hint="eastAsia"/>
        </w:rPr>
        <w:t>日第</w:t>
      </w:r>
      <w:r>
        <w:rPr>
          <w:rFonts w:hint="eastAsia"/>
        </w:rPr>
        <w:t>122</w:t>
      </w:r>
      <w:r>
        <w:rPr>
          <w:rFonts w:hint="eastAsia"/>
        </w:rPr>
        <w:t>号决议，直到</w:t>
      </w:r>
      <w:r>
        <w:rPr>
          <w:rFonts w:hint="eastAsia"/>
        </w:rPr>
        <w:t>1995</w:t>
      </w:r>
      <w:r>
        <w:rPr>
          <w:rFonts w:hint="eastAsia"/>
        </w:rPr>
        <w:t>年和供以后阶段的农业政策基本原则。</w:t>
      </w:r>
    </w:p>
  </w:endnote>
  <w:endnote w:id="28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捷克共和国政府第</w:t>
      </w:r>
      <w:r>
        <w:rPr>
          <w:rFonts w:hint="eastAsia"/>
        </w:rPr>
        <w:t>341</w:t>
      </w:r>
      <w:r>
        <w:rPr>
          <w:rFonts w:hint="eastAsia"/>
        </w:rPr>
        <w:t>／</w:t>
      </w:r>
      <w:r>
        <w:rPr>
          <w:rFonts w:hint="eastAsia"/>
        </w:rPr>
        <w:t>1997 C</w:t>
      </w:r>
      <w:r>
        <w:t xml:space="preserve">oll. </w:t>
      </w:r>
      <w:r>
        <w:rPr>
          <w:rFonts w:hint="eastAsia"/>
        </w:rPr>
        <w:t>号条例，其中规定制定支持农业非生产性作用的支助方案，政府促进保护农村的活动和支持条件欠佳地区的援助方案；政府第</w:t>
      </w:r>
      <w:r>
        <w:rPr>
          <w:rFonts w:hint="eastAsia"/>
        </w:rPr>
        <w:t>24</w:t>
      </w:r>
      <w:r>
        <w:rPr>
          <w:rFonts w:hint="eastAsia"/>
        </w:rPr>
        <w:t>／</w:t>
      </w:r>
      <w:r>
        <w:rPr>
          <w:rFonts w:hint="eastAsia"/>
        </w:rPr>
        <w:t>1999 C</w:t>
      </w:r>
      <w:r>
        <w:t xml:space="preserve">oll. </w:t>
      </w:r>
      <w:r>
        <w:rPr>
          <w:rFonts w:hint="eastAsia"/>
        </w:rPr>
        <w:t>号条例，其中规定在</w:t>
      </w:r>
      <w:r>
        <w:rPr>
          <w:rFonts w:hint="eastAsia"/>
        </w:rPr>
        <w:t>1999</w:t>
      </w:r>
      <w:r>
        <w:rPr>
          <w:rFonts w:hint="eastAsia"/>
        </w:rPr>
        <w:t>年制定支持农业非生产性作用的支助方案，支持促进保护农村的活动和支持条件欠佳地区的援助方案。</w:t>
      </w:r>
    </w:p>
  </w:endnote>
  <w:endnote w:id="287">
    <w:p w:rsidR="00000000" w:rsidRDefault="00000000">
      <w:pPr>
        <w:pStyle w:val="EndnoteText"/>
      </w:pPr>
      <w:r>
        <w:rPr>
          <w:rStyle w:val="EndnoteReference"/>
        </w:rPr>
        <w:endnoteRef/>
      </w:r>
      <w:r>
        <w:t xml:space="preserve"> </w:t>
      </w:r>
      <w:r>
        <w:rPr>
          <w:rFonts w:hint="eastAsia"/>
        </w:rPr>
        <w:t xml:space="preserve"> W</w:t>
      </w:r>
      <w:r>
        <w:t>orld Trade Organisation(WTO).</w:t>
      </w:r>
    </w:p>
  </w:endnote>
  <w:endnote w:id="288">
    <w:p w:rsidR="00000000" w:rsidRDefault="00000000">
      <w:pPr>
        <w:pStyle w:val="EndnoteText"/>
        <w:rPr>
          <w:rFonts w:hint="eastAsia"/>
        </w:rPr>
      </w:pPr>
      <w:r>
        <w:rPr>
          <w:rStyle w:val="EndnoteReference"/>
        </w:rPr>
        <w:endnoteRef/>
      </w:r>
      <w:r>
        <w:t xml:space="preserve"> </w:t>
      </w:r>
      <w:r>
        <w:rPr>
          <w:rFonts w:hint="eastAsia"/>
        </w:rPr>
        <w:t xml:space="preserve"> </w:t>
      </w:r>
      <w:r>
        <w:t>Act No. 348/1997 Coll.</w:t>
      </w:r>
      <w:r>
        <w:t>，</w:t>
      </w:r>
      <w:r>
        <w:t>on the State Budget of the Czech Republic for 1998.</w:t>
      </w:r>
    </w:p>
  </w:endnote>
  <w:endnote w:id="28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根据政府</w:t>
      </w:r>
      <w:r>
        <w:rPr>
          <w:rFonts w:hint="eastAsia"/>
        </w:rPr>
        <w:t>1995</w:t>
      </w:r>
      <w:r>
        <w:rPr>
          <w:rFonts w:hint="eastAsia"/>
        </w:rPr>
        <w:t>年</w:t>
      </w:r>
      <w:r>
        <w:rPr>
          <w:rFonts w:hint="eastAsia"/>
        </w:rPr>
        <w:t>3</w:t>
      </w:r>
      <w:r>
        <w:rPr>
          <w:rFonts w:hint="eastAsia"/>
        </w:rPr>
        <w:t>月</w:t>
      </w:r>
      <w:r>
        <w:rPr>
          <w:rFonts w:hint="eastAsia"/>
        </w:rPr>
        <w:t>15</w:t>
      </w:r>
      <w:r>
        <w:rPr>
          <w:rFonts w:hint="eastAsia"/>
        </w:rPr>
        <w:t>日关于提供外援原则的第</w:t>
      </w:r>
      <w:r>
        <w:rPr>
          <w:rFonts w:hint="eastAsia"/>
        </w:rPr>
        <w:t>153</w:t>
      </w:r>
      <w:r>
        <w:rPr>
          <w:rFonts w:hint="eastAsia"/>
        </w:rPr>
        <w:t>号决议，后经政府</w:t>
      </w:r>
      <w:r>
        <w:rPr>
          <w:rFonts w:hint="eastAsia"/>
        </w:rPr>
        <w:t>1996</w:t>
      </w:r>
      <w:r>
        <w:rPr>
          <w:rFonts w:hint="eastAsia"/>
        </w:rPr>
        <w:t>年</w:t>
      </w:r>
      <w:r>
        <w:rPr>
          <w:rFonts w:hint="eastAsia"/>
        </w:rPr>
        <w:t>6</w:t>
      </w:r>
      <w:r>
        <w:rPr>
          <w:rFonts w:hint="eastAsia"/>
        </w:rPr>
        <w:t>月</w:t>
      </w:r>
      <w:r>
        <w:rPr>
          <w:rFonts w:hint="eastAsia"/>
        </w:rPr>
        <w:t>19</w:t>
      </w:r>
      <w:r>
        <w:rPr>
          <w:rFonts w:hint="eastAsia"/>
        </w:rPr>
        <w:t>日关于</w:t>
      </w:r>
      <w:r>
        <w:rPr>
          <w:rFonts w:hint="eastAsia"/>
        </w:rPr>
        <w:t>1997</w:t>
      </w:r>
      <w:r>
        <w:rPr>
          <w:rFonts w:hint="eastAsia"/>
        </w:rPr>
        <w:t>年外援计划和修正政府</w:t>
      </w:r>
      <w:r>
        <w:rPr>
          <w:rFonts w:hint="eastAsia"/>
        </w:rPr>
        <w:t>1995</w:t>
      </w:r>
      <w:r>
        <w:rPr>
          <w:rFonts w:hint="eastAsia"/>
        </w:rPr>
        <w:t>年</w:t>
      </w:r>
      <w:r>
        <w:rPr>
          <w:rFonts w:hint="eastAsia"/>
        </w:rPr>
        <w:t>3</w:t>
      </w:r>
      <w:r>
        <w:rPr>
          <w:rFonts w:hint="eastAsia"/>
        </w:rPr>
        <w:t>月</w:t>
      </w:r>
      <w:r>
        <w:rPr>
          <w:rFonts w:hint="eastAsia"/>
        </w:rPr>
        <w:t>15</w:t>
      </w:r>
      <w:r>
        <w:rPr>
          <w:rFonts w:hint="eastAsia"/>
        </w:rPr>
        <w:t>日第</w:t>
      </w:r>
      <w:r>
        <w:rPr>
          <w:rFonts w:hint="eastAsia"/>
        </w:rPr>
        <w:t>153</w:t>
      </w:r>
      <w:r>
        <w:rPr>
          <w:rFonts w:hint="eastAsia"/>
        </w:rPr>
        <w:t>号的第</w:t>
      </w:r>
      <w:r>
        <w:rPr>
          <w:rFonts w:hint="eastAsia"/>
        </w:rPr>
        <w:t>342</w:t>
      </w:r>
      <w:r>
        <w:rPr>
          <w:rFonts w:hint="eastAsia"/>
        </w:rPr>
        <w:t>号决议修正。</w:t>
      </w:r>
    </w:p>
  </w:endnote>
  <w:endnote w:id="290">
    <w:p w:rsidR="00000000" w:rsidRDefault="00000000">
      <w:pPr>
        <w:pStyle w:val="EndnoteText"/>
        <w:rPr>
          <w:rFonts w:hint="eastAsia"/>
        </w:rPr>
      </w:pPr>
      <w:r>
        <w:rPr>
          <w:rStyle w:val="EndnoteReference"/>
        </w:rPr>
        <w:endnoteRef/>
      </w:r>
      <w:r>
        <w:t xml:space="preserve"> </w:t>
      </w:r>
      <w:r>
        <w:rPr>
          <w:rFonts w:hint="eastAsia"/>
        </w:rPr>
        <w:t xml:space="preserve"> </w:t>
      </w:r>
      <w:r>
        <w:t>Act No. 110/1997 Coll.</w:t>
      </w:r>
      <w:r>
        <w:t>，</w:t>
      </w:r>
      <w:r>
        <w:t>on Food and Tobacco Products, as subsequently amended</w:t>
      </w:r>
      <w:r>
        <w:rPr>
          <w:rFonts w:hint="eastAsia"/>
        </w:rPr>
        <w:t>。</w:t>
      </w:r>
    </w:p>
  </w:endnote>
  <w:endnote w:id="291">
    <w:p w:rsidR="00000000" w:rsidRDefault="00000000">
      <w:pPr>
        <w:pStyle w:val="EndnoteText"/>
      </w:pPr>
      <w:r>
        <w:rPr>
          <w:rStyle w:val="EndnoteReference"/>
        </w:rPr>
        <w:endnoteRef/>
      </w:r>
      <w:r>
        <w:rPr>
          <w:rFonts w:hint="eastAsia"/>
        </w:rPr>
        <w:t xml:space="preserve">  </w:t>
      </w:r>
      <w:r>
        <w:rPr>
          <w:rFonts w:hint="eastAsia"/>
        </w:rPr>
        <w:t>由捷克共和国政府</w:t>
      </w:r>
      <w:r>
        <w:rPr>
          <w:rFonts w:hint="eastAsia"/>
        </w:rPr>
        <w:t>1998</w:t>
      </w:r>
      <w:r>
        <w:rPr>
          <w:rFonts w:hint="eastAsia"/>
        </w:rPr>
        <w:t>年</w:t>
      </w:r>
      <w:r>
        <w:rPr>
          <w:rFonts w:hint="eastAsia"/>
        </w:rPr>
        <w:t>12</w:t>
      </w:r>
      <w:r>
        <w:rPr>
          <w:rFonts w:hint="eastAsia"/>
        </w:rPr>
        <w:t>月</w:t>
      </w:r>
      <w:r>
        <w:rPr>
          <w:rFonts w:hint="eastAsia"/>
        </w:rPr>
        <w:t>9</w:t>
      </w:r>
      <w:r>
        <w:rPr>
          <w:rFonts w:hint="eastAsia"/>
        </w:rPr>
        <w:t>日关于捷克共和国卫生和环境行动计划的第</w:t>
      </w:r>
      <w:r>
        <w:rPr>
          <w:rFonts w:hint="eastAsia"/>
        </w:rPr>
        <w:t>810</w:t>
      </w:r>
      <w:r>
        <w:rPr>
          <w:rFonts w:hint="eastAsia"/>
        </w:rPr>
        <w:t>号决议批准</w:t>
      </w:r>
      <w:r>
        <w:rPr>
          <w:rFonts w:hint="eastAsia"/>
        </w:rPr>
        <w:t>(</w:t>
      </w:r>
      <w:r>
        <w:rPr>
          <w:rFonts w:hint="eastAsia"/>
        </w:rPr>
        <w:t>国家环境卫生行动计划－</w:t>
      </w:r>
      <w:r>
        <w:rPr>
          <w:rFonts w:hint="eastAsia"/>
        </w:rPr>
        <w:t>NEHAP)</w:t>
      </w:r>
      <w:r>
        <w:rPr>
          <w:rFonts w:hint="eastAsia"/>
        </w:rPr>
        <w:t>。</w:t>
      </w:r>
    </w:p>
  </w:endnote>
  <w:endnote w:id="292">
    <w:p w:rsidR="00000000" w:rsidRDefault="00000000">
      <w:pPr>
        <w:pStyle w:val="EndnoteText"/>
      </w:pPr>
      <w:r>
        <w:rPr>
          <w:rStyle w:val="EndnoteReference"/>
        </w:rPr>
        <w:endnoteRef/>
      </w:r>
      <w:r>
        <w:rPr>
          <w:rFonts w:hint="eastAsia"/>
        </w:rPr>
        <w:t xml:space="preserve">  </w:t>
      </w:r>
      <w:r>
        <w:rPr>
          <w:rFonts w:hint="eastAsia"/>
        </w:rPr>
        <w:t>捷克共和国政府关于振兴和支持保健的国家方案和振兴和支持保健中期战略项目草案的第</w:t>
      </w:r>
      <w:r>
        <w:rPr>
          <w:rFonts w:hint="eastAsia"/>
        </w:rPr>
        <w:t>273</w:t>
      </w:r>
      <w:r>
        <w:rPr>
          <w:rFonts w:hint="eastAsia"/>
        </w:rPr>
        <w:t>号决议。</w:t>
      </w:r>
    </w:p>
  </w:endnote>
  <w:endnote w:id="29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1999</w:t>
      </w:r>
      <w:r>
        <w:rPr>
          <w:rFonts w:hint="eastAsia"/>
        </w:rPr>
        <w:t>年</w:t>
      </w:r>
      <w:r>
        <w:rPr>
          <w:rFonts w:hint="eastAsia"/>
        </w:rPr>
        <w:t>7</w:t>
      </w:r>
      <w:r>
        <w:rPr>
          <w:rFonts w:hint="eastAsia"/>
        </w:rPr>
        <w:t>月</w:t>
      </w:r>
      <w:r>
        <w:rPr>
          <w:rFonts w:hint="eastAsia"/>
        </w:rPr>
        <w:t>22</w:t>
      </w:r>
      <w:r>
        <w:rPr>
          <w:rFonts w:hint="eastAsia"/>
        </w:rPr>
        <w:t>日关于振兴和支持保健国家方案的第</w:t>
      </w:r>
      <w:r>
        <w:rPr>
          <w:rFonts w:hint="eastAsia"/>
        </w:rPr>
        <w:t>27</w:t>
      </w:r>
      <w:r>
        <w:rPr>
          <w:rFonts w:hint="eastAsia"/>
        </w:rPr>
        <w:t>号决议。</w:t>
      </w:r>
    </w:p>
  </w:endnote>
  <w:endnote w:id="29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由捷克共和国政府</w:t>
      </w:r>
      <w:r>
        <w:rPr>
          <w:rFonts w:hint="eastAsia"/>
        </w:rPr>
        <w:t>1992</w:t>
      </w:r>
      <w:r>
        <w:rPr>
          <w:rFonts w:hint="eastAsia"/>
        </w:rPr>
        <w:t>年</w:t>
      </w:r>
      <w:r>
        <w:rPr>
          <w:rFonts w:hint="eastAsia"/>
        </w:rPr>
        <w:t>4</w:t>
      </w:r>
      <w:r>
        <w:rPr>
          <w:rFonts w:hint="eastAsia"/>
        </w:rPr>
        <w:t>月</w:t>
      </w:r>
      <w:r>
        <w:rPr>
          <w:rFonts w:hint="eastAsia"/>
        </w:rPr>
        <w:t>15</w:t>
      </w:r>
      <w:r>
        <w:rPr>
          <w:rFonts w:hint="eastAsia"/>
        </w:rPr>
        <w:t>日关于重整和支持保健国家方案和重整和支持保健中期战略项目草案批准。</w:t>
      </w:r>
    </w:p>
  </w:endnote>
  <w:endnote w:id="29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世界卫生组织</w:t>
      </w:r>
      <w:r>
        <w:rPr>
          <w:rFonts w:hint="eastAsia"/>
        </w:rPr>
        <w:t>(</w:t>
      </w:r>
      <w:r>
        <w:rPr>
          <w:rFonts w:hint="eastAsia"/>
        </w:rPr>
        <w:t>卫生组织</w:t>
      </w:r>
      <w:r>
        <w:rPr>
          <w:rFonts w:hint="eastAsia"/>
        </w:rPr>
        <w:t>)</w:t>
      </w:r>
      <w:r>
        <w:rPr>
          <w:rFonts w:hint="eastAsia"/>
        </w:rPr>
        <w:t>。</w:t>
      </w:r>
    </w:p>
  </w:endnote>
  <w:endnote w:id="296">
    <w:p w:rsidR="00000000" w:rsidRDefault="00000000">
      <w:pPr>
        <w:pStyle w:val="EndnoteText"/>
        <w:rPr>
          <w:rFonts w:hint="eastAsia"/>
        </w:rPr>
      </w:pPr>
      <w:r>
        <w:rPr>
          <w:rStyle w:val="EndnoteReference"/>
        </w:rPr>
        <w:endnoteRef/>
      </w:r>
      <w:r>
        <w:t xml:space="preserve">  Act No. 20/1966 Coll.</w:t>
      </w:r>
      <w:r>
        <w:t>，</w:t>
      </w:r>
      <w:r>
        <w:t>on Public Health, as subsequently amended.</w:t>
      </w:r>
    </w:p>
  </w:endnote>
  <w:endnote w:id="297">
    <w:p w:rsidR="00000000" w:rsidRDefault="00000000">
      <w:pPr>
        <w:pStyle w:val="EndnoteText"/>
      </w:pPr>
      <w:r>
        <w:rPr>
          <w:rStyle w:val="EndnoteReference"/>
        </w:rPr>
        <w:endnoteRef/>
      </w:r>
      <w:r>
        <w:t xml:space="preserve"> </w:t>
      </w:r>
      <w:r>
        <w:rPr>
          <w:rFonts w:hint="eastAsia"/>
        </w:rPr>
        <w:t xml:space="preserve"> </w:t>
      </w:r>
      <w:r>
        <w:t>Act No. 48/1997 Coll.</w:t>
      </w:r>
      <w:r>
        <w:t>，</w:t>
      </w:r>
      <w:r>
        <w:t>on Public Health Insurance, as subsequently amended.</w:t>
      </w:r>
    </w:p>
  </w:endnote>
  <w:endnote w:id="298">
    <w:p w:rsidR="00000000" w:rsidRDefault="00000000">
      <w:pPr>
        <w:pStyle w:val="EndnoteText"/>
        <w:rPr>
          <w:rFonts w:hint="eastAsia"/>
        </w:rPr>
      </w:pPr>
      <w:r>
        <w:rPr>
          <w:rStyle w:val="EndnoteReference"/>
        </w:rPr>
        <w:endnoteRef/>
      </w:r>
      <w:r>
        <w:t xml:space="preserve">  Act No. 592/1992 Coll.</w:t>
      </w:r>
      <w:r>
        <w:t>，</w:t>
      </w:r>
      <w:r>
        <w:t>on Premiums for General Health Insurance, as subsequently amended.</w:t>
      </w:r>
    </w:p>
  </w:endnote>
  <w:endnote w:id="299">
    <w:p w:rsidR="00000000" w:rsidRDefault="00000000">
      <w:pPr>
        <w:pStyle w:val="EndnoteText"/>
        <w:rPr>
          <w:rFonts w:hint="eastAsia"/>
        </w:rPr>
      </w:pPr>
      <w:r>
        <w:rPr>
          <w:rStyle w:val="EndnoteReference"/>
        </w:rPr>
        <w:endnoteRef/>
      </w:r>
      <w:r>
        <w:t xml:space="preserve"> </w:t>
      </w:r>
      <w:r>
        <w:rPr>
          <w:rFonts w:hint="eastAsia"/>
        </w:rPr>
        <w:t xml:space="preserve"> </w:t>
      </w:r>
      <w:r>
        <w:t>Act No. 468/1991 Coll.</w:t>
      </w:r>
      <w:r>
        <w:t>，</w:t>
      </w:r>
      <w:r>
        <w:t>on Radio and Television Broadcasting, as subsequently amended.</w:t>
      </w:r>
    </w:p>
  </w:endnote>
  <w:endnote w:id="300">
    <w:p w:rsidR="00000000" w:rsidRDefault="00000000">
      <w:pPr>
        <w:pStyle w:val="EndnoteText"/>
        <w:rPr>
          <w:rFonts w:hint="eastAsia"/>
        </w:rPr>
      </w:pPr>
      <w:r>
        <w:rPr>
          <w:rStyle w:val="EndnoteReference"/>
        </w:rPr>
        <w:endnoteRef/>
      </w:r>
      <w:r>
        <w:t xml:space="preserve"> </w:t>
      </w:r>
      <w:r>
        <w:rPr>
          <w:rFonts w:hint="eastAsia"/>
        </w:rPr>
        <w:t xml:space="preserve"> </w:t>
      </w:r>
      <w:r>
        <w:t>Act No. 40/1995 Coll.</w:t>
      </w:r>
      <w:r>
        <w:t>，</w:t>
      </w:r>
      <w:r>
        <w:t>on Regulating Advertising, as subsequently amended.</w:t>
      </w:r>
    </w:p>
  </w:endnote>
  <w:endnote w:id="301">
    <w:p w:rsidR="00000000" w:rsidRDefault="00000000">
      <w:pPr>
        <w:pStyle w:val="EndnoteText"/>
        <w:rPr>
          <w:rFonts w:hint="eastAsia"/>
        </w:rPr>
      </w:pPr>
      <w:r>
        <w:rPr>
          <w:rStyle w:val="EndnoteReference"/>
        </w:rPr>
        <w:endnoteRef/>
      </w:r>
      <w:r>
        <w:t xml:space="preserve"> </w:t>
      </w:r>
      <w:r>
        <w:rPr>
          <w:rFonts w:hint="eastAsia"/>
        </w:rPr>
        <w:t xml:space="preserve"> </w:t>
      </w:r>
      <w:r>
        <w:t>Act No. 66/1986 Coll.</w:t>
      </w:r>
      <w:r>
        <w:t>，</w:t>
      </w:r>
      <w:r>
        <w:t>on Abortion.  Decree of the Ministry of Health No. 75/1986 Coll.</w:t>
      </w:r>
      <w:r>
        <w:t>，</w:t>
      </w:r>
      <w:r>
        <w:t>Implementing Act No. 66/1986 Coll.</w:t>
      </w:r>
      <w:r>
        <w:t>，</w:t>
      </w:r>
      <w:r>
        <w:t>on Abortion.</w:t>
      </w:r>
    </w:p>
  </w:endnote>
  <w:endnote w:id="30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国际计划生育协会。</w:t>
      </w:r>
    </w:p>
  </w:endnote>
  <w:endnote w:id="303">
    <w:p w:rsidR="00000000" w:rsidRDefault="00000000">
      <w:pPr>
        <w:pStyle w:val="EndnoteText"/>
        <w:rPr>
          <w:rFonts w:hint="eastAsia"/>
        </w:rPr>
      </w:pPr>
      <w:r>
        <w:rPr>
          <w:rStyle w:val="EndnoteReference"/>
        </w:rPr>
        <w:endnoteRef/>
      </w:r>
      <w:r>
        <w:t xml:space="preserve"> </w:t>
      </w:r>
      <w:r>
        <w:rPr>
          <w:rFonts w:hint="eastAsia"/>
        </w:rPr>
        <w:t xml:space="preserve"> </w:t>
      </w:r>
      <w:r>
        <w:t>Act No. 20/1996 Coll.</w:t>
      </w:r>
      <w:r>
        <w:t>，</w:t>
      </w:r>
      <w:r>
        <w:t>on Public Health, as subsequently amended.</w:t>
      </w:r>
    </w:p>
  </w:endnote>
  <w:endnote w:id="30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国际计划生育协会性和生育权利宪章</w:t>
      </w:r>
      <w:r>
        <w:rPr>
          <w:rFonts w:hint="eastAsia"/>
        </w:rPr>
        <w:t>(1997</w:t>
      </w:r>
      <w:r>
        <w:rPr>
          <w:rFonts w:hint="eastAsia"/>
        </w:rPr>
        <w:t>年</w:t>
      </w:r>
      <w:r>
        <w:rPr>
          <w:rFonts w:hint="eastAsia"/>
        </w:rPr>
        <w:t>)</w:t>
      </w:r>
      <w:r>
        <w:rPr>
          <w:rFonts w:hint="eastAsia"/>
        </w:rPr>
        <w:t>，第</w:t>
      </w:r>
      <w:r>
        <w:rPr>
          <w:rFonts w:hint="eastAsia"/>
        </w:rPr>
        <w:t>6</w:t>
      </w:r>
      <w:r>
        <w:rPr>
          <w:rFonts w:hint="eastAsia"/>
        </w:rPr>
        <w:t>页，计划生育协会，布拉格。</w:t>
      </w:r>
    </w:p>
  </w:endnote>
  <w:endnote w:id="30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卫生部关于门诊治疗的第</w:t>
      </w:r>
      <w:r>
        <w:rPr>
          <w:rFonts w:hint="eastAsia"/>
        </w:rPr>
        <w:t>60/1997</w:t>
      </w:r>
      <w:r>
        <w:rPr>
          <w:rFonts w:hint="eastAsia"/>
        </w:rPr>
        <w:t>号法令。</w:t>
      </w:r>
    </w:p>
  </w:endnote>
  <w:endnote w:id="30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w:t>
      </w:r>
      <w:r>
        <w:rPr>
          <w:rFonts w:hint="eastAsia"/>
        </w:rPr>
        <w:t>1998</w:t>
      </w:r>
      <w:r>
        <w:rPr>
          <w:rFonts w:hint="eastAsia"/>
        </w:rPr>
        <w:t>年捷克共和国里毒品问题状况和事态发展报告》，由部委间毒品委员会根据有关部委提供的材料编写而成。</w:t>
      </w:r>
    </w:p>
  </w:endnote>
  <w:endnote w:id="30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1998</w:t>
      </w:r>
      <w:r>
        <w:rPr>
          <w:rFonts w:hint="eastAsia"/>
        </w:rPr>
        <w:t>年</w:t>
      </w:r>
      <w:r>
        <w:rPr>
          <w:rFonts w:hint="eastAsia"/>
        </w:rPr>
        <w:t>2</w:t>
      </w:r>
      <w:r>
        <w:rPr>
          <w:rFonts w:hint="eastAsia"/>
        </w:rPr>
        <w:t>月</w:t>
      </w:r>
      <w:r>
        <w:rPr>
          <w:rFonts w:hint="eastAsia"/>
        </w:rPr>
        <w:t>23</w:t>
      </w:r>
      <w:r>
        <w:rPr>
          <w:rFonts w:hint="eastAsia"/>
        </w:rPr>
        <w:t>日关于</w:t>
      </w:r>
      <w:r>
        <w:rPr>
          <w:rFonts w:hint="eastAsia"/>
        </w:rPr>
        <w:t>1998-2001</w:t>
      </w:r>
      <w:r>
        <w:rPr>
          <w:rFonts w:hint="eastAsia"/>
        </w:rPr>
        <w:t>年禁毒政策纲要和方案的第</w:t>
      </w:r>
      <w:r>
        <w:rPr>
          <w:rFonts w:hint="eastAsia"/>
        </w:rPr>
        <w:t>111</w:t>
      </w:r>
      <w:r>
        <w:rPr>
          <w:rFonts w:hint="eastAsia"/>
        </w:rPr>
        <w:t>号决议。</w:t>
      </w:r>
    </w:p>
  </w:endnote>
  <w:endnote w:id="30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随后经修正的关于公共健康保险的第</w:t>
      </w:r>
      <w:r>
        <w:rPr>
          <w:rFonts w:hint="eastAsia"/>
        </w:rPr>
        <w:t>48/1997</w:t>
      </w:r>
      <w:r>
        <w:rPr>
          <w:rFonts w:hint="eastAsia"/>
        </w:rPr>
        <w:t>号法令。</w:t>
      </w:r>
    </w:p>
  </w:endnote>
  <w:endnote w:id="30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随后修正的卫生部关于防止传染病接种的第</w:t>
      </w:r>
      <w:r>
        <w:rPr>
          <w:rFonts w:hint="eastAsia"/>
        </w:rPr>
        <w:t>48/1991</w:t>
      </w:r>
      <w:r>
        <w:rPr>
          <w:rFonts w:hint="eastAsia"/>
        </w:rPr>
        <w:t>号法令。</w:t>
      </w:r>
    </w:p>
  </w:endnote>
  <w:endnote w:id="31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关于药品和修正并补充某些有关法令的第</w:t>
      </w:r>
      <w:r>
        <w:rPr>
          <w:rFonts w:hint="eastAsia"/>
        </w:rPr>
        <w:t>79/1997</w:t>
      </w:r>
      <w:r>
        <w:rPr>
          <w:rFonts w:hint="eastAsia"/>
        </w:rPr>
        <w:t>号法令。</w:t>
      </w:r>
    </w:p>
  </w:endnote>
  <w:endnote w:id="31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1991</w:t>
      </w:r>
      <w:r>
        <w:rPr>
          <w:rFonts w:hint="eastAsia"/>
        </w:rPr>
        <w:t>年</w:t>
      </w:r>
      <w:r>
        <w:rPr>
          <w:rFonts w:hint="eastAsia"/>
        </w:rPr>
        <w:t>2</w:t>
      </w:r>
      <w:r>
        <w:rPr>
          <w:rFonts w:hint="eastAsia"/>
        </w:rPr>
        <w:t>月</w:t>
      </w:r>
      <w:r>
        <w:rPr>
          <w:rFonts w:hint="eastAsia"/>
        </w:rPr>
        <w:t>20</w:t>
      </w:r>
      <w:r>
        <w:rPr>
          <w:rFonts w:hint="eastAsia"/>
        </w:rPr>
        <w:t>日关于全国艾滋病预防方案的第</w:t>
      </w:r>
      <w:r>
        <w:rPr>
          <w:rFonts w:hint="eastAsia"/>
        </w:rPr>
        <w:t>47</w:t>
      </w:r>
      <w:r>
        <w:rPr>
          <w:rFonts w:hint="eastAsia"/>
        </w:rPr>
        <w:t>号决议。</w:t>
      </w:r>
    </w:p>
  </w:endnote>
  <w:endnote w:id="31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随后经修正的关于戒除酗酒和其他毒素成瘾的第</w:t>
      </w:r>
      <w:r>
        <w:rPr>
          <w:rFonts w:hint="eastAsia"/>
        </w:rPr>
        <w:t>37/1989</w:t>
      </w:r>
      <w:r>
        <w:rPr>
          <w:rFonts w:hint="eastAsia"/>
        </w:rPr>
        <w:t>号法令。</w:t>
      </w:r>
    </w:p>
  </w:endnote>
  <w:endnote w:id="31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关于了解环境情况的权利的第</w:t>
      </w:r>
      <w:r>
        <w:rPr>
          <w:rFonts w:hint="eastAsia"/>
        </w:rPr>
        <w:t>123/1998</w:t>
      </w:r>
      <w:r>
        <w:rPr>
          <w:rFonts w:hint="eastAsia"/>
        </w:rPr>
        <w:t>号法令。</w:t>
      </w:r>
    </w:p>
  </w:endnote>
  <w:endnote w:id="31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教育、青年和体育部和环境部部长</w:t>
      </w:r>
      <w:r>
        <w:rPr>
          <w:rFonts w:hint="eastAsia"/>
        </w:rPr>
        <w:t>1999</w:t>
      </w:r>
      <w:r>
        <w:rPr>
          <w:rFonts w:hint="eastAsia"/>
        </w:rPr>
        <w:t>年</w:t>
      </w:r>
      <w:r>
        <w:rPr>
          <w:rFonts w:hint="eastAsia"/>
        </w:rPr>
        <w:t>12</w:t>
      </w:r>
      <w:r>
        <w:rPr>
          <w:rFonts w:hint="eastAsia"/>
        </w:rPr>
        <w:t>月</w:t>
      </w:r>
      <w:r>
        <w:rPr>
          <w:rFonts w:hint="eastAsia"/>
        </w:rPr>
        <w:t>8</w:t>
      </w:r>
      <w:r>
        <w:rPr>
          <w:rFonts w:hint="eastAsia"/>
        </w:rPr>
        <w:t>日签署的两部之间关于环境信息、教育和培训方面合作部委间协议。</w:t>
      </w:r>
    </w:p>
  </w:endnote>
  <w:endnote w:id="315">
    <w:p w:rsidR="00000000" w:rsidRDefault="00000000">
      <w:pPr>
        <w:pStyle w:val="EndnoteText"/>
        <w:rPr>
          <w:rFonts w:hint="eastAsia"/>
        </w:rPr>
      </w:pPr>
      <w:r>
        <w:rPr>
          <w:rStyle w:val="EndnoteReference"/>
        </w:rPr>
        <w:endnoteRef/>
      </w:r>
      <w:r>
        <w:t xml:space="preserve"> </w:t>
      </w:r>
      <w:r>
        <w:rPr>
          <w:rFonts w:hint="eastAsia"/>
        </w:rPr>
        <w:t xml:space="preserve">  1999</w:t>
      </w:r>
      <w:r>
        <w:rPr>
          <w:rFonts w:hint="eastAsia"/>
        </w:rPr>
        <w:t>年</w:t>
      </w:r>
      <w:r>
        <w:rPr>
          <w:rFonts w:hint="eastAsia"/>
        </w:rPr>
        <w:t>4</w:t>
      </w:r>
      <w:r>
        <w:rPr>
          <w:rFonts w:hint="eastAsia"/>
        </w:rPr>
        <w:t>月</w:t>
      </w:r>
      <w:r>
        <w:rPr>
          <w:rFonts w:hint="eastAsia"/>
        </w:rPr>
        <w:t>14</w:t>
      </w:r>
      <w:r>
        <w:rPr>
          <w:rFonts w:hint="eastAsia"/>
        </w:rPr>
        <w:t>日关于国家环境政策的第</w:t>
      </w:r>
      <w:r>
        <w:rPr>
          <w:rFonts w:hint="eastAsia"/>
        </w:rPr>
        <w:t>323</w:t>
      </w:r>
      <w:r>
        <w:rPr>
          <w:rFonts w:hint="eastAsia"/>
        </w:rPr>
        <w:t>号政府决议。</w:t>
      </w:r>
    </w:p>
  </w:endnote>
  <w:endnote w:id="31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这些文件在环境部网页上全文登载。</w:t>
      </w:r>
    </w:p>
  </w:endnote>
  <w:endnote w:id="31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随后经修正的关于水的第</w:t>
      </w:r>
      <w:r>
        <w:rPr>
          <w:rFonts w:hint="eastAsia"/>
        </w:rPr>
        <w:t>138/1973</w:t>
      </w:r>
      <w:r>
        <w:rPr>
          <w:rFonts w:hint="eastAsia"/>
        </w:rPr>
        <w:t>号法令</w:t>
      </w:r>
      <w:r>
        <w:rPr>
          <w:rFonts w:hint="eastAsia"/>
        </w:rPr>
        <w:t>(</w:t>
      </w:r>
      <w:r>
        <w:rPr>
          <w:rFonts w:hint="eastAsia"/>
        </w:rPr>
        <w:t>《水法》</w:t>
      </w:r>
      <w:r>
        <w:rPr>
          <w:rFonts w:hint="eastAsia"/>
        </w:rPr>
        <w:t>)</w:t>
      </w:r>
      <w:r>
        <w:rPr>
          <w:rFonts w:hint="eastAsia"/>
        </w:rPr>
        <w:t>。</w:t>
      </w:r>
    </w:p>
  </w:endnote>
  <w:endnote w:id="31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随后经修正的关于保护空气免遭污染的第</w:t>
      </w:r>
      <w:r>
        <w:rPr>
          <w:rFonts w:hint="eastAsia"/>
        </w:rPr>
        <w:t>389/1991</w:t>
      </w:r>
      <w:r>
        <w:rPr>
          <w:rFonts w:hint="eastAsia"/>
        </w:rPr>
        <w:t>号法令</w:t>
      </w:r>
      <w:r>
        <w:rPr>
          <w:rFonts w:hint="eastAsia"/>
        </w:rPr>
        <w:t>(</w:t>
      </w:r>
      <w:r>
        <w:rPr>
          <w:rFonts w:hint="eastAsia"/>
        </w:rPr>
        <w:t>《空气法》</w:t>
      </w:r>
      <w:r>
        <w:rPr>
          <w:rFonts w:hint="eastAsia"/>
        </w:rPr>
        <w:t>)</w:t>
      </w:r>
      <w:r>
        <w:rPr>
          <w:rFonts w:hint="eastAsia"/>
        </w:rPr>
        <w:t>。</w:t>
      </w:r>
    </w:p>
  </w:endnote>
  <w:endnote w:id="31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关于保护地球臭氧层的第</w:t>
      </w:r>
      <w:r>
        <w:rPr>
          <w:rFonts w:hint="eastAsia"/>
        </w:rPr>
        <w:t>86/1995</w:t>
      </w:r>
      <w:r>
        <w:rPr>
          <w:rFonts w:hint="eastAsia"/>
        </w:rPr>
        <w:t>号法令。</w:t>
      </w:r>
    </w:p>
  </w:endnote>
  <w:endnote w:id="32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后来经修正的环境部第</w:t>
      </w:r>
      <w:r>
        <w:rPr>
          <w:rFonts w:hint="eastAsia"/>
        </w:rPr>
        <w:t>41/1992</w:t>
      </w:r>
      <w:r>
        <w:rPr>
          <w:rFonts w:hint="eastAsia"/>
        </w:rPr>
        <w:t>号法令，该法令界定了需要特别保护空气的方面并规定了建立和运作</w:t>
      </w:r>
      <w:r>
        <w:rPr>
          <w:rFonts w:hint="eastAsia"/>
          <w:spacing w:val="10"/>
        </w:rPr>
        <w:t>烟雾管制系统的原则和空气保护的某些其他措施。</w:t>
      </w:r>
    </w:p>
  </w:endnote>
  <w:endnote w:id="32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后来经修正的联邦环境委员会关于保护空气免遭污染物的第</w:t>
      </w:r>
      <w:r>
        <w:rPr>
          <w:rFonts w:hint="eastAsia"/>
        </w:rPr>
        <w:t>309/1991</w:t>
      </w:r>
      <w:r>
        <w:rPr>
          <w:rFonts w:hint="eastAsia"/>
        </w:rPr>
        <w:t>号法令的第</w:t>
      </w:r>
      <w:r>
        <w:rPr>
          <w:rFonts w:hint="eastAsia"/>
        </w:rPr>
        <w:t>33/1991</w:t>
      </w:r>
      <w:r>
        <w:rPr>
          <w:rFonts w:hint="eastAsia"/>
        </w:rPr>
        <w:t>号措施。</w:t>
      </w:r>
    </w:p>
  </w:endnote>
  <w:endnote w:id="32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后来经修正的关于保护自然和乡村的第</w:t>
      </w:r>
      <w:r>
        <w:rPr>
          <w:rFonts w:hint="eastAsia"/>
        </w:rPr>
        <w:t>114/1992</w:t>
      </w:r>
      <w:r>
        <w:rPr>
          <w:rFonts w:hint="eastAsia"/>
        </w:rPr>
        <w:t>号法令，以及后来经修正的捷克共和国环境部旨在执行关于保护自然和乡村的第</w:t>
      </w:r>
      <w:r>
        <w:rPr>
          <w:rFonts w:hint="eastAsia"/>
        </w:rPr>
        <w:t>114/1992</w:t>
      </w:r>
      <w:r>
        <w:rPr>
          <w:rFonts w:hint="eastAsia"/>
        </w:rPr>
        <w:t>号法令某些规定的第</w:t>
      </w:r>
      <w:r>
        <w:rPr>
          <w:rFonts w:hint="eastAsia"/>
        </w:rPr>
        <w:t>395/1992</w:t>
      </w:r>
      <w:r>
        <w:rPr>
          <w:rFonts w:hint="eastAsia"/>
        </w:rPr>
        <w:t>号执行法令。</w:t>
      </w:r>
    </w:p>
  </w:endnote>
  <w:endnote w:id="323">
    <w:p w:rsidR="00000000" w:rsidRDefault="00000000">
      <w:pPr>
        <w:pStyle w:val="EndnoteText"/>
        <w:rPr>
          <w:rFonts w:hint="eastAsia"/>
        </w:rPr>
      </w:pPr>
      <w:r>
        <w:rPr>
          <w:rStyle w:val="EndnoteReference"/>
        </w:rPr>
        <w:endnoteRef/>
      </w:r>
      <w:r>
        <w:t xml:space="preserve"> </w:t>
      </w:r>
      <w:r>
        <w:rPr>
          <w:rFonts w:hint="eastAsia"/>
        </w:rPr>
        <w:t xml:space="preserve">  1998</w:t>
      </w:r>
      <w:r>
        <w:rPr>
          <w:rFonts w:hint="eastAsia"/>
        </w:rPr>
        <w:t>年</w:t>
      </w:r>
      <w:r>
        <w:rPr>
          <w:rFonts w:hint="eastAsia"/>
        </w:rPr>
        <w:t>6</w:t>
      </w:r>
      <w:r>
        <w:rPr>
          <w:rFonts w:hint="eastAsia"/>
        </w:rPr>
        <w:t>月</w:t>
      </w:r>
      <w:r>
        <w:rPr>
          <w:rFonts w:hint="eastAsia"/>
        </w:rPr>
        <w:t>17</w:t>
      </w:r>
      <w:r>
        <w:rPr>
          <w:rFonts w:hint="eastAsia"/>
        </w:rPr>
        <w:t>日第</w:t>
      </w:r>
      <w:r>
        <w:rPr>
          <w:rFonts w:hint="eastAsia"/>
        </w:rPr>
        <w:t>415</w:t>
      </w:r>
      <w:r>
        <w:rPr>
          <w:rFonts w:hint="eastAsia"/>
        </w:rPr>
        <w:t>号政府决议，捷克共和国国家自然和乡村保护方案。</w:t>
      </w:r>
    </w:p>
  </w:endnote>
  <w:endnote w:id="32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经</w:t>
      </w:r>
      <w:r>
        <w:rPr>
          <w:rFonts w:hint="eastAsia"/>
        </w:rPr>
        <w:t>1998</w:t>
      </w:r>
      <w:r>
        <w:rPr>
          <w:rFonts w:hint="eastAsia"/>
        </w:rPr>
        <w:t>年</w:t>
      </w:r>
      <w:r>
        <w:rPr>
          <w:rFonts w:hint="eastAsia"/>
        </w:rPr>
        <w:t>6</w:t>
      </w:r>
      <w:r>
        <w:rPr>
          <w:rFonts w:hint="eastAsia"/>
        </w:rPr>
        <w:t>月</w:t>
      </w:r>
      <w:r>
        <w:rPr>
          <w:rFonts w:hint="eastAsia"/>
        </w:rPr>
        <w:t>17</w:t>
      </w:r>
      <w:r>
        <w:rPr>
          <w:rFonts w:hint="eastAsia"/>
        </w:rPr>
        <w:t>日关于捷克共和国的运输政策的第</w:t>
      </w:r>
      <w:r>
        <w:rPr>
          <w:rFonts w:hint="eastAsia"/>
        </w:rPr>
        <w:t>413</w:t>
      </w:r>
      <w:r>
        <w:rPr>
          <w:rFonts w:hint="eastAsia"/>
        </w:rPr>
        <w:t>号政府决议批准。</w:t>
      </w:r>
    </w:p>
  </w:endnote>
  <w:endnote w:id="32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经第</w:t>
      </w:r>
      <w:r>
        <w:rPr>
          <w:rFonts w:hint="eastAsia"/>
        </w:rPr>
        <w:t>167/1998</w:t>
      </w:r>
      <w:r>
        <w:rPr>
          <w:rFonts w:hint="eastAsia"/>
        </w:rPr>
        <w:t>号法令修正的关于废料的第</w:t>
      </w:r>
      <w:r>
        <w:rPr>
          <w:rFonts w:hint="eastAsia"/>
        </w:rPr>
        <w:t>125/1997</w:t>
      </w:r>
      <w:r>
        <w:rPr>
          <w:rFonts w:hint="eastAsia"/>
        </w:rPr>
        <w:t>号法令。</w:t>
      </w:r>
    </w:p>
  </w:endnote>
  <w:endnote w:id="32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政府第</w:t>
      </w:r>
      <w:r>
        <w:rPr>
          <w:rFonts w:hint="eastAsia"/>
        </w:rPr>
        <w:t>31/1999</w:t>
      </w:r>
      <w:r>
        <w:rPr>
          <w:rFonts w:hint="eastAsia"/>
        </w:rPr>
        <w:t>年号法令，该法令提出了一份应加以回收的产品和包装的清单，并规定了处理包装、包装材料和用过的产品和包装产生的废料的详细方法。</w:t>
      </w:r>
    </w:p>
  </w:endnote>
  <w:endnote w:id="32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关于环境影响评估的第</w:t>
      </w:r>
      <w:r>
        <w:rPr>
          <w:rFonts w:hint="eastAsia"/>
        </w:rPr>
        <w:t>244/1992</w:t>
      </w:r>
      <w:r>
        <w:rPr>
          <w:rFonts w:hint="eastAsia"/>
        </w:rPr>
        <w:t>号法令。</w:t>
      </w:r>
    </w:p>
  </w:endnote>
  <w:endnote w:id="32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后来经修正的关于利用矿产财富的第</w:t>
      </w:r>
      <w:r>
        <w:rPr>
          <w:rFonts w:hint="eastAsia"/>
        </w:rPr>
        <w:t>44/1988</w:t>
      </w:r>
      <w:r>
        <w:rPr>
          <w:rFonts w:hint="eastAsia"/>
        </w:rPr>
        <w:t>号法令</w:t>
      </w:r>
      <w:r>
        <w:rPr>
          <w:rFonts w:hint="eastAsia"/>
        </w:rPr>
        <w:t>(</w:t>
      </w:r>
      <w:r>
        <w:rPr>
          <w:rFonts w:hint="eastAsia"/>
        </w:rPr>
        <w:t>《采矿法》</w:t>
      </w:r>
      <w:r>
        <w:rPr>
          <w:rFonts w:hint="eastAsia"/>
        </w:rPr>
        <w:t>)</w:t>
      </w:r>
      <w:r>
        <w:rPr>
          <w:rFonts w:hint="eastAsia"/>
        </w:rPr>
        <w:t>。</w:t>
      </w:r>
    </w:p>
  </w:endnote>
  <w:endnote w:id="32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欧洲委员会</w:t>
      </w:r>
      <w:r>
        <w:rPr>
          <w:rFonts w:hint="eastAsia"/>
        </w:rPr>
        <w:t>1999</w:t>
      </w:r>
      <w:r>
        <w:rPr>
          <w:rFonts w:hint="eastAsia"/>
        </w:rPr>
        <w:t>年关于捷克共和国在接受生态标准方面取得进展的报告中指出，尽管在具体方面有些差异，但该国的环境和工业卫生法律在质量上符合欧洲共同体的标准。另一方面，欧洲委员会批评该国缓慢地接受其他必要的准则，特别是迟缓地创建推动遵守这些法律和适当地惩处违反法律行为的机构。该报告还指出，纠正这种状况可能需要付出很高的经济代价，特别是在公共资金方面。统一立法和建立必要的体制框架将于预期加入欧洲联盟的日期，即</w:t>
      </w:r>
      <w:r>
        <w:rPr>
          <w:rFonts w:hint="eastAsia"/>
        </w:rPr>
        <w:t>2003</w:t>
      </w:r>
      <w:r>
        <w:rPr>
          <w:rFonts w:hint="eastAsia"/>
        </w:rPr>
        <w:t>年</w:t>
      </w:r>
      <w:r>
        <w:rPr>
          <w:rFonts w:hint="eastAsia"/>
        </w:rPr>
        <w:t>1</w:t>
      </w:r>
      <w:r>
        <w:rPr>
          <w:rFonts w:hint="eastAsia"/>
        </w:rPr>
        <w:t>月</w:t>
      </w:r>
      <w:r>
        <w:rPr>
          <w:rFonts w:hint="eastAsia"/>
        </w:rPr>
        <w:t>1</w:t>
      </w:r>
      <w:r>
        <w:rPr>
          <w:rFonts w:hint="eastAsia"/>
        </w:rPr>
        <w:t>日之前完成。</w:t>
      </w:r>
    </w:p>
  </w:endnote>
  <w:endnote w:id="33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关于和平利用核能和电离子辐射的第</w:t>
      </w:r>
      <w:r>
        <w:rPr>
          <w:rFonts w:hint="eastAsia"/>
        </w:rPr>
        <w:t>18/1997</w:t>
      </w:r>
      <w:r>
        <w:rPr>
          <w:rFonts w:hint="eastAsia"/>
        </w:rPr>
        <w:t>号法令</w:t>
      </w:r>
      <w:r>
        <w:rPr>
          <w:rFonts w:hint="eastAsia"/>
        </w:rPr>
        <w:t>(</w:t>
      </w:r>
      <w:r>
        <w:rPr>
          <w:rFonts w:hint="eastAsia"/>
        </w:rPr>
        <w:t>《原子能法令》</w:t>
      </w:r>
      <w:r>
        <w:rPr>
          <w:rFonts w:hint="eastAsia"/>
        </w:rPr>
        <w:t>)</w:t>
      </w:r>
      <w:r>
        <w:rPr>
          <w:rFonts w:hint="eastAsia"/>
        </w:rPr>
        <w:t>。</w:t>
      </w:r>
    </w:p>
  </w:endnote>
  <w:endnote w:id="33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1998</w:t>
      </w:r>
      <w:r>
        <w:rPr>
          <w:rFonts w:hint="eastAsia"/>
        </w:rPr>
        <w:t>年</w:t>
      </w:r>
      <w:r>
        <w:rPr>
          <w:rFonts w:hint="eastAsia"/>
        </w:rPr>
        <w:t>12</w:t>
      </w:r>
      <w:r>
        <w:rPr>
          <w:rFonts w:hint="eastAsia"/>
        </w:rPr>
        <w:t>月</w:t>
      </w:r>
      <w:r>
        <w:rPr>
          <w:rFonts w:hint="eastAsia"/>
        </w:rPr>
        <w:t>9</w:t>
      </w:r>
      <w:r>
        <w:rPr>
          <w:rFonts w:hint="eastAsia"/>
        </w:rPr>
        <w:t>日关于卫生和环境的行动计划的第</w:t>
      </w:r>
      <w:r>
        <w:rPr>
          <w:rFonts w:hint="eastAsia"/>
        </w:rPr>
        <w:t>810</w:t>
      </w:r>
      <w:r>
        <w:rPr>
          <w:rFonts w:hint="eastAsia"/>
        </w:rPr>
        <w:t>号决议。</w:t>
      </w:r>
    </w:p>
  </w:endnote>
  <w:endnote w:id="33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1999</w:t>
      </w:r>
      <w:r>
        <w:rPr>
          <w:rFonts w:hint="eastAsia"/>
        </w:rPr>
        <w:t>年</w:t>
      </w:r>
      <w:r>
        <w:rPr>
          <w:rFonts w:hint="eastAsia"/>
        </w:rPr>
        <w:t>4</w:t>
      </w:r>
      <w:r>
        <w:rPr>
          <w:rFonts w:hint="eastAsia"/>
        </w:rPr>
        <w:t>月</w:t>
      </w:r>
      <w:r>
        <w:rPr>
          <w:rFonts w:hint="eastAsia"/>
        </w:rPr>
        <w:t>7</w:t>
      </w:r>
      <w:r>
        <w:rPr>
          <w:rFonts w:hint="eastAsia"/>
        </w:rPr>
        <w:t>日关于卫生和环境理事会的第</w:t>
      </w:r>
      <w:r>
        <w:rPr>
          <w:rFonts w:hint="eastAsia"/>
        </w:rPr>
        <w:t>296</w:t>
      </w:r>
      <w:r>
        <w:rPr>
          <w:rFonts w:hint="eastAsia"/>
        </w:rPr>
        <w:t>号决议</w:t>
      </w:r>
      <w:r>
        <w:rPr>
          <w:rFonts w:hint="eastAsia"/>
        </w:rPr>
        <w:t>(</w:t>
      </w:r>
      <w:r>
        <w:rPr>
          <w:rFonts w:hint="eastAsia"/>
        </w:rPr>
        <w:t>规章、组成和活动计划</w:t>
      </w:r>
      <w:r>
        <w:rPr>
          <w:rFonts w:hint="eastAsia"/>
        </w:rPr>
        <w:t>)</w:t>
      </w:r>
      <w:r>
        <w:rPr>
          <w:rFonts w:hint="eastAsia"/>
        </w:rPr>
        <w:t>。</w:t>
      </w:r>
    </w:p>
  </w:endnote>
  <w:endnote w:id="33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该方案得到了捷克共和国政府</w:t>
      </w:r>
      <w:r>
        <w:rPr>
          <w:rFonts w:hint="eastAsia"/>
        </w:rPr>
        <w:t>1991</w:t>
      </w:r>
      <w:r>
        <w:rPr>
          <w:rFonts w:hint="eastAsia"/>
        </w:rPr>
        <w:t>年</w:t>
      </w:r>
      <w:r>
        <w:rPr>
          <w:rFonts w:hint="eastAsia"/>
        </w:rPr>
        <w:t>10</w:t>
      </w:r>
      <w:r>
        <w:rPr>
          <w:rFonts w:hint="eastAsia"/>
        </w:rPr>
        <w:t>月</w:t>
      </w:r>
      <w:r>
        <w:rPr>
          <w:rFonts w:hint="eastAsia"/>
        </w:rPr>
        <w:t>2</w:t>
      </w:r>
      <w:r>
        <w:rPr>
          <w:rFonts w:hint="eastAsia"/>
        </w:rPr>
        <w:t>日关于在环境方面监测人口健康系统草案的第</w:t>
      </w:r>
      <w:r>
        <w:rPr>
          <w:rFonts w:hint="eastAsia"/>
        </w:rPr>
        <w:t>369</w:t>
      </w:r>
      <w:r>
        <w:rPr>
          <w:rFonts w:hint="eastAsia"/>
        </w:rPr>
        <w:t>号决议的批准。</w:t>
      </w:r>
    </w:p>
  </w:endnote>
  <w:endnote w:id="33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后来经修正的关于公共卫生的第</w:t>
      </w:r>
      <w:r>
        <w:rPr>
          <w:rFonts w:hint="eastAsia"/>
        </w:rPr>
        <w:t>20/1966</w:t>
      </w:r>
      <w:r>
        <w:rPr>
          <w:rFonts w:hint="eastAsia"/>
        </w:rPr>
        <w:t>号法令。</w:t>
      </w:r>
    </w:p>
  </w:endnote>
  <w:endnote w:id="33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后来经修正的卫生部关于创造和保护有利于健康的生活条件的第</w:t>
      </w:r>
      <w:r>
        <w:rPr>
          <w:rFonts w:hint="eastAsia"/>
        </w:rPr>
        <w:t>45/1966</w:t>
      </w:r>
      <w:r>
        <w:rPr>
          <w:rFonts w:hint="eastAsia"/>
        </w:rPr>
        <w:t>号法令。</w:t>
      </w:r>
    </w:p>
  </w:endnote>
  <w:endnote w:id="33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290/1995</w:t>
      </w:r>
      <w:r>
        <w:rPr>
          <w:rFonts w:hint="eastAsia"/>
        </w:rPr>
        <w:t>号政府规章，该规章提出了职业病清单。</w:t>
      </w:r>
    </w:p>
  </w:endnote>
  <w:endnote w:id="33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后来经修正的卫生部关于防止传染病接种的第</w:t>
      </w:r>
      <w:r>
        <w:rPr>
          <w:rFonts w:hint="eastAsia"/>
        </w:rPr>
        <w:t>91/1984</w:t>
      </w:r>
      <w:r>
        <w:rPr>
          <w:rFonts w:hint="eastAsia"/>
        </w:rPr>
        <w:t>号法令。</w:t>
      </w:r>
    </w:p>
  </w:endnote>
  <w:endnote w:id="33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后来经修正的卫生部关于防治传染病措施的第</w:t>
      </w:r>
      <w:r>
        <w:rPr>
          <w:rFonts w:hint="eastAsia"/>
        </w:rPr>
        <w:t>91/1984</w:t>
      </w:r>
      <w:r>
        <w:rPr>
          <w:rFonts w:hint="eastAsia"/>
        </w:rPr>
        <w:t>号法令。</w:t>
      </w:r>
    </w:p>
  </w:endnote>
  <w:endnote w:id="33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例如教育、青年和体育部关于小学的第</w:t>
      </w:r>
      <w:r>
        <w:rPr>
          <w:rFonts w:hint="eastAsia"/>
        </w:rPr>
        <w:t>291/1991</w:t>
      </w:r>
      <w:r>
        <w:rPr>
          <w:rFonts w:hint="eastAsia"/>
        </w:rPr>
        <w:t>号法令和随后经修正的关于中学的第</w:t>
      </w:r>
      <w:r>
        <w:rPr>
          <w:rFonts w:hint="eastAsia"/>
        </w:rPr>
        <w:t>354/1993</w:t>
      </w:r>
      <w:r>
        <w:rPr>
          <w:rFonts w:hint="eastAsia"/>
        </w:rPr>
        <w:t>号法令。</w:t>
      </w:r>
    </w:p>
  </w:endnote>
  <w:endnote w:id="34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特别班招收听力、视力、身心残疾儿童、讲话困难儿童和多重残疾儿童。专门班招收特定行为和学习能力迟钝的儿童</w:t>
      </w:r>
      <w:r>
        <w:rPr>
          <w:rFonts w:hint="eastAsia"/>
        </w:rPr>
        <w:t>(</w:t>
      </w:r>
      <w:r>
        <w:rPr>
          <w:rFonts w:hint="eastAsia"/>
        </w:rPr>
        <w:t>见教育、青年和体育部关于特殊学校和特殊幼儿园的第</w:t>
      </w:r>
      <w:r>
        <w:rPr>
          <w:rFonts w:hint="eastAsia"/>
        </w:rPr>
        <w:t>127/1997</w:t>
      </w:r>
      <w:r>
        <w:rPr>
          <w:rFonts w:hint="eastAsia"/>
        </w:rPr>
        <w:t>号法令</w:t>
      </w:r>
      <w:r>
        <w:rPr>
          <w:rFonts w:hint="eastAsia"/>
        </w:rPr>
        <w:t>)</w:t>
      </w:r>
      <w:r>
        <w:rPr>
          <w:rFonts w:hint="eastAsia"/>
        </w:rPr>
        <w:t>。</w:t>
      </w:r>
    </w:p>
  </w:endnote>
  <w:endnote w:id="34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小学五年级以后进入八年制文法中学，七年级以后进入六年制文法中学。</w:t>
      </w:r>
    </w:p>
  </w:endnote>
  <w:endnote w:id="34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少年级学校是几个班级在一间教室里上课。不完全学校没有设置所有年级，但每个年级都有自己的教室。通常设立只有第一层次的学校；而只有第二层次的学校很少。</w:t>
      </w:r>
    </w:p>
  </w:endnote>
  <w:endnote w:id="34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关于大学的第</w:t>
      </w:r>
      <w:r>
        <w:rPr>
          <w:rFonts w:hint="eastAsia"/>
        </w:rPr>
        <w:t>111/1998</w:t>
      </w:r>
      <w:r>
        <w:rPr>
          <w:rFonts w:hint="eastAsia"/>
        </w:rPr>
        <w:t>号法令。</w:t>
      </w:r>
    </w:p>
  </w:endnote>
  <w:endnote w:id="34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关于大学和修正并补充其他法令的第</w:t>
      </w:r>
      <w:r>
        <w:rPr>
          <w:rFonts w:hint="eastAsia"/>
        </w:rPr>
        <w:t>111/1998</w:t>
      </w:r>
      <w:r>
        <w:rPr>
          <w:rFonts w:hint="eastAsia"/>
        </w:rPr>
        <w:t>号法令</w:t>
      </w:r>
      <w:r>
        <w:rPr>
          <w:rFonts w:hint="eastAsia"/>
        </w:rPr>
        <w:t>(</w:t>
      </w:r>
      <w:r>
        <w:rPr>
          <w:rFonts w:hint="eastAsia"/>
        </w:rPr>
        <w:t>《大学法》</w:t>
      </w:r>
      <w:r>
        <w:rPr>
          <w:rFonts w:hint="eastAsia"/>
        </w:rPr>
        <w:t>)</w:t>
      </w:r>
      <w:r>
        <w:rPr>
          <w:rFonts w:hint="eastAsia"/>
        </w:rPr>
        <w:t>。</w:t>
      </w:r>
    </w:p>
  </w:endnote>
  <w:endnote w:id="34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关于手势语和修正其他法案的第</w:t>
      </w:r>
      <w:r>
        <w:rPr>
          <w:rFonts w:hint="eastAsia"/>
        </w:rPr>
        <w:t>155/1998</w:t>
      </w:r>
      <w:r>
        <w:rPr>
          <w:rFonts w:hint="eastAsia"/>
        </w:rPr>
        <w:t>号法令。</w:t>
      </w:r>
    </w:p>
  </w:endnote>
  <w:endnote w:id="346">
    <w:p w:rsidR="00000000" w:rsidRDefault="00000000">
      <w:pPr>
        <w:pStyle w:val="EndnoteText"/>
        <w:rPr>
          <w:rFonts w:hint="eastAsia"/>
        </w:rPr>
      </w:pPr>
      <w:r>
        <w:rPr>
          <w:rStyle w:val="EndnoteReference"/>
        </w:rPr>
        <w:endnoteRef/>
      </w:r>
      <w:r>
        <w:t xml:space="preserve"> </w:t>
      </w:r>
      <w:r>
        <w:rPr>
          <w:rFonts w:hint="eastAsia"/>
        </w:rPr>
        <w:t xml:space="preserve">  1993/1994</w:t>
      </w:r>
      <w:r>
        <w:rPr>
          <w:rFonts w:hint="eastAsia"/>
        </w:rPr>
        <w:t>学年的统计数据。</w:t>
      </w:r>
    </w:p>
  </w:endnote>
  <w:endnote w:id="34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后来经修正的关于电台和电视广播的第</w:t>
      </w:r>
      <w:r>
        <w:rPr>
          <w:rFonts w:hint="eastAsia"/>
        </w:rPr>
        <w:t>468/1991</w:t>
      </w:r>
      <w:r>
        <w:rPr>
          <w:rFonts w:hint="eastAsia"/>
        </w:rPr>
        <w:t>号法令。</w:t>
      </w:r>
    </w:p>
  </w:endnote>
  <w:endnote w:id="348">
    <w:p w:rsidR="00000000" w:rsidRDefault="00000000">
      <w:pPr>
        <w:pStyle w:val="EndnoteText"/>
        <w:rPr>
          <w:rFonts w:hint="eastAsia"/>
        </w:rPr>
      </w:pPr>
      <w:r>
        <w:rPr>
          <w:rStyle w:val="EndnoteReference"/>
        </w:rPr>
        <w:endnoteRef/>
      </w:r>
      <w:r>
        <w:t xml:space="preserve"> </w:t>
      </w:r>
      <w:r>
        <w:rPr>
          <w:rFonts w:hint="eastAsia"/>
        </w:rPr>
        <w:t xml:space="preserve">  </w:t>
      </w:r>
      <w:r>
        <w:t>Author</w:t>
      </w:r>
      <w:r>
        <w:rPr>
          <w:lang w:val="en-GB"/>
        </w:rPr>
        <w:t>：</w:t>
      </w:r>
      <w:r>
        <w:t>Karel Mráček, Publishing House Krystal O.P.</w:t>
      </w:r>
      <w:r>
        <w:rPr>
          <w:lang w:val="en-GB"/>
        </w:rPr>
        <w:t>，</w:t>
      </w:r>
      <w:r>
        <w:t>Prague, 1995</w:t>
      </w:r>
      <w:r>
        <w:rPr>
          <w:rFonts w:hint="eastAsia"/>
        </w:rPr>
        <w:t>。</w:t>
      </w:r>
    </w:p>
  </w:endnote>
  <w:endnote w:id="349">
    <w:p w:rsidR="00000000" w:rsidRDefault="00000000">
      <w:pPr>
        <w:pStyle w:val="EndnoteText"/>
        <w:rPr>
          <w:rFonts w:hint="eastAsia"/>
        </w:rPr>
      </w:pPr>
      <w:r>
        <w:rPr>
          <w:rStyle w:val="EndnoteReference"/>
        </w:rPr>
        <w:endnoteRef/>
      </w:r>
      <w:r>
        <w:t xml:space="preserve"> </w:t>
      </w:r>
      <w:r>
        <w:rPr>
          <w:rFonts w:hint="eastAsia"/>
        </w:rPr>
        <w:t xml:space="preserve">  </w:t>
      </w:r>
      <w:r>
        <w:t>Author</w:t>
      </w:r>
      <w:r>
        <w:rPr>
          <w:lang w:val="en-GB"/>
        </w:rPr>
        <w:t>：</w:t>
      </w:r>
      <w:r>
        <w:t>Milan Valenta, Publishing House Práce, Prague, 1998</w:t>
      </w:r>
      <w:r>
        <w:rPr>
          <w:rFonts w:hint="eastAsia"/>
        </w:rPr>
        <w:t>。</w:t>
      </w:r>
    </w:p>
  </w:endnote>
  <w:endnote w:id="35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另见教育、青年和体育部和卫生部关于教区学校和宗教社团学校的设立和活动的第</w:t>
      </w:r>
      <w:r>
        <w:rPr>
          <w:rFonts w:hint="eastAsia"/>
        </w:rPr>
        <w:t>452/1991</w:t>
      </w:r>
      <w:r>
        <w:rPr>
          <w:rFonts w:hint="eastAsia"/>
        </w:rPr>
        <w:t>号法令。</w:t>
      </w:r>
    </w:p>
  </w:endnote>
  <w:endnote w:id="35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1998</w:t>
      </w:r>
      <w:r>
        <w:rPr>
          <w:rFonts w:hint="eastAsia"/>
        </w:rPr>
        <w:t>年</w:t>
      </w:r>
      <w:r>
        <w:rPr>
          <w:rFonts w:hint="eastAsia"/>
        </w:rPr>
        <w:t>12</w:t>
      </w:r>
      <w:r>
        <w:rPr>
          <w:rFonts w:hint="eastAsia"/>
        </w:rPr>
        <w:t>月</w:t>
      </w:r>
      <w:r>
        <w:rPr>
          <w:rFonts w:hint="eastAsia"/>
        </w:rPr>
        <w:t>9</w:t>
      </w:r>
      <w:r>
        <w:rPr>
          <w:rFonts w:hint="eastAsia"/>
        </w:rPr>
        <w:t>日关于改进捷克共和国人权保护的措施的第</w:t>
      </w:r>
      <w:r>
        <w:rPr>
          <w:rFonts w:hint="eastAsia"/>
        </w:rPr>
        <w:t>809</w:t>
      </w:r>
      <w:r>
        <w:rPr>
          <w:rFonts w:hint="eastAsia"/>
        </w:rPr>
        <w:t>号决议。</w:t>
      </w:r>
    </w:p>
  </w:endnote>
  <w:endnote w:id="35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1999</w:t>
      </w:r>
      <w:r>
        <w:rPr>
          <w:rFonts w:hint="eastAsia"/>
        </w:rPr>
        <w:t>年</w:t>
      </w:r>
      <w:r>
        <w:rPr>
          <w:rFonts w:hint="eastAsia"/>
        </w:rPr>
        <w:t>1</w:t>
      </w:r>
      <w:r>
        <w:rPr>
          <w:rFonts w:hint="eastAsia"/>
        </w:rPr>
        <w:t>月</w:t>
      </w:r>
      <w:r>
        <w:rPr>
          <w:rFonts w:hint="eastAsia"/>
        </w:rPr>
        <w:t>11</w:t>
      </w:r>
      <w:r>
        <w:rPr>
          <w:rFonts w:hint="eastAsia"/>
        </w:rPr>
        <w:t>日关于与罗姆少数群体有关措施的第</w:t>
      </w:r>
      <w:r>
        <w:rPr>
          <w:rFonts w:hint="eastAsia"/>
        </w:rPr>
        <w:t>35</w:t>
      </w:r>
      <w:r>
        <w:rPr>
          <w:rFonts w:hint="eastAsia"/>
        </w:rPr>
        <w:t>号决议。</w:t>
      </w:r>
    </w:p>
  </w:endnote>
  <w:endnote w:id="35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1999</w:t>
      </w:r>
      <w:r>
        <w:rPr>
          <w:rFonts w:hint="eastAsia"/>
        </w:rPr>
        <w:t>年</w:t>
      </w:r>
      <w:r>
        <w:rPr>
          <w:rFonts w:hint="eastAsia"/>
        </w:rPr>
        <w:t>4</w:t>
      </w:r>
      <w:r>
        <w:rPr>
          <w:rFonts w:hint="eastAsia"/>
        </w:rPr>
        <w:t>月</w:t>
      </w:r>
      <w:r>
        <w:rPr>
          <w:rFonts w:hint="eastAsia"/>
        </w:rPr>
        <w:t>7</w:t>
      </w:r>
      <w:r>
        <w:rPr>
          <w:rFonts w:hint="eastAsia"/>
        </w:rPr>
        <w:t>日关于协助罗姆少数群体成员融入社会的政府政策大纲的第</w:t>
      </w:r>
      <w:r>
        <w:rPr>
          <w:rFonts w:hint="eastAsia"/>
        </w:rPr>
        <w:t>279</w:t>
      </w:r>
      <w:r>
        <w:rPr>
          <w:rFonts w:hint="eastAsia"/>
        </w:rPr>
        <w:t>号决议。</w:t>
      </w:r>
    </w:p>
  </w:endnote>
  <w:endnote w:id="35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1999</w:t>
      </w:r>
      <w:r>
        <w:rPr>
          <w:rFonts w:hint="eastAsia"/>
        </w:rPr>
        <w:t>年</w:t>
      </w:r>
      <w:r>
        <w:rPr>
          <w:rFonts w:hint="eastAsia"/>
        </w:rPr>
        <w:t>7</w:t>
      </w:r>
      <w:r>
        <w:rPr>
          <w:rFonts w:hint="eastAsia"/>
        </w:rPr>
        <w:t>月</w:t>
      </w:r>
      <w:r>
        <w:rPr>
          <w:rFonts w:hint="eastAsia"/>
        </w:rPr>
        <w:t>28</w:t>
      </w:r>
      <w:r>
        <w:rPr>
          <w:rFonts w:hint="eastAsia"/>
        </w:rPr>
        <w:t>日关于禁止旨在压制公民权利和自由的运动的措施的第</w:t>
      </w:r>
      <w:r>
        <w:rPr>
          <w:rFonts w:hint="eastAsia"/>
        </w:rPr>
        <w:t>789</w:t>
      </w:r>
      <w:r>
        <w:rPr>
          <w:rFonts w:hint="eastAsia"/>
        </w:rPr>
        <w:t>号决议。</w:t>
      </w:r>
    </w:p>
  </w:endnote>
  <w:endnote w:id="35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1999</w:t>
      </w:r>
      <w:r>
        <w:rPr>
          <w:rFonts w:hint="eastAsia"/>
        </w:rPr>
        <w:t>年</w:t>
      </w:r>
      <w:r>
        <w:rPr>
          <w:rFonts w:hint="eastAsia"/>
        </w:rPr>
        <w:t>1</w:t>
      </w:r>
      <w:r>
        <w:rPr>
          <w:rFonts w:hint="eastAsia"/>
        </w:rPr>
        <w:t>月</w:t>
      </w:r>
      <w:r>
        <w:rPr>
          <w:rFonts w:hint="eastAsia"/>
        </w:rPr>
        <w:t>11</w:t>
      </w:r>
      <w:r>
        <w:rPr>
          <w:rFonts w:hint="eastAsia"/>
        </w:rPr>
        <w:t>日关于反对种族主义运动的筹备工作的第</w:t>
      </w:r>
      <w:r>
        <w:rPr>
          <w:rFonts w:hint="eastAsia"/>
        </w:rPr>
        <w:t>34</w:t>
      </w:r>
      <w:r>
        <w:rPr>
          <w:rFonts w:hint="eastAsia"/>
        </w:rPr>
        <w:t>号决议。</w:t>
      </w:r>
    </w:p>
  </w:endnote>
  <w:endnote w:id="35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1994</w:t>
      </w:r>
      <w:r>
        <w:rPr>
          <w:rFonts w:hint="eastAsia"/>
        </w:rPr>
        <w:t>年</w:t>
      </w:r>
      <w:r>
        <w:rPr>
          <w:rFonts w:hint="eastAsia"/>
        </w:rPr>
        <w:t>2</w:t>
      </w:r>
      <w:r>
        <w:rPr>
          <w:rFonts w:hint="eastAsia"/>
        </w:rPr>
        <w:t>月</w:t>
      </w:r>
      <w:r>
        <w:rPr>
          <w:rFonts w:hint="eastAsia"/>
        </w:rPr>
        <w:t>9</w:t>
      </w:r>
      <w:r>
        <w:rPr>
          <w:rFonts w:hint="eastAsia"/>
        </w:rPr>
        <w:t>日关于《捷克共和国政府对少数群体问题的办法大纲》的第</w:t>
      </w:r>
      <w:r>
        <w:rPr>
          <w:rFonts w:hint="eastAsia"/>
        </w:rPr>
        <w:t>63</w:t>
      </w:r>
      <w:r>
        <w:rPr>
          <w:rFonts w:hint="eastAsia"/>
        </w:rPr>
        <w:t>号决议。</w:t>
      </w:r>
    </w:p>
  </w:endnote>
  <w:endnote w:id="35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见参考文件</w:t>
      </w:r>
      <w:r>
        <w:rPr>
          <w:rFonts w:hint="eastAsia"/>
        </w:rPr>
        <w:t xml:space="preserve">18062/96-21, </w:t>
      </w:r>
      <w:r>
        <w:rPr>
          <w:rFonts w:hint="eastAsia"/>
        </w:rPr>
        <w:t>教育、青年和体育部</w:t>
      </w:r>
      <w:r>
        <w:rPr>
          <w:rFonts w:hint="eastAsia"/>
        </w:rPr>
        <w:t>1996</w:t>
      </w:r>
      <w:r>
        <w:rPr>
          <w:rFonts w:hint="eastAsia"/>
        </w:rPr>
        <w:t>年第</w:t>
      </w:r>
      <w:r>
        <w:rPr>
          <w:rFonts w:hint="eastAsia"/>
        </w:rPr>
        <w:t>7</w:t>
      </w:r>
      <w:r>
        <w:rPr>
          <w:rFonts w:hint="eastAsia"/>
        </w:rPr>
        <w:t>号公告。</w:t>
      </w:r>
    </w:p>
  </w:endnote>
  <w:endnote w:id="35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教育、青年和体育部关于小学的第</w:t>
      </w:r>
      <w:r>
        <w:rPr>
          <w:rFonts w:hint="eastAsia"/>
        </w:rPr>
        <w:t>291/1991</w:t>
      </w:r>
      <w:r>
        <w:rPr>
          <w:rFonts w:hint="eastAsia"/>
        </w:rPr>
        <w:t>号法令。</w:t>
      </w:r>
    </w:p>
  </w:endnote>
  <w:endnote w:id="35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根据政府第</w:t>
      </w:r>
      <w:r>
        <w:rPr>
          <w:rFonts w:hint="eastAsia"/>
        </w:rPr>
        <w:t>153/1996</w:t>
      </w:r>
      <w:r>
        <w:rPr>
          <w:rFonts w:hint="eastAsia"/>
        </w:rPr>
        <w:t>号法令，该法令规定了国立中学后职业学校的教育费用和支付方法。</w:t>
      </w:r>
    </w:p>
  </w:endnote>
  <w:endnote w:id="36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随后经修正的关于初等、中等和中学后职业学校系统的第</w:t>
      </w:r>
      <w:r>
        <w:rPr>
          <w:rFonts w:hint="eastAsia"/>
        </w:rPr>
        <w:t>29/1984</w:t>
      </w:r>
      <w:r>
        <w:rPr>
          <w:rFonts w:hint="eastAsia"/>
        </w:rPr>
        <w:t>号法令</w:t>
      </w:r>
      <w:r>
        <w:rPr>
          <w:rFonts w:hint="eastAsia"/>
        </w:rPr>
        <w:t>(</w:t>
      </w:r>
      <w:r>
        <w:rPr>
          <w:rFonts w:hint="eastAsia"/>
        </w:rPr>
        <w:t>《学校法》</w:t>
      </w:r>
      <w:r>
        <w:rPr>
          <w:rFonts w:hint="eastAsia"/>
        </w:rPr>
        <w:t>)</w:t>
      </w:r>
      <w:r>
        <w:rPr>
          <w:rFonts w:hint="eastAsia"/>
        </w:rPr>
        <w:t>第四部分</w:t>
      </w:r>
      <w:r>
        <w:rPr>
          <w:rFonts w:hint="eastAsia"/>
          <w:spacing w:val="-50"/>
        </w:rPr>
        <w:t>―</w:t>
      </w:r>
      <w:r>
        <w:rPr>
          <w:rFonts w:hint="eastAsia"/>
        </w:rPr>
        <w:t>―特殊学校：</w:t>
      </w:r>
    </w:p>
    <w:p w:rsidR="00000000" w:rsidRDefault="00000000">
      <w:pPr>
        <w:pStyle w:val="EndnoteText"/>
        <w:rPr>
          <w:rFonts w:hint="eastAsia"/>
        </w:rPr>
      </w:pPr>
      <w:r>
        <w:rPr>
          <w:rFonts w:hint="eastAsia"/>
        </w:rPr>
        <w:t>第</w:t>
      </w:r>
      <w:r>
        <w:rPr>
          <w:rFonts w:hint="eastAsia"/>
        </w:rPr>
        <w:t>28</w:t>
      </w:r>
      <w:r>
        <w:rPr>
          <w:rFonts w:hint="eastAsia"/>
        </w:rPr>
        <w:t>节：“</w:t>
      </w:r>
      <w:r>
        <w:rPr>
          <w:rFonts w:hint="eastAsia"/>
        </w:rPr>
        <w:t xml:space="preserve">(1)  </w:t>
      </w:r>
      <w:r>
        <w:rPr>
          <w:rFonts w:hint="eastAsia"/>
        </w:rPr>
        <w:t>专门学校通过特殊培训和教育方法、手段和方式向智力、感觉或身体残疾的学生、说话困难的学生、患有多重残疾的学生、难于成长和保健机构中的病弱学生提供培训和教育；这些学校向这些学生提供培训，使他们准备参加工作和社会生活。</w:t>
      </w:r>
    </w:p>
    <w:p w:rsidR="00000000" w:rsidRDefault="00000000">
      <w:pPr>
        <w:pStyle w:val="EndnoteText"/>
        <w:rPr>
          <w:rFonts w:hint="eastAsia"/>
        </w:rPr>
      </w:pPr>
      <w:r>
        <w:rPr>
          <w:rFonts w:hint="eastAsia"/>
        </w:rPr>
        <w:t>“</w:t>
      </w:r>
      <w:r>
        <w:rPr>
          <w:rFonts w:hint="eastAsia"/>
        </w:rPr>
        <w:t xml:space="preserve">(2)  </w:t>
      </w:r>
      <w:r>
        <w:rPr>
          <w:rFonts w:hint="eastAsia"/>
        </w:rPr>
        <w:t>专门学校包括初等专门学校和中等专门学校；这些学校中受到的教育相当于在初等学校和其他中等学校里受到的教育。</w:t>
      </w:r>
    </w:p>
    <w:p w:rsidR="00000000" w:rsidRDefault="00000000">
      <w:pPr>
        <w:pStyle w:val="EndnoteText"/>
        <w:rPr>
          <w:rFonts w:hint="eastAsia"/>
        </w:rPr>
      </w:pPr>
      <w:r>
        <w:rPr>
          <w:rFonts w:hint="eastAsia"/>
        </w:rPr>
        <w:t>“</w:t>
      </w:r>
      <w:r>
        <w:rPr>
          <w:rFonts w:hint="eastAsia"/>
        </w:rPr>
        <w:t xml:space="preserve">(3)  </w:t>
      </w:r>
      <w:r>
        <w:rPr>
          <w:rFonts w:hint="eastAsia"/>
        </w:rPr>
        <w:t>除非本法令另有规定，适用于初等或中等学校的条款也适用于专门学校。</w:t>
      </w:r>
    </w:p>
    <w:p w:rsidR="00000000" w:rsidRDefault="00000000">
      <w:pPr>
        <w:pStyle w:val="EndnoteText"/>
        <w:rPr>
          <w:rFonts w:hint="eastAsia"/>
        </w:rPr>
      </w:pPr>
      <w:r>
        <w:rPr>
          <w:rFonts w:hint="eastAsia"/>
        </w:rPr>
        <w:t>“</w:t>
      </w:r>
      <w:r>
        <w:rPr>
          <w:rFonts w:hint="eastAsia"/>
        </w:rPr>
        <w:t xml:space="preserve">(4)  </w:t>
      </w:r>
      <w:r>
        <w:rPr>
          <w:rFonts w:hint="eastAsia"/>
        </w:rPr>
        <w:t>专门学校还包括特殊学校、职业学校、实践学校和补习学校。</w:t>
      </w:r>
    </w:p>
    <w:p w:rsidR="00000000" w:rsidRDefault="00000000">
      <w:pPr>
        <w:pStyle w:val="EndnoteText"/>
        <w:rPr>
          <w:rFonts w:hint="eastAsia"/>
        </w:rPr>
      </w:pPr>
      <w:r>
        <w:rPr>
          <w:rFonts w:hint="eastAsia"/>
        </w:rPr>
        <w:t>“</w:t>
      </w:r>
      <w:r>
        <w:rPr>
          <w:rFonts w:hint="eastAsia"/>
        </w:rPr>
        <w:t xml:space="preserve">(5)  </w:t>
      </w:r>
      <w:r>
        <w:rPr>
          <w:rFonts w:hint="eastAsia"/>
        </w:rPr>
        <w:t>教育部应通过法令确定将学生划分为特殊初等学校、专门学校和补习学校学生的方法，以及接收学生上职业学校和实践学校的条件。”</w:t>
      </w:r>
    </w:p>
    <w:p w:rsidR="00000000" w:rsidRDefault="00000000">
      <w:pPr>
        <w:pStyle w:val="EndnoteText"/>
        <w:rPr>
          <w:rFonts w:hint="eastAsia"/>
        </w:rPr>
      </w:pPr>
      <w:r>
        <w:rPr>
          <w:rFonts w:hint="eastAsia"/>
        </w:rPr>
        <w:t>第</w:t>
      </w:r>
      <w:r>
        <w:rPr>
          <w:rFonts w:hint="eastAsia"/>
        </w:rPr>
        <w:t>29</w:t>
      </w:r>
      <w:r>
        <w:rPr>
          <w:rFonts w:hint="eastAsia"/>
        </w:rPr>
        <w:t>节：专门初等学校</w:t>
      </w:r>
    </w:p>
    <w:p w:rsidR="00000000" w:rsidRDefault="00000000">
      <w:pPr>
        <w:pStyle w:val="EndnoteText"/>
        <w:rPr>
          <w:rFonts w:hint="eastAsia"/>
        </w:rPr>
      </w:pPr>
      <w:r>
        <w:rPr>
          <w:rFonts w:hint="eastAsia"/>
        </w:rPr>
        <w:t>“</w:t>
      </w:r>
      <w:r>
        <w:rPr>
          <w:rFonts w:hint="eastAsia"/>
        </w:rPr>
        <w:t xml:space="preserve">(1)  </w:t>
      </w:r>
      <w:r>
        <w:rPr>
          <w:rFonts w:hint="eastAsia"/>
        </w:rPr>
        <w:t>专门初等学校以与其残疾程度相称的方式向第</w:t>
      </w:r>
      <w:r>
        <w:rPr>
          <w:rFonts w:hint="eastAsia"/>
        </w:rPr>
        <w:t>5</w:t>
      </w:r>
      <w:r>
        <w:rPr>
          <w:rFonts w:hint="eastAsia"/>
        </w:rPr>
        <w:t>节和第</w:t>
      </w:r>
      <w:r>
        <w:rPr>
          <w:rFonts w:hint="eastAsia"/>
        </w:rPr>
        <w:t>6</w:t>
      </w:r>
      <w:r>
        <w:rPr>
          <w:rFonts w:hint="eastAsia"/>
        </w:rPr>
        <w:t>节规定的学生提供培训和教育；这些学校是为以下学生开办的：听力残疾学生、视力残疾学生、讲话困难的学生、身体残疾的学生、患有多重残疾的学生、难以成长的学生和保健机构里的病弱学生。</w:t>
      </w:r>
    </w:p>
    <w:p w:rsidR="00000000" w:rsidRDefault="00000000">
      <w:pPr>
        <w:pStyle w:val="EndnoteText"/>
        <w:rPr>
          <w:rFonts w:hint="eastAsia"/>
        </w:rPr>
      </w:pPr>
      <w:r>
        <w:rPr>
          <w:rFonts w:hint="eastAsia"/>
        </w:rPr>
        <w:t>“</w:t>
      </w:r>
      <w:r>
        <w:rPr>
          <w:rFonts w:hint="eastAsia"/>
        </w:rPr>
        <w:t xml:space="preserve">(2)  </w:t>
      </w:r>
      <w:r>
        <w:rPr>
          <w:rFonts w:hint="eastAsia"/>
        </w:rPr>
        <w:t>专门初等学校设九个年级。教育部应该通过法令规定哪些学校设十个年级。”</w:t>
      </w:r>
    </w:p>
    <w:p w:rsidR="00000000" w:rsidRDefault="00000000">
      <w:pPr>
        <w:pStyle w:val="EndnoteText"/>
        <w:rPr>
          <w:rFonts w:hint="eastAsia"/>
        </w:rPr>
      </w:pPr>
      <w:r>
        <w:rPr>
          <w:rFonts w:hint="eastAsia"/>
        </w:rPr>
        <w:t>第</w:t>
      </w:r>
      <w:r>
        <w:rPr>
          <w:rFonts w:hint="eastAsia"/>
        </w:rPr>
        <w:t>30</w:t>
      </w:r>
      <w:r>
        <w:rPr>
          <w:rFonts w:hint="eastAsia"/>
        </w:rPr>
        <w:t>节：专门中等学校</w:t>
      </w:r>
    </w:p>
    <w:p w:rsidR="00000000" w:rsidRDefault="00000000">
      <w:pPr>
        <w:pStyle w:val="EndnoteText"/>
        <w:rPr>
          <w:rFonts w:hint="eastAsia"/>
        </w:rPr>
      </w:pPr>
      <w:r>
        <w:rPr>
          <w:rFonts w:hint="eastAsia"/>
        </w:rPr>
        <w:t>“</w:t>
      </w:r>
      <w:r>
        <w:rPr>
          <w:rFonts w:hint="eastAsia"/>
        </w:rPr>
        <w:t xml:space="preserve">(1)  </w:t>
      </w:r>
      <w:r>
        <w:rPr>
          <w:rFonts w:hint="eastAsia"/>
        </w:rPr>
        <w:t>专门中等学校以与其残疾程度相称的方式向第</w:t>
      </w:r>
      <w:r>
        <w:rPr>
          <w:rFonts w:hint="eastAsia"/>
        </w:rPr>
        <w:t>7</w:t>
      </w:r>
      <w:r>
        <w:rPr>
          <w:rFonts w:hint="eastAsia"/>
        </w:rPr>
        <w:t>节和第</w:t>
      </w:r>
      <w:r>
        <w:rPr>
          <w:rFonts w:hint="eastAsia"/>
        </w:rPr>
        <w:t>8</w:t>
      </w:r>
      <w:r>
        <w:rPr>
          <w:rFonts w:hint="eastAsia"/>
        </w:rPr>
        <w:t>节规定的学生提供培养和教育；特殊中等学校的对象是感觉或身体残疾的学生和如果与其他中学生一起接受教育则难以成长的学生。</w:t>
      </w:r>
    </w:p>
    <w:p w:rsidR="00000000" w:rsidRDefault="00000000">
      <w:pPr>
        <w:pStyle w:val="EndnoteText"/>
        <w:rPr>
          <w:rFonts w:hint="eastAsia"/>
        </w:rPr>
      </w:pPr>
      <w:r>
        <w:rPr>
          <w:rFonts w:hint="eastAsia"/>
        </w:rPr>
        <w:t>“</w:t>
      </w:r>
      <w:r>
        <w:rPr>
          <w:rFonts w:hint="eastAsia"/>
        </w:rPr>
        <w:t xml:space="preserve">(2)  </w:t>
      </w:r>
      <w:r>
        <w:rPr>
          <w:rFonts w:hint="eastAsia"/>
        </w:rPr>
        <w:t>专门中等学校划分成以下几类：中等职业学校、文法学校和中等专业学校。</w:t>
      </w:r>
    </w:p>
    <w:p w:rsidR="00000000" w:rsidRDefault="00000000">
      <w:pPr>
        <w:pStyle w:val="EndnoteText"/>
        <w:rPr>
          <w:rFonts w:hint="eastAsia"/>
        </w:rPr>
      </w:pPr>
      <w:r>
        <w:rPr>
          <w:rFonts w:hint="eastAsia"/>
        </w:rPr>
        <w:t>“</w:t>
      </w:r>
      <w:r>
        <w:rPr>
          <w:rFonts w:hint="eastAsia"/>
        </w:rPr>
        <w:t xml:space="preserve">(3)  </w:t>
      </w:r>
      <w:r>
        <w:rPr>
          <w:rFonts w:hint="eastAsia"/>
        </w:rPr>
        <w:t>在同卫生部商量以后，教育部通过具有普遍拘束力的法规可将特殊中等学校的学习期限延长最高两年。”</w:t>
      </w:r>
    </w:p>
    <w:p w:rsidR="00000000" w:rsidRDefault="00000000">
      <w:pPr>
        <w:pStyle w:val="EndnoteText"/>
        <w:rPr>
          <w:rFonts w:hint="eastAsia"/>
        </w:rPr>
      </w:pPr>
      <w:r>
        <w:rPr>
          <w:rFonts w:hint="eastAsia"/>
        </w:rPr>
        <w:t>第</w:t>
      </w:r>
      <w:r>
        <w:rPr>
          <w:rFonts w:hint="eastAsia"/>
        </w:rPr>
        <w:t>31</w:t>
      </w:r>
      <w:r>
        <w:rPr>
          <w:rFonts w:hint="eastAsia"/>
        </w:rPr>
        <w:t>节：特殊学校</w:t>
      </w:r>
    </w:p>
    <w:p w:rsidR="00000000" w:rsidRDefault="00000000">
      <w:pPr>
        <w:pStyle w:val="EndnoteText"/>
        <w:rPr>
          <w:rFonts w:hint="eastAsia"/>
        </w:rPr>
      </w:pPr>
      <w:r>
        <w:rPr>
          <w:rFonts w:hint="eastAsia"/>
        </w:rPr>
        <w:t>“</w:t>
      </w:r>
      <w:r>
        <w:rPr>
          <w:rFonts w:hint="eastAsia"/>
        </w:rPr>
        <w:t xml:space="preserve">(1)  </w:t>
      </w:r>
      <w:r>
        <w:rPr>
          <w:rFonts w:hint="eastAsia"/>
        </w:rPr>
        <w:t>特殊学校的教育对象是具有智力缺陷因而在初等学校或专门初等学校无法完成学业的学生。</w:t>
      </w:r>
    </w:p>
    <w:p w:rsidR="00000000" w:rsidRDefault="00000000">
      <w:pPr>
        <w:pStyle w:val="EndnoteText"/>
        <w:rPr>
          <w:rFonts w:hint="eastAsia"/>
        </w:rPr>
      </w:pPr>
      <w:r>
        <w:rPr>
          <w:rFonts w:hint="eastAsia"/>
        </w:rPr>
        <w:t>“</w:t>
      </w:r>
      <w:r>
        <w:rPr>
          <w:rFonts w:hint="eastAsia"/>
        </w:rPr>
        <w:t xml:space="preserve">(2)  </w:t>
      </w:r>
      <w:r>
        <w:rPr>
          <w:rFonts w:hint="eastAsia"/>
        </w:rPr>
        <w:t>特殊学校设九个年级。教育部可通过法令规定哪些学校可设十个年级。”</w:t>
      </w:r>
    </w:p>
    <w:p w:rsidR="00000000" w:rsidRDefault="00000000">
      <w:pPr>
        <w:pStyle w:val="EndnoteText"/>
        <w:rPr>
          <w:rFonts w:hint="eastAsia"/>
        </w:rPr>
      </w:pPr>
      <w:r>
        <w:rPr>
          <w:rFonts w:hint="eastAsia"/>
        </w:rPr>
        <w:t>第</w:t>
      </w:r>
      <w:r>
        <w:rPr>
          <w:rFonts w:hint="eastAsia"/>
        </w:rPr>
        <w:t>32</w:t>
      </w:r>
      <w:r>
        <w:rPr>
          <w:rFonts w:hint="eastAsia"/>
        </w:rPr>
        <w:t>节：职业学校</w:t>
      </w:r>
    </w:p>
    <w:p w:rsidR="00000000" w:rsidRDefault="00000000">
      <w:pPr>
        <w:pStyle w:val="EndnoteText"/>
        <w:rPr>
          <w:rFonts w:hint="eastAsia"/>
        </w:rPr>
      </w:pPr>
      <w:r>
        <w:rPr>
          <w:rFonts w:hint="eastAsia"/>
        </w:rPr>
        <w:t>“</w:t>
      </w:r>
      <w:r>
        <w:rPr>
          <w:rFonts w:hint="eastAsia"/>
        </w:rPr>
        <w:t xml:space="preserve">(1)  </w:t>
      </w:r>
      <w:r>
        <w:rPr>
          <w:rFonts w:hint="eastAsia"/>
        </w:rPr>
        <w:t>职业学校通过规定的教学计划提供各行业的职业培训。</w:t>
      </w:r>
    </w:p>
    <w:p w:rsidR="00000000" w:rsidRDefault="00000000">
      <w:pPr>
        <w:pStyle w:val="EndnoteText"/>
        <w:rPr>
          <w:rFonts w:hint="eastAsia"/>
        </w:rPr>
      </w:pPr>
      <w:r>
        <w:rPr>
          <w:rFonts w:hint="eastAsia"/>
        </w:rPr>
        <w:t>“</w:t>
      </w:r>
      <w:r>
        <w:rPr>
          <w:rFonts w:hint="eastAsia"/>
        </w:rPr>
        <w:t xml:space="preserve">(2)  </w:t>
      </w:r>
      <w:r>
        <w:rPr>
          <w:rFonts w:hint="eastAsia"/>
        </w:rPr>
        <w:t>职业学校培训学生，使他们准备从事与所学专业相适应的行业。培训期为两年至三年。职业学校的培训期结束时须通过一次最后考试。</w:t>
      </w:r>
    </w:p>
    <w:p w:rsidR="00000000" w:rsidRDefault="00000000">
      <w:pPr>
        <w:pStyle w:val="EndnoteText"/>
        <w:rPr>
          <w:rFonts w:hint="eastAsia"/>
        </w:rPr>
      </w:pPr>
      <w:r>
        <w:rPr>
          <w:rFonts w:hint="eastAsia"/>
        </w:rPr>
        <w:t>“</w:t>
      </w:r>
      <w:r>
        <w:rPr>
          <w:rFonts w:hint="eastAsia"/>
        </w:rPr>
        <w:t xml:space="preserve">(3)  </w:t>
      </w:r>
      <w:r>
        <w:rPr>
          <w:rFonts w:hint="eastAsia"/>
        </w:rPr>
        <w:t>中等职业学校也可以提供培训，使能够独立工作但其工作和社会安置必须受到其他人指导的学生今后从事简单的活动。</w:t>
      </w:r>
    </w:p>
    <w:p w:rsidR="00000000" w:rsidRDefault="00000000">
      <w:pPr>
        <w:pStyle w:val="EndnoteText"/>
        <w:rPr>
          <w:rFonts w:hint="eastAsia"/>
        </w:rPr>
      </w:pPr>
      <w:r>
        <w:rPr>
          <w:rFonts w:hint="eastAsia"/>
        </w:rPr>
        <w:t>“</w:t>
      </w:r>
      <w:r>
        <w:rPr>
          <w:rFonts w:hint="eastAsia"/>
        </w:rPr>
        <w:t xml:space="preserve">(4)  </w:t>
      </w:r>
      <w:r>
        <w:rPr>
          <w:rFonts w:hint="eastAsia"/>
        </w:rPr>
        <w:t>职业学校接收上完特殊学校九年级的学生。</w:t>
      </w:r>
    </w:p>
    <w:p w:rsidR="00000000" w:rsidRDefault="00000000">
      <w:pPr>
        <w:pStyle w:val="EndnoteText"/>
        <w:rPr>
          <w:rFonts w:hint="eastAsia"/>
        </w:rPr>
      </w:pPr>
      <w:r>
        <w:rPr>
          <w:rFonts w:hint="eastAsia"/>
        </w:rPr>
        <w:t>“</w:t>
      </w:r>
      <w:r>
        <w:rPr>
          <w:rFonts w:hint="eastAsia"/>
        </w:rPr>
        <w:t xml:space="preserve">(5)  </w:t>
      </w:r>
      <w:r>
        <w:rPr>
          <w:rFonts w:hint="eastAsia"/>
        </w:rPr>
        <w:t>职业学校是根据第</w:t>
      </w:r>
      <w:r>
        <w:rPr>
          <w:rFonts w:hint="eastAsia"/>
        </w:rPr>
        <w:t>10</w:t>
      </w:r>
      <w:r>
        <w:rPr>
          <w:rFonts w:hint="eastAsia"/>
        </w:rPr>
        <w:t>节设立的，并制约于第</w:t>
      </w:r>
      <w:r>
        <w:rPr>
          <w:rFonts w:hint="eastAsia"/>
        </w:rPr>
        <w:t>9</w:t>
      </w:r>
      <w:r>
        <w:rPr>
          <w:rFonts w:hint="eastAsia"/>
        </w:rPr>
        <w:t>节第</w:t>
      </w:r>
      <w:r>
        <w:rPr>
          <w:rFonts w:hint="eastAsia"/>
        </w:rPr>
        <w:t>3</w:t>
      </w:r>
      <w:r>
        <w:rPr>
          <w:rFonts w:hint="eastAsia"/>
        </w:rPr>
        <w:t>段和第</w:t>
      </w:r>
      <w:r>
        <w:rPr>
          <w:rFonts w:hint="eastAsia"/>
        </w:rPr>
        <w:t>4</w:t>
      </w:r>
      <w:r>
        <w:rPr>
          <w:rFonts w:hint="eastAsia"/>
        </w:rPr>
        <w:t>段、第</w:t>
      </w:r>
      <w:r>
        <w:rPr>
          <w:rFonts w:hint="eastAsia"/>
        </w:rPr>
        <w:t xml:space="preserve">10 </w:t>
      </w:r>
      <w:r>
        <w:t>(a)</w:t>
      </w:r>
      <w:r>
        <w:rPr>
          <w:rFonts w:hint="eastAsia"/>
        </w:rPr>
        <w:t>节、第</w:t>
      </w:r>
      <w:r>
        <w:rPr>
          <w:rFonts w:hint="eastAsia"/>
        </w:rPr>
        <w:t>11</w:t>
      </w:r>
      <w:r>
        <w:rPr>
          <w:rFonts w:hint="eastAsia"/>
        </w:rPr>
        <w:t>节、第</w:t>
      </w:r>
      <w:r>
        <w:rPr>
          <w:rFonts w:hint="eastAsia"/>
        </w:rPr>
        <w:t xml:space="preserve">11 </w:t>
      </w:r>
      <w:r>
        <w:t>(a)</w:t>
      </w:r>
      <w:r>
        <w:rPr>
          <w:rFonts w:hint="eastAsia"/>
        </w:rPr>
        <w:t>节、第</w:t>
      </w:r>
      <w:r>
        <w:rPr>
          <w:rFonts w:hint="eastAsia"/>
        </w:rPr>
        <w:t>12</w:t>
      </w:r>
      <w:r>
        <w:rPr>
          <w:rFonts w:hint="eastAsia"/>
        </w:rPr>
        <w:t>节、第</w:t>
      </w:r>
      <w:r>
        <w:rPr>
          <w:rFonts w:hint="eastAsia"/>
        </w:rPr>
        <w:t>20</w:t>
      </w:r>
      <w:r>
        <w:rPr>
          <w:rFonts w:hint="eastAsia"/>
        </w:rPr>
        <w:t>节第</w:t>
      </w:r>
      <w:r>
        <w:rPr>
          <w:rFonts w:hint="eastAsia"/>
        </w:rPr>
        <w:t>2</w:t>
      </w:r>
      <w:r>
        <w:rPr>
          <w:rFonts w:hint="eastAsia"/>
        </w:rPr>
        <w:t>段、第</w:t>
      </w:r>
      <w:r>
        <w:rPr>
          <w:rFonts w:hint="eastAsia"/>
        </w:rPr>
        <w:t>22</w:t>
      </w:r>
      <w:r>
        <w:rPr>
          <w:rFonts w:hint="eastAsia"/>
        </w:rPr>
        <w:t>节至第</w:t>
      </w:r>
      <w:r>
        <w:rPr>
          <w:rFonts w:hint="eastAsia"/>
        </w:rPr>
        <w:t>24</w:t>
      </w:r>
      <w:r>
        <w:rPr>
          <w:rFonts w:hint="eastAsia"/>
        </w:rPr>
        <w:t>节和第</w:t>
      </w:r>
      <w:r>
        <w:rPr>
          <w:rFonts w:hint="eastAsia"/>
        </w:rPr>
        <w:t>25</w:t>
      </w:r>
      <w:r>
        <w:rPr>
          <w:rFonts w:hint="eastAsia"/>
        </w:rPr>
        <w:t>节第</w:t>
      </w:r>
      <w:r>
        <w:rPr>
          <w:rFonts w:hint="eastAsia"/>
        </w:rPr>
        <w:t>1</w:t>
      </w:r>
      <w:r>
        <w:rPr>
          <w:rFonts w:hint="eastAsia"/>
        </w:rPr>
        <w:t>段至第</w:t>
      </w:r>
      <w:r>
        <w:rPr>
          <w:rFonts w:hint="eastAsia"/>
        </w:rPr>
        <w:t>4</w:t>
      </w:r>
      <w:r>
        <w:rPr>
          <w:rFonts w:hint="eastAsia"/>
        </w:rPr>
        <w:t>段和第</w:t>
      </w:r>
      <w:r>
        <w:rPr>
          <w:rFonts w:hint="eastAsia"/>
        </w:rPr>
        <w:t>6</w:t>
      </w:r>
      <w:r>
        <w:rPr>
          <w:rFonts w:hint="eastAsia"/>
        </w:rPr>
        <w:t>段至第</w:t>
      </w:r>
      <w:r>
        <w:rPr>
          <w:rFonts w:hint="eastAsia"/>
        </w:rPr>
        <w:t>8</w:t>
      </w:r>
      <w:r>
        <w:rPr>
          <w:rFonts w:hint="eastAsia"/>
        </w:rPr>
        <w:t>段”。</w:t>
      </w:r>
    </w:p>
    <w:p w:rsidR="00000000" w:rsidRDefault="00000000">
      <w:pPr>
        <w:pStyle w:val="EndnoteText"/>
        <w:rPr>
          <w:rFonts w:hint="eastAsia"/>
        </w:rPr>
      </w:pPr>
      <w:r>
        <w:rPr>
          <w:rFonts w:hint="eastAsia"/>
        </w:rPr>
        <w:t>第</w:t>
      </w:r>
      <w:r>
        <w:rPr>
          <w:rFonts w:hint="eastAsia"/>
        </w:rPr>
        <w:t xml:space="preserve">32 </w:t>
      </w:r>
      <w:r>
        <w:t>(a)</w:t>
      </w:r>
      <w:r>
        <w:rPr>
          <w:rFonts w:hint="eastAsia"/>
        </w:rPr>
        <w:t>节：实践学校</w:t>
      </w:r>
    </w:p>
    <w:p w:rsidR="00000000" w:rsidRDefault="00000000">
      <w:pPr>
        <w:pStyle w:val="EndnoteText"/>
        <w:rPr>
          <w:rFonts w:hint="eastAsia"/>
        </w:rPr>
      </w:pPr>
      <w:r>
        <w:rPr>
          <w:rFonts w:hint="eastAsia"/>
        </w:rPr>
        <w:t>“</w:t>
      </w:r>
      <w:r>
        <w:rPr>
          <w:rFonts w:hint="eastAsia"/>
        </w:rPr>
        <w:t xml:space="preserve">(1)  </w:t>
      </w:r>
      <w:r>
        <w:rPr>
          <w:rFonts w:hint="eastAsia"/>
        </w:rPr>
        <w:t>实践学校培训学生使之今后从事简单的活动。培训期为一年至三年。</w:t>
      </w:r>
    </w:p>
    <w:p w:rsidR="00000000" w:rsidRDefault="00000000">
      <w:pPr>
        <w:pStyle w:val="EndnoteText"/>
        <w:rPr>
          <w:rFonts w:hint="eastAsia"/>
        </w:rPr>
      </w:pPr>
      <w:r>
        <w:rPr>
          <w:rFonts w:hint="eastAsia"/>
        </w:rPr>
        <w:t>“</w:t>
      </w:r>
      <w:r>
        <w:rPr>
          <w:rFonts w:hint="eastAsia"/>
        </w:rPr>
        <w:t xml:space="preserve">(2)  </w:t>
      </w:r>
      <w:r>
        <w:rPr>
          <w:rFonts w:hint="eastAsia"/>
        </w:rPr>
        <w:t>实践学校优先录取已上完特殊学校的学生和已在比特殊学校或初等学校九年级低一年级完成义务教育的学生。在合理的情况下，未能上完初等学校九年级的学生也可以录取。一年制和两年制的实践学校接收在特殊学校</w:t>
      </w:r>
      <w:r>
        <w:rPr>
          <w:rFonts w:hint="eastAsia"/>
        </w:rPr>
        <w:t>(</w:t>
      </w:r>
      <w:r>
        <w:rPr>
          <w:rFonts w:hint="eastAsia"/>
        </w:rPr>
        <w:t>第</w:t>
      </w:r>
      <w:r>
        <w:rPr>
          <w:rFonts w:hint="eastAsia"/>
        </w:rPr>
        <w:t>31</w:t>
      </w:r>
      <w:r>
        <w:rPr>
          <w:rFonts w:hint="eastAsia"/>
        </w:rPr>
        <w:t>节</w:t>
      </w:r>
      <w:r>
        <w:rPr>
          <w:rFonts w:hint="eastAsia"/>
        </w:rPr>
        <w:t>)</w:t>
      </w:r>
      <w:r>
        <w:rPr>
          <w:rFonts w:hint="eastAsia"/>
        </w:rPr>
        <w:t>或补习学校</w:t>
      </w:r>
      <w:r>
        <w:rPr>
          <w:rFonts w:hint="eastAsia"/>
        </w:rPr>
        <w:t>(</w:t>
      </w:r>
      <w:r>
        <w:rPr>
          <w:rFonts w:hint="eastAsia"/>
        </w:rPr>
        <w:t>第</w:t>
      </w:r>
      <w:r>
        <w:rPr>
          <w:rFonts w:hint="eastAsia"/>
        </w:rPr>
        <w:t>33</w:t>
      </w:r>
      <w:r>
        <w:rPr>
          <w:rFonts w:hint="eastAsia"/>
        </w:rPr>
        <w:t>节</w:t>
      </w:r>
      <w:r>
        <w:rPr>
          <w:rFonts w:hint="eastAsia"/>
        </w:rPr>
        <w:t>)</w:t>
      </w:r>
      <w:r>
        <w:rPr>
          <w:rFonts w:hint="eastAsia"/>
        </w:rPr>
        <w:t>完成义务教育的学生。</w:t>
      </w:r>
    </w:p>
    <w:p w:rsidR="00000000" w:rsidRDefault="00000000">
      <w:pPr>
        <w:pStyle w:val="EndnoteText"/>
        <w:rPr>
          <w:rFonts w:hint="eastAsia"/>
        </w:rPr>
      </w:pPr>
      <w:r>
        <w:rPr>
          <w:rFonts w:hint="eastAsia"/>
        </w:rPr>
        <w:t>“</w:t>
      </w:r>
      <w:r>
        <w:rPr>
          <w:rFonts w:hint="eastAsia"/>
        </w:rPr>
        <w:t xml:space="preserve">(3)  </w:t>
      </w:r>
      <w:r>
        <w:rPr>
          <w:rFonts w:hint="eastAsia"/>
        </w:rPr>
        <w:t>实践学校的三年培训结束时须通过一次最后考试，而一年或两年培训课程结束时发给一份最后成绩报告单。”</w:t>
      </w:r>
    </w:p>
    <w:p w:rsidR="00000000" w:rsidRDefault="00000000">
      <w:pPr>
        <w:pStyle w:val="EndnoteText"/>
        <w:rPr>
          <w:rFonts w:hint="eastAsia"/>
        </w:rPr>
      </w:pPr>
      <w:r>
        <w:rPr>
          <w:rFonts w:hint="eastAsia"/>
        </w:rPr>
        <w:t>第</w:t>
      </w:r>
      <w:r>
        <w:rPr>
          <w:rFonts w:hint="eastAsia"/>
        </w:rPr>
        <w:t>33</w:t>
      </w:r>
      <w:r>
        <w:rPr>
          <w:rFonts w:hint="eastAsia"/>
        </w:rPr>
        <w:t>节：补习学校</w:t>
      </w:r>
    </w:p>
    <w:p w:rsidR="00000000" w:rsidRDefault="00000000">
      <w:pPr>
        <w:pStyle w:val="EndnoteText"/>
        <w:rPr>
          <w:rFonts w:hint="eastAsia"/>
        </w:rPr>
      </w:pPr>
      <w:r>
        <w:rPr>
          <w:rFonts w:hint="eastAsia"/>
        </w:rPr>
        <w:t>“</w:t>
      </w:r>
      <w:r>
        <w:rPr>
          <w:rFonts w:hint="eastAsia"/>
        </w:rPr>
        <w:t xml:space="preserve">(1)  </w:t>
      </w:r>
      <w:r>
        <w:rPr>
          <w:rFonts w:hint="eastAsia"/>
        </w:rPr>
        <w:t>补习学校培养和教育难以成长的学生，这些学生在智力方面有缺陷，甚至无法在特殊学校里接受教育，但至少能够接受一些教育内容。教学内容针对养成生活自理和个人卫生的习惯和掌握相称的知识和使用日常生活用品的工作能力。</w:t>
      </w:r>
    </w:p>
    <w:p w:rsidR="00000000" w:rsidRDefault="00000000">
      <w:pPr>
        <w:pStyle w:val="EndnoteText"/>
        <w:rPr>
          <w:rFonts w:hint="eastAsia"/>
        </w:rPr>
      </w:pPr>
      <w:r>
        <w:rPr>
          <w:rFonts w:hint="eastAsia"/>
        </w:rPr>
        <w:t>“</w:t>
      </w:r>
      <w:r>
        <w:rPr>
          <w:rFonts w:hint="eastAsia"/>
        </w:rPr>
        <w:t xml:space="preserve">(2)  </w:t>
      </w:r>
      <w:r>
        <w:rPr>
          <w:rFonts w:hint="eastAsia"/>
        </w:rPr>
        <w:t>补习学校设十个年级。</w:t>
      </w:r>
    </w:p>
    <w:p w:rsidR="00000000" w:rsidRDefault="00000000">
      <w:pPr>
        <w:pStyle w:val="EndnoteText"/>
        <w:rPr>
          <w:rFonts w:hint="eastAsia"/>
        </w:rPr>
      </w:pPr>
      <w:r>
        <w:rPr>
          <w:rFonts w:hint="eastAsia"/>
        </w:rPr>
        <w:t>“</w:t>
      </w:r>
      <w:r>
        <w:rPr>
          <w:rFonts w:hint="eastAsia"/>
        </w:rPr>
        <w:t xml:space="preserve">(3)  </w:t>
      </w:r>
      <w:r>
        <w:rPr>
          <w:rFonts w:hint="eastAsia"/>
        </w:rPr>
        <w:t>在根据第</w:t>
      </w:r>
      <w:r>
        <w:rPr>
          <w:rFonts w:hint="eastAsia"/>
        </w:rPr>
        <w:t>37</w:t>
      </w:r>
      <w:r>
        <w:rPr>
          <w:rFonts w:hint="eastAsia"/>
        </w:rPr>
        <w:t>节第</w:t>
      </w:r>
      <w:r>
        <w:rPr>
          <w:rFonts w:hint="eastAsia"/>
        </w:rPr>
        <w:t>2</w:t>
      </w:r>
      <w:r>
        <w:rPr>
          <w:rFonts w:hint="eastAsia"/>
        </w:rPr>
        <w:t>段进入补习学校和免除义务教育之前，智力严重残疾的儿童可以接受一至三年的准备教育。”</w:t>
      </w:r>
    </w:p>
  </w:endnote>
  <w:endnote w:id="36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根据罗姆人社团事务部委间委员会的估计，特殊学校中一半以上的学生是罗姆人，所有罗姆人儿童中大约</w:t>
      </w:r>
      <w:r>
        <w:rPr>
          <w:rFonts w:hint="eastAsia"/>
        </w:rPr>
        <w:t>70%</w:t>
      </w:r>
      <w:r>
        <w:rPr>
          <w:rFonts w:hint="eastAsia"/>
        </w:rPr>
        <w:t>上特殊学校。</w:t>
      </w:r>
    </w:p>
  </w:endnote>
  <w:endnote w:id="36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1997</w:t>
      </w:r>
      <w:r>
        <w:rPr>
          <w:rFonts w:hint="eastAsia"/>
        </w:rPr>
        <w:t>年</w:t>
      </w:r>
      <w:r>
        <w:rPr>
          <w:rFonts w:hint="eastAsia"/>
        </w:rPr>
        <w:t>10</w:t>
      </w:r>
      <w:r>
        <w:rPr>
          <w:rFonts w:hint="eastAsia"/>
        </w:rPr>
        <w:t>月</w:t>
      </w:r>
      <w:r>
        <w:rPr>
          <w:rFonts w:hint="eastAsia"/>
        </w:rPr>
        <w:t>29</w:t>
      </w:r>
      <w:r>
        <w:rPr>
          <w:rFonts w:hint="eastAsia"/>
        </w:rPr>
        <w:t>日关于捷克国内的罗姆人的境况和关于罗姆人目前境况的报告的第</w:t>
      </w:r>
      <w:r>
        <w:rPr>
          <w:rFonts w:hint="eastAsia"/>
        </w:rPr>
        <w:t>686</w:t>
      </w:r>
      <w:r>
        <w:rPr>
          <w:rFonts w:hint="eastAsia"/>
        </w:rPr>
        <w:t>号决议，责成教育部长编写测试上特殊学校的儿童的新的材料并考虑罗姆儿童比较特异的先决条件，从而限制以前在没有证明智力或教育需要的书面理由的情况下经常指定罗姆儿童上特殊学校的做法。报告期间没有完成新的儿童测试法</w:t>
      </w:r>
      <w:r>
        <w:rPr>
          <w:rFonts w:hint="eastAsia"/>
        </w:rPr>
        <w:t>(</w:t>
      </w:r>
      <w:r>
        <w:rPr>
          <w:rFonts w:hint="eastAsia"/>
        </w:rPr>
        <w:t>不仅罗姆儿童</w:t>
      </w:r>
      <w:r>
        <w:rPr>
          <w:rFonts w:hint="eastAsia"/>
        </w:rPr>
        <w:t>)</w:t>
      </w:r>
      <w:r>
        <w:rPr>
          <w:rFonts w:hint="eastAsia"/>
        </w:rPr>
        <w:t>的制定。</w:t>
      </w:r>
    </w:p>
  </w:endnote>
  <w:endnote w:id="36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19/2000</w:t>
      </w:r>
      <w:r>
        <w:rPr>
          <w:rFonts w:hint="eastAsia"/>
        </w:rPr>
        <w:t>号法令，该法令修正了随后经修正的关于初等、中等和中学后职业学校的第</w:t>
      </w:r>
      <w:r>
        <w:rPr>
          <w:rFonts w:hint="eastAsia"/>
        </w:rPr>
        <w:t>29/1984</w:t>
      </w:r>
      <w:r>
        <w:rPr>
          <w:rFonts w:hint="eastAsia"/>
        </w:rPr>
        <w:t>号法令</w:t>
      </w:r>
      <w:r>
        <w:rPr>
          <w:rFonts w:hint="eastAsia"/>
        </w:rPr>
        <w:t>(</w:t>
      </w:r>
      <w:r>
        <w:rPr>
          <w:rFonts w:hint="eastAsia"/>
        </w:rPr>
        <w:t>《学校法》</w:t>
      </w:r>
      <w:r>
        <w:rPr>
          <w:rFonts w:hint="eastAsia"/>
        </w:rPr>
        <w:t>)</w:t>
      </w:r>
      <w:r>
        <w:rPr>
          <w:rFonts w:hint="eastAsia"/>
        </w:rPr>
        <w:t>。</w:t>
      </w:r>
    </w:p>
  </w:endnote>
  <w:endnote w:id="36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《学校法》第</w:t>
      </w:r>
      <w:r>
        <w:rPr>
          <w:rFonts w:hint="eastAsia"/>
        </w:rPr>
        <w:t>19</w:t>
      </w:r>
      <w:r>
        <w:rPr>
          <w:rFonts w:hint="eastAsia"/>
        </w:rPr>
        <w:t>节的原文是：“中等学校……接收上完初等学校的学生和其他报考人”。第</w:t>
      </w:r>
      <w:r>
        <w:rPr>
          <w:rFonts w:hint="eastAsia"/>
        </w:rPr>
        <w:t>19</w:t>
      </w:r>
      <w:r>
        <w:rPr>
          <w:rFonts w:hint="eastAsia"/>
        </w:rPr>
        <w:t>节新的措词是：“中等学校……接收已完成义务教育的学生和其他报考人以及在报考过程中对所选择的教育领域显示出适当的能力、知识、兴趣和健康能力，因而满足录取条件者。”</w:t>
      </w:r>
    </w:p>
  </w:endnote>
  <w:endnote w:id="36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在特殊学校里开办准备班受到了批评，因为这些班级没有引导儿童融入普通初等学校或幼儿园的自然环境。</w:t>
      </w:r>
    </w:p>
  </w:endnote>
  <w:endnote w:id="36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根据教育、青年和体育部第</w:t>
      </w:r>
      <w:r>
        <w:rPr>
          <w:rFonts w:hint="eastAsia"/>
        </w:rPr>
        <w:t>12748/97-20</w:t>
      </w:r>
      <w:r>
        <w:rPr>
          <w:rFonts w:hint="eastAsia"/>
        </w:rPr>
        <w:t>法规及其随后的修正案</w:t>
      </w:r>
      <w:r>
        <w:rPr>
          <w:rFonts w:hint="eastAsia"/>
        </w:rPr>
        <w:t>14169/98-22(</w:t>
      </w:r>
      <w:r>
        <w:rPr>
          <w:rFonts w:hint="eastAsia"/>
        </w:rPr>
        <w:t>关于幼儿园</w:t>
      </w:r>
      <w:r>
        <w:rPr>
          <w:rFonts w:hint="eastAsia"/>
        </w:rPr>
        <w:t>)</w:t>
      </w:r>
      <w:r>
        <w:rPr>
          <w:rFonts w:hint="eastAsia"/>
        </w:rPr>
        <w:t>。</w:t>
      </w:r>
    </w:p>
  </w:endnote>
  <w:endnote w:id="36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政府在</w:t>
      </w:r>
      <w:r>
        <w:rPr>
          <w:rFonts w:hint="eastAsia"/>
        </w:rPr>
        <w:t>1997</w:t>
      </w:r>
      <w:r>
        <w:rPr>
          <w:rFonts w:hint="eastAsia"/>
        </w:rPr>
        <w:t>年</w:t>
      </w:r>
      <w:r>
        <w:rPr>
          <w:rFonts w:hint="eastAsia"/>
        </w:rPr>
        <w:t>10</w:t>
      </w:r>
      <w:r>
        <w:rPr>
          <w:rFonts w:hint="eastAsia"/>
        </w:rPr>
        <w:t>月</w:t>
      </w:r>
      <w:r>
        <w:rPr>
          <w:rFonts w:hint="eastAsia"/>
        </w:rPr>
        <w:t>29</w:t>
      </w:r>
      <w:r>
        <w:rPr>
          <w:rFonts w:hint="eastAsia"/>
        </w:rPr>
        <w:t>日关于捷克共和国境内罗姆人情况的报告的第</w:t>
      </w:r>
      <w:r>
        <w:rPr>
          <w:rFonts w:hint="eastAsia"/>
        </w:rPr>
        <w:t>686</w:t>
      </w:r>
      <w:r>
        <w:rPr>
          <w:rFonts w:hint="eastAsia"/>
        </w:rPr>
        <w:t>号决议中责成教育、青年和体育部长“在初等教育系统中为语言和社会文化处境不利的学生扩大准备班网络。”</w:t>
      </w:r>
    </w:p>
  </w:endnote>
  <w:endnote w:id="36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根据教育、青年和体育部关于测试准备班的第</w:t>
      </w:r>
      <w:r>
        <w:rPr>
          <w:rFonts w:hint="eastAsia"/>
        </w:rPr>
        <w:t>12748/97-20</w:t>
      </w:r>
      <w:r>
        <w:rPr>
          <w:rFonts w:hint="eastAsia"/>
        </w:rPr>
        <w:t>号法规。</w:t>
      </w:r>
    </w:p>
  </w:endnote>
  <w:endnote w:id="36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根据教育、青年和体育部发出的关于初等学校为特殊学校毕业生提供补充教育的第</w:t>
      </w:r>
      <w:r>
        <w:rPr>
          <w:rFonts w:hint="eastAsia"/>
        </w:rPr>
        <w:t>17908/95-24</w:t>
      </w:r>
      <w:r>
        <w:rPr>
          <w:rFonts w:hint="eastAsia"/>
        </w:rPr>
        <w:t>号指示。</w:t>
      </w:r>
    </w:p>
  </w:endnote>
  <w:endnote w:id="37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教育、青年和体育部关于特殊学校和特殊幼儿园以及在特殊学校较低年级完成义务教育的公民的课程的第</w:t>
      </w:r>
      <w:r>
        <w:rPr>
          <w:rFonts w:hint="eastAsia"/>
        </w:rPr>
        <w:t>127/1997</w:t>
      </w:r>
      <w:r>
        <w:rPr>
          <w:rFonts w:hint="eastAsia"/>
        </w:rPr>
        <w:t>号法令第</w:t>
      </w:r>
      <w:r>
        <w:rPr>
          <w:rFonts w:hint="eastAsia"/>
        </w:rPr>
        <w:t>4</w:t>
      </w:r>
      <w:r>
        <w:rPr>
          <w:rFonts w:hint="eastAsia"/>
        </w:rPr>
        <w:t>节第</w:t>
      </w:r>
      <w:r>
        <w:rPr>
          <w:rFonts w:hint="eastAsia"/>
        </w:rPr>
        <w:t>10</w:t>
      </w:r>
      <w:r>
        <w:rPr>
          <w:rFonts w:hint="eastAsia"/>
        </w:rPr>
        <w:t>段。</w:t>
      </w:r>
    </w:p>
  </w:endnote>
  <w:endnote w:id="37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教育、青年和体育部关于初等学校向特殊学校毕业生提供的补充教育的第</w:t>
      </w:r>
      <w:r>
        <w:rPr>
          <w:rFonts w:hint="eastAsia"/>
        </w:rPr>
        <w:t>17908/95-24</w:t>
      </w:r>
      <w:r>
        <w:rPr>
          <w:rFonts w:hint="eastAsia"/>
        </w:rPr>
        <w:t>号指示和关于特殊学校提供的补充教育的第</w:t>
      </w:r>
      <w:r>
        <w:rPr>
          <w:rFonts w:hint="eastAsia"/>
        </w:rPr>
        <w:t>18371/96-24</w:t>
      </w:r>
      <w:r>
        <w:rPr>
          <w:rFonts w:hint="eastAsia"/>
        </w:rPr>
        <w:t>号指示。</w:t>
      </w:r>
    </w:p>
  </w:endnote>
  <w:endnote w:id="37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1993</w:t>
      </w:r>
      <w:r>
        <w:rPr>
          <w:rFonts w:hint="eastAsia"/>
        </w:rPr>
        <w:t>年</w:t>
      </w:r>
      <w:r>
        <w:rPr>
          <w:rFonts w:hint="eastAsia"/>
        </w:rPr>
        <w:t>9</w:t>
      </w:r>
      <w:r>
        <w:rPr>
          <w:rFonts w:hint="eastAsia"/>
        </w:rPr>
        <w:t>月</w:t>
      </w:r>
      <w:r>
        <w:rPr>
          <w:rFonts w:hint="eastAsia"/>
        </w:rPr>
        <w:t>8</w:t>
      </w:r>
      <w:r>
        <w:rPr>
          <w:rFonts w:hint="eastAsia"/>
        </w:rPr>
        <w:t>日第</w:t>
      </w:r>
      <w:r>
        <w:rPr>
          <w:rFonts w:hint="eastAsia"/>
        </w:rPr>
        <w:t>493</w:t>
      </w:r>
      <w:r>
        <w:rPr>
          <w:rFonts w:hint="eastAsia"/>
        </w:rPr>
        <w:t>号决议，其中批准了“减少身心残疾的不利后果的措施的国民计划”。</w:t>
      </w:r>
    </w:p>
  </w:endnote>
  <w:endnote w:id="37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教育部副部长关于补充补习学校提供的教育的第</w:t>
      </w:r>
      <w:r>
        <w:rPr>
          <w:rFonts w:hint="eastAsia"/>
        </w:rPr>
        <w:t>19096/97-24</w:t>
      </w:r>
      <w:r>
        <w:rPr>
          <w:rFonts w:hint="eastAsia"/>
        </w:rPr>
        <w:t>号决定。</w:t>
      </w:r>
    </w:p>
  </w:endnote>
  <w:endnote w:id="37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教育、青年和体育部第</w:t>
      </w:r>
      <w:r>
        <w:rPr>
          <w:rFonts w:hint="eastAsia"/>
        </w:rPr>
        <w:t>17908/95-24</w:t>
      </w:r>
      <w:r>
        <w:rPr>
          <w:rFonts w:hint="eastAsia"/>
        </w:rPr>
        <w:t>号指示。</w:t>
      </w:r>
    </w:p>
  </w:endnote>
  <w:endnote w:id="37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教育、青年和体育部第</w:t>
      </w:r>
      <w:r>
        <w:rPr>
          <w:rFonts w:hint="eastAsia"/>
        </w:rPr>
        <w:t>18371/96-24</w:t>
      </w:r>
      <w:r>
        <w:rPr>
          <w:rFonts w:hint="eastAsia"/>
        </w:rPr>
        <w:t>号指示。</w:t>
      </w:r>
    </w:p>
  </w:endnote>
  <w:endnote w:id="37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欧盟部长理事会于</w:t>
      </w:r>
      <w:r>
        <w:rPr>
          <w:rFonts w:hint="eastAsia"/>
        </w:rPr>
        <w:t>1994</w:t>
      </w:r>
      <w:r>
        <w:rPr>
          <w:rFonts w:hint="eastAsia"/>
        </w:rPr>
        <w:t>年</w:t>
      </w:r>
      <w:r>
        <w:rPr>
          <w:rFonts w:hint="eastAsia"/>
        </w:rPr>
        <w:t>12</w:t>
      </w:r>
      <w:r>
        <w:rPr>
          <w:rFonts w:hint="eastAsia"/>
        </w:rPr>
        <w:t>月</w:t>
      </w:r>
      <w:r>
        <w:rPr>
          <w:rFonts w:hint="eastAsia"/>
        </w:rPr>
        <w:t>6</w:t>
      </w:r>
      <w:r>
        <w:rPr>
          <w:rFonts w:hint="eastAsia"/>
        </w:rPr>
        <w:t>日宣布，达芬奇方案从</w:t>
      </w:r>
      <w:r>
        <w:rPr>
          <w:rFonts w:hint="eastAsia"/>
        </w:rPr>
        <w:t>1995</w:t>
      </w:r>
      <w:r>
        <w:rPr>
          <w:rFonts w:hint="eastAsia"/>
        </w:rPr>
        <w:t>年开始一直到</w:t>
      </w:r>
      <w:r>
        <w:rPr>
          <w:rFonts w:hint="eastAsia"/>
        </w:rPr>
        <w:t>1999</w:t>
      </w:r>
      <w:r>
        <w:rPr>
          <w:rFonts w:hint="eastAsia"/>
        </w:rPr>
        <w:t>年为止。捷克共和国起先参加了筹备阶段，自</w:t>
      </w:r>
      <w:r>
        <w:rPr>
          <w:rFonts w:hint="eastAsia"/>
        </w:rPr>
        <w:t>1997</w:t>
      </w:r>
      <w:r>
        <w:rPr>
          <w:rFonts w:hint="eastAsia"/>
        </w:rPr>
        <w:t>年</w:t>
      </w:r>
      <w:r>
        <w:rPr>
          <w:rFonts w:hint="eastAsia"/>
        </w:rPr>
        <w:t>10</w:t>
      </w:r>
      <w:r>
        <w:rPr>
          <w:rFonts w:hint="eastAsia"/>
        </w:rPr>
        <w:t>月</w:t>
      </w:r>
      <w:r>
        <w:rPr>
          <w:rFonts w:hint="eastAsia"/>
        </w:rPr>
        <w:t>1</w:t>
      </w:r>
      <w:r>
        <w:rPr>
          <w:rFonts w:hint="eastAsia"/>
        </w:rPr>
        <w:t>日起，捷克共和国成为正式成员。它与欧洲联盟各国和欧洲自由贸易区各机构平等地参加该方案。</w:t>
      </w:r>
    </w:p>
  </w:endnote>
  <w:endnote w:id="37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随后经修正的关于设立捷克共和国各部委和其他国家中央行政机构的第</w:t>
      </w:r>
      <w:r>
        <w:rPr>
          <w:rFonts w:hint="eastAsia"/>
        </w:rPr>
        <w:t>2/1969</w:t>
      </w:r>
      <w:r>
        <w:rPr>
          <w:rFonts w:hint="eastAsia"/>
        </w:rPr>
        <w:t>号法令。</w:t>
      </w:r>
    </w:p>
  </w:endnote>
  <w:endnote w:id="37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324/1996</w:t>
      </w:r>
      <w:r>
        <w:rPr>
          <w:rFonts w:hint="eastAsia"/>
        </w:rPr>
        <w:t>号政府法规，其中规定了向私立学校和学前机构和学校机构提供补贴的条件和数额。</w:t>
      </w:r>
    </w:p>
  </w:endnote>
  <w:endnote w:id="37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关于教会和宗教团体问题的法规属于文化部的实质性管辖范围：随后经修正的关于国家对教会和宗教团体的经济资助的第</w:t>
      </w:r>
      <w:r>
        <w:rPr>
          <w:rFonts w:hint="eastAsia"/>
        </w:rPr>
        <w:t>218/1949</w:t>
      </w:r>
      <w:r>
        <w:rPr>
          <w:rFonts w:hint="eastAsia"/>
        </w:rPr>
        <w:t>号法令和与之有关的政府执行法规；关于神学校的第</w:t>
      </w:r>
      <w:r>
        <w:rPr>
          <w:rFonts w:hint="eastAsia"/>
        </w:rPr>
        <w:t>163/1990</w:t>
      </w:r>
      <w:r>
        <w:rPr>
          <w:rFonts w:hint="eastAsia"/>
        </w:rPr>
        <w:t>号法令；随后经修正的关于宗教团体和主教会议和奥洛莫乌茨大主教的某些财产关系的法规的第</w:t>
      </w:r>
      <w:r>
        <w:rPr>
          <w:rFonts w:hint="eastAsia"/>
        </w:rPr>
        <w:t>298/1990</w:t>
      </w:r>
      <w:r>
        <w:rPr>
          <w:rFonts w:hint="eastAsia"/>
        </w:rPr>
        <w:t>号法令；捷克民族议会主席团关于捷克共和国各机构在执行《关于宗教团体和主教会议和奥洛莫乌茨大主教的某些财产关系的法规》时的管辖权的第</w:t>
      </w:r>
      <w:r>
        <w:rPr>
          <w:rFonts w:hint="eastAsia"/>
        </w:rPr>
        <w:t>307/1990</w:t>
      </w:r>
      <w:r>
        <w:rPr>
          <w:rFonts w:hint="eastAsia"/>
        </w:rPr>
        <w:t>号法律措施；关于宗教自由和教会和宗教团体的地位的第</w:t>
      </w:r>
      <w:r>
        <w:rPr>
          <w:rFonts w:hint="eastAsia"/>
        </w:rPr>
        <w:t>308/1991</w:t>
      </w:r>
      <w:r>
        <w:rPr>
          <w:rFonts w:hint="eastAsia"/>
        </w:rPr>
        <w:t>号法令；关于教会和宗教团体登记的第</w:t>
      </w:r>
      <w:r>
        <w:rPr>
          <w:rFonts w:hint="eastAsia"/>
        </w:rPr>
        <w:t>161/1992</w:t>
      </w:r>
      <w:r>
        <w:rPr>
          <w:rFonts w:hint="eastAsia"/>
        </w:rPr>
        <w:t>号法令；随后经修正的关于向教会和宗教团体牧师发放个人工资的第</w:t>
      </w:r>
      <w:r>
        <w:rPr>
          <w:rFonts w:hint="eastAsia"/>
        </w:rPr>
        <w:t>86/1993</w:t>
      </w:r>
      <w:r>
        <w:rPr>
          <w:rFonts w:hint="eastAsia"/>
        </w:rPr>
        <w:t>号政府法规。</w:t>
      </w:r>
    </w:p>
  </w:endnote>
  <w:endnote w:id="38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第</w:t>
      </w:r>
      <w:r>
        <w:rPr>
          <w:rFonts w:hint="eastAsia"/>
        </w:rPr>
        <w:t>324/1996</w:t>
      </w:r>
      <w:r>
        <w:rPr>
          <w:rFonts w:hint="eastAsia"/>
        </w:rPr>
        <w:t>号政府法规，其中规定了向私立学校和学前和学校机构提供补贴的条件和数额。</w:t>
      </w:r>
    </w:p>
  </w:endnote>
  <w:endnote w:id="38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教育、青年和体育部关于学校视察的组织、展开和任务的第</w:t>
      </w:r>
      <w:r>
        <w:rPr>
          <w:rFonts w:hint="eastAsia"/>
        </w:rPr>
        <w:t>357/1997</w:t>
      </w:r>
      <w:r>
        <w:rPr>
          <w:rFonts w:hint="eastAsia"/>
        </w:rPr>
        <w:t>号法令。</w:t>
      </w:r>
    </w:p>
  </w:endnote>
  <w:endnote w:id="382">
    <w:p w:rsidR="00000000" w:rsidRDefault="00000000">
      <w:pPr>
        <w:pStyle w:val="EndnoteText"/>
        <w:rPr>
          <w:rFonts w:hint="eastAsia"/>
          <w:lang w:val="fr-CH"/>
        </w:rPr>
      </w:pPr>
      <w:r>
        <w:rPr>
          <w:rStyle w:val="EndnoteReference"/>
        </w:rPr>
        <w:endnoteRef/>
      </w:r>
      <w:r>
        <w:t xml:space="preserve"> </w:t>
      </w:r>
      <w:r>
        <w:rPr>
          <w:rFonts w:hint="eastAsia"/>
        </w:rPr>
        <w:t xml:space="preserve">  </w:t>
      </w:r>
      <w:r>
        <w:rPr>
          <w:rFonts w:hint="eastAsia"/>
        </w:rPr>
        <w:t>在《保护世界文化和自然遗产公约》谈判事宜完成之后，在</w:t>
      </w:r>
      <w:r>
        <w:rPr>
          <w:rFonts w:hint="eastAsia"/>
        </w:rPr>
        <w:t>159/1991 C</w:t>
      </w:r>
      <w:r>
        <w:t>oll</w:t>
      </w:r>
      <w:r>
        <w:rPr>
          <w:rFonts w:hint="eastAsia"/>
          <w:lang w:val="fr-CH"/>
        </w:rPr>
        <w:t>.</w:t>
      </w:r>
      <w:r>
        <w:rPr>
          <w:rFonts w:hint="eastAsia"/>
          <w:lang w:val="fr-CH"/>
        </w:rPr>
        <w:t>号《法律集》中公布。</w:t>
      </w:r>
    </w:p>
  </w:endnote>
  <w:endnote w:id="383">
    <w:p w:rsidR="00000000" w:rsidRDefault="00000000">
      <w:pPr>
        <w:pStyle w:val="EndnoteText"/>
        <w:rPr>
          <w:rFonts w:hint="eastAsia"/>
        </w:rPr>
      </w:pPr>
      <w:r>
        <w:rPr>
          <w:rStyle w:val="EndnoteReference"/>
        </w:rPr>
        <w:endnoteRef/>
      </w:r>
      <w:r>
        <w:t xml:space="preserve">   </w:t>
      </w:r>
      <w:r>
        <w:rPr>
          <w:rFonts w:hint="eastAsia"/>
        </w:rPr>
        <w:t>在批准《关于禁止和防止非法进出口文化财产和非法转让其所有权的方法的公约》之后，在</w:t>
      </w:r>
      <w:r>
        <w:rPr>
          <w:rFonts w:hint="eastAsia"/>
        </w:rPr>
        <w:t>15/1980 C</w:t>
      </w:r>
      <w:r>
        <w:t>oll</w:t>
      </w:r>
      <w:r>
        <w:rPr>
          <w:rFonts w:hint="eastAsia"/>
          <w:lang w:val="fr-CH"/>
        </w:rPr>
        <w:t>.</w:t>
      </w:r>
      <w:r>
        <w:rPr>
          <w:rFonts w:hint="eastAsia"/>
          <w:lang w:val="fr-CH"/>
        </w:rPr>
        <w:t>号《法律集》中公布。</w:t>
      </w:r>
    </w:p>
  </w:endnote>
  <w:endnote w:id="384">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在批准《关于发生武装冲突时保护文化财产的公约》及其《议定书》之后，在</w:t>
      </w:r>
      <w:r>
        <w:rPr>
          <w:rFonts w:hint="eastAsia"/>
        </w:rPr>
        <w:t>94/1958 C</w:t>
      </w:r>
      <w:r>
        <w:t>oll</w:t>
      </w:r>
      <w:r>
        <w:rPr>
          <w:rFonts w:hint="eastAsia"/>
          <w:lang w:val="fr-CH"/>
        </w:rPr>
        <w:t>.</w:t>
      </w:r>
      <w:r>
        <w:rPr>
          <w:rFonts w:hint="eastAsia"/>
          <w:lang w:val="fr-CH"/>
        </w:rPr>
        <w:t>号《法律集》中公布。</w:t>
      </w:r>
    </w:p>
  </w:endnote>
  <w:endnote w:id="38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外交部关于《国家间交换官方出版物和政府文件公约》以及《国际间交换出版物公约》的通告，编号</w:t>
      </w:r>
      <w:r>
        <w:rPr>
          <w:rFonts w:hint="eastAsia"/>
        </w:rPr>
        <w:t>12/1965 C</w:t>
      </w:r>
      <w:r>
        <w:t>oll</w:t>
      </w:r>
      <w:r>
        <w:rPr>
          <w:rFonts w:hint="eastAsia"/>
          <w:lang w:val="fr-CH"/>
        </w:rPr>
        <w:t>.</w:t>
      </w:r>
      <w:r>
        <w:rPr>
          <w:rFonts w:hint="eastAsia"/>
          <w:lang w:val="fr-CH"/>
        </w:rPr>
        <w:t>。</w:t>
      </w:r>
    </w:p>
  </w:endnote>
  <w:endnote w:id="38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外交部《关于教育、科学和文化物品的进口的协定》谈判事宜的通告，编号</w:t>
      </w:r>
      <w:r>
        <w:rPr>
          <w:rFonts w:hint="eastAsia"/>
        </w:rPr>
        <w:t>102/1998 C</w:t>
      </w:r>
      <w:r>
        <w:t>oll</w:t>
      </w:r>
      <w:r>
        <w:rPr>
          <w:rFonts w:hint="eastAsia"/>
          <w:lang w:val="fr-CH"/>
        </w:rPr>
        <w:t>.</w:t>
      </w:r>
      <w:r>
        <w:rPr>
          <w:rFonts w:hint="eastAsia"/>
          <w:lang w:val="fr-CH"/>
        </w:rPr>
        <w:t>，以及《关于教育、科学和文化物品的进口的协定议定书》谈判事宜的通告，编号</w:t>
      </w:r>
      <w:r>
        <w:rPr>
          <w:rFonts w:hint="eastAsia"/>
          <w:lang w:val="fr-CH"/>
        </w:rPr>
        <w:t xml:space="preserve">103/1998 </w:t>
      </w:r>
      <w:r>
        <w:rPr>
          <w:rFonts w:hint="eastAsia"/>
        </w:rPr>
        <w:t>C</w:t>
      </w:r>
      <w:r>
        <w:t>oll</w:t>
      </w:r>
      <w:r>
        <w:rPr>
          <w:rFonts w:hint="eastAsia"/>
          <w:lang w:val="fr-CH"/>
        </w:rPr>
        <w:t>.</w:t>
      </w:r>
      <w:r>
        <w:rPr>
          <w:rFonts w:hint="eastAsia"/>
          <w:lang w:val="fr-CH"/>
        </w:rPr>
        <w:t>。</w:t>
      </w:r>
    </w:p>
  </w:endnote>
  <w:endnote w:id="38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《国家历史遗产保护法》，编号，</w:t>
      </w:r>
      <w:r>
        <w:rPr>
          <w:rFonts w:hint="eastAsia"/>
        </w:rPr>
        <w:t>20/1987 C</w:t>
      </w:r>
      <w:r>
        <w:t>oll</w:t>
      </w:r>
      <w:r>
        <w:rPr>
          <w:rFonts w:hint="eastAsia"/>
          <w:lang w:val="fr-CH"/>
        </w:rPr>
        <w:t>.</w:t>
      </w:r>
      <w:r>
        <w:rPr>
          <w:rFonts w:hint="eastAsia"/>
          <w:lang w:val="fr-CH"/>
        </w:rPr>
        <w:t>，后经修正</w:t>
      </w:r>
      <w:r>
        <w:rPr>
          <w:lang w:val="fr-CH"/>
        </w:rPr>
        <w:t> </w:t>
      </w:r>
      <w:r>
        <w:rPr>
          <w:rFonts w:hint="eastAsia"/>
          <w:lang w:val="fr-CH"/>
        </w:rPr>
        <w:t>；《分区规划和建筑法》，编号</w:t>
      </w:r>
      <w:r>
        <w:rPr>
          <w:rFonts w:hint="eastAsia"/>
          <w:lang w:val="fr-CH"/>
        </w:rPr>
        <w:t xml:space="preserve">50/1976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；《环境影响评估法》，编号</w:t>
      </w:r>
      <w:r>
        <w:rPr>
          <w:rFonts w:hint="eastAsia"/>
          <w:lang w:val="fr-CH"/>
        </w:rPr>
        <w:t xml:space="preserve">244/1992 </w:t>
      </w:r>
      <w:r>
        <w:rPr>
          <w:rFonts w:hint="eastAsia"/>
        </w:rPr>
        <w:t>C</w:t>
      </w:r>
      <w:r>
        <w:t>oll</w:t>
      </w:r>
      <w:r>
        <w:rPr>
          <w:rFonts w:hint="eastAsia"/>
          <w:lang w:val="fr-CH"/>
        </w:rPr>
        <w:t>.</w:t>
      </w:r>
      <w:r>
        <w:rPr>
          <w:lang w:val="fr-CH"/>
        </w:rPr>
        <w:t> </w:t>
      </w:r>
      <w:r>
        <w:rPr>
          <w:rFonts w:hint="eastAsia"/>
          <w:lang w:val="fr-CH"/>
        </w:rPr>
        <w:t>；《自然和乡村保护法》，编号</w:t>
      </w:r>
      <w:r>
        <w:rPr>
          <w:rFonts w:hint="eastAsia"/>
          <w:lang w:val="fr-CH"/>
        </w:rPr>
        <w:t xml:space="preserve">114/1992 </w:t>
      </w:r>
      <w:r>
        <w:rPr>
          <w:rFonts w:hint="eastAsia"/>
        </w:rPr>
        <w:t>C</w:t>
      </w:r>
      <w:r>
        <w:t>oll</w:t>
      </w:r>
      <w:r>
        <w:rPr>
          <w:rFonts w:hint="eastAsia"/>
          <w:lang w:val="fr-CH"/>
        </w:rPr>
        <w:t>.</w:t>
      </w:r>
      <w:r>
        <w:rPr>
          <w:lang w:val="fr-CH"/>
        </w:rPr>
        <w:t> </w:t>
      </w:r>
      <w:r>
        <w:rPr>
          <w:rFonts w:hint="eastAsia"/>
          <w:lang w:val="fr-CH"/>
        </w:rPr>
        <w:t>；《档案法》，编号</w:t>
      </w:r>
      <w:r>
        <w:rPr>
          <w:rFonts w:hint="eastAsia"/>
          <w:lang w:val="fr-CH"/>
        </w:rPr>
        <w:t xml:space="preserve">97/1974 </w:t>
      </w:r>
      <w:r>
        <w:rPr>
          <w:rFonts w:hint="eastAsia"/>
        </w:rPr>
        <w:t>C</w:t>
      </w:r>
      <w:r>
        <w:t>oll</w:t>
      </w:r>
      <w:r>
        <w:rPr>
          <w:rFonts w:hint="eastAsia"/>
          <w:lang w:val="fr-CH"/>
        </w:rPr>
        <w:t>.</w:t>
      </w:r>
      <w:r>
        <w:rPr>
          <w:lang w:val="fr-CH"/>
        </w:rPr>
        <w:t> </w:t>
      </w:r>
      <w:r>
        <w:rPr>
          <w:rFonts w:hint="eastAsia"/>
          <w:lang w:val="fr-CH"/>
        </w:rPr>
        <w:t>，后经修正</w:t>
      </w:r>
      <w:r>
        <w:rPr>
          <w:lang w:val="fr-CH"/>
        </w:rPr>
        <w:t> </w:t>
      </w:r>
      <w:r>
        <w:rPr>
          <w:rFonts w:hint="eastAsia"/>
          <w:lang w:val="fr-CH"/>
        </w:rPr>
        <w:t>；《关于音像作品的制作、散发和归档的某些条件以及对某些法规和某些其他条例进行补充的法规</w:t>
      </w:r>
      <w:r>
        <w:rPr>
          <w:lang w:val="fr-CH"/>
        </w:rPr>
        <w:t> </w:t>
      </w:r>
      <w:r>
        <w:rPr>
          <w:rFonts w:hint="eastAsia"/>
          <w:lang w:val="fr-CH"/>
        </w:rPr>
        <w:t>》，编号</w:t>
      </w:r>
      <w:r>
        <w:rPr>
          <w:rFonts w:hint="eastAsia"/>
          <w:lang w:val="fr-CH"/>
        </w:rPr>
        <w:t xml:space="preserve">273/1993 </w:t>
      </w:r>
      <w:r>
        <w:rPr>
          <w:rFonts w:hint="eastAsia"/>
        </w:rPr>
        <w:t>C</w:t>
      </w:r>
      <w:r>
        <w:t>oll</w:t>
      </w:r>
      <w:r>
        <w:rPr>
          <w:rFonts w:hint="eastAsia"/>
          <w:lang w:val="fr-CH"/>
        </w:rPr>
        <w:t>.</w:t>
      </w:r>
      <w:r>
        <w:rPr>
          <w:lang w:val="fr-CH"/>
        </w:rPr>
        <w:t> </w:t>
      </w:r>
      <w:r>
        <w:rPr>
          <w:rFonts w:hint="eastAsia"/>
          <w:lang w:val="fr-CH"/>
        </w:rPr>
        <w:t>，后经修正</w:t>
      </w:r>
      <w:r>
        <w:rPr>
          <w:lang w:val="fr-CH"/>
        </w:rPr>
        <w:t> </w:t>
      </w:r>
      <w:r>
        <w:rPr>
          <w:rFonts w:hint="eastAsia"/>
          <w:lang w:val="fr-CH"/>
        </w:rPr>
        <w:t>；《布拉格国家美术馆法》，编号</w:t>
      </w:r>
      <w:r>
        <w:rPr>
          <w:rFonts w:hint="eastAsia"/>
          <w:lang w:val="fr-CH"/>
        </w:rPr>
        <w:t xml:space="preserve">148/1949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；《博物馆和美术馆法》，编号</w:t>
      </w:r>
      <w:r>
        <w:rPr>
          <w:rFonts w:hint="eastAsia"/>
          <w:lang w:val="fr-CH"/>
        </w:rPr>
        <w:t xml:space="preserve">54/1959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；《具有文化价值的物品出口法》，编号</w:t>
      </w:r>
      <w:r>
        <w:rPr>
          <w:rFonts w:hint="eastAsia"/>
          <w:lang w:val="fr-CH"/>
        </w:rPr>
        <w:t xml:space="preserve">71/1994 </w:t>
      </w:r>
      <w:r>
        <w:rPr>
          <w:rFonts w:hint="eastAsia"/>
        </w:rPr>
        <w:t>C</w:t>
      </w:r>
      <w:r>
        <w:t>oll</w:t>
      </w:r>
      <w:r>
        <w:rPr>
          <w:rFonts w:hint="eastAsia"/>
          <w:lang w:val="fr-CH"/>
        </w:rPr>
        <w:t>.</w:t>
      </w:r>
      <w:r>
        <w:rPr>
          <w:rFonts w:hint="eastAsia"/>
          <w:lang w:val="fr-CH"/>
        </w:rPr>
        <w:t>，以及《捷克共和国文化部的执行措施》，后经修正。</w:t>
      </w:r>
    </w:p>
  </w:endnote>
  <w:endnote w:id="38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《无线电和电视广播法》，编号</w:t>
      </w:r>
      <w:r>
        <w:rPr>
          <w:rFonts w:hint="eastAsia"/>
        </w:rPr>
        <w:t>468/1991 C</w:t>
      </w:r>
      <w:r>
        <w:t>oll</w:t>
      </w:r>
      <w:r>
        <w:rPr>
          <w:rFonts w:hint="eastAsia"/>
          <w:lang w:val="fr-CH"/>
        </w:rPr>
        <w:t>.</w:t>
      </w:r>
      <w:r>
        <w:rPr>
          <w:rFonts w:hint="eastAsia"/>
          <w:lang w:val="fr-CH"/>
        </w:rPr>
        <w:t>，后经修正；《捷克电视台法》，编号</w:t>
      </w:r>
      <w:r>
        <w:rPr>
          <w:rFonts w:hint="eastAsia"/>
          <w:lang w:val="fr-CH"/>
        </w:rPr>
        <w:t xml:space="preserve">483/1991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；《捷克广播电台法》，编号</w:t>
      </w:r>
      <w:r>
        <w:rPr>
          <w:rFonts w:hint="eastAsia"/>
          <w:lang w:val="fr-CH"/>
        </w:rPr>
        <w:t xml:space="preserve">484/1991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；《捷克共和国无线电和电视广播理事会法》，编号</w:t>
      </w:r>
      <w:r>
        <w:rPr>
          <w:rFonts w:hint="eastAsia"/>
          <w:lang w:val="fr-CH"/>
        </w:rPr>
        <w:t xml:space="preserve">4874/11992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；《无线电台和电视台收费法》，编号</w:t>
      </w:r>
      <w:r>
        <w:rPr>
          <w:rFonts w:hint="eastAsia"/>
          <w:lang w:val="fr-CH"/>
        </w:rPr>
        <w:t xml:space="preserve">252/1994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；《期刊和其他大众传媒法》，编号</w:t>
      </w:r>
      <w:r>
        <w:rPr>
          <w:rFonts w:hint="eastAsia"/>
          <w:lang w:val="fr-CH"/>
        </w:rPr>
        <w:t xml:space="preserve">84/1968 </w:t>
      </w:r>
      <w:r>
        <w:rPr>
          <w:rFonts w:hint="eastAsia"/>
        </w:rPr>
        <w:t>C</w:t>
      </w:r>
      <w:r>
        <w:t>oll</w:t>
      </w:r>
      <w:r>
        <w:rPr>
          <w:rFonts w:hint="eastAsia"/>
          <w:lang w:val="fr-CH"/>
        </w:rPr>
        <w:t>.</w:t>
      </w:r>
      <w:r>
        <w:rPr>
          <w:rFonts w:hint="eastAsia"/>
          <w:lang w:val="fr-CH"/>
        </w:rPr>
        <w:t>，后经修正</w:t>
      </w:r>
      <w:r>
        <w:rPr>
          <w:lang w:val="fr-CH"/>
        </w:rPr>
        <w:t> </w:t>
      </w:r>
      <w:r>
        <w:rPr>
          <w:rFonts w:hint="eastAsia"/>
          <w:lang w:val="fr-CH"/>
        </w:rPr>
        <w:t>；《广告法》，编号</w:t>
      </w:r>
      <w:r>
        <w:rPr>
          <w:rFonts w:hint="eastAsia"/>
          <w:lang w:val="fr-CH"/>
        </w:rPr>
        <w:t xml:space="preserve">468/1995 </w:t>
      </w:r>
      <w:r>
        <w:rPr>
          <w:rFonts w:hint="eastAsia"/>
        </w:rPr>
        <w:t>C</w:t>
      </w:r>
      <w:r>
        <w:t>oll</w:t>
      </w:r>
      <w:r>
        <w:rPr>
          <w:rFonts w:hint="eastAsia"/>
          <w:lang w:val="fr-CH"/>
        </w:rPr>
        <w:t>.</w:t>
      </w:r>
      <w:r>
        <w:rPr>
          <w:rFonts w:hint="eastAsia"/>
          <w:lang w:val="fr-CH"/>
        </w:rPr>
        <w:t>，该法规对《无线电和电视广播法》</w:t>
      </w:r>
      <w:r>
        <w:rPr>
          <w:rFonts w:hint="eastAsia"/>
          <w:lang w:val="fr-CH"/>
        </w:rPr>
        <w:t>(</w:t>
      </w:r>
      <w:r>
        <w:rPr>
          <w:rFonts w:hint="eastAsia"/>
          <w:lang w:val="fr-CH"/>
        </w:rPr>
        <w:t>编号</w:t>
      </w:r>
      <w:r>
        <w:rPr>
          <w:rFonts w:hint="eastAsia"/>
          <w:lang w:val="fr-CH"/>
        </w:rPr>
        <w:t xml:space="preserve">468/1991 </w:t>
      </w:r>
      <w:r>
        <w:rPr>
          <w:rFonts w:hint="eastAsia"/>
        </w:rPr>
        <w:t>C</w:t>
      </w:r>
      <w:r>
        <w:t>oll</w:t>
      </w:r>
      <w:r>
        <w:rPr>
          <w:rFonts w:hint="eastAsia"/>
          <w:lang w:val="fr-CH"/>
        </w:rPr>
        <w:t>.)</w:t>
      </w:r>
      <w:r>
        <w:rPr>
          <w:rFonts w:hint="eastAsia"/>
          <w:lang w:val="fr-CH"/>
        </w:rPr>
        <w:t>作了修正和补充，后经修正</w:t>
      </w:r>
      <w:r>
        <w:rPr>
          <w:lang w:val="fr-CH"/>
        </w:rPr>
        <w:t> </w:t>
      </w:r>
      <w:r>
        <w:rPr>
          <w:rFonts w:hint="eastAsia"/>
          <w:lang w:val="fr-CH"/>
        </w:rPr>
        <w:t>；《非定期出版物法》</w:t>
      </w:r>
      <w:r>
        <w:rPr>
          <w:rFonts w:hint="eastAsia"/>
          <w:lang w:val="fr-CH"/>
        </w:rPr>
        <w:t>(</w:t>
      </w:r>
      <w:r>
        <w:rPr>
          <w:rFonts w:hint="eastAsia"/>
          <w:lang w:val="fr-CH"/>
        </w:rPr>
        <w:t>编号</w:t>
      </w:r>
      <w:r>
        <w:rPr>
          <w:rFonts w:hint="eastAsia"/>
          <w:lang w:val="fr-CH"/>
        </w:rPr>
        <w:t xml:space="preserve">37/1995 </w:t>
      </w:r>
      <w:r>
        <w:rPr>
          <w:rFonts w:hint="eastAsia"/>
        </w:rPr>
        <w:t>C</w:t>
      </w:r>
      <w:r>
        <w:t>oll</w:t>
      </w:r>
      <w:r>
        <w:rPr>
          <w:rFonts w:hint="eastAsia"/>
          <w:lang w:val="fr-CH"/>
        </w:rPr>
        <w:t>.)</w:t>
      </w:r>
      <w:r>
        <w:rPr>
          <w:rFonts w:hint="eastAsia"/>
          <w:lang w:val="fr-CH"/>
        </w:rPr>
        <w:t>及其实施法令</w:t>
      </w:r>
      <w:r>
        <w:rPr>
          <w:lang w:val="fr-CH"/>
        </w:rPr>
        <w:t> </w:t>
      </w:r>
      <w:r>
        <w:rPr>
          <w:rFonts w:hint="eastAsia"/>
          <w:lang w:val="fr-CH"/>
        </w:rPr>
        <w:t>；《统一图书馆系统法》</w:t>
      </w:r>
      <w:r>
        <w:rPr>
          <w:rFonts w:hint="eastAsia"/>
          <w:lang w:val="fr-CH"/>
        </w:rPr>
        <w:t>(</w:t>
      </w:r>
      <w:r>
        <w:rPr>
          <w:rFonts w:hint="eastAsia"/>
          <w:lang w:val="fr-CH"/>
        </w:rPr>
        <w:t>编号</w:t>
      </w:r>
      <w:r>
        <w:rPr>
          <w:rFonts w:hint="eastAsia"/>
          <w:lang w:val="fr-CH"/>
        </w:rPr>
        <w:t xml:space="preserve">53/1959 </w:t>
      </w:r>
      <w:r>
        <w:rPr>
          <w:rFonts w:hint="eastAsia"/>
        </w:rPr>
        <w:t>C</w:t>
      </w:r>
      <w:r>
        <w:t>oll</w:t>
      </w:r>
      <w:r>
        <w:rPr>
          <w:rFonts w:hint="eastAsia"/>
          <w:lang w:val="fr-CH"/>
        </w:rPr>
        <w:t>.)</w:t>
      </w:r>
      <w:r>
        <w:rPr>
          <w:rFonts w:hint="eastAsia"/>
          <w:lang w:val="fr-CH"/>
        </w:rPr>
        <w:t>及其实施规定</w:t>
      </w:r>
      <w:r>
        <w:rPr>
          <w:lang w:val="fr-CH"/>
        </w:rPr>
        <w:t> </w:t>
      </w:r>
      <w:r>
        <w:rPr>
          <w:rFonts w:hint="eastAsia"/>
          <w:lang w:val="fr-CH"/>
        </w:rPr>
        <w:t>；《文学、科学和艺术作品法》</w:t>
      </w:r>
      <w:r>
        <w:rPr>
          <w:rFonts w:hint="eastAsia"/>
          <w:lang w:val="fr-CH"/>
        </w:rPr>
        <w:t>(</w:t>
      </w:r>
      <w:r>
        <w:rPr>
          <w:rFonts w:hint="eastAsia"/>
          <w:lang w:val="fr-CH"/>
        </w:rPr>
        <w:t>《版权法》</w:t>
      </w:r>
      <w:r>
        <w:rPr>
          <w:rFonts w:hint="eastAsia"/>
          <w:lang w:val="fr-CH"/>
        </w:rPr>
        <w:t>)</w:t>
      </w:r>
      <w:r>
        <w:rPr>
          <w:rFonts w:hint="eastAsia"/>
          <w:lang w:val="fr-CH"/>
        </w:rPr>
        <w:t>，编号</w:t>
      </w:r>
      <w:r>
        <w:rPr>
          <w:rFonts w:hint="eastAsia"/>
          <w:lang w:val="fr-CH"/>
        </w:rPr>
        <w:t xml:space="preserve">35/1965 </w:t>
      </w:r>
      <w:r>
        <w:rPr>
          <w:rFonts w:hint="eastAsia"/>
        </w:rPr>
        <w:t>C</w:t>
      </w:r>
      <w:r>
        <w:t>oll</w:t>
      </w:r>
      <w:r>
        <w:rPr>
          <w:rFonts w:hint="eastAsia"/>
          <w:lang w:val="fr-CH"/>
        </w:rPr>
        <w:t>.</w:t>
      </w:r>
      <w:r>
        <w:rPr>
          <w:rFonts w:hint="eastAsia"/>
          <w:lang w:val="fr-CH"/>
        </w:rPr>
        <w:t>，后经修正，及其实施规定</w:t>
      </w:r>
      <w:r>
        <w:rPr>
          <w:lang w:val="fr-CH"/>
        </w:rPr>
        <w:t> </w:t>
      </w:r>
      <w:r>
        <w:rPr>
          <w:rFonts w:hint="eastAsia"/>
          <w:lang w:val="fr-CH"/>
        </w:rPr>
        <w:t>；《共同管理版权和与版权相关权利法》，编号</w:t>
      </w:r>
      <w:r>
        <w:rPr>
          <w:rFonts w:hint="eastAsia"/>
          <w:lang w:val="fr-CH"/>
        </w:rPr>
        <w:t xml:space="preserve">237/1995 </w:t>
      </w:r>
      <w:r>
        <w:rPr>
          <w:rFonts w:hint="eastAsia"/>
        </w:rPr>
        <w:t>C</w:t>
      </w:r>
      <w:r>
        <w:t>oll</w:t>
      </w:r>
      <w:r>
        <w:rPr>
          <w:rFonts w:hint="eastAsia"/>
          <w:lang w:val="fr-CH"/>
        </w:rPr>
        <w:t>.</w:t>
      </w:r>
      <w:r>
        <w:rPr>
          <w:rFonts w:hint="eastAsia"/>
          <w:lang w:val="fr-CH"/>
        </w:rPr>
        <w:t>，及其实施规定</w:t>
      </w:r>
      <w:r>
        <w:rPr>
          <w:lang w:val="fr-CH"/>
        </w:rPr>
        <w:t> </w:t>
      </w:r>
      <w:r>
        <w:rPr>
          <w:rFonts w:hint="eastAsia"/>
          <w:lang w:val="fr-CH"/>
        </w:rPr>
        <w:t>；《文化基金会地位管理法》，编号</w:t>
      </w:r>
      <w:r>
        <w:rPr>
          <w:rFonts w:hint="eastAsia"/>
          <w:lang w:val="fr-CH"/>
        </w:rPr>
        <w:t xml:space="preserve">318/1993 </w:t>
      </w:r>
      <w:r>
        <w:rPr>
          <w:rFonts w:hint="eastAsia"/>
        </w:rPr>
        <w:t>C</w:t>
      </w:r>
      <w:r>
        <w:t>oll</w:t>
      </w:r>
      <w:r>
        <w:rPr>
          <w:rFonts w:hint="eastAsia"/>
          <w:lang w:val="fr-CH"/>
        </w:rPr>
        <w:t>.</w:t>
      </w:r>
      <w:r>
        <w:rPr>
          <w:rFonts w:hint="eastAsia"/>
          <w:lang w:val="fr-CH"/>
        </w:rPr>
        <w:t>，该法规对《文学、科学和艺术作品法》</w:t>
      </w:r>
      <w:r>
        <w:rPr>
          <w:rFonts w:hint="eastAsia"/>
          <w:lang w:val="fr-CH"/>
        </w:rPr>
        <w:t>(</w:t>
      </w:r>
      <w:r>
        <w:rPr>
          <w:rFonts w:hint="eastAsia"/>
          <w:lang w:val="fr-CH"/>
        </w:rPr>
        <w:t>《版权法》</w:t>
      </w:r>
      <w:r>
        <w:rPr>
          <w:rFonts w:hint="eastAsia"/>
          <w:lang w:val="fr-CH"/>
        </w:rPr>
        <w:t>)(</w:t>
      </w:r>
      <w:r>
        <w:rPr>
          <w:rFonts w:hint="eastAsia"/>
          <w:lang w:val="fr-CH"/>
        </w:rPr>
        <w:t>编号</w:t>
      </w:r>
      <w:r>
        <w:rPr>
          <w:rFonts w:hint="eastAsia"/>
          <w:lang w:val="fr-CH"/>
        </w:rPr>
        <w:t xml:space="preserve">35/1965 </w:t>
      </w:r>
      <w:r>
        <w:rPr>
          <w:rFonts w:hint="eastAsia"/>
        </w:rPr>
        <w:t>C</w:t>
      </w:r>
      <w:r>
        <w:t>oll</w:t>
      </w:r>
      <w:r>
        <w:rPr>
          <w:rFonts w:hint="eastAsia"/>
          <w:lang w:val="fr-CH"/>
        </w:rPr>
        <w:t>.)</w:t>
      </w:r>
      <w:r>
        <w:rPr>
          <w:rFonts w:hint="eastAsia"/>
          <w:lang w:val="fr-CH"/>
        </w:rPr>
        <w:t>作了修正，后经修正。</w:t>
      </w:r>
    </w:p>
  </w:endnote>
  <w:endnote w:id="38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《部级单位和其他国家中央管理机构组建法》，编号</w:t>
      </w:r>
      <w:r>
        <w:rPr>
          <w:rFonts w:hint="eastAsia"/>
        </w:rPr>
        <w:t>2/1969 C</w:t>
      </w:r>
      <w:r>
        <w:t>oll</w:t>
      </w:r>
      <w:r>
        <w:rPr>
          <w:rFonts w:hint="eastAsia"/>
          <w:lang w:val="fr-CH"/>
        </w:rPr>
        <w:t>.</w:t>
      </w:r>
      <w:r>
        <w:rPr>
          <w:rFonts w:hint="eastAsia"/>
          <w:lang w:val="fr-CH"/>
        </w:rPr>
        <w:t>，后经修正。</w:t>
      </w:r>
    </w:p>
  </w:endnote>
  <w:endnote w:id="39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政府</w:t>
      </w:r>
      <w:r>
        <w:rPr>
          <w:rFonts w:hint="eastAsia"/>
        </w:rPr>
        <w:t>1999</w:t>
      </w:r>
      <w:r>
        <w:rPr>
          <w:rFonts w:hint="eastAsia"/>
        </w:rPr>
        <w:t>年</w:t>
      </w:r>
      <w:r>
        <w:rPr>
          <w:rFonts w:hint="eastAsia"/>
        </w:rPr>
        <w:t>4</w:t>
      </w:r>
      <w:r>
        <w:rPr>
          <w:rFonts w:hint="eastAsia"/>
        </w:rPr>
        <w:t>月</w:t>
      </w:r>
      <w:r>
        <w:rPr>
          <w:rFonts w:hint="eastAsia"/>
        </w:rPr>
        <w:t>28</w:t>
      </w:r>
      <w:r>
        <w:rPr>
          <w:rFonts w:hint="eastAsia"/>
        </w:rPr>
        <w:t>日通过的《关于国家更为切实有效地扶持文化事业的战略的决议》。</w:t>
      </w:r>
    </w:p>
  </w:endnote>
  <w:endnote w:id="391">
    <w:p w:rsidR="00000000" w:rsidRDefault="00000000">
      <w:pPr>
        <w:pStyle w:val="EndnoteText"/>
        <w:rPr>
          <w:rFonts w:hint="eastAsia"/>
          <w:lang w:val="fr-CH"/>
        </w:rPr>
      </w:pPr>
      <w:r>
        <w:rPr>
          <w:rStyle w:val="EndnoteReference"/>
        </w:rPr>
        <w:endnoteRef/>
      </w:r>
      <w:r>
        <w:t xml:space="preserve"> </w:t>
      </w:r>
      <w:r>
        <w:rPr>
          <w:rFonts w:hint="eastAsia"/>
        </w:rPr>
        <w:t xml:space="preserve">  </w:t>
      </w:r>
      <w:r>
        <w:rPr>
          <w:rFonts w:hint="eastAsia"/>
        </w:rPr>
        <w:t>《地方机构法》，编号</w:t>
      </w:r>
      <w:r>
        <w:rPr>
          <w:rFonts w:hint="eastAsia"/>
        </w:rPr>
        <w:t xml:space="preserve">524/1990 </w:t>
      </w:r>
      <w:r>
        <w:t>Coll.</w:t>
      </w:r>
      <w:r>
        <w:rPr>
          <w:rFonts w:hint="eastAsia"/>
          <w:lang w:val="fr-CH"/>
        </w:rPr>
        <w:t>，后经修正。</w:t>
      </w:r>
    </w:p>
  </w:endnote>
  <w:endnote w:id="39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《自治市</w:t>
      </w:r>
      <w:r>
        <w:rPr>
          <w:rFonts w:hint="eastAsia"/>
        </w:rPr>
        <w:t>(</w:t>
      </w:r>
      <w:r>
        <w:rPr>
          <w:rFonts w:hint="eastAsia"/>
        </w:rPr>
        <w:t>自治市设立</w:t>
      </w:r>
      <w:r>
        <w:rPr>
          <w:rFonts w:hint="eastAsia"/>
        </w:rPr>
        <w:t>)</w:t>
      </w:r>
      <w:r>
        <w:rPr>
          <w:rFonts w:hint="eastAsia"/>
        </w:rPr>
        <w:t>法》，编号</w:t>
      </w:r>
      <w:r>
        <w:rPr>
          <w:rFonts w:hint="eastAsia"/>
        </w:rPr>
        <w:t xml:space="preserve">367/1990 </w:t>
      </w:r>
      <w:r>
        <w:t>Coll.</w:t>
      </w:r>
      <w:r>
        <w:rPr>
          <w:rFonts w:hint="eastAsia"/>
        </w:rPr>
        <w:t>，后经修正。</w:t>
      </w:r>
    </w:p>
  </w:endnote>
  <w:endnote w:id="393">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《关于管理捷克共和国和捷克共和国自治市的预算资金的法规》</w:t>
      </w:r>
      <w:r>
        <w:rPr>
          <w:rFonts w:hint="eastAsia"/>
        </w:rPr>
        <w:t>(</w:t>
      </w:r>
      <w:r>
        <w:rPr>
          <w:rFonts w:hint="eastAsia"/>
        </w:rPr>
        <w:t>《国家预算法规》</w:t>
      </w:r>
      <w:r>
        <w:rPr>
          <w:rFonts w:hint="eastAsia"/>
        </w:rPr>
        <w:t>)</w:t>
      </w:r>
      <w:r>
        <w:rPr>
          <w:rFonts w:hint="eastAsia"/>
        </w:rPr>
        <w:t>，编号</w:t>
      </w:r>
      <w:r>
        <w:rPr>
          <w:rFonts w:hint="eastAsia"/>
        </w:rPr>
        <w:t xml:space="preserve">676/1990 </w:t>
      </w:r>
      <w:r>
        <w:t>Coll.</w:t>
      </w:r>
      <w:r>
        <w:rPr>
          <w:rFonts w:hint="eastAsia"/>
        </w:rPr>
        <w:t>，后经修正。</w:t>
      </w:r>
    </w:p>
  </w:endnote>
  <w:endnote w:id="394">
    <w:p w:rsidR="00000000" w:rsidRDefault="00000000">
      <w:pPr>
        <w:pStyle w:val="EndnoteText"/>
        <w:rPr>
          <w:rFonts w:hint="eastAsia"/>
          <w:lang w:val="fr-CH"/>
        </w:rPr>
      </w:pPr>
      <w:r>
        <w:rPr>
          <w:rStyle w:val="EndnoteReference"/>
        </w:rPr>
        <w:endnoteRef/>
      </w:r>
      <w:r>
        <w:t xml:space="preserve"> </w:t>
      </w:r>
      <w:r>
        <w:rPr>
          <w:rFonts w:hint="eastAsia"/>
        </w:rPr>
        <w:t xml:space="preserve">  </w:t>
      </w:r>
      <w:r>
        <w:rPr>
          <w:rFonts w:hint="eastAsia"/>
        </w:rPr>
        <w:t>《所得税法》，编号</w:t>
      </w:r>
      <w:r>
        <w:rPr>
          <w:rFonts w:hint="eastAsia"/>
        </w:rPr>
        <w:t xml:space="preserve">586/1992 </w:t>
      </w:r>
      <w:r>
        <w:t>Coll.</w:t>
      </w:r>
      <w:r>
        <w:t>，</w:t>
      </w:r>
      <w:r>
        <w:rPr>
          <w:rFonts w:hint="eastAsia"/>
          <w:lang w:val="fr-CH"/>
        </w:rPr>
        <w:t>后经修正。这项《所得税法》规定，捷克共和国境内的自然人和法律实体可将为资助文化事业而提供的捐赠的价值扣除，但此种扣除不得超过某一限度。</w:t>
      </w:r>
    </w:p>
  </w:endnote>
  <w:endnote w:id="395">
    <w:p w:rsidR="00000000" w:rsidRDefault="00000000">
      <w:pPr>
        <w:pStyle w:val="EndnoteText"/>
        <w:rPr>
          <w:rFonts w:hint="eastAsia"/>
          <w:lang w:val="fr-CH"/>
        </w:rPr>
      </w:pPr>
      <w:r>
        <w:rPr>
          <w:rStyle w:val="EndnoteReference"/>
        </w:rPr>
        <w:endnoteRef/>
      </w:r>
      <w:r>
        <w:t xml:space="preserve"> </w:t>
      </w:r>
      <w:r>
        <w:rPr>
          <w:rFonts w:hint="eastAsia"/>
        </w:rPr>
        <w:t xml:space="preserve">  </w:t>
      </w:r>
      <w:r>
        <w:rPr>
          <w:rFonts w:hint="eastAsia"/>
        </w:rPr>
        <w:t>《基金会和基本金法》，编号</w:t>
      </w:r>
      <w:r>
        <w:rPr>
          <w:rFonts w:hint="eastAsia"/>
        </w:rPr>
        <w:t>277/1997</w:t>
      </w:r>
      <w:r>
        <w:t xml:space="preserve"> Coll.</w:t>
      </w:r>
      <w:r>
        <w:rPr>
          <w:rFonts w:hint="eastAsia"/>
        </w:rPr>
        <w:t>。</w:t>
      </w:r>
    </w:p>
  </w:endnote>
  <w:endnote w:id="39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《博物馆和美术馆法》，编号</w:t>
      </w:r>
      <w:r>
        <w:rPr>
          <w:rFonts w:hint="eastAsia"/>
        </w:rPr>
        <w:t xml:space="preserve">54/1959 </w:t>
      </w:r>
      <w:r>
        <w:t>Coll.</w:t>
      </w:r>
      <w:r>
        <w:rPr>
          <w:rFonts w:hint="eastAsia"/>
        </w:rPr>
        <w:t>，后经修正，以及《布拉格国家美术馆法》，编号</w:t>
      </w:r>
      <w:r>
        <w:rPr>
          <w:rFonts w:hint="eastAsia"/>
        </w:rPr>
        <w:t xml:space="preserve">148/1949 </w:t>
      </w:r>
      <w:r>
        <w:t>Coll.</w:t>
      </w:r>
      <w:r>
        <w:rPr>
          <w:rFonts w:hint="eastAsia"/>
        </w:rPr>
        <w:t>。</w:t>
      </w:r>
    </w:p>
  </w:endnote>
  <w:endnote w:id="397">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纪念馆为专门展出与单一事件或人物、其所处时代和背景相关的展品的场所。国家文学馆是一个例外，该馆向公众开放，收藏各类文学物品</w:t>
      </w:r>
      <w:r>
        <w:rPr>
          <w:rFonts w:hint="eastAsia"/>
        </w:rPr>
        <w:t>(</w:t>
      </w:r>
      <w:r>
        <w:rPr>
          <w:rFonts w:hint="eastAsia"/>
        </w:rPr>
        <w:t>实际上为国家文学档案馆</w:t>
      </w:r>
      <w:r>
        <w:rPr>
          <w:rFonts w:hint="eastAsia"/>
        </w:rPr>
        <w:t>)</w:t>
      </w:r>
      <w:r>
        <w:rPr>
          <w:rFonts w:hint="eastAsia"/>
        </w:rPr>
        <w:t>。</w:t>
      </w:r>
    </w:p>
  </w:endnote>
  <w:endnote w:id="398">
    <w:p w:rsidR="00000000" w:rsidRDefault="00000000">
      <w:pPr>
        <w:pStyle w:val="EndnoteText"/>
        <w:rPr>
          <w:rFonts w:hint="eastAsia"/>
          <w:lang w:val="fr-CH"/>
        </w:rPr>
      </w:pPr>
      <w:r>
        <w:rPr>
          <w:rStyle w:val="EndnoteReference"/>
        </w:rPr>
        <w:endnoteRef/>
      </w:r>
      <w:r>
        <w:t xml:space="preserve"> </w:t>
      </w:r>
      <w:r>
        <w:rPr>
          <w:rFonts w:hint="eastAsia"/>
        </w:rPr>
        <w:t xml:space="preserve">  </w:t>
      </w:r>
      <w:r>
        <w:rPr>
          <w:rFonts w:hint="eastAsia"/>
        </w:rPr>
        <w:t>《统一图书馆系统法》</w:t>
      </w:r>
      <w:r>
        <w:rPr>
          <w:rFonts w:hint="eastAsia"/>
        </w:rPr>
        <w:t>(</w:t>
      </w:r>
      <w:r>
        <w:rPr>
          <w:rFonts w:hint="eastAsia"/>
        </w:rPr>
        <w:t>《图书馆法》</w:t>
      </w:r>
      <w:r>
        <w:rPr>
          <w:rFonts w:hint="eastAsia"/>
        </w:rPr>
        <w:t>)</w:t>
      </w:r>
      <w:r>
        <w:rPr>
          <w:rFonts w:hint="eastAsia"/>
        </w:rPr>
        <w:t>，编号</w:t>
      </w:r>
      <w:r>
        <w:rPr>
          <w:rFonts w:hint="eastAsia"/>
        </w:rPr>
        <w:t xml:space="preserve">53/1959 </w:t>
      </w:r>
      <w:r>
        <w:t>Coll.</w:t>
      </w:r>
      <w:r>
        <w:rPr>
          <w:rFonts w:hint="eastAsia"/>
          <w:lang w:val="fr-CH"/>
        </w:rPr>
        <w:t>，后经修正，及其执行条例。</w:t>
      </w:r>
    </w:p>
  </w:endnote>
  <w:endnote w:id="399">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《关于捷克共和国国家出资扶植和发展捷克电影制片业的法规》，编号</w:t>
      </w:r>
      <w:r>
        <w:rPr>
          <w:rFonts w:hint="eastAsia"/>
        </w:rPr>
        <w:t>241/1992 C</w:t>
      </w:r>
      <w:r>
        <w:t>oll.</w:t>
      </w:r>
      <w:r>
        <w:rPr>
          <w:rFonts w:hint="eastAsia"/>
        </w:rPr>
        <w:t>，后经修正。</w:t>
      </w:r>
    </w:p>
  </w:endnote>
  <w:endnote w:id="400">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《关于制作、散发音像作品并将其归档的某些条件的法规》，编号</w:t>
      </w:r>
      <w:r>
        <w:rPr>
          <w:rFonts w:hint="eastAsia"/>
        </w:rPr>
        <w:t>273/1993 C</w:t>
      </w:r>
      <w:r>
        <w:t>oll.</w:t>
      </w:r>
      <w:r>
        <w:rPr>
          <w:rFonts w:hint="eastAsia"/>
        </w:rPr>
        <w:t>，该法规对某些其他《法规》和《条例》作了补充。</w:t>
      </w:r>
    </w:p>
  </w:endnote>
  <w:endnote w:id="401">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这一数据不包括文化部向残疾人和少数民族的活动提供的支持。</w:t>
      </w:r>
    </w:p>
  </w:endnote>
  <w:endnote w:id="402">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必须联系其他非少数民族公民协会和组织者提交给文化部的非专业</w:t>
      </w:r>
      <w:r>
        <w:rPr>
          <w:rFonts w:hint="eastAsia"/>
        </w:rPr>
        <w:t>(</w:t>
      </w:r>
      <w:r>
        <w:rPr>
          <w:rFonts w:hint="eastAsia"/>
        </w:rPr>
        <w:t>业余</w:t>
      </w:r>
      <w:r>
        <w:rPr>
          <w:rFonts w:hint="eastAsia"/>
        </w:rPr>
        <w:t>)</w:t>
      </w:r>
      <w:r>
        <w:rPr>
          <w:rFonts w:hint="eastAsia"/>
        </w:rPr>
        <w:t>艺术和民间艺术项目的拨款总额来看待这些数据。例如，用于支持少数民族组织提交给文化部的非专业艺术活动项目的资金总额，大约比文化部为支持其他非少数民族公民协会和其他非少数民族、非赢利实体提交的业余文化项目而花费的资金多出三分之一。</w:t>
      </w:r>
    </w:p>
  </w:endnote>
  <w:endnote w:id="403">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还见《关于将某些城市和自治市保存完好的民间建筑区宣布为古建筑保护区的条例》，编号：</w:t>
      </w:r>
      <w:r>
        <w:rPr>
          <w:rFonts w:hint="eastAsia"/>
        </w:rPr>
        <w:t xml:space="preserve">127/1995 </w:t>
      </w:r>
      <w:r>
        <w:t>Coll.</w:t>
      </w:r>
      <w:r>
        <w:rPr>
          <w:rFonts w:hint="eastAsia"/>
        </w:rPr>
        <w:t>。</w:t>
      </w:r>
    </w:p>
  </w:endnote>
  <w:endnote w:id="404">
    <w:p w:rsidR="00000000" w:rsidRDefault="00000000">
      <w:pPr>
        <w:pStyle w:val="EndnoteText"/>
        <w:rPr>
          <w:rFonts w:hint="eastAsia"/>
          <w:lang w:val="fr-CH"/>
        </w:rPr>
      </w:pPr>
      <w:r>
        <w:rPr>
          <w:rStyle w:val="EndnoteReference"/>
        </w:rPr>
        <w:endnoteRef/>
      </w:r>
      <w:r>
        <w:t xml:space="preserve"> </w:t>
      </w:r>
      <w:r>
        <w:rPr>
          <w:rFonts w:hint="eastAsia"/>
        </w:rPr>
        <w:t xml:space="preserve">  </w:t>
      </w:r>
      <w:r>
        <w:rPr>
          <w:rFonts w:hint="eastAsia"/>
        </w:rPr>
        <w:t>《具有文化价值的物品的出售和出口法》，编号</w:t>
      </w:r>
      <w:r>
        <w:rPr>
          <w:rFonts w:hint="eastAsia"/>
        </w:rPr>
        <w:t xml:space="preserve">71/1994 </w:t>
      </w:r>
      <w:r>
        <w:t>Coll.</w:t>
      </w:r>
      <w:r>
        <w:rPr>
          <w:rFonts w:hint="eastAsia"/>
        </w:rPr>
        <w:t>。</w:t>
      </w:r>
    </w:p>
  </w:endnote>
  <w:endnote w:id="405">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《初等教育标准》，由教育、青年和体育部于</w:t>
      </w:r>
      <w:r>
        <w:rPr>
          <w:rFonts w:hint="eastAsia"/>
        </w:rPr>
        <w:t>1995</w:t>
      </w:r>
      <w:r>
        <w:rPr>
          <w:rFonts w:hint="eastAsia"/>
        </w:rPr>
        <w:t>年</w:t>
      </w:r>
      <w:r>
        <w:rPr>
          <w:rFonts w:hint="eastAsia"/>
        </w:rPr>
        <w:t>8</w:t>
      </w:r>
      <w:r>
        <w:rPr>
          <w:rFonts w:hint="eastAsia"/>
        </w:rPr>
        <w:t>月</w:t>
      </w:r>
      <w:r>
        <w:rPr>
          <w:rFonts w:hint="eastAsia"/>
        </w:rPr>
        <w:t>22</w:t>
      </w:r>
      <w:r>
        <w:rPr>
          <w:rFonts w:hint="eastAsia"/>
        </w:rPr>
        <w:t>日批准，编号</w:t>
      </w:r>
      <w:r>
        <w:rPr>
          <w:rFonts w:hint="eastAsia"/>
        </w:rPr>
        <w:t>20819/95-26</w:t>
      </w:r>
      <w:r>
        <w:rPr>
          <w:rFonts w:hint="eastAsia"/>
        </w:rPr>
        <w:t>。《小学教育方案》，经教育、青年和体育部批准，编号</w:t>
      </w:r>
      <w:r>
        <w:rPr>
          <w:rFonts w:hint="eastAsia"/>
        </w:rPr>
        <w:t>16847/96-2,1996</w:t>
      </w:r>
      <w:r>
        <w:rPr>
          <w:rFonts w:hint="eastAsia"/>
        </w:rPr>
        <w:t>年</w:t>
      </w:r>
      <w:r>
        <w:rPr>
          <w:rFonts w:hint="eastAsia"/>
        </w:rPr>
        <w:t>9</w:t>
      </w:r>
      <w:r>
        <w:rPr>
          <w:rFonts w:hint="eastAsia"/>
        </w:rPr>
        <w:t>月</w:t>
      </w:r>
      <w:r>
        <w:rPr>
          <w:rFonts w:hint="eastAsia"/>
        </w:rPr>
        <w:t>1</w:t>
      </w:r>
      <w:r>
        <w:rPr>
          <w:rFonts w:hint="eastAsia"/>
        </w:rPr>
        <w:t>日起实施，修正和增补部分，经教育、青年和体育部于</w:t>
      </w:r>
      <w:r>
        <w:rPr>
          <w:rFonts w:hint="eastAsia"/>
        </w:rPr>
        <w:t>1998</w:t>
      </w:r>
      <w:r>
        <w:rPr>
          <w:rFonts w:hint="eastAsia"/>
        </w:rPr>
        <w:t>年</w:t>
      </w:r>
      <w:r>
        <w:rPr>
          <w:rFonts w:hint="eastAsia"/>
        </w:rPr>
        <w:t>8</w:t>
      </w:r>
      <w:r>
        <w:rPr>
          <w:rFonts w:hint="eastAsia"/>
        </w:rPr>
        <w:t>月</w:t>
      </w:r>
      <w:r>
        <w:rPr>
          <w:rFonts w:hint="eastAsia"/>
        </w:rPr>
        <w:t>25</w:t>
      </w:r>
      <w:r>
        <w:rPr>
          <w:rFonts w:hint="eastAsia"/>
        </w:rPr>
        <w:t>日批准，编号</w:t>
      </w:r>
      <w:r>
        <w:rPr>
          <w:rFonts w:hint="eastAsia"/>
        </w:rPr>
        <w:t>25018/98-22,1998</w:t>
      </w:r>
      <w:r>
        <w:rPr>
          <w:rFonts w:hint="eastAsia"/>
        </w:rPr>
        <w:t>年</w:t>
      </w:r>
      <w:r>
        <w:rPr>
          <w:rFonts w:hint="eastAsia"/>
        </w:rPr>
        <w:t>9</w:t>
      </w:r>
      <w:r>
        <w:rPr>
          <w:rFonts w:hint="eastAsia"/>
        </w:rPr>
        <w:t>月</w:t>
      </w:r>
      <w:r>
        <w:rPr>
          <w:rFonts w:hint="eastAsia"/>
        </w:rPr>
        <w:t>1</w:t>
      </w:r>
      <w:r>
        <w:rPr>
          <w:rFonts w:hint="eastAsia"/>
        </w:rPr>
        <w:t>日起实施。《基础教育方案》，</w:t>
      </w:r>
      <w:r>
        <w:rPr>
          <w:rFonts w:hint="eastAsia"/>
        </w:rPr>
        <w:t xml:space="preserve"> </w:t>
      </w:r>
      <w:r>
        <w:rPr>
          <w:rFonts w:hint="eastAsia"/>
        </w:rPr>
        <w:t>经教育、青年和体育部批准，编号</w:t>
      </w:r>
      <w:r>
        <w:rPr>
          <w:rFonts w:hint="eastAsia"/>
        </w:rPr>
        <w:t>12035/97-20</w:t>
      </w:r>
      <w:r>
        <w:rPr>
          <w:rFonts w:hint="eastAsia"/>
        </w:rPr>
        <w:t>。《国民教育方案》，</w:t>
      </w:r>
      <w:r>
        <w:rPr>
          <w:rFonts w:hint="eastAsia"/>
        </w:rPr>
        <w:t xml:space="preserve"> </w:t>
      </w:r>
      <w:r>
        <w:rPr>
          <w:rFonts w:hint="eastAsia"/>
        </w:rPr>
        <w:t>经教育、青年和体育部于</w:t>
      </w:r>
      <w:r>
        <w:rPr>
          <w:rFonts w:hint="eastAsia"/>
        </w:rPr>
        <w:t>1997</w:t>
      </w:r>
      <w:r>
        <w:rPr>
          <w:rFonts w:hint="eastAsia"/>
        </w:rPr>
        <w:t>年</w:t>
      </w:r>
      <w:r>
        <w:rPr>
          <w:rFonts w:hint="eastAsia"/>
        </w:rPr>
        <w:t>3</w:t>
      </w:r>
      <w:r>
        <w:rPr>
          <w:rFonts w:hint="eastAsia"/>
        </w:rPr>
        <w:t>月</w:t>
      </w:r>
      <w:r>
        <w:rPr>
          <w:rFonts w:hint="eastAsia"/>
        </w:rPr>
        <w:t>17</w:t>
      </w:r>
      <w:r>
        <w:rPr>
          <w:rFonts w:hint="eastAsia"/>
        </w:rPr>
        <w:t>日批准，编号</w:t>
      </w:r>
      <w:r>
        <w:rPr>
          <w:rFonts w:hint="eastAsia"/>
        </w:rPr>
        <w:t>15724/97-20,1997</w:t>
      </w:r>
      <w:r>
        <w:rPr>
          <w:rFonts w:hint="eastAsia"/>
        </w:rPr>
        <w:t>年</w:t>
      </w:r>
      <w:r>
        <w:rPr>
          <w:rFonts w:hint="eastAsia"/>
        </w:rPr>
        <w:t>9</w:t>
      </w:r>
      <w:r>
        <w:rPr>
          <w:rFonts w:hint="eastAsia"/>
        </w:rPr>
        <w:t>月</w:t>
      </w:r>
      <w:r>
        <w:rPr>
          <w:rFonts w:hint="eastAsia"/>
        </w:rPr>
        <w:t>1</w:t>
      </w:r>
      <w:r>
        <w:rPr>
          <w:rFonts w:hint="eastAsia"/>
        </w:rPr>
        <w:t>日起作为初等教育机构</w:t>
      </w:r>
      <w:r>
        <w:rPr>
          <w:rFonts w:hint="eastAsia"/>
        </w:rPr>
        <w:t>1-9</w:t>
      </w:r>
      <w:r>
        <w:rPr>
          <w:rFonts w:hint="eastAsia"/>
        </w:rPr>
        <w:t>年级学生的教育计划得到实施。《四年制初级中学教育标准》，</w:t>
      </w:r>
      <w:r>
        <w:rPr>
          <w:rFonts w:hint="eastAsia"/>
        </w:rPr>
        <w:t xml:space="preserve"> </w:t>
      </w:r>
      <w:r>
        <w:rPr>
          <w:rFonts w:hint="eastAsia"/>
        </w:rPr>
        <w:t>经教育、青年和体育部于</w:t>
      </w:r>
      <w:r>
        <w:rPr>
          <w:rFonts w:hint="eastAsia"/>
        </w:rPr>
        <w:t>1996</w:t>
      </w:r>
      <w:r>
        <w:rPr>
          <w:rFonts w:hint="eastAsia"/>
        </w:rPr>
        <w:t>年</w:t>
      </w:r>
      <w:r>
        <w:rPr>
          <w:rFonts w:hint="eastAsia"/>
        </w:rPr>
        <w:t>2</w:t>
      </w:r>
      <w:r>
        <w:rPr>
          <w:rFonts w:hint="eastAsia"/>
        </w:rPr>
        <w:t>月</w:t>
      </w:r>
      <w:r>
        <w:rPr>
          <w:rFonts w:hint="eastAsia"/>
        </w:rPr>
        <w:t>12</w:t>
      </w:r>
      <w:r>
        <w:rPr>
          <w:rFonts w:hint="eastAsia"/>
        </w:rPr>
        <w:t>日批准，编号</w:t>
      </w:r>
      <w:r>
        <w:rPr>
          <w:rFonts w:hint="eastAsia"/>
        </w:rPr>
        <w:t>27532/95-2</w:t>
      </w:r>
      <w:r>
        <w:rPr>
          <w:rFonts w:hint="eastAsia"/>
        </w:rPr>
        <w:t>。《中等职业教育标准》，</w:t>
      </w:r>
      <w:r>
        <w:rPr>
          <w:rFonts w:hint="eastAsia"/>
        </w:rPr>
        <w:t xml:space="preserve"> </w:t>
      </w:r>
      <w:r>
        <w:rPr>
          <w:rFonts w:hint="eastAsia"/>
        </w:rPr>
        <w:t>经教育、青年和体育部于</w:t>
      </w:r>
      <w:r>
        <w:rPr>
          <w:rFonts w:hint="eastAsia"/>
        </w:rPr>
        <w:t>1997</w:t>
      </w:r>
      <w:r>
        <w:rPr>
          <w:rFonts w:hint="eastAsia"/>
        </w:rPr>
        <w:t>年</w:t>
      </w:r>
      <w:r>
        <w:rPr>
          <w:rFonts w:hint="eastAsia"/>
        </w:rPr>
        <w:t>11</w:t>
      </w:r>
      <w:r>
        <w:rPr>
          <w:rFonts w:hint="eastAsia"/>
        </w:rPr>
        <w:t>月</w:t>
      </w:r>
      <w:r>
        <w:rPr>
          <w:rFonts w:hint="eastAsia"/>
        </w:rPr>
        <w:t>18</w:t>
      </w:r>
      <w:r>
        <w:rPr>
          <w:rFonts w:hint="eastAsia"/>
        </w:rPr>
        <w:t>日批准，编号</w:t>
      </w:r>
      <w:r>
        <w:rPr>
          <w:rFonts w:hint="eastAsia"/>
        </w:rPr>
        <w:t>34221/97-23,1998</w:t>
      </w:r>
      <w:r>
        <w:rPr>
          <w:rFonts w:hint="eastAsia"/>
        </w:rPr>
        <w:t>年</w:t>
      </w:r>
      <w:r>
        <w:rPr>
          <w:rFonts w:hint="eastAsia"/>
        </w:rPr>
        <w:t>1</w:t>
      </w:r>
      <w:r>
        <w:rPr>
          <w:rFonts w:hint="eastAsia"/>
        </w:rPr>
        <w:t>月</w:t>
      </w:r>
      <w:r>
        <w:rPr>
          <w:rFonts w:hint="eastAsia"/>
        </w:rPr>
        <w:t>1</w:t>
      </w:r>
      <w:r>
        <w:rPr>
          <w:rFonts w:hint="eastAsia"/>
        </w:rPr>
        <w:t>日起实施。关于中等职业学校和中等技术学校的科目，详见经捷克共和国教育、青年和体育部于</w:t>
      </w:r>
      <w:r>
        <w:rPr>
          <w:rFonts w:hint="eastAsia"/>
        </w:rPr>
        <w:t>1998</w:t>
      </w:r>
      <w:r>
        <w:rPr>
          <w:rFonts w:hint="eastAsia"/>
        </w:rPr>
        <w:t>年</w:t>
      </w:r>
      <w:r>
        <w:rPr>
          <w:rFonts w:hint="eastAsia"/>
        </w:rPr>
        <w:t>7</w:t>
      </w:r>
      <w:r>
        <w:rPr>
          <w:rFonts w:hint="eastAsia"/>
        </w:rPr>
        <w:t>月</w:t>
      </w:r>
      <w:r>
        <w:rPr>
          <w:rFonts w:hint="eastAsia"/>
        </w:rPr>
        <w:t>21</w:t>
      </w:r>
      <w:r>
        <w:rPr>
          <w:rFonts w:hint="eastAsia"/>
        </w:rPr>
        <w:t>日批准的教学大纲，编号</w:t>
      </w:r>
      <w:r>
        <w:rPr>
          <w:rFonts w:hint="eastAsia"/>
        </w:rPr>
        <w:t>23212/98-23/230,1998</w:t>
      </w:r>
      <w:r>
        <w:rPr>
          <w:rFonts w:hint="eastAsia"/>
        </w:rPr>
        <w:t>年</w:t>
      </w:r>
      <w:r>
        <w:rPr>
          <w:rFonts w:hint="eastAsia"/>
        </w:rPr>
        <w:t>9</w:t>
      </w:r>
      <w:r>
        <w:rPr>
          <w:rFonts w:hint="eastAsia"/>
        </w:rPr>
        <w:t>月</w:t>
      </w:r>
      <w:r>
        <w:rPr>
          <w:rFonts w:hint="eastAsia"/>
        </w:rPr>
        <w:t>1</w:t>
      </w:r>
      <w:r>
        <w:rPr>
          <w:rFonts w:hint="eastAsia"/>
        </w:rPr>
        <w:t>日起实施。</w:t>
      </w:r>
    </w:p>
  </w:endnote>
  <w:endnote w:id="406">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《国家支持科学和研究法》，编号</w:t>
      </w:r>
      <w:r>
        <w:rPr>
          <w:rFonts w:hint="eastAsia"/>
        </w:rPr>
        <w:t>300/1992 C</w:t>
      </w:r>
      <w:r>
        <w:t xml:space="preserve">oll, </w:t>
      </w:r>
      <w:r>
        <w:rPr>
          <w:rFonts w:hint="eastAsia"/>
        </w:rPr>
        <w:t>后经修正。</w:t>
      </w:r>
    </w:p>
  </w:endnote>
  <w:endnote w:id="407">
    <w:p w:rsidR="00000000" w:rsidRDefault="00000000">
      <w:pPr>
        <w:pStyle w:val="EndnoteText"/>
      </w:pPr>
      <w:r>
        <w:rPr>
          <w:rStyle w:val="EndnoteReference"/>
        </w:rPr>
        <w:endnoteRef/>
      </w:r>
      <w:r>
        <w:t xml:space="preserve"> </w:t>
      </w:r>
      <w:r>
        <w:rPr>
          <w:rFonts w:hint="eastAsia"/>
        </w:rPr>
        <w:t xml:space="preserve"> </w:t>
      </w:r>
      <w:r>
        <w:t xml:space="preserve"> </w:t>
      </w:r>
      <w:r>
        <w:rPr>
          <w:rFonts w:hint="eastAsia"/>
        </w:rPr>
        <w:t>《综合性大学法》，编号</w:t>
      </w:r>
      <w:r>
        <w:rPr>
          <w:rFonts w:hint="eastAsia"/>
        </w:rPr>
        <w:t>111/1998 C</w:t>
      </w:r>
      <w:r>
        <w:t>oll.</w:t>
      </w:r>
      <w:r>
        <w:rPr>
          <w:rFonts w:hint="eastAsia"/>
        </w:rPr>
        <w:t>。</w:t>
      </w:r>
    </w:p>
  </w:endnote>
  <w:endnote w:id="408">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从</w:t>
      </w:r>
      <w:r>
        <w:rPr>
          <w:rFonts w:hint="eastAsia"/>
        </w:rPr>
        <w:t>1993</w:t>
      </w:r>
      <w:r>
        <w:rPr>
          <w:rFonts w:hint="eastAsia"/>
        </w:rPr>
        <w:t>年起，依据对</w:t>
      </w:r>
      <w:r>
        <w:rPr>
          <w:rFonts w:hint="eastAsia"/>
        </w:rPr>
        <w:t>2/1969 C</w:t>
      </w:r>
      <w:r>
        <w:t>oll</w:t>
      </w:r>
      <w:r>
        <w:rPr>
          <w:rFonts w:hint="eastAsia"/>
        </w:rPr>
        <w:t>.</w:t>
      </w:r>
      <w:r>
        <w:rPr>
          <w:rFonts w:hint="eastAsia"/>
        </w:rPr>
        <w:t>号法规进行修正和补充的第</w:t>
      </w:r>
      <w:r>
        <w:rPr>
          <w:rFonts w:hint="eastAsia"/>
        </w:rPr>
        <w:t>166/1993 C</w:t>
      </w:r>
      <w:r>
        <w:t>oll</w:t>
      </w:r>
      <w:r>
        <w:rPr>
          <w:rFonts w:hint="eastAsia"/>
        </w:rPr>
        <w:t>.</w:t>
      </w:r>
      <w:r>
        <w:rPr>
          <w:rFonts w:hint="eastAsia"/>
        </w:rPr>
        <w:t>号法规，工业产权局成为《关于设立捷克共和国各部和其他国家中央管理机构的法规》</w:t>
      </w:r>
      <w:r>
        <w:rPr>
          <w:rFonts w:hint="eastAsia"/>
        </w:rPr>
        <w:t>(</w:t>
      </w:r>
      <w:r>
        <w:rPr>
          <w:rFonts w:hint="eastAsia"/>
        </w:rPr>
        <w:t>编号</w:t>
      </w:r>
      <w:r>
        <w:rPr>
          <w:rFonts w:hint="eastAsia"/>
        </w:rPr>
        <w:t>2/1969)</w:t>
      </w:r>
      <w:r>
        <w:rPr>
          <w:rFonts w:hint="eastAsia"/>
        </w:rPr>
        <w:t>第</w:t>
      </w:r>
      <w:r>
        <w:rPr>
          <w:rFonts w:hint="eastAsia"/>
        </w:rPr>
        <w:t>2</w:t>
      </w:r>
      <w:r>
        <w:rPr>
          <w:rFonts w:hint="eastAsia"/>
        </w:rPr>
        <w:t>条第</w:t>
      </w:r>
      <w:r>
        <w:rPr>
          <w:rFonts w:hint="eastAsia"/>
        </w:rPr>
        <w:t>1</w:t>
      </w:r>
      <w:r>
        <w:rPr>
          <w:rFonts w:hint="eastAsia"/>
        </w:rPr>
        <w:t>款之下的一个国家中央管理机构。</w:t>
      </w:r>
    </w:p>
  </w:endnote>
  <w:endnote w:id="40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《外交部关于谈判世界贸易组织条约以及属于该条约组成部分，并对世贸组织所有成员具有约束力的条约的通告》，编号</w:t>
      </w:r>
      <w:r>
        <w:rPr>
          <w:rFonts w:hint="eastAsia"/>
        </w:rPr>
        <w:t>191/1995 C</w:t>
      </w:r>
      <w:r>
        <w:t>oll.</w:t>
      </w:r>
      <w:r>
        <w:rPr>
          <w:rFonts w:hint="eastAsia"/>
        </w:rPr>
        <w:t>。</w:t>
      </w:r>
    </w:p>
  </w:endnote>
  <w:endnote w:id="410">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TRIPS-</w:t>
      </w:r>
      <w:r>
        <w:rPr>
          <w:rFonts w:hint="eastAsia"/>
        </w:rPr>
        <w:t>《涉贸知识产权协议》。</w:t>
      </w:r>
    </w:p>
  </w:endnote>
  <w:endnote w:id="411">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世界知识产权组织</w:t>
      </w:r>
      <w:r>
        <w:rPr>
          <w:rFonts w:hint="eastAsia"/>
          <w:spacing w:val="-50"/>
        </w:rPr>
        <w:t>―</w:t>
      </w:r>
      <w:r>
        <w:rPr>
          <w:rFonts w:hint="eastAsia"/>
        </w:rPr>
        <w:t>―产权组织。这项公约的案文以《外交部关于建立世界知识产权组织公约</w:t>
      </w:r>
      <w:r>
        <w:rPr>
          <w:rFonts w:hint="eastAsia"/>
        </w:rPr>
        <w:t>(</w:t>
      </w:r>
      <w:r>
        <w:rPr>
          <w:rFonts w:hint="eastAsia"/>
        </w:rPr>
        <w:t>于</w:t>
      </w:r>
      <w:r>
        <w:rPr>
          <w:rFonts w:hint="eastAsia"/>
        </w:rPr>
        <w:t>1967</w:t>
      </w:r>
      <w:r>
        <w:rPr>
          <w:rFonts w:hint="eastAsia"/>
        </w:rPr>
        <w:t>年</w:t>
      </w:r>
      <w:r>
        <w:rPr>
          <w:rFonts w:hint="eastAsia"/>
        </w:rPr>
        <w:t>7</w:t>
      </w:r>
      <w:r>
        <w:rPr>
          <w:rFonts w:hint="eastAsia"/>
        </w:rPr>
        <w:t>月</w:t>
      </w:r>
      <w:r>
        <w:rPr>
          <w:rFonts w:hint="eastAsia"/>
        </w:rPr>
        <w:t>14</w:t>
      </w:r>
      <w:r>
        <w:rPr>
          <w:rFonts w:hint="eastAsia"/>
        </w:rPr>
        <w:t>日在斯德哥尔摩签署</w:t>
      </w:r>
      <w:r>
        <w:rPr>
          <w:rFonts w:hint="eastAsia"/>
        </w:rPr>
        <w:t>)</w:t>
      </w:r>
      <w:r>
        <w:rPr>
          <w:rFonts w:hint="eastAsia"/>
        </w:rPr>
        <w:t>的通告》发表，编号</w:t>
      </w:r>
      <w:r>
        <w:rPr>
          <w:rFonts w:hint="eastAsia"/>
        </w:rPr>
        <w:t>69/1975 C</w:t>
      </w:r>
      <w:r>
        <w:t>oll.</w:t>
      </w:r>
      <w:r>
        <w:rPr>
          <w:rFonts w:hint="eastAsia"/>
        </w:rPr>
        <w:t>，该通告后经外交部长第</w:t>
      </w:r>
      <w:r>
        <w:rPr>
          <w:rFonts w:hint="eastAsia"/>
        </w:rPr>
        <w:t>80/1985</w:t>
      </w:r>
      <w:r>
        <w:rPr>
          <w:rFonts w:hint="eastAsia"/>
        </w:rPr>
        <w:t>号通告修正。</w:t>
      </w:r>
    </w:p>
  </w:endnote>
  <w:endnote w:id="412">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《外交部长关于</w:t>
      </w:r>
      <w:r>
        <w:rPr>
          <w:rFonts w:hint="eastAsia"/>
        </w:rPr>
        <w:t>1883</w:t>
      </w:r>
      <w:r>
        <w:rPr>
          <w:rFonts w:hint="eastAsia"/>
        </w:rPr>
        <w:t>年</w:t>
      </w:r>
      <w:r>
        <w:rPr>
          <w:rFonts w:hint="eastAsia"/>
        </w:rPr>
        <w:t>3</w:t>
      </w:r>
      <w:r>
        <w:rPr>
          <w:rFonts w:hint="eastAsia"/>
        </w:rPr>
        <w:t>月</w:t>
      </w:r>
      <w:r>
        <w:rPr>
          <w:rFonts w:hint="eastAsia"/>
        </w:rPr>
        <w:t>20</w:t>
      </w:r>
      <w:r>
        <w:rPr>
          <w:rFonts w:hint="eastAsia"/>
        </w:rPr>
        <w:t>日保护工业产权巴黎公约的通告》，编号</w:t>
      </w:r>
      <w:r>
        <w:rPr>
          <w:rFonts w:hint="eastAsia"/>
        </w:rPr>
        <w:t>64/1975 C</w:t>
      </w:r>
      <w:r>
        <w:t>oll.</w:t>
      </w:r>
      <w:r>
        <w:rPr>
          <w:rFonts w:hint="eastAsia"/>
        </w:rPr>
        <w:t>，该公约后经修订</w:t>
      </w:r>
      <w:r>
        <w:rPr>
          <w:rFonts w:hint="eastAsia"/>
        </w:rPr>
        <w:t>(</w:t>
      </w:r>
      <w:r>
        <w:rPr>
          <w:rFonts w:hint="eastAsia"/>
        </w:rPr>
        <w:t>《巴黎公约》</w:t>
      </w:r>
      <w:r>
        <w:rPr>
          <w:rFonts w:hint="eastAsia"/>
        </w:rPr>
        <w:t>)</w:t>
      </w:r>
      <w:r>
        <w:rPr>
          <w:rFonts w:hint="eastAsia"/>
        </w:rPr>
        <w:t>。</w:t>
      </w:r>
    </w:p>
  </w:endnote>
  <w:endnote w:id="413">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《外交部长关于商标国际注册马德里协定</w:t>
      </w:r>
      <w:r>
        <w:rPr>
          <w:rFonts w:hint="eastAsia"/>
        </w:rPr>
        <w:t>(</w:t>
      </w:r>
      <w:r>
        <w:rPr>
          <w:rFonts w:hint="eastAsia"/>
        </w:rPr>
        <w:t>斯德哥尔摩版</w:t>
      </w:r>
      <w:r>
        <w:rPr>
          <w:rFonts w:hint="eastAsia"/>
        </w:rPr>
        <w:t>)</w:t>
      </w:r>
      <w:r>
        <w:rPr>
          <w:rFonts w:hint="eastAsia"/>
        </w:rPr>
        <w:t>的通告》，编号</w:t>
      </w:r>
      <w:r>
        <w:rPr>
          <w:rFonts w:hint="eastAsia"/>
        </w:rPr>
        <w:t>65/1975 C</w:t>
      </w:r>
      <w:r>
        <w:t>oll.</w:t>
      </w:r>
      <w:r>
        <w:rPr>
          <w:rFonts w:hint="eastAsia"/>
        </w:rPr>
        <w:t>，修正案第</w:t>
      </w:r>
      <w:r>
        <w:rPr>
          <w:rFonts w:hint="eastAsia"/>
        </w:rPr>
        <w:t>78/1985 C</w:t>
      </w:r>
      <w:r>
        <w:t>oll.</w:t>
      </w:r>
      <w:r>
        <w:rPr>
          <w:rFonts w:hint="eastAsia"/>
        </w:rPr>
        <w:t>号。</w:t>
      </w:r>
    </w:p>
  </w:endnote>
  <w:endnote w:id="414">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《外交部关于捷克共和国加入商标国际注册马德里协定的通知》，编号</w:t>
      </w:r>
      <w:r>
        <w:rPr>
          <w:rFonts w:hint="eastAsia"/>
        </w:rPr>
        <w:t>248/1996 C</w:t>
      </w:r>
      <w:r>
        <w:t>oll.</w:t>
      </w:r>
      <w:r>
        <w:rPr>
          <w:rFonts w:hint="eastAsia"/>
        </w:rPr>
        <w:t>。</w:t>
      </w:r>
    </w:p>
  </w:endnote>
  <w:endnote w:id="415">
    <w:p w:rsidR="00000000" w:rsidRDefault="00000000">
      <w:pPr>
        <w:pStyle w:val="EndnoteText"/>
      </w:pPr>
      <w:r>
        <w:rPr>
          <w:rStyle w:val="EndnoteReference"/>
        </w:rPr>
        <w:endnoteRef/>
      </w:r>
      <w:r>
        <w:rPr>
          <w:rFonts w:hint="eastAsia"/>
        </w:rPr>
        <w:t xml:space="preserve"> </w:t>
      </w:r>
      <w:r>
        <w:t xml:space="preserve">  </w:t>
      </w:r>
      <w:r>
        <w:rPr>
          <w:rFonts w:hint="eastAsia"/>
        </w:rPr>
        <w:t>《外交部长关于</w:t>
      </w:r>
      <w:r>
        <w:rPr>
          <w:rFonts w:hint="eastAsia"/>
        </w:rPr>
        <w:t>1957</w:t>
      </w:r>
      <w:r>
        <w:rPr>
          <w:rFonts w:hint="eastAsia"/>
        </w:rPr>
        <w:t>年</w:t>
      </w:r>
      <w:r>
        <w:rPr>
          <w:rFonts w:hint="eastAsia"/>
        </w:rPr>
        <w:t>6</w:t>
      </w:r>
      <w:r>
        <w:rPr>
          <w:rFonts w:hint="eastAsia"/>
        </w:rPr>
        <w:t>月</w:t>
      </w:r>
      <w:r>
        <w:rPr>
          <w:rFonts w:hint="eastAsia"/>
        </w:rPr>
        <w:t>15</w:t>
      </w:r>
      <w:r>
        <w:rPr>
          <w:rFonts w:hint="eastAsia"/>
        </w:rPr>
        <w:t>日关于为注册商标用商品和服务国际分类的尼斯协定</w:t>
      </w:r>
      <w:r>
        <w:rPr>
          <w:rFonts w:hint="eastAsia"/>
        </w:rPr>
        <w:t>(</w:t>
      </w:r>
      <w:r>
        <w:rPr>
          <w:rFonts w:hint="eastAsia"/>
        </w:rPr>
        <w:t>于</w:t>
      </w:r>
      <w:r>
        <w:rPr>
          <w:rFonts w:hint="eastAsia"/>
        </w:rPr>
        <w:t>1967</w:t>
      </w:r>
      <w:r>
        <w:rPr>
          <w:rFonts w:hint="eastAsia"/>
        </w:rPr>
        <w:t>年</w:t>
      </w:r>
      <w:r>
        <w:rPr>
          <w:rFonts w:hint="eastAsia"/>
        </w:rPr>
        <w:t>7</w:t>
      </w:r>
      <w:r>
        <w:rPr>
          <w:rFonts w:hint="eastAsia"/>
        </w:rPr>
        <w:t>月</w:t>
      </w:r>
      <w:r>
        <w:rPr>
          <w:rFonts w:hint="eastAsia"/>
        </w:rPr>
        <w:t>14</w:t>
      </w:r>
      <w:r>
        <w:rPr>
          <w:rFonts w:hint="eastAsia"/>
        </w:rPr>
        <w:t>日在斯德哥尔摩修订</w:t>
      </w:r>
      <w:r>
        <w:rPr>
          <w:rFonts w:hint="eastAsia"/>
        </w:rPr>
        <w:t>)</w:t>
      </w:r>
      <w:r>
        <w:rPr>
          <w:rFonts w:hint="eastAsia"/>
        </w:rPr>
        <w:t>的通告》，编号</w:t>
      </w:r>
      <w:r>
        <w:rPr>
          <w:rFonts w:hint="eastAsia"/>
        </w:rPr>
        <w:t>66/1975 C</w:t>
      </w:r>
      <w:r>
        <w:t>oll.</w:t>
      </w:r>
      <w:r>
        <w:rPr>
          <w:rFonts w:hint="eastAsia"/>
        </w:rPr>
        <w:t>。</w:t>
      </w:r>
    </w:p>
  </w:endnote>
  <w:endnote w:id="416">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《外交部长关于保护原产地名称及其国际注册里斯本协定</w:t>
      </w:r>
      <w:r>
        <w:rPr>
          <w:rFonts w:hint="eastAsia"/>
        </w:rPr>
        <w:t>(</w:t>
      </w:r>
      <w:r>
        <w:rPr>
          <w:rFonts w:hint="eastAsia"/>
        </w:rPr>
        <w:t>后经修订</w:t>
      </w:r>
      <w:r>
        <w:rPr>
          <w:rFonts w:hint="eastAsia"/>
        </w:rPr>
        <w:t>)</w:t>
      </w:r>
      <w:r>
        <w:rPr>
          <w:rFonts w:hint="eastAsia"/>
        </w:rPr>
        <w:t>的通告》，编号</w:t>
      </w:r>
      <w:r>
        <w:rPr>
          <w:rFonts w:hint="eastAsia"/>
        </w:rPr>
        <w:t>67/1975 C</w:t>
      </w:r>
      <w:r>
        <w:t>oll.</w:t>
      </w:r>
      <w:r>
        <w:rPr>
          <w:rFonts w:hint="eastAsia"/>
        </w:rPr>
        <w:t>，修正案编号</w:t>
      </w:r>
      <w:r>
        <w:rPr>
          <w:rFonts w:hint="eastAsia"/>
        </w:rPr>
        <w:t>79/1985 C</w:t>
      </w:r>
      <w:r>
        <w:t>oll.</w:t>
      </w:r>
      <w:r>
        <w:rPr>
          <w:rFonts w:hint="eastAsia"/>
        </w:rPr>
        <w:t>。</w:t>
      </w:r>
    </w:p>
  </w:endnote>
  <w:endnote w:id="417">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《外交部长关于</w:t>
      </w:r>
      <w:r>
        <w:rPr>
          <w:rFonts w:hint="eastAsia"/>
        </w:rPr>
        <w:t>1968</w:t>
      </w:r>
      <w:r>
        <w:rPr>
          <w:rFonts w:hint="eastAsia"/>
        </w:rPr>
        <w:t>年</w:t>
      </w:r>
      <w:r>
        <w:rPr>
          <w:rFonts w:hint="eastAsia"/>
        </w:rPr>
        <w:t>10</w:t>
      </w:r>
      <w:r>
        <w:rPr>
          <w:rFonts w:hint="eastAsia"/>
        </w:rPr>
        <w:t>月</w:t>
      </w:r>
      <w:r>
        <w:rPr>
          <w:rFonts w:hint="eastAsia"/>
        </w:rPr>
        <w:t>8</w:t>
      </w:r>
      <w:r>
        <w:rPr>
          <w:rFonts w:hint="eastAsia"/>
        </w:rPr>
        <w:t>日在洛迦诺签署的建立工业品外观设计国际分类洛迦诺协定的通告》，编号</w:t>
      </w:r>
      <w:r>
        <w:rPr>
          <w:rFonts w:hint="eastAsia"/>
        </w:rPr>
        <w:t>28/1981 C</w:t>
      </w:r>
      <w:r>
        <w:t>oll.</w:t>
      </w:r>
      <w:r>
        <w:rPr>
          <w:rFonts w:hint="eastAsia"/>
        </w:rPr>
        <w:t>，后经第</w:t>
      </w:r>
      <w:r>
        <w:rPr>
          <w:rFonts w:hint="eastAsia"/>
        </w:rPr>
        <w:t>85/1985 C</w:t>
      </w:r>
      <w:r>
        <w:t>oll.</w:t>
      </w:r>
      <w:r>
        <w:rPr>
          <w:rFonts w:hint="eastAsia"/>
        </w:rPr>
        <w:t>号通告修正。</w:t>
      </w:r>
    </w:p>
  </w:endnote>
  <w:endnote w:id="418">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《外交部长关于国际专利分类斯特拉斯堡协定的通告》，编号</w:t>
      </w:r>
      <w:r>
        <w:rPr>
          <w:rFonts w:hint="eastAsia"/>
        </w:rPr>
        <w:t>110/1978 C</w:t>
      </w:r>
      <w:r>
        <w:t>oll.</w:t>
      </w:r>
      <w:r>
        <w:rPr>
          <w:rFonts w:hint="eastAsia"/>
        </w:rPr>
        <w:t>，后经修正。</w:t>
      </w:r>
    </w:p>
  </w:endnote>
  <w:endnote w:id="419">
    <w:p w:rsidR="00000000" w:rsidRDefault="00000000">
      <w:pPr>
        <w:pStyle w:val="EndnoteText"/>
        <w:rPr>
          <w:rFonts w:hint="eastAsia"/>
        </w:rPr>
      </w:pPr>
      <w:r>
        <w:rPr>
          <w:rStyle w:val="EndnoteReference"/>
        </w:rPr>
        <w:endnoteRef/>
      </w:r>
      <w:r>
        <w:rPr>
          <w:rFonts w:hint="eastAsia"/>
        </w:rPr>
        <w:t xml:space="preserve"> </w:t>
      </w:r>
      <w:r>
        <w:t xml:space="preserve">  </w:t>
      </w:r>
      <w:r>
        <w:rPr>
          <w:rFonts w:hint="eastAsia"/>
        </w:rPr>
        <w:t>《外交部长关于用于专利程序的微生物保存布达佩斯条约以及条约之下的执行条例的通告》，编号</w:t>
      </w:r>
      <w:r>
        <w:rPr>
          <w:rFonts w:hint="eastAsia"/>
        </w:rPr>
        <w:t>212/1989 C</w:t>
      </w:r>
      <w:r>
        <w:t>oll.</w:t>
      </w:r>
      <w:r>
        <w:rPr>
          <w:rFonts w:hint="eastAsia"/>
        </w:rPr>
        <w:t>。</w:t>
      </w:r>
    </w:p>
  </w:endnote>
  <w:endnote w:id="420">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《外交部关于商标法条约谈判事宜的公告》，编号</w:t>
      </w:r>
      <w:r>
        <w:rPr>
          <w:rFonts w:hint="eastAsia"/>
        </w:rPr>
        <w:t>199/1996 C</w:t>
      </w:r>
      <w:r>
        <w:t>oll.</w:t>
      </w:r>
      <w:r>
        <w:rPr>
          <w:rFonts w:hint="eastAsia"/>
        </w:rPr>
        <w:t>。</w:t>
      </w:r>
    </w:p>
  </w:endnote>
  <w:endnote w:id="421">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《联邦外交部关于专利合作条约和条约之下的规定的通告》，编号</w:t>
      </w:r>
      <w:r>
        <w:rPr>
          <w:rFonts w:hint="eastAsia"/>
        </w:rPr>
        <w:t>296/1991 C</w:t>
      </w:r>
      <w:r>
        <w:t>oll.</w:t>
      </w:r>
      <w:r>
        <w:rPr>
          <w:rFonts w:hint="eastAsia"/>
        </w:rPr>
        <w:t>，后经修正。</w:t>
      </w:r>
    </w:p>
  </w:endnote>
  <w:endnote w:id="422">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《第</w:t>
      </w:r>
      <w:r>
        <w:rPr>
          <w:rFonts w:hint="eastAsia"/>
        </w:rPr>
        <w:t>401/1921 C</w:t>
      </w:r>
      <w:r>
        <w:t>oll.</w:t>
      </w:r>
      <w:r>
        <w:rPr>
          <w:rFonts w:hint="eastAsia"/>
        </w:rPr>
        <w:t>号公约》，《伯尔尼保护文学和艺术品公约》</w:t>
      </w:r>
      <w:r>
        <w:rPr>
          <w:rFonts w:hint="eastAsia"/>
        </w:rPr>
        <w:t>(1886</w:t>
      </w:r>
      <w:r>
        <w:rPr>
          <w:rFonts w:hint="eastAsia"/>
        </w:rPr>
        <w:t>年</w:t>
      </w:r>
      <w:r>
        <w:rPr>
          <w:rFonts w:hint="eastAsia"/>
        </w:rPr>
        <w:t>)</w:t>
      </w:r>
      <w:r>
        <w:rPr>
          <w:rFonts w:hint="eastAsia"/>
        </w:rPr>
        <w:t>，</w:t>
      </w:r>
      <w:r>
        <w:rPr>
          <w:rFonts w:hint="eastAsia"/>
        </w:rPr>
        <w:t>1908</w:t>
      </w:r>
      <w:r>
        <w:rPr>
          <w:rFonts w:hint="eastAsia"/>
        </w:rPr>
        <w:t>年在柏林修订；关于这项公约的现行案文，见《外交部长第</w:t>
      </w:r>
      <w:r>
        <w:rPr>
          <w:rFonts w:hint="eastAsia"/>
        </w:rPr>
        <w:t>133/1980 C</w:t>
      </w:r>
      <w:r>
        <w:t>oll.</w:t>
      </w:r>
      <w:r>
        <w:rPr>
          <w:rFonts w:hint="eastAsia"/>
        </w:rPr>
        <w:t>号通告》。</w:t>
      </w:r>
    </w:p>
  </w:endnote>
  <w:endnote w:id="423">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《外交部长关于保护表演者、唱片制作者和广播组织国际公约的通告》，编号</w:t>
      </w:r>
      <w:r>
        <w:rPr>
          <w:rFonts w:hint="eastAsia"/>
        </w:rPr>
        <w:t>192/1964 C</w:t>
      </w:r>
      <w:r>
        <w:t>oll.</w:t>
      </w:r>
      <w:r>
        <w:rPr>
          <w:rFonts w:hint="eastAsia"/>
        </w:rPr>
        <w:t>。</w:t>
      </w:r>
    </w:p>
  </w:endnote>
  <w:endnote w:id="424">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《文学、科学和艺术作品法》，编号</w:t>
      </w:r>
      <w:r>
        <w:rPr>
          <w:rFonts w:hint="eastAsia"/>
        </w:rPr>
        <w:t>35/1965 C</w:t>
      </w:r>
      <w:r>
        <w:t>oll.</w:t>
      </w:r>
      <w:r>
        <w:rPr>
          <w:rFonts w:hint="eastAsia"/>
        </w:rPr>
        <w:t>，后经修正。</w:t>
      </w:r>
    </w:p>
  </w:endnote>
  <w:endnote w:id="425">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《关于共同管理版权和与版权相关的权利的法规》，编号</w:t>
      </w:r>
      <w:r>
        <w:rPr>
          <w:rFonts w:hint="eastAsia"/>
        </w:rPr>
        <w:t>237/1995 C</w:t>
      </w:r>
      <w:r>
        <w:t>oll.</w:t>
      </w:r>
      <w:r>
        <w:rPr>
          <w:rFonts w:hint="eastAsia"/>
        </w:rPr>
        <w:t>，后经修正。</w:t>
      </w:r>
    </w:p>
  </w:endnote>
  <w:endnote w:id="426">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《捷克共和国政府关于版权法实质性纲要草案的决议》，</w:t>
      </w:r>
      <w:r>
        <w:rPr>
          <w:rFonts w:hint="eastAsia"/>
        </w:rPr>
        <w:t>1998</w:t>
      </w:r>
      <w:r>
        <w:rPr>
          <w:rFonts w:hint="eastAsia"/>
        </w:rPr>
        <w:t>年</w:t>
      </w:r>
      <w:r>
        <w:rPr>
          <w:rFonts w:hint="eastAsia"/>
        </w:rPr>
        <w:t>5</w:t>
      </w:r>
      <w:r>
        <w:rPr>
          <w:rFonts w:hint="eastAsia"/>
        </w:rPr>
        <w:t>月</w:t>
      </w:r>
      <w:r>
        <w:rPr>
          <w:rFonts w:hint="eastAsia"/>
        </w:rPr>
        <w:t>27</w:t>
      </w:r>
      <w:r>
        <w:rPr>
          <w:rFonts w:hint="eastAsia"/>
        </w:rPr>
        <w:t>日，编号</w:t>
      </w:r>
      <w:r>
        <w:rPr>
          <w:rFonts w:hint="eastAsia"/>
        </w:rPr>
        <w:t>355</w:t>
      </w:r>
      <w:r>
        <w:rPr>
          <w:rFonts w:hint="eastAsia"/>
        </w:rPr>
        <w:t>。</w:t>
      </w:r>
    </w:p>
  </w:endnote>
  <w:endnote w:id="427">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《发明、工业品外观设计和合理化建议法》，编号</w:t>
      </w:r>
      <w:r>
        <w:rPr>
          <w:rFonts w:hint="eastAsia"/>
        </w:rPr>
        <w:t xml:space="preserve">527/1990 </w:t>
      </w:r>
      <w:r>
        <w:t>Coll.</w:t>
      </w:r>
      <w:r>
        <w:t>，</w:t>
      </w:r>
      <w:r>
        <w:rPr>
          <w:rFonts w:hint="eastAsia"/>
        </w:rPr>
        <w:t>后经修正。</w:t>
      </w:r>
    </w:p>
  </w:endnote>
  <w:endnote w:id="428">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《实用模型法》，编号</w:t>
      </w:r>
      <w:r>
        <w:rPr>
          <w:rFonts w:hint="eastAsia"/>
        </w:rPr>
        <w:t xml:space="preserve">478/1992 </w:t>
      </w:r>
      <w:r>
        <w:t>Coll.</w:t>
      </w:r>
      <w:r>
        <w:rPr>
          <w:rFonts w:hint="eastAsia"/>
        </w:rPr>
        <w:t>。</w:t>
      </w:r>
    </w:p>
  </w:endnote>
  <w:endnote w:id="42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《商标法》，</w:t>
      </w:r>
      <w:r>
        <w:rPr>
          <w:rFonts w:hint="eastAsia"/>
        </w:rPr>
        <w:t xml:space="preserve"> </w:t>
      </w:r>
      <w:r>
        <w:rPr>
          <w:rFonts w:hint="eastAsia"/>
        </w:rPr>
        <w:t>编号</w:t>
      </w:r>
      <w:r>
        <w:rPr>
          <w:rFonts w:hint="eastAsia"/>
        </w:rPr>
        <w:t xml:space="preserve">137/1995 </w:t>
      </w:r>
      <w:r>
        <w:t>Coll.</w:t>
      </w:r>
      <w:r>
        <w:rPr>
          <w:rFonts w:hint="eastAsia"/>
        </w:rPr>
        <w:t>。</w:t>
      </w:r>
    </w:p>
  </w:endnote>
  <w:endnote w:id="430">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《保护经济竞争法》，</w:t>
      </w:r>
      <w:r>
        <w:rPr>
          <w:rFonts w:hint="eastAsia"/>
        </w:rPr>
        <w:t xml:space="preserve"> </w:t>
      </w:r>
      <w:r>
        <w:rPr>
          <w:rFonts w:hint="eastAsia"/>
        </w:rPr>
        <w:t>编号</w:t>
      </w:r>
      <w:r>
        <w:rPr>
          <w:rFonts w:hint="eastAsia"/>
        </w:rPr>
        <w:t xml:space="preserve">63/1991 </w:t>
      </w:r>
      <w:r>
        <w:t>Coll.</w:t>
      </w:r>
      <w:r>
        <w:rPr>
          <w:rFonts w:hint="eastAsia"/>
        </w:rPr>
        <w:t>。</w:t>
      </w:r>
    </w:p>
  </w:endnote>
  <w:endnote w:id="431">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《商法》，</w:t>
      </w:r>
      <w:r>
        <w:rPr>
          <w:rFonts w:hint="eastAsia"/>
        </w:rPr>
        <w:t xml:space="preserve"> </w:t>
      </w:r>
      <w:r>
        <w:rPr>
          <w:rFonts w:hint="eastAsia"/>
        </w:rPr>
        <w:t>编号</w:t>
      </w:r>
      <w:r>
        <w:rPr>
          <w:rFonts w:hint="eastAsia"/>
        </w:rPr>
        <w:t xml:space="preserve">142/1996 </w:t>
      </w:r>
      <w:r>
        <w:t>Coll.</w:t>
      </w:r>
      <w:r>
        <w:rPr>
          <w:rFonts w:hint="eastAsia"/>
        </w:rPr>
        <w:t>，后经修正。</w:t>
      </w:r>
    </w:p>
  </w:endnote>
  <w:endnote w:id="432">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工业产权局的主要活动之一，是依据《保护工业产权措施法》</w:t>
      </w:r>
      <w:r>
        <w:rPr>
          <w:rFonts w:hint="eastAsia"/>
        </w:rPr>
        <w:t>(</w:t>
      </w:r>
      <w:r>
        <w:rPr>
          <w:rFonts w:hint="eastAsia"/>
        </w:rPr>
        <w:t>编号</w:t>
      </w:r>
      <w:r>
        <w:rPr>
          <w:rFonts w:hint="eastAsia"/>
        </w:rPr>
        <w:t xml:space="preserve">14/1993 </w:t>
      </w:r>
      <w:r>
        <w:t>Coll.</w:t>
      </w:r>
      <w:r>
        <w:rPr>
          <w:rFonts w:hint="eastAsia"/>
        </w:rPr>
        <w:t>)</w:t>
      </w:r>
      <w:r>
        <w:rPr>
          <w:rFonts w:hint="eastAsia"/>
        </w:rPr>
        <w:t>，就是否向发明、工业模型、实用模型、半导体产品构型、商标以及产品原产地名称等提供保护作出决定。</w:t>
      </w:r>
    </w:p>
  </w:endnote>
  <w:endnote w:id="433">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《捷克共和国政府</w:t>
      </w:r>
      <w:r>
        <w:rPr>
          <w:rFonts w:hint="eastAsia"/>
        </w:rPr>
        <w:t>1998</w:t>
      </w:r>
      <w:r>
        <w:rPr>
          <w:rFonts w:hint="eastAsia"/>
        </w:rPr>
        <w:t>年</w:t>
      </w:r>
      <w:r>
        <w:rPr>
          <w:rFonts w:hint="eastAsia"/>
        </w:rPr>
        <w:t>6</w:t>
      </w:r>
      <w:r>
        <w:rPr>
          <w:rFonts w:hint="eastAsia"/>
        </w:rPr>
        <w:t>月</w:t>
      </w:r>
      <w:r>
        <w:rPr>
          <w:rFonts w:hint="eastAsia"/>
        </w:rPr>
        <w:t>10</w:t>
      </w:r>
      <w:r>
        <w:rPr>
          <w:rFonts w:hint="eastAsia"/>
        </w:rPr>
        <w:t>日关于捷克共和国面向</w:t>
      </w:r>
      <w:r>
        <w:rPr>
          <w:rFonts w:hint="eastAsia"/>
        </w:rPr>
        <w:t>21</w:t>
      </w:r>
      <w:r>
        <w:rPr>
          <w:rFonts w:hint="eastAsia"/>
        </w:rPr>
        <w:t>世纪的科学政策原则的第</w:t>
      </w:r>
      <w:r>
        <w:rPr>
          <w:rFonts w:hint="eastAsia"/>
        </w:rPr>
        <w:t>397</w:t>
      </w:r>
      <w:r>
        <w:rPr>
          <w:rFonts w:hint="eastAsia"/>
        </w:rPr>
        <w:t>号决议》。</w:t>
      </w:r>
    </w:p>
  </w:endnote>
  <w:endnote w:id="434">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《捷克共和国政府</w:t>
      </w:r>
      <w:r>
        <w:rPr>
          <w:rFonts w:hint="eastAsia"/>
        </w:rPr>
        <w:t>1998</w:t>
      </w:r>
      <w:r>
        <w:rPr>
          <w:rFonts w:hint="eastAsia"/>
        </w:rPr>
        <w:t>年</w:t>
      </w:r>
      <w:r>
        <w:rPr>
          <w:rFonts w:hint="eastAsia"/>
        </w:rPr>
        <w:t>12</w:t>
      </w:r>
      <w:r>
        <w:rPr>
          <w:rFonts w:hint="eastAsia"/>
        </w:rPr>
        <w:t>月</w:t>
      </w:r>
      <w:r>
        <w:rPr>
          <w:rFonts w:hint="eastAsia"/>
        </w:rPr>
        <w:t>9</w:t>
      </w:r>
      <w:r>
        <w:rPr>
          <w:rFonts w:hint="eastAsia"/>
        </w:rPr>
        <w:t>日关于拟定捷克共和国研究与开发国策和关于捷克共和国政府研究与开发委员会活动的第</w:t>
      </w:r>
      <w:r>
        <w:rPr>
          <w:rFonts w:hint="eastAsia"/>
        </w:rPr>
        <w:t>811</w:t>
      </w:r>
      <w:r>
        <w:rPr>
          <w:rFonts w:hint="eastAsia"/>
        </w:rPr>
        <w:t>号决议》。捷克共和国政府于</w:t>
      </w:r>
      <w:r>
        <w:rPr>
          <w:rFonts w:hint="eastAsia"/>
        </w:rPr>
        <w:t>2000</w:t>
      </w:r>
      <w:r>
        <w:rPr>
          <w:rFonts w:hint="eastAsia"/>
        </w:rPr>
        <w:t>年</w:t>
      </w:r>
      <w:r>
        <w:rPr>
          <w:rFonts w:hint="eastAsia"/>
        </w:rPr>
        <w:t>1</w:t>
      </w:r>
      <w:r>
        <w:rPr>
          <w:rFonts w:hint="eastAsia"/>
        </w:rPr>
        <w:t>月</w:t>
      </w:r>
      <w:r>
        <w:rPr>
          <w:rFonts w:hint="eastAsia"/>
        </w:rPr>
        <w:t>5</w:t>
      </w:r>
      <w:r>
        <w:rPr>
          <w:rFonts w:hint="eastAsia"/>
        </w:rPr>
        <w:t>日通过第</w:t>
      </w:r>
      <w:r>
        <w:rPr>
          <w:rFonts w:hint="eastAsia"/>
        </w:rPr>
        <w:t>16</w:t>
      </w:r>
      <w:r>
        <w:rPr>
          <w:rFonts w:hint="eastAsia"/>
        </w:rPr>
        <w:t>号决议，批准了研究与开发国家政策</w:t>
      </w:r>
      <w:r>
        <w:rPr>
          <w:rFonts w:hint="eastAsia"/>
        </w:rPr>
        <w:t>(</w:t>
      </w:r>
      <w:r>
        <w:rPr>
          <w:rFonts w:hint="eastAsia"/>
        </w:rPr>
        <w:t>捷克共和国政府</w:t>
      </w:r>
      <w:r>
        <w:rPr>
          <w:rFonts w:hint="eastAsia"/>
        </w:rPr>
        <w:t>2000</w:t>
      </w:r>
      <w:r>
        <w:rPr>
          <w:rFonts w:hint="eastAsia"/>
        </w:rPr>
        <w:t>年</w:t>
      </w:r>
      <w:r>
        <w:rPr>
          <w:rFonts w:hint="eastAsia"/>
        </w:rPr>
        <w:t>2</w:t>
      </w:r>
      <w:r>
        <w:rPr>
          <w:rFonts w:hint="eastAsia"/>
        </w:rPr>
        <w:t>月</w:t>
      </w:r>
      <w:r>
        <w:rPr>
          <w:rFonts w:hint="eastAsia"/>
        </w:rPr>
        <w:t>2</w:t>
      </w:r>
      <w:r>
        <w:rPr>
          <w:rFonts w:hint="eastAsia"/>
        </w:rPr>
        <w:t>日第</w:t>
      </w:r>
      <w:r>
        <w:rPr>
          <w:rFonts w:hint="eastAsia"/>
        </w:rPr>
        <w:t>145</w:t>
      </w:r>
      <w:r>
        <w:rPr>
          <w:rFonts w:hint="eastAsia"/>
        </w:rPr>
        <w:t>号决议对这项政策作了修正</w:t>
      </w:r>
      <w:r>
        <w:rPr>
          <w:rFonts w:hint="eastAsia"/>
        </w:rPr>
        <w:t>)</w:t>
      </w:r>
      <w:r>
        <w:rPr>
          <w:rFonts w:hint="eastAsia"/>
        </w:rPr>
        <w:t>。</w:t>
      </w:r>
    </w:p>
  </w:endnote>
  <w:endnote w:id="435">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捷克共和国政府</w:t>
      </w:r>
      <w:r>
        <w:rPr>
          <w:rFonts w:hint="eastAsia"/>
        </w:rPr>
        <w:t>2000</w:t>
      </w:r>
      <w:r>
        <w:rPr>
          <w:rFonts w:hint="eastAsia"/>
        </w:rPr>
        <w:t>年</w:t>
      </w:r>
      <w:r>
        <w:rPr>
          <w:rFonts w:hint="eastAsia"/>
        </w:rPr>
        <w:t>1</w:t>
      </w:r>
      <w:r>
        <w:rPr>
          <w:rFonts w:hint="eastAsia"/>
        </w:rPr>
        <w:t>月</w:t>
      </w:r>
      <w:r>
        <w:rPr>
          <w:rFonts w:hint="eastAsia"/>
        </w:rPr>
        <w:t>5</w:t>
      </w:r>
      <w:r>
        <w:rPr>
          <w:rFonts w:hint="eastAsia"/>
        </w:rPr>
        <w:t>日第</w:t>
      </w:r>
      <w:r>
        <w:rPr>
          <w:rFonts w:hint="eastAsia"/>
        </w:rPr>
        <w:t>16</w:t>
      </w:r>
      <w:r>
        <w:rPr>
          <w:rFonts w:hint="eastAsia"/>
        </w:rPr>
        <w:t>号决议批准了捷克共和国研究与开发国家政策。</w:t>
      </w:r>
    </w:p>
  </w:endnote>
  <w:endnote w:id="436">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这份分析报告由捷克共和国政府研究与开发委员会为政府编写。政府于</w:t>
      </w:r>
      <w:r>
        <w:rPr>
          <w:rFonts w:hint="eastAsia"/>
        </w:rPr>
        <w:t>1999</w:t>
      </w:r>
      <w:r>
        <w:rPr>
          <w:rFonts w:hint="eastAsia"/>
        </w:rPr>
        <w:t>年</w:t>
      </w:r>
      <w:r>
        <w:rPr>
          <w:rFonts w:hint="eastAsia"/>
        </w:rPr>
        <w:t>7</w:t>
      </w:r>
      <w:r>
        <w:rPr>
          <w:rFonts w:hint="eastAsia"/>
        </w:rPr>
        <w:t>月</w:t>
      </w:r>
      <w:r>
        <w:rPr>
          <w:rFonts w:hint="eastAsia"/>
        </w:rPr>
        <w:t>9</w:t>
      </w:r>
      <w:r>
        <w:rPr>
          <w:rFonts w:hint="eastAsia"/>
        </w:rPr>
        <w:t>日在第</w:t>
      </w:r>
      <w:r>
        <w:rPr>
          <w:rFonts w:hint="eastAsia"/>
        </w:rPr>
        <w:t>563</w:t>
      </w:r>
      <w:r>
        <w:rPr>
          <w:rFonts w:hint="eastAsia"/>
        </w:rPr>
        <w:t>号决议中通过这份报告。</w:t>
      </w:r>
    </w:p>
  </w:endnote>
  <w:endnote w:id="437">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《捷克共和国政府</w:t>
      </w:r>
      <w:r>
        <w:rPr>
          <w:rFonts w:hint="eastAsia"/>
        </w:rPr>
        <w:t>1999</w:t>
      </w:r>
      <w:r>
        <w:rPr>
          <w:rFonts w:hint="eastAsia"/>
        </w:rPr>
        <w:t>年</w:t>
      </w:r>
      <w:r>
        <w:rPr>
          <w:rFonts w:hint="eastAsia"/>
        </w:rPr>
        <w:t>3</w:t>
      </w:r>
      <w:r>
        <w:rPr>
          <w:rFonts w:hint="eastAsia"/>
        </w:rPr>
        <w:t>月</w:t>
      </w:r>
      <w:r>
        <w:rPr>
          <w:rFonts w:hint="eastAsia"/>
        </w:rPr>
        <w:t>22</w:t>
      </w:r>
      <w:r>
        <w:rPr>
          <w:rFonts w:hint="eastAsia"/>
        </w:rPr>
        <w:t>日关于</w:t>
      </w:r>
      <w:r>
        <w:rPr>
          <w:rFonts w:hint="eastAsia"/>
        </w:rPr>
        <w:t>2000-2002</w:t>
      </w:r>
      <w:r>
        <w:rPr>
          <w:rFonts w:hint="eastAsia"/>
        </w:rPr>
        <w:t>年国家支持研究与开发的第</w:t>
      </w:r>
      <w:r>
        <w:rPr>
          <w:rFonts w:hint="eastAsia"/>
        </w:rPr>
        <w:t>249</w:t>
      </w:r>
      <w:r>
        <w:rPr>
          <w:rFonts w:hint="eastAsia"/>
        </w:rPr>
        <w:t>号决议》。</w:t>
      </w:r>
    </w:p>
  </w:endnote>
  <w:endnote w:id="438">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《国家支持科学和研究法》，编号</w:t>
      </w:r>
      <w:r>
        <w:rPr>
          <w:rFonts w:hint="eastAsia"/>
        </w:rPr>
        <w:t>300/1992 C</w:t>
      </w:r>
      <w:r>
        <w:t>oll.</w:t>
      </w:r>
      <w:r>
        <w:rPr>
          <w:rFonts w:hint="eastAsia"/>
        </w:rPr>
        <w:t>，后经修正。</w:t>
      </w:r>
    </w:p>
  </w:endnote>
  <w:endnote w:id="439">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《捷克共和国政府</w:t>
      </w:r>
      <w:r>
        <w:rPr>
          <w:rFonts w:hint="eastAsia"/>
        </w:rPr>
        <w:t>2000</w:t>
      </w:r>
      <w:r>
        <w:rPr>
          <w:rFonts w:hint="eastAsia"/>
        </w:rPr>
        <w:t>年</w:t>
      </w:r>
      <w:r>
        <w:rPr>
          <w:rFonts w:hint="eastAsia"/>
        </w:rPr>
        <w:t>1</w:t>
      </w:r>
      <w:r>
        <w:rPr>
          <w:rFonts w:hint="eastAsia"/>
        </w:rPr>
        <w:t>月</w:t>
      </w:r>
      <w:r>
        <w:rPr>
          <w:rFonts w:hint="eastAsia"/>
        </w:rPr>
        <w:t>5</w:t>
      </w:r>
      <w:r>
        <w:rPr>
          <w:rFonts w:hint="eastAsia"/>
        </w:rPr>
        <w:t>日关于捷克共和国研究与开发国家政策的第</w:t>
      </w:r>
      <w:r>
        <w:rPr>
          <w:rFonts w:hint="eastAsia"/>
        </w:rPr>
        <w:t>16</w:t>
      </w:r>
      <w:r>
        <w:rPr>
          <w:rFonts w:hint="eastAsia"/>
        </w:rPr>
        <w:t>号决议》，该决议第三部分第</w:t>
      </w:r>
      <w:r>
        <w:rPr>
          <w:rFonts w:hint="eastAsia"/>
        </w:rPr>
        <w:t>3</w:t>
      </w:r>
      <w:r>
        <w:rPr>
          <w:rFonts w:hint="eastAsia"/>
        </w:rPr>
        <w:t>条指示支持研究与开发的预算项目的所有管理者制定一项各自主管领域的研究与开发活动发展计划，并使这项计划在</w:t>
      </w:r>
      <w:r>
        <w:rPr>
          <w:rFonts w:hint="eastAsia"/>
        </w:rPr>
        <w:t>2001</w:t>
      </w:r>
      <w:r>
        <w:rPr>
          <w:rFonts w:hint="eastAsia"/>
        </w:rPr>
        <w:t>年国家概算中得到体现。</w:t>
      </w:r>
    </w:p>
  </w:endnote>
  <w:endnote w:id="440">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《关于国家支持研究与开发的法规》</w:t>
      </w:r>
      <w:r>
        <w:rPr>
          <w:rFonts w:hint="eastAsia"/>
        </w:rPr>
        <w:t>(</w:t>
      </w:r>
      <w:r>
        <w:rPr>
          <w:rFonts w:hint="eastAsia"/>
        </w:rPr>
        <w:t>编号</w:t>
      </w:r>
      <w:r>
        <w:rPr>
          <w:rFonts w:hint="eastAsia"/>
        </w:rPr>
        <w:t>1/1995 C</w:t>
      </w:r>
      <w:r>
        <w:t>oll.</w:t>
      </w:r>
      <w:r>
        <w:rPr>
          <w:rFonts w:hint="eastAsia"/>
        </w:rPr>
        <w:t>)</w:t>
      </w:r>
      <w:r>
        <w:rPr>
          <w:rFonts w:hint="eastAsia"/>
        </w:rPr>
        <w:t>对这项制度作了规定，该法规对《</w:t>
      </w:r>
      <w:r>
        <w:rPr>
          <w:rFonts w:hint="eastAsia"/>
        </w:rPr>
        <w:t>300/1992 C</w:t>
      </w:r>
      <w:r>
        <w:t>oll.</w:t>
      </w:r>
      <w:r>
        <w:rPr>
          <w:rFonts w:hint="eastAsia"/>
        </w:rPr>
        <w:t>号法规》作了修正和补充</w:t>
      </w:r>
      <w:r>
        <w:rPr>
          <w:rFonts w:hint="eastAsia"/>
        </w:rPr>
        <w:t>(</w:t>
      </w:r>
      <w:r>
        <w:rPr>
          <w:rFonts w:hint="eastAsia"/>
        </w:rPr>
        <w:t>前一部法规的全文在编号</w:t>
      </w:r>
      <w:r>
        <w:rPr>
          <w:rFonts w:hint="eastAsia"/>
        </w:rPr>
        <w:t>2/1995 C</w:t>
      </w:r>
      <w:r>
        <w:t>oll.</w:t>
      </w:r>
      <w:r>
        <w:rPr>
          <w:rFonts w:hint="eastAsia"/>
        </w:rPr>
        <w:t>之下颁布</w:t>
      </w:r>
      <w:r>
        <w:rPr>
          <w:rFonts w:hint="eastAsia"/>
        </w:rPr>
        <w:t>)</w:t>
      </w:r>
      <w:r>
        <w:rPr>
          <w:rFonts w:hint="eastAsia"/>
        </w:rPr>
        <w:t>。</w:t>
      </w:r>
    </w:p>
  </w:endnote>
  <w:endnote w:id="441">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政府</w:t>
      </w:r>
      <w:r>
        <w:rPr>
          <w:rFonts w:hint="eastAsia"/>
        </w:rPr>
        <w:t>19995</w:t>
      </w:r>
      <w:r>
        <w:rPr>
          <w:rFonts w:hint="eastAsia"/>
        </w:rPr>
        <w:t>年</w:t>
      </w:r>
      <w:r>
        <w:rPr>
          <w:rFonts w:hint="eastAsia"/>
        </w:rPr>
        <w:t>2</w:t>
      </w:r>
      <w:r>
        <w:rPr>
          <w:rFonts w:hint="eastAsia"/>
        </w:rPr>
        <w:t>月</w:t>
      </w:r>
      <w:r>
        <w:rPr>
          <w:rFonts w:hint="eastAsia"/>
        </w:rPr>
        <w:t>22</w:t>
      </w:r>
      <w:r>
        <w:rPr>
          <w:rFonts w:hint="eastAsia"/>
        </w:rPr>
        <w:t>日第</w:t>
      </w:r>
      <w:r>
        <w:rPr>
          <w:rFonts w:hint="eastAsia"/>
        </w:rPr>
        <w:t>111</w:t>
      </w:r>
      <w:r>
        <w:rPr>
          <w:rFonts w:hint="eastAsia"/>
        </w:rPr>
        <w:t>号决议批准了《捷克共和国资助局章程》。</w:t>
      </w:r>
    </w:p>
  </w:endnote>
  <w:endnote w:id="442">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《捷克共和国政府</w:t>
      </w:r>
      <w:r>
        <w:rPr>
          <w:rFonts w:hint="eastAsia"/>
        </w:rPr>
        <w:t>1996</w:t>
      </w:r>
      <w:r>
        <w:rPr>
          <w:rFonts w:hint="eastAsia"/>
        </w:rPr>
        <w:t>年</w:t>
      </w:r>
      <w:r>
        <w:rPr>
          <w:rFonts w:hint="eastAsia"/>
        </w:rPr>
        <w:t>1</w:t>
      </w:r>
      <w:r>
        <w:rPr>
          <w:rFonts w:hint="eastAsia"/>
        </w:rPr>
        <w:t>月</w:t>
      </w:r>
      <w:r>
        <w:rPr>
          <w:rFonts w:hint="eastAsia"/>
        </w:rPr>
        <w:t>3</w:t>
      </w:r>
      <w:r>
        <w:rPr>
          <w:rFonts w:hint="eastAsia"/>
        </w:rPr>
        <w:t>日关于国家预算提供专项资金资助研究与开发活动的规则的第</w:t>
      </w:r>
      <w:r>
        <w:rPr>
          <w:rFonts w:hint="eastAsia"/>
        </w:rPr>
        <w:t>27</w:t>
      </w:r>
      <w:r>
        <w:rPr>
          <w:rFonts w:hint="eastAsia"/>
        </w:rPr>
        <w:t>号决议》。</w:t>
      </w:r>
    </w:p>
  </w:endnote>
  <w:endnote w:id="443">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《捷克共和国</w:t>
      </w:r>
      <w:r>
        <w:rPr>
          <w:rFonts w:hint="eastAsia"/>
        </w:rPr>
        <w:t>1997</w:t>
      </w:r>
      <w:r>
        <w:rPr>
          <w:rFonts w:hint="eastAsia"/>
        </w:rPr>
        <w:t>年</w:t>
      </w:r>
      <w:r>
        <w:rPr>
          <w:rFonts w:hint="eastAsia"/>
        </w:rPr>
        <w:t>4</w:t>
      </w:r>
      <w:r>
        <w:rPr>
          <w:rFonts w:hint="eastAsia"/>
        </w:rPr>
        <w:t>月</w:t>
      </w:r>
      <w:r>
        <w:rPr>
          <w:rFonts w:hint="eastAsia"/>
        </w:rPr>
        <w:t>23</w:t>
      </w:r>
      <w:r>
        <w:rPr>
          <w:rFonts w:hint="eastAsia"/>
        </w:rPr>
        <w:t>日关于研究与开发政府原则的第</w:t>
      </w:r>
      <w:r>
        <w:rPr>
          <w:rFonts w:hint="eastAsia"/>
        </w:rPr>
        <w:t>247</w:t>
      </w:r>
      <w:r>
        <w:rPr>
          <w:rFonts w:hint="eastAsia"/>
        </w:rPr>
        <w:t>号决议》。《捷克共和国</w:t>
      </w:r>
      <w:r>
        <w:rPr>
          <w:rFonts w:hint="eastAsia"/>
        </w:rPr>
        <w:t>2000</w:t>
      </w:r>
      <w:r>
        <w:rPr>
          <w:rFonts w:hint="eastAsia"/>
        </w:rPr>
        <w:t>年</w:t>
      </w:r>
      <w:r>
        <w:rPr>
          <w:rFonts w:hint="eastAsia"/>
        </w:rPr>
        <w:t>1</w:t>
      </w:r>
      <w:r>
        <w:rPr>
          <w:rFonts w:hint="eastAsia"/>
        </w:rPr>
        <w:t>月</w:t>
      </w:r>
      <w:r>
        <w:rPr>
          <w:rFonts w:hint="eastAsia"/>
        </w:rPr>
        <w:t>5</w:t>
      </w:r>
      <w:r>
        <w:rPr>
          <w:rFonts w:hint="eastAsia"/>
        </w:rPr>
        <w:t>日第</w:t>
      </w:r>
      <w:r>
        <w:rPr>
          <w:rFonts w:hint="eastAsia"/>
        </w:rPr>
        <w:t>16</w:t>
      </w:r>
      <w:r>
        <w:rPr>
          <w:rFonts w:hint="eastAsia"/>
        </w:rPr>
        <w:t>号决议》决定撤消这项决议。</w:t>
      </w:r>
    </w:p>
  </w:endnote>
  <w:endnote w:id="444">
    <w:p w:rsidR="00000000" w:rsidRDefault="00000000">
      <w:pPr>
        <w:pStyle w:val="EndnoteText"/>
        <w:rPr>
          <w:rFonts w:hint="eastAsia"/>
        </w:rPr>
      </w:pPr>
      <w:r>
        <w:rPr>
          <w:rStyle w:val="EndnoteReference"/>
        </w:rPr>
        <w:endnoteRef/>
      </w:r>
      <w:r>
        <w:t xml:space="preserve"> </w:t>
      </w:r>
      <w:r>
        <w:rPr>
          <w:rFonts w:hint="eastAsia"/>
        </w:rPr>
        <w:t xml:space="preserve"> </w:t>
      </w:r>
      <w:r>
        <w:t xml:space="preserve"> </w:t>
      </w:r>
      <w:r>
        <w:rPr>
          <w:rFonts w:hint="eastAsia"/>
        </w:rPr>
        <w:t>《自由获取和利用信息法》，编号</w:t>
      </w:r>
      <w:r>
        <w:rPr>
          <w:rFonts w:hint="eastAsia"/>
        </w:rPr>
        <w:t>106/1999 C</w:t>
      </w:r>
      <w:r>
        <w:t>oll.</w:t>
      </w:r>
      <w:r>
        <w:rPr>
          <w:rFonts w:hint="eastAsia"/>
        </w:rPr>
        <w:t>。</w:t>
      </w:r>
    </w:p>
    <w:p w:rsidR="00000000" w:rsidRDefault="00000000">
      <w:pPr>
        <w:pStyle w:val="EndnoteText"/>
        <w:rPr>
          <w:rFonts w:hint="eastAsia"/>
        </w:rPr>
      </w:pPr>
    </w:p>
    <w:p w:rsidR="00000000" w:rsidRDefault="00000000">
      <w:pPr>
        <w:pStyle w:val="EndnoteText"/>
        <w:rPr>
          <w:rFonts w:hint="eastAsia"/>
        </w:rPr>
      </w:pPr>
    </w:p>
    <w:p w:rsidR="00000000" w:rsidRDefault="00000000">
      <w:pPr>
        <w:pStyle w:val="EndnoteText"/>
        <w:rPr>
          <w:rFonts w:hint="eastAsia"/>
        </w:rPr>
      </w:pPr>
    </w:p>
    <w:p w:rsidR="00000000" w:rsidRDefault="00000000">
      <w:pPr>
        <w:jc w:val="center"/>
        <w:rPr>
          <w:rFonts w:hint="eastAsia"/>
        </w:rP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hint="eastAsia"/>
        <w:u w:val="single"/>
      </w:rPr>
    </w:pPr>
    <w:r>
      <w:rPr>
        <w:rFonts w:hint="eastAsia"/>
        <w:u w:val="single"/>
      </w:rPr>
      <w:t xml:space="preserve">                   </w:t>
    </w:r>
  </w:p>
  <w:p w:rsidR="00000000" w:rsidRDefault="00000000">
    <w:pPr>
      <w:pStyle w:val="FootnoteText"/>
      <w:rPr>
        <w:rFonts w:hint="eastAsia"/>
      </w:rPr>
    </w:pPr>
    <w:r>
      <w:rPr>
        <w:rFonts w:hint="eastAsia"/>
      </w:rPr>
      <w:t>*</w:t>
    </w:r>
    <w:r>
      <w:rPr>
        <w:snapToGrid w:val="0"/>
      </w:rPr>
      <w:tab/>
    </w:r>
    <w:r>
      <w:rPr>
        <w:rFonts w:hint="eastAsia"/>
        <w:snapToGrid w:val="0"/>
      </w:rPr>
      <w:t>捷克共和国根据缔约国报告开始部分编写指南提交的资料载于核心文件</w:t>
    </w:r>
    <w:r>
      <w:rPr>
        <w:rFonts w:hint="eastAsia"/>
        <w:snapToGrid w:val="0"/>
      </w:rPr>
      <w:t>(HRI/</w:t>
    </w:r>
    <w:r>
      <w:rPr>
        <w:rFonts w:hint="eastAsia"/>
      </w:rPr>
      <w:t xml:space="preserve"> </w:t>
    </w:r>
    <w:r>
      <w:rPr>
        <w:rFonts w:hint="eastAsia"/>
        <w:snapToGrid w:val="0"/>
      </w:rPr>
      <w:t>CORE/1/A</w:t>
    </w:r>
    <w:r>
      <w:rPr>
        <w:snapToGrid w:val="0"/>
      </w:rPr>
      <w:t>dd.</w:t>
    </w:r>
    <w:r>
      <w:rPr>
        <w:rFonts w:hint="eastAsia"/>
        <w:snapToGrid w:val="0"/>
      </w:rPr>
      <w:t>7</w:t>
    </w:r>
    <w:r>
      <w:rPr>
        <w:snapToGrid w:val="0"/>
      </w:rPr>
      <w:t>1</w:t>
    </w:r>
    <w:r>
      <w:rPr>
        <w:rFonts w:hint="eastAsia"/>
        <w:snapToGrid w:val="0"/>
      </w:rPr>
      <w:t>)</w:t>
    </w:r>
    <w:r>
      <w:rPr>
        <w:rFonts w:hint="eastAsia"/>
        <w:snapToGrid w:val="0"/>
      </w:rPr>
      <w:t>。</w:t>
    </w:r>
  </w:p>
  <w:p w:rsidR="00000000" w:rsidRDefault="00000000">
    <w:pPr>
      <w:jc w:val="left"/>
      <w:rPr>
        <w:rFonts w:hint="eastAsia"/>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w:t>
          </w:r>
          <w:r>
            <w:rPr>
              <w:rFonts w:hint="eastAsia"/>
            </w:rPr>
            <w:t>42419</w:t>
          </w:r>
          <w:r>
            <w:t xml:space="preserve"> (C)</w:t>
          </w:r>
        </w:p>
      </w:tc>
      <w:tc>
        <w:tcPr>
          <w:tcW w:w="1050" w:type="dxa"/>
        </w:tcPr>
        <w:p w:rsidR="00000000" w:rsidRDefault="00000000">
          <w:pPr>
            <w:pStyle w:val="Footer"/>
          </w:pPr>
          <w:r>
            <w:t>200202</w:t>
          </w:r>
        </w:p>
      </w:tc>
      <w:tc>
        <w:tcPr>
          <w:tcW w:w="6061" w:type="dxa"/>
        </w:tcPr>
        <w:p w:rsidR="00000000" w:rsidRDefault="00000000">
          <w:pPr>
            <w:pStyle w:val="Footer"/>
          </w:pPr>
          <w:r>
            <w:t>2</w:t>
          </w:r>
          <w:r>
            <w:rPr>
              <w:rFonts w:hint="eastAsia"/>
            </w:rPr>
            <w:t>8</w:t>
          </w:r>
          <w:r>
            <w:t>0202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pPr>
    <w:r>
      <w:t>E/</w:t>
    </w:r>
    <w:r>
      <w:rPr>
        <w:rFonts w:hint="eastAsia"/>
      </w:rPr>
      <w:t>1990/5/</w:t>
    </w:r>
    <w:r>
      <w:t>Add.47</w:t>
    </w:r>
    <w:r>
      <w:br/>
      <w:t xml:space="preserve">Page </w:t>
    </w:r>
    <w:r>
      <w:fldChar w:fldCharType="begin"/>
    </w:r>
    <w:r>
      <w:instrText xml:space="preserve"> PAGE  \* MERGEFORMAT </w:instrText>
    </w:r>
    <w:r>
      <w:fldChar w:fldCharType="separate"/>
    </w:r>
    <w:r>
      <w:rPr>
        <w:noProof/>
      </w:rPr>
      <w:t>182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ind w:left="7347"/>
      <w:rPr>
        <w:rFonts w:hint="eastAsia"/>
      </w:rPr>
    </w:pPr>
    <w:r>
      <w:t>E/</w:t>
    </w:r>
    <w:r>
      <w:rPr>
        <w:rFonts w:hint="eastAsia"/>
      </w:rPr>
      <w:t>1990/5/</w:t>
    </w:r>
    <w:r>
      <w:t>Add.47</w:t>
    </w:r>
    <w:r>
      <w:br/>
      <w:t xml:space="preserve">Page </w:t>
    </w:r>
    <w:r>
      <w:fldChar w:fldCharType="begin"/>
    </w:r>
    <w:r>
      <w:instrText xml:space="preserve"> PAGE  \* MERGEFORMAT </w:instrText>
    </w:r>
    <w:r>
      <w:fldChar w:fldCharType="separate"/>
    </w:r>
    <w:r>
      <w:rPr>
        <w:noProof/>
      </w:rPr>
      <w:t>183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0"/>
    </w:pPr>
    <w:r>
      <w:rPr>
        <w:noProof/>
      </w:rPr>
      <w:pict>
        <v:rect id="_x0000_s1025" style="position:absolute;margin-left:541.05pt;margin-top:59.05pt;width:30.05pt;height:36pt;z-index:-5;mso-position-horizontal-relative:page;mso-position-vertical-relative:page" o:allowincell="f" filled="f" stroked="f" strokeweight="0">
          <v:textbox style="mso-next-textbox:#_x0000_s1025"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0"/>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0"/>
    </w:pPr>
    <w:r>
      <w:pict>
        <v:rect id="_x0000_s1029" style="position:absolute;margin-left:66.7pt;margin-top:110.5pt;width:66.05pt;height:56pt;z-index:-1;mso-position-horizontal-relative:page;mso-position-vertical-relative:page" o:allowincell="f" filled="f" stroked="f" strokeweight="0">
          <v:textbox style="mso-next-textbox:#_x0000_s1029"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rFonts w:hint="eastAsia"/>
      </w:rPr>
    </w:pPr>
    <w:r>
      <w:t>E/</w:t>
    </w:r>
    <w:r>
      <w:rPr>
        <w:rFonts w:hint="eastAsia"/>
      </w:rPr>
      <w:t>1990/5/</w:t>
    </w:r>
    <w:r>
      <w:t>Add.47</w:t>
    </w:r>
  </w:p>
  <w:p w:rsidR="00000000" w:rsidRDefault="00000000">
    <w:pPr>
      <w:pStyle w:val="1R2"/>
      <w:framePr w:wrap="around"/>
      <w:rPr>
        <w:rFonts w:hint="eastAsia"/>
      </w:rPr>
    </w:pPr>
    <w:r>
      <w:rPr>
        <w:rFonts w:hint="eastAsia"/>
      </w:rPr>
      <w:t xml:space="preserve">25 </w:t>
    </w:r>
    <w:r>
      <w:t>May 200</w:t>
    </w:r>
    <w:r>
      <w:rPr>
        <w:rFonts w:hint="eastAsia"/>
      </w:rPr>
      <w:t>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0"/>
    </w:pPr>
  </w:p>
  <w:p w:rsidR="00000000" w:rsidRDefault="00000000">
    <w:pPr>
      <w:pStyle w:val="a0"/>
    </w:pPr>
  </w:p>
  <w:p w:rsidR="00000000" w:rsidRDefault="00000000">
    <w:pPr>
      <w:pStyle w:val="a0"/>
    </w:pPr>
    <w:r>
      <w:pict>
        <v:rect id="_x0000_s1027" style="position:absolute;margin-left:151.05pt;margin-top:121.45pt;width:192.05pt;height:31.25pt;z-index:-3;mso-position-horizontal-relative:page;mso-position-vertical-relative:page" o:allowincell="f" filled="f" stroked="f" strokeweight="0">
          <v:textbox style="mso-next-textbox:#_x0000_s1027"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0"/>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0"/>
    </w:pPr>
  </w:p>
  <w:p w:rsidR="00000000" w:rsidRDefault="00000000">
    <w:pPr>
      <w:pStyle w:val="a0"/>
    </w:pPr>
  </w:p>
  <w:p w:rsidR="00000000" w:rsidRDefault="00000000">
    <w:pPr>
      <w:pStyle w:val="a0"/>
    </w:pPr>
    <w:r>
      <w:fldChar w:fldCharType="begin"/>
    </w:r>
    <w:r>
      <w:instrText>ADVANCE \Y 252.30</w:instrText>
    </w:r>
    <w:r>
      <w:fldChar w:fldCharType="end"/>
    </w:r>
  </w:p>
  <w:p w:rsidR="00000000" w:rsidRDefault="00000000">
    <w:pPr>
      <w:pStyle w:val="a0"/>
    </w:pPr>
  </w:p>
  <w:p w:rsidR="00000000" w:rsidRDefault="00000000">
    <w:pPr>
      <w:pStyle w:val="a0"/>
    </w:pPr>
  </w:p>
  <w:p w:rsidR="00000000" w:rsidRDefault="00000000">
    <w:pPr>
      <w:pStyle w:val="a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F4B44"/>
    <w:multiLevelType w:val="singleLevel"/>
    <w:tmpl w:val="B75827B6"/>
    <w:lvl w:ilvl="0">
      <w:start w:val="241"/>
      <w:numFmt w:val="decimal"/>
      <w:lvlText w:val="%1."/>
      <w:lvlJc w:val="left"/>
      <w:pPr>
        <w:tabs>
          <w:tab w:val="num" w:pos="454"/>
        </w:tabs>
        <w:ind w:left="454" w:hanging="454"/>
      </w:pPr>
    </w:lvl>
  </w:abstractNum>
  <w:abstractNum w:abstractNumId="12">
    <w:nsid w:val="00422304"/>
    <w:multiLevelType w:val="singleLevel"/>
    <w:tmpl w:val="4CB66D2E"/>
    <w:lvl w:ilvl="0">
      <w:start w:val="246"/>
      <w:numFmt w:val="decimal"/>
      <w:lvlText w:val="%1."/>
      <w:lvlJc w:val="left"/>
      <w:pPr>
        <w:tabs>
          <w:tab w:val="num" w:pos="454"/>
        </w:tabs>
        <w:ind w:left="454" w:hanging="454"/>
      </w:pPr>
    </w:lvl>
  </w:abstractNum>
  <w:abstractNum w:abstractNumId="13">
    <w:nsid w:val="004B74AE"/>
    <w:multiLevelType w:val="hybridMultilevel"/>
    <w:tmpl w:val="1144D3D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09514B5"/>
    <w:multiLevelType w:val="hybridMultilevel"/>
    <w:tmpl w:val="10CE3508"/>
    <w:lvl w:ilvl="0" w:tplc="DAA45E0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0CF2C82"/>
    <w:multiLevelType w:val="singleLevel"/>
    <w:tmpl w:val="58C844A6"/>
    <w:lvl w:ilvl="0">
      <w:start w:val="56"/>
      <w:numFmt w:val="decimal"/>
      <w:lvlText w:val="%1."/>
      <w:lvlJc w:val="left"/>
      <w:pPr>
        <w:tabs>
          <w:tab w:val="num" w:pos="454"/>
        </w:tabs>
        <w:ind w:left="454" w:hanging="454"/>
      </w:pPr>
    </w:lvl>
  </w:abstractNum>
  <w:abstractNum w:abstractNumId="16">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00F26589"/>
    <w:multiLevelType w:val="singleLevel"/>
    <w:tmpl w:val="23ACFCC0"/>
    <w:lvl w:ilvl="0">
      <w:start w:val="488"/>
      <w:numFmt w:val="decimal"/>
      <w:lvlText w:val="%1."/>
      <w:lvlJc w:val="left"/>
      <w:pPr>
        <w:tabs>
          <w:tab w:val="num" w:pos="454"/>
        </w:tabs>
        <w:ind w:left="454" w:hanging="454"/>
      </w:pPr>
    </w:lvl>
  </w:abstractNum>
  <w:abstractNum w:abstractNumId="18">
    <w:nsid w:val="01C05691"/>
    <w:multiLevelType w:val="singleLevel"/>
    <w:tmpl w:val="36084DBE"/>
    <w:lvl w:ilvl="0">
      <w:start w:val="1"/>
      <w:numFmt w:val="decimal"/>
      <w:lvlText w:val="%1."/>
      <w:lvlJc w:val="left"/>
      <w:pPr>
        <w:tabs>
          <w:tab w:val="num" w:pos="1440"/>
        </w:tabs>
        <w:ind w:left="1440" w:hanging="720"/>
      </w:pPr>
    </w:lvl>
  </w:abstractNum>
  <w:abstractNum w:abstractNumId="19">
    <w:nsid w:val="01C06389"/>
    <w:multiLevelType w:val="singleLevel"/>
    <w:tmpl w:val="153AC932"/>
    <w:lvl w:ilvl="0">
      <w:start w:val="250"/>
      <w:numFmt w:val="decimal"/>
      <w:lvlText w:val="%1."/>
      <w:lvlJc w:val="left"/>
      <w:pPr>
        <w:tabs>
          <w:tab w:val="num" w:pos="454"/>
        </w:tabs>
        <w:ind w:left="454" w:hanging="454"/>
      </w:pPr>
    </w:lvl>
  </w:abstractNum>
  <w:abstractNum w:abstractNumId="20">
    <w:nsid w:val="01F66EE6"/>
    <w:multiLevelType w:val="singleLevel"/>
    <w:tmpl w:val="8F843294"/>
    <w:lvl w:ilvl="0">
      <w:start w:val="1"/>
      <w:numFmt w:val="upperLetter"/>
      <w:lvlText w:val="%1. "/>
      <w:legacy w:legacy="1" w:legacySpace="0" w:legacyIndent="283"/>
      <w:lvlJc w:val="left"/>
      <w:pPr>
        <w:ind w:left="283" w:hanging="283"/>
      </w:pPr>
      <w:rPr>
        <w:rFonts w:ascii="Times New Roman" w:hAnsi="Times New Roman" w:cs="Times New Roman" w:hint="default"/>
        <w:b/>
        <w:i w:val="0"/>
        <w:sz w:val="24"/>
        <w:szCs w:val="24"/>
        <w:u w:val="single"/>
      </w:rPr>
    </w:lvl>
  </w:abstractNum>
  <w:abstractNum w:abstractNumId="21">
    <w:nsid w:val="01F70131"/>
    <w:multiLevelType w:val="singleLevel"/>
    <w:tmpl w:val="EB98ECDA"/>
    <w:lvl w:ilvl="0">
      <w:start w:val="101"/>
      <w:numFmt w:val="decimal"/>
      <w:lvlText w:val="%1."/>
      <w:lvlJc w:val="left"/>
      <w:pPr>
        <w:tabs>
          <w:tab w:val="num" w:pos="454"/>
        </w:tabs>
        <w:ind w:left="454" w:hanging="454"/>
      </w:pPr>
    </w:lvl>
  </w:abstractNum>
  <w:abstractNum w:abstractNumId="22">
    <w:nsid w:val="02360E55"/>
    <w:multiLevelType w:val="singleLevel"/>
    <w:tmpl w:val="EC005F0E"/>
    <w:lvl w:ilvl="0">
      <w:start w:val="652"/>
      <w:numFmt w:val="decimal"/>
      <w:lvlText w:val="%1."/>
      <w:lvlJc w:val="left"/>
      <w:pPr>
        <w:tabs>
          <w:tab w:val="num" w:pos="454"/>
        </w:tabs>
        <w:ind w:left="454" w:hanging="454"/>
      </w:pPr>
    </w:lvl>
  </w:abstractNum>
  <w:abstractNum w:abstractNumId="23">
    <w:nsid w:val="024D7882"/>
    <w:multiLevelType w:val="singleLevel"/>
    <w:tmpl w:val="04050017"/>
    <w:lvl w:ilvl="0">
      <w:start w:val="1"/>
      <w:numFmt w:val="lowerLetter"/>
      <w:lvlText w:val="%1)"/>
      <w:lvlJc w:val="left"/>
      <w:pPr>
        <w:tabs>
          <w:tab w:val="num" w:pos="360"/>
        </w:tabs>
        <w:ind w:left="360" w:hanging="360"/>
      </w:pPr>
    </w:lvl>
  </w:abstractNum>
  <w:abstractNum w:abstractNumId="24">
    <w:nsid w:val="026B7B22"/>
    <w:multiLevelType w:val="singleLevel"/>
    <w:tmpl w:val="8348CB70"/>
    <w:lvl w:ilvl="0">
      <w:start w:val="625"/>
      <w:numFmt w:val="decimal"/>
      <w:lvlText w:val="%1."/>
      <w:lvlJc w:val="left"/>
      <w:pPr>
        <w:tabs>
          <w:tab w:val="num" w:pos="454"/>
        </w:tabs>
        <w:ind w:left="454" w:hanging="454"/>
      </w:pPr>
    </w:lvl>
  </w:abstractNum>
  <w:abstractNum w:abstractNumId="25">
    <w:nsid w:val="027E4239"/>
    <w:multiLevelType w:val="singleLevel"/>
    <w:tmpl w:val="1332DA22"/>
    <w:lvl w:ilvl="0">
      <w:start w:val="259"/>
      <w:numFmt w:val="decimal"/>
      <w:lvlText w:val="%1."/>
      <w:lvlJc w:val="left"/>
      <w:pPr>
        <w:tabs>
          <w:tab w:val="num" w:pos="454"/>
        </w:tabs>
        <w:ind w:left="454" w:hanging="454"/>
      </w:pPr>
    </w:lvl>
  </w:abstractNum>
  <w:abstractNum w:abstractNumId="26">
    <w:nsid w:val="03020C99"/>
    <w:multiLevelType w:val="singleLevel"/>
    <w:tmpl w:val="FDBCC138"/>
    <w:lvl w:ilvl="0">
      <w:start w:val="359"/>
      <w:numFmt w:val="decimal"/>
      <w:lvlText w:val="%1."/>
      <w:lvlJc w:val="left"/>
      <w:pPr>
        <w:tabs>
          <w:tab w:val="num" w:pos="454"/>
        </w:tabs>
        <w:ind w:left="454" w:hanging="454"/>
      </w:pPr>
    </w:lvl>
  </w:abstractNum>
  <w:abstractNum w:abstractNumId="27">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8">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031D2E2D"/>
    <w:multiLevelType w:val="singleLevel"/>
    <w:tmpl w:val="5FC2FA3A"/>
    <w:lvl w:ilvl="0">
      <w:start w:val="1"/>
      <w:numFmt w:val="lowerLetter"/>
      <w:lvlText w:val="%1)"/>
      <w:lvlJc w:val="left"/>
      <w:pPr>
        <w:tabs>
          <w:tab w:val="num" w:pos="644"/>
        </w:tabs>
        <w:ind w:left="644" w:hanging="360"/>
      </w:pPr>
      <w:rPr>
        <w:rFonts w:hint="default"/>
        <w:i/>
      </w:rPr>
    </w:lvl>
  </w:abstractNum>
  <w:abstractNum w:abstractNumId="30">
    <w:nsid w:val="032E36BB"/>
    <w:multiLevelType w:val="singleLevel"/>
    <w:tmpl w:val="F4FAD6C6"/>
    <w:lvl w:ilvl="0">
      <w:start w:val="264"/>
      <w:numFmt w:val="decimal"/>
      <w:lvlText w:val="%1."/>
      <w:lvlJc w:val="left"/>
      <w:pPr>
        <w:tabs>
          <w:tab w:val="num" w:pos="454"/>
        </w:tabs>
        <w:ind w:left="454" w:hanging="454"/>
      </w:pPr>
    </w:lvl>
  </w:abstractNum>
  <w:abstractNum w:abstractNumId="31">
    <w:nsid w:val="032E3A2A"/>
    <w:multiLevelType w:val="singleLevel"/>
    <w:tmpl w:val="95B49D1E"/>
    <w:lvl w:ilvl="0">
      <w:start w:val="633"/>
      <w:numFmt w:val="decimal"/>
      <w:lvlText w:val="%1."/>
      <w:lvlJc w:val="left"/>
      <w:pPr>
        <w:tabs>
          <w:tab w:val="num" w:pos="454"/>
        </w:tabs>
        <w:ind w:left="454" w:hanging="454"/>
      </w:pPr>
    </w:lvl>
  </w:abstractNum>
  <w:abstractNum w:abstractNumId="32">
    <w:nsid w:val="03700F96"/>
    <w:multiLevelType w:val="hybridMultilevel"/>
    <w:tmpl w:val="5E52FB4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
    <w:nsid w:val="03713662"/>
    <w:multiLevelType w:val="singleLevel"/>
    <w:tmpl w:val="274A8C8A"/>
    <w:lvl w:ilvl="0">
      <w:start w:val="625"/>
      <w:numFmt w:val="decimal"/>
      <w:lvlText w:val="%1."/>
      <w:lvlJc w:val="left"/>
      <w:pPr>
        <w:tabs>
          <w:tab w:val="num" w:pos="454"/>
        </w:tabs>
        <w:ind w:left="454" w:hanging="454"/>
      </w:pPr>
    </w:lvl>
  </w:abstractNum>
  <w:abstractNum w:abstractNumId="34">
    <w:nsid w:val="03853970"/>
    <w:multiLevelType w:val="singleLevel"/>
    <w:tmpl w:val="678E4400"/>
    <w:lvl w:ilvl="0">
      <w:start w:val="745"/>
      <w:numFmt w:val="decimal"/>
      <w:lvlText w:val="%1."/>
      <w:lvlJc w:val="left"/>
      <w:pPr>
        <w:tabs>
          <w:tab w:val="num" w:pos="454"/>
        </w:tabs>
        <w:ind w:left="454" w:hanging="454"/>
      </w:pPr>
    </w:lvl>
  </w:abstractNum>
  <w:abstractNum w:abstractNumId="35">
    <w:nsid w:val="03987E8B"/>
    <w:multiLevelType w:val="singleLevel"/>
    <w:tmpl w:val="1480B658"/>
    <w:lvl w:ilvl="0">
      <w:start w:val="639"/>
      <w:numFmt w:val="decimal"/>
      <w:lvlText w:val="%1."/>
      <w:lvlJc w:val="left"/>
      <w:pPr>
        <w:tabs>
          <w:tab w:val="num" w:pos="454"/>
        </w:tabs>
        <w:ind w:left="454" w:hanging="454"/>
      </w:pPr>
    </w:lvl>
  </w:abstractNum>
  <w:abstractNum w:abstractNumId="36">
    <w:nsid w:val="03BC7EB2"/>
    <w:multiLevelType w:val="singleLevel"/>
    <w:tmpl w:val="EA2676C0"/>
    <w:lvl w:ilvl="0">
      <w:start w:val="418"/>
      <w:numFmt w:val="decimal"/>
      <w:lvlText w:val="%1."/>
      <w:lvlJc w:val="left"/>
      <w:pPr>
        <w:tabs>
          <w:tab w:val="num" w:pos="454"/>
        </w:tabs>
        <w:ind w:left="454" w:hanging="454"/>
      </w:pPr>
    </w:lvl>
  </w:abstractNum>
  <w:abstractNum w:abstractNumId="37">
    <w:nsid w:val="03D4033C"/>
    <w:multiLevelType w:val="singleLevel"/>
    <w:tmpl w:val="C63C8B5E"/>
    <w:lvl w:ilvl="0">
      <w:start w:val="329"/>
      <w:numFmt w:val="decimal"/>
      <w:lvlText w:val="%1."/>
      <w:lvlJc w:val="left"/>
      <w:pPr>
        <w:tabs>
          <w:tab w:val="num" w:pos="454"/>
        </w:tabs>
        <w:ind w:left="454" w:hanging="454"/>
      </w:pPr>
    </w:lvl>
  </w:abstractNum>
  <w:abstractNum w:abstractNumId="38">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03F21931"/>
    <w:multiLevelType w:val="hybridMultilevel"/>
    <w:tmpl w:val="2EEEC73E"/>
    <w:lvl w:ilvl="0" w:tplc="6CD22D6C">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04056696"/>
    <w:multiLevelType w:val="singleLevel"/>
    <w:tmpl w:val="2F12106E"/>
    <w:lvl w:ilvl="0">
      <w:start w:val="1"/>
      <w:numFmt w:val="decimal"/>
      <w:lvlText w:val="%1."/>
      <w:legacy w:legacy="1" w:legacySpace="0" w:legacyIndent="283"/>
      <w:lvlJc w:val="left"/>
      <w:pPr>
        <w:ind w:left="283" w:hanging="283"/>
      </w:pPr>
      <w:rPr>
        <w:b w:val="0"/>
        <w:i w:val="0"/>
        <w:sz w:val="22"/>
        <w:szCs w:val="22"/>
      </w:rPr>
    </w:lvl>
  </w:abstractNum>
  <w:abstractNum w:abstractNumId="41">
    <w:nsid w:val="04234F99"/>
    <w:multiLevelType w:val="hybridMultilevel"/>
    <w:tmpl w:val="C7687C02"/>
    <w:lvl w:ilvl="0" w:tplc="41105B9E">
      <w:start w:val="1"/>
      <w:numFmt w:val="bullet"/>
      <w:lvlText w:val=""/>
      <w:lvlJc w:val="left"/>
      <w:pPr>
        <w:tabs>
          <w:tab w:val="num" w:pos="786"/>
        </w:tabs>
        <w:ind w:left="783" w:hanging="357"/>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nsid w:val="04670C6C"/>
    <w:multiLevelType w:val="hybridMultilevel"/>
    <w:tmpl w:val="9CCE1B48"/>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04795457"/>
    <w:multiLevelType w:val="singleLevel"/>
    <w:tmpl w:val="0028796E"/>
    <w:lvl w:ilvl="0">
      <w:start w:val="329"/>
      <w:numFmt w:val="decimal"/>
      <w:lvlText w:val="%1."/>
      <w:lvlJc w:val="left"/>
      <w:pPr>
        <w:tabs>
          <w:tab w:val="num" w:pos="454"/>
        </w:tabs>
        <w:ind w:left="454" w:hanging="454"/>
      </w:pPr>
    </w:lvl>
  </w:abstractNum>
  <w:abstractNum w:abstractNumId="44">
    <w:nsid w:val="04A97A3C"/>
    <w:multiLevelType w:val="singleLevel"/>
    <w:tmpl w:val="4DBC99FC"/>
    <w:lvl w:ilvl="0">
      <w:start w:val="1"/>
      <w:numFmt w:val="lowerLetter"/>
      <w:lvlText w:val="%1)"/>
      <w:lvlJc w:val="left"/>
      <w:pPr>
        <w:tabs>
          <w:tab w:val="num" w:pos="786"/>
        </w:tabs>
        <w:ind w:left="786" w:hanging="360"/>
      </w:pPr>
      <w:rPr>
        <w:rFonts w:hint="default"/>
      </w:rPr>
    </w:lvl>
  </w:abstractNum>
  <w:abstractNum w:abstractNumId="45">
    <w:nsid w:val="04DE7373"/>
    <w:multiLevelType w:val="singleLevel"/>
    <w:tmpl w:val="EB28EC6C"/>
    <w:lvl w:ilvl="0">
      <w:start w:val="623"/>
      <w:numFmt w:val="decimal"/>
      <w:lvlText w:val="%1."/>
      <w:lvlJc w:val="left"/>
      <w:pPr>
        <w:tabs>
          <w:tab w:val="num" w:pos="454"/>
        </w:tabs>
        <w:ind w:left="454" w:hanging="454"/>
      </w:pPr>
    </w:lvl>
  </w:abstractNum>
  <w:abstractNum w:abstractNumId="46">
    <w:nsid w:val="054A06B9"/>
    <w:multiLevelType w:val="hybridMultilevel"/>
    <w:tmpl w:val="51243BD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5567697"/>
    <w:multiLevelType w:val="singleLevel"/>
    <w:tmpl w:val="8D7AF57A"/>
    <w:lvl w:ilvl="0">
      <w:start w:val="287"/>
      <w:numFmt w:val="decimal"/>
      <w:lvlText w:val="%1."/>
      <w:lvlJc w:val="left"/>
      <w:pPr>
        <w:tabs>
          <w:tab w:val="num" w:pos="454"/>
        </w:tabs>
        <w:ind w:left="454" w:hanging="454"/>
      </w:pPr>
    </w:lvl>
  </w:abstractNum>
  <w:abstractNum w:abstractNumId="48">
    <w:nsid w:val="05A40A6D"/>
    <w:multiLevelType w:val="singleLevel"/>
    <w:tmpl w:val="FF3C46C2"/>
    <w:lvl w:ilvl="0">
      <w:start w:val="665"/>
      <w:numFmt w:val="decimal"/>
      <w:lvlText w:val="%1."/>
      <w:lvlJc w:val="left"/>
      <w:pPr>
        <w:tabs>
          <w:tab w:val="num" w:pos="454"/>
        </w:tabs>
        <w:ind w:left="454" w:hanging="454"/>
      </w:pPr>
    </w:lvl>
  </w:abstractNum>
  <w:abstractNum w:abstractNumId="49">
    <w:nsid w:val="05C34937"/>
    <w:multiLevelType w:val="singleLevel"/>
    <w:tmpl w:val="4A28783C"/>
    <w:lvl w:ilvl="0">
      <w:start w:val="493"/>
      <w:numFmt w:val="decimal"/>
      <w:lvlText w:val="%1."/>
      <w:lvlJc w:val="left"/>
      <w:pPr>
        <w:tabs>
          <w:tab w:val="num" w:pos="454"/>
        </w:tabs>
        <w:ind w:left="454" w:hanging="454"/>
      </w:pPr>
    </w:lvl>
  </w:abstractNum>
  <w:abstractNum w:abstractNumId="50">
    <w:nsid w:val="05DB6557"/>
    <w:multiLevelType w:val="hybridMultilevel"/>
    <w:tmpl w:val="0538746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5EC4DEE"/>
    <w:multiLevelType w:val="singleLevel"/>
    <w:tmpl w:val="0405000F"/>
    <w:lvl w:ilvl="0">
      <w:start w:val="1"/>
      <w:numFmt w:val="decimal"/>
      <w:lvlText w:val="%1."/>
      <w:lvlJc w:val="left"/>
      <w:pPr>
        <w:tabs>
          <w:tab w:val="num" w:pos="360"/>
        </w:tabs>
        <w:ind w:left="360" w:hanging="360"/>
      </w:pPr>
    </w:lvl>
  </w:abstractNum>
  <w:abstractNum w:abstractNumId="52">
    <w:nsid w:val="0647134A"/>
    <w:multiLevelType w:val="singleLevel"/>
    <w:tmpl w:val="4F26BE0E"/>
    <w:lvl w:ilvl="0">
      <w:start w:val="3"/>
      <w:numFmt w:val="bullet"/>
      <w:lvlText w:val="-"/>
      <w:lvlJc w:val="left"/>
      <w:pPr>
        <w:tabs>
          <w:tab w:val="num" w:pos="420"/>
        </w:tabs>
        <w:ind w:left="420" w:hanging="360"/>
      </w:pPr>
      <w:rPr>
        <w:rFonts w:hint="default"/>
      </w:rPr>
    </w:lvl>
  </w:abstractNum>
  <w:abstractNum w:abstractNumId="53">
    <w:nsid w:val="06483770"/>
    <w:multiLevelType w:val="singleLevel"/>
    <w:tmpl w:val="0405000F"/>
    <w:lvl w:ilvl="0">
      <w:start w:val="1"/>
      <w:numFmt w:val="decimal"/>
      <w:lvlText w:val="%1."/>
      <w:lvlJc w:val="left"/>
      <w:pPr>
        <w:tabs>
          <w:tab w:val="num" w:pos="360"/>
        </w:tabs>
        <w:ind w:left="360" w:hanging="360"/>
      </w:pPr>
    </w:lvl>
  </w:abstractNum>
  <w:abstractNum w:abstractNumId="54">
    <w:nsid w:val="065820F5"/>
    <w:multiLevelType w:val="hybridMultilevel"/>
    <w:tmpl w:val="1974F704"/>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06A35AC6"/>
    <w:multiLevelType w:val="singleLevel"/>
    <w:tmpl w:val="981C18D8"/>
    <w:lvl w:ilvl="0">
      <w:start w:val="733"/>
      <w:numFmt w:val="decimal"/>
      <w:lvlText w:val="%1."/>
      <w:lvlJc w:val="left"/>
      <w:pPr>
        <w:tabs>
          <w:tab w:val="num" w:pos="454"/>
        </w:tabs>
        <w:ind w:left="454" w:hanging="454"/>
      </w:pPr>
    </w:lvl>
  </w:abstractNum>
  <w:abstractNum w:abstractNumId="56">
    <w:nsid w:val="06F62DF2"/>
    <w:multiLevelType w:val="singleLevel"/>
    <w:tmpl w:val="04050017"/>
    <w:lvl w:ilvl="0">
      <w:start w:val="1"/>
      <w:numFmt w:val="lowerLetter"/>
      <w:lvlText w:val="%1)"/>
      <w:lvlJc w:val="left"/>
      <w:pPr>
        <w:tabs>
          <w:tab w:val="num" w:pos="360"/>
        </w:tabs>
        <w:ind w:left="360" w:hanging="360"/>
      </w:pPr>
    </w:lvl>
  </w:abstractNum>
  <w:abstractNum w:abstractNumId="57">
    <w:nsid w:val="071971C6"/>
    <w:multiLevelType w:val="singleLevel"/>
    <w:tmpl w:val="2FC62D8E"/>
    <w:lvl w:ilvl="0">
      <w:start w:val="73"/>
      <w:numFmt w:val="decimal"/>
      <w:lvlText w:val="%1."/>
      <w:lvlJc w:val="left"/>
      <w:pPr>
        <w:tabs>
          <w:tab w:val="num" w:pos="454"/>
        </w:tabs>
        <w:ind w:left="454" w:hanging="454"/>
      </w:pPr>
      <w:rPr>
        <w:b w:val="0"/>
        <w:i w:val="0"/>
        <w:sz w:val="24"/>
        <w:szCs w:val="24"/>
      </w:rPr>
    </w:lvl>
  </w:abstractNum>
  <w:abstractNum w:abstractNumId="58">
    <w:nsid w:val="07381D6C"/>
    <w:multiLevelType w:val="singleLevel"/>
    <w:tmpl w:val="AEC07E26"/>
    <w:lvl w:ilvl="0">
      <w:start w:val="195"/>
      <w:numFmt w:val="decimal"/>
      <w:lvlText w:val="%1."/>
      <w:lvlJc w:val="left"/>
      <w:pPr>
        <w:tabs>
          <w:tab w:val="num" w:pos="454"/>
        </w:tabs>
        <w:ind w:left="454" w:hanging="454"/>
      </w:pPr>
    </w:lvl>
  </w:abstractNum>
  <w:abstractNum w:abstractNumId="59">
    <w:nsid w:val="07B26D5C"/>
    <w:multiLevelType w:val="singleLevel"/>
    <w:tmpl w:val="C3DE9F70"/>
    <w:lvl w:ilvl="0">
      <w:start w:val="103"/>
      <w:numFmt w:val="decimal"/>
      <w:lvlText w:val="%1."/>
      <w:lvlJc w:val="left"/>
      <w:pPr>
        <w:tabs>
          <w:tab w:val="num" w:pos="454"/>
        </w:tabs>
        <w:ind w:left="454" w:hanging="454"/>
      </w:pPr>
    </w:lvl>
  </w:abstractNum>
  <w:abstractNum w:abstractNumId="60">
    <w:nsid w:val="08140734"/>
    <w:multiLevelType w:val="singleLevel"/>
    <w:tmpl w:val="E67A7C90"/>
    <w:lvl w:ilvl="0">
      <w:start w:val="122"/>
      <w:numFmt w:val="decimal"/>
      <w:lvlText w:val="%1."/>
      <w:lvlJc w:val="left"/>
      <w:pPr>
        <w:tabs>
          <w:tab w:val="num" w:pos="454"/>
        </w:tabs>
        <w:ind w:left="454" w:hanging="454"/>
      </w:pPr>
      <w:rPr>
        <w:b w:val="0"/>
        <w:i w:val="0"/>
        <w:sz w:val="24"/>
        <w:szCs w:val="24"/>
      </w:rPr>
    </w:lvl>
  </w:abstractNum>
  <w:abstractNum w:abstractNumId="61">
    <w:nsid w:val="08461B19"/>
    <w:multiLevelType w:val="singleLevel"/>
    <w:tmpl w:val="7492A470"/>
    <w:lvl w:ilvl="0">
      <w:start w:val="239"/>
      <w:numFmt w:val="decimal"/>
      <w:lvlText w:val="%1."/>
      <w:lvlJc w:val="left"/>
      <w:pPr>
        <w:tabs>
          <w:tab w:val="num" w:pos="454"/>
        </w:tabs>
        <w:ind w:left="454" w:hanging="454"/>
      </w:pPr>
    </w:lvl>
  </w:abstractNum>
  <w:abstractNum w:abstractNumId="62">
    <w:nsid w:val="08485300"/>
    <w:multiLevelType w:val="singleLevel"/>
    <w:tmpl w:val="5BC2BBD2"/>
    <w:lvl w:ilvl="0">
      <w:start w:val="72"/>
      <w:numFmt w:val="decimal"/>
      <w:lvlText w:val="%1."/>
      <w:lvlJc w:val="left"/>
      <w:pPr>
        <w:tabs>
          <w:tab w:val="num" w:pos="360"/>
        </w:tabs>
        <w:ind w:left="357" w:hanging="357"/>
      </w:pPr>
    </w:lvl>
  </w:abstractNum>
  <w:abstractNum w:abstractNumId="63">
    <w:nsid w:val="08CE72D2"/>
    <w:multiLevelType w:val="singleLevel"/>
    <w:tmpl w:val="0409000F"/>
    <w:lvl w:ilvl="0">
      <w:start w:val="1"/>
      <w:numFmt w:val="decimal"/>
      <w:lvlText w:val="%1."/>
      <w:lvlJc w:val="left"/>
      <w:pPr>
        <w:tabs>
          <w:tab w:val="num" w:pos="360"/>
        </w:tabs>
        <w:ind w:left="360" w:hanging="360"/>
      </w:pPr>
    </w:lvl>
  </w:abstractNum>
  <w:abstractNum w:abstractNumId="64">
    <w:nsid w:val="08ED0EE2"/>
    <w:multiLevelType w:val="singleLevel"/>
    <w:tmpl w:val="0405000F"/>
    <w:lvl w:ilvl="0">
      <w:start w:val="1"/>
      <w:numFmt w:val="decimal"/>
      <w:lvlText w:val="%1."/>
      <w:lvlJc w:val="left"/>
      <w:pPr>
        <w:tabs>
          <w:tab w:val="num" w:pos="360"/>
        </w:tabs>
        <w:ind w:left="360" w:hanging="360"/>
      </w:pPr>
    </w:lvl>
  </w:abstractNum>
  <w:abstractNum w:abstractNumId="65">
    <w:nsid w:val="08F70C4C"/>
    <w:multiLevelType w:val="singleLevel"/>
    <w:tmpl w:val="E01C4860"/>
    <w:lvl w:ilvl="0">
      <w:start w:val="2"/>
      <w:numFmt w:val="lowerLetter"/>
      <w:lvlText w:val="(%1) "/>
      <w:legacy w:legacy="1" w:legacySpace="0" w:legacyIndent="283"/>
      <w:lvlJc w:val="left"/>
      <w:pPr>
        <w:ind w:left="283" w:hanging="283"/>
      </w:pPr>
      <w:rPr>
        <w:rFonts w:ascii="Times New Roman" w:hAnsi="Times New Roman" w:cs="Times New Roman" w:hint="default"/>
        <w:b/>
        <w:i w:val="0"/>
        <w:sz w:val="24"/>
        <w:szCs w:val="24"/>
        <w:u w:val="none"/>
      </w:rPr>
    </w:lvl>
  </w:abstractNum>
  <w:abstractNum w:abstractNumId="66">
    <w:nsid w:val="08FF521C"/>
    <w:multiLevelType w:val="singleLevel"/>
    <w:tmpl w:val="7FE26AD6"/>
    <w:lvl w:ilvl="0">
      <w:start w:val="526"/>
      <w:numFmt w:val="decimal"/>
      <w:lvlText w:val="%1."/>
      <w:lvlJc w:val="left"/>
      <w:pPr>
        <w:tabs>
          <w:tab w:val="num" w:pos="454"/>
        </w:tabs>
        <w:ind w:left="454" w:hanging="454"/>
      </w:pPr>
    </w:lvl>
  </w:abstractNum>
  <w:abstractNum w:abstractNumId="67">
    <w:nsid w:val="09110898"/>
    <w:multiLevelType w:val="hybridMultilevel"/>
    <w:tmpl w:val="9FDEAB72"/>
    <w:lvl w:ilvl="0" w:tplc="B99412A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69">
    <w:nsid w:val="0922119C"/>
    <w:multiLevelType w:val="singleLevel"/>
    <w:tmpl w:val="7A300DD0"/>
    <w:lvl w:ilvl="0">
      <w:start w:val="23"/>
      <w:numFmt w:val="bullet"/>
      <w:lvlText w:val="-"/>
      <w:lvlJc w:val="left"/>
      <w:pPr>
        <w:tabs>
          <w:tab w:val="num" w:pos="1080"/>
        </w:tabs>
        <w:ind w:left="1080" w:hanging="360"/>
      </w:pPr>
      <w:rPr>
        <w:rFonts w:ascii="Times New Roman" w:hAnsi="Times New Roman" w:cs="Times New Roman" w:hint="default"/>
      </w:rPr>
    </w:lvl>
  </w:abstractNum>
  <w:abstractNum w:abstractNumId="70">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71">
    <w:nsid w:val="095D5538"/>
    <w:multiLevelType w:val="singleLevel"/>
    <w:tmpl w:val="F5A20F0E"/>
    <w:lvl w:ilvl="0">
      <w:start w:val="597"/>
      <w:numFmt w:val="decimal"/>
      <w:lvlText w:val="%1."/>
      <w:lvlJc w:val="left"/>
      <w:pPr>
        <w:tabs>
          <w:tab w:val="num" w:pos="454"/>
        </w:tabs>
        <w:ind w:left="454" w:hanging="454"/>
      </w:pPr>
    </w:lvl>
  </w:abstractNum>
  <w:abstractNum w:abstractNumId="72">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096933BC"/>
    <w:multiLevelType w:val="singleLevel"/>
    <w:tmpl w:val="6D921D4A"/>
    <w:lvl w:ilvl="0">
      <w:start w:val="425"/>
      <w:numFmt w:val="decimal"/>
      <w:lvlText w:val="%1."/>
      <w:lvlJc w:val="left"/>
      <w:pPr>
        <w:tabs>
          <w:tab w:val="num" w:pos="454"/>
        </w:tabs>
        <w:ind w:left="454" w:hanging="454"/>
      </w:pPr>
    </w:lvl>
  </w:abstractNum>
  <w:abstractNum w:abstractNumId="74">
    <w:nsid w:val="09A24EA2"/>
    <w:multiLevelType w:val="hybridMultilevel"/>
    <w:tmpl w:val="D8247FE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09AC34FA"/>
    <w:multiLevelType w:val="singleLevel"/>
    <w:tmpl w:val="2B62D26C"/>
    <w:lvl w:ilvl="0">
      <w:start w:val="364"/>
      <w:numFmt w:val="decimal"/>
      <w:lvlText w:val="%1."/>
      <w:lvlJc w:val="left"/>
      <w:pPr>
        <w:tabs>
          <w:tab w:val="num" w:pos="454"/>
        </w:tabs>
        <w:ind w:left="454" w:hanging="454"/>
      </w:pPr>
    </w:lvl>
  </w:abstractNum>
  <w:abstractNum w:abstractNumId="76">
    <w:nsid w:val="09B92F70"/>
    <w:multiLevelType w:val="singleLevel"/>
    <w:tmpl w:val="0C09000F"/>
    <w:lvl w:ilvl="0">
      <w:start w:val="1"/>
      <w:numFmt w:val="decimal"/>
      <w:lvlText w:val="%1."/>
      <w:lvlJc w:val="left"/>
      <w:pPr>
        <w:tabs>
          <w:tab w:val="num" w:pos="360"/>
        </w:tabs>
        <w:ind w:left="360" w:hanging="360"/>
      </w:pPr>
      <w:rPr>
        <w:rFonts w:hint="default"/>
      </w:rPr>
    </w:lvl>
  </w:abstractNum>
  <w:abstractNum w:abstractNumId="77">
    <w:nsid w:val="09CA2EB7"/>
    <w:multiLevelType w:val="singleLevel"/>
    <w:tmpl w:val="B090FB0E"/>
    <w:lvl w:ilvl="0">
      <w:start w:val="619"/>
      <w:numFmt w:val="decimal"/>
      <w:lvlText w:val="%1."/>
      <w:lvlJc w:val="left"/>
      <w:pPr>
        <w:tabs>
          <w:tab w:val="num" w:pos="454"/>
        </w:tabs>
        <w:ind w:left="454" w:hanging="454"/>
      </w:pPr>
    </w:lvl>
  </w:abstractNum>
  <w:abstractNum w:abstractNumId="78">
    <w:nsid w:val="09E0179C"/>
    <w:multiLevelType w:val="hybridMultilevel"/>
    <w:tmpl w:val="024A350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9">
    <w:nsid w:val="0A016B48"/>
    <w:multiLevelType w:val="hybridMultilevel"/>
    <w:tmpl w:val="DD0832DE"/>
    <w:lvl w:ilvl="0" w:tplc="0B728BD6">
      <w:start w:val="1"/>
      <w:numFmt w:val="decimal"/>
      <w:lvlRestart w:val="0"/>
      <w:lvlText w:val="(%1)"/>
      <w:lvlJc w:val="right"/>
      <w:pPr>
        <w:tabs>
          <w:tab w:val="num" w:pos="1531"/>
        </w:tabs>
        <w:ind w:left="1531" w:hanging="227"/>
      </w:pPr>
      <w:rPr>
        <w:rFonts w:ascii="Times New Roman" w:hAnsi="Times New Roman" w:hint="eastAsia"/>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0A1B5888"/>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81">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0A353262"/>
    <w:multiLevelType w:val="hybridMultilevel"/>
    <w:tmpl w:val="25B4F23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0A5341A7"/>
    <w:multiLevelType w:val="singleLevel"/>
    <w:tmpl w:val="602ABE54"/>
    <w:lvl w:ilvl="0">
      <w:start w:val="150"/>
      <w:numFmt w:val="decimal"/>
      <w:lvlText w:val="%1."/>
      <w:lvlJc w:val="left"/>
      <w:pPr>
        <w:tabs>
          <w:tab w:val="num" w:pos="454"/>
        </w:tabs>
        <w:ind w:left="454" w:hanging="454"/>
      </w:pPr>
      <w:rPr>
        <w:b w:val="0"/>
        <w:i w:val="0"/>
        <w:sz w:val="24"/>
        <w:szCs w:val="24"/>
      </w:rPr>
    </w:lvl>
  </w:abstractNum>
  <w:abstractNum w:abstractNumId="84">
    <w:nsid w:val="0A807F2F"/>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85">
    <w:nsid w:val="0AC26C62"/>
    <w:multiLevelType w:val="singleLevel"/>
    <w:tmpl w:val="561E0F3E"/>
    <w:lvl w:ilvl="0">
      <w:start w:val="1"/>
      <w:numFmt w:val="decimal"/>
      <w:lvlText w:val="%1."/>
      <w:lvlJc w:val="left"/>
      <w:pPr>
        <w:tabs>
          <w:tab w:val="num" w:pos="720"/>
        </w:tabs>
        <w:ind w:left="720" w:hanging="720"/>
      </w:pPr>
    </w:lvl>
  </w:abstractNum>
  <w:abstractNum w:abstractNumId="86">
    <w:nsid w:val="0B160F02"/>
    <w:multiLevelType w:val="singleLevel"/>
    <w:tmpl w:val="09B60138"/>
    <w:lvl w:ilvl="0">
      <w:start w:val="554"/>
      <w:numFmt w:val="decimal"/>
      <w:lvlText w:val="%1."/>
      <w:lvlJc w:val="left"/>
      <w:pPr>
        <w:tabs>
          <w:tab w:val="num" w:pos="454"/>
        </w:tabs>
        <w:ind w:left="454" w:hanging="454"/>
      </w:pPr>
    </w:lvl>
  </w:abstractNum>
  <w:abstractNum w:abstractNumId="87">
    <w:nsid w:val="0B294FA5"/>
    <w:multiLevelType w:val="hybridMultilevel"/>
    <w:tmpl w:val="6C14ADAC"/>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0BAC698D"/>
    <w:multiLevelType w:val="singleLevel"/>
    <w:tmpl w:val="BF6A010A"/>
    <w:lvl w:ilvl="0">
      <w:start w:val="344"/>
      <w:numFmt w:val="decimal"/>
      <w:lvlText w:val="%1."/>
      <w:lvlJc w:val="left"/>
      <w:pPr>
        <w:tabs>
          <w:tab w:val="num" w:pos="454"/>
        </w:tabs>
        <w:ind w:left="454" w:hanging="454"/>
      </w:pPr>
    </w:lvl>
  </w:abstractNum>
  <w:abstractNum w:abstractNumId="90">
    <w:nsid w:val="0BCC5143"/>
    <w:multiLevelType w:val="hybridMultilevel"/>
    <w:tmpl w:val="7D3E4914"/>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0C1B16BB"/>
    <w:multiLevelType w:val="singleLevel"/>
    <w:tmpl w:val="B1885542"/>
    <w:lvl w:ilvl="0">
      <w:start w:val="230"/>
      <w:numFmt w:val="decimal"/>
      <w:lvlText w:val="%1."/>
      <w:lvlJc w:val="left"/>
      <w:pPr>
        <w:tabs>
          <w:tab w:val="num" w:pos="454"/>
        </w:tabs>
        <w:ind w:left="454" w:hanging="454"/>
      </w:pPr>
    </w:lvl>
  </w:abstractNum>
  <w:abstractNum w:abstractNumId="9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0C6D7112"/>
    <w:multiLevelType w:val="singleLevel"/>
    <w:tmpl w:val="06566C4E"/>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94">
    <w:nsid w:val="0CA6651D"/>
    <w:multiLevelType w:val="singleLevel"/>
    <w:tmpl w:val="0405000F"/>
    <w:lvl w:ilvl="0">
      <w:start w:val="1"/>
      <w:numFmt w:val="decimal"/>
      <w:lvlText w:val="%1."/>
      <w:lvlJc w:val="left"/>
      <w:pPr>
        <w:tabs>
          <w:tab w:val="num" w:pos="360"/>
        </w:tabs>
        <w:ind w:left="360" w:hanging="360"/>
      </w:pPr>
    </w:lvl>
  </w:abstractNum>
  <w:abstractNum w:abstractNumId="95">
    <w:nsid w:val="0CD5699A"/>
    <w:multiLevelType w:val="singleLevel"/>
    <w:tmpl w:val="3740EC90"/>
    <w:lvl w:ilvl="0">
      <w:start w:val="440"/>
      <w:numFmt w:val="decimal"/>
      <w:lvlText w:val="%1."/>
      <w:lvlJc w:val="left"/>
      <w:pPr>
        <w:tabs>
          <w:tab w:val="num" w:pos="454"/>
        </w:tabs>
        <w:ind w:left="454" w:hanging="454"/>
      </w:pPr>
    </w:lvl>
  </w:abstractNum>
  <w:abstractNum w:abstractNumId="96">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7">
    <w:nsid w:val="0D5F151C"/>
    <w:multiLevelType w:val="singleLevel"/>
    <w:tmpl w:val="4F26BE0E"/>
    <w:lvl w:ilvl="0">
      <w:start w:val="3"/>
      <w:numFmt w:val="bullet"/>
      <w:lvlText w:val="-"/>
      <w:lvlJc w:val="left"/>
      <w:pPr>
        <w:tabs>
          <w:tab w:val="num" w:pos="420"/>
        </w:tabs>
        <w:ind w:left="420" w:hanging="360"/>
      </w:pPr>
      <w:rPr>
        <w:rFonts w:hint="default"/>
      </w:rPr>
    </w:lvl>
  </w:abstractNum>
  <w:abstractNum w:abstractNumId="98">
    <w:nsid w:val="0D750289"/>
    <w:multiLevelType w:val="singleLevel"/>
    <w:tmpl w:val="90DE30A8"/>
    <w:lvl w:ilvl="0">
      <w:start w:val="412"/>
      <w:numFmt w:val="decimal"/>
      <w:lvlText w:val="%1."/>
      <w:lvlJc w:val="left"/>
      <w:pPr>
        <w:tabs>
          <w:tab w:val="num" w:pos="454"/>
        </w:tabs>
        <w:ind w:left="454" w:hanging="454"/>
      </w:pPr>
    </w:lvl>
  </w:abstractNum>
  <w:abstractNum w:abstractNumId="99">
    <w:nsid w:val="0D8F6574"/>
    <w:multiLevelType w:val="singleLevel"/>
    <w:tmpl w:val="04050017"/>
    <w:lvl w:ilvl="0">
      <w:start w:val="1"/>
      <w:numFmt w:val="lowerLetter"/>
      <w:lvlText w:val="%1)"/>
      <w:lvlJc w:val="left"/>
      <w:pPr>
        <w:tabs>
          <w:tab w:val="num" w:pos="360"/>
        </w:tabs>
        <w:ind w:left="360" w:hanging="360"/>
      </w:pPr>
      <w:rPr>
        <w:rFonts w:hint="default"/>
      </w:rPr>
    </w:lvl>
  </w:abstractNum>
  <w:abstractNum w:abstractNumId="100">
    <w:nsid w:val="0DAC2F2E"/>
    <w:multiLevelType w:val="hybridMultilevel"/>
    <w:tmpl w:val="4C3AD816"/>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2">
    <w:nsid w:val="0DC606BB"/>
    <w:multiLevelType w:val="singleLevel"/>
    <w:tmpl w:val="332438E6"/>
    <w:lvl w:ilvl="0">
      <w:start w:val="118"/>
      <w:numFmt w:val="decimal"/>
      <w:lvlText w:val="%1."/>
      <w:lvlJc w:val="left"/>
      <w:pPr>
        <w:tabs>
          <w:tab w:val="num" w:pos="454"/>
        </w:tabs>
        <w:ind w:left="454" w:hanging="454"/>
      </w:pPr>
      <w:rPr>
        <w:b w:val="0"/>
        <w:i w:val="0"/>
        <w:sz w:val="24"/>
        <w:szCs w:val="24"/>
      </w:rPr>
    </w:lvl>
  </w:abstractNum>
  <w:abstractNum w:abstractNumId="103">
    <w:nsid w:val="0DEB3504"/>
    <w:multiLevelType w:val="hybridMultilevel"/>
    <w:tmpl w:val="DC6248A2"/>
    <w:lvl w:ilvl="0" w:tplc="3EBE622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0E60277D"/>
    <w:multiLevelType w:val="singleLevel"/>
    <w:tmpl w:val="CBF03460"/>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105">
    <w:nsid w:val="0E6B4F80"/>
    <w:multiLevelType w:val="singleLevel"/>
    <w:tmpl w:val="B45241FC"/>
    <w:lvl w:ilvl="0">
      <w:start w:val="70"/>
      <w:numFmt w:val="decimal"/>
      <w:lvlText w:val="%1. "/>
      <w:lvlJc w:val="left"/>
      <w:pPr>
        <w:tabs>
          <w:tab w:val="num" w:pos="454"/>
        </w:tabs>
        <w:ind w:left="454" w:hanging="454"/>
      </w:pPr>
      <w:rPr>
        <w:b w:val="0"/>
        <w:i w:val="0"/>
        <w:sz w:val="24"/>
        <w:szCs w:val="24"/>
      </w:rPr>
    </w:lvl>
  </w:abstractNum>
  <w:abstractNum w:abstractNumId="106">
    <w:nsid w:val="0E8D61B9"/>
    <w:multiLevelType w:val="singleLevel"/>
    <w:tmpl w:val="8306FBEC"/>
    <w:lvl w:ilvl="0">
      <w:start w:val="591"/>
      <w:numFmt w:val="decimal"/>
      <w:lvlText w:val="%1."/>
      <w:lvlJc w:val="left"/>
      <w:pPr>
        <w:tabs>
          <w:tab w:val="num" w:pos="454"/>
        </w:tabs>
        <w:ind w:left="454" w:hanging="454"/>
      </w:pPr>
    </w:lvl>
  </w:abstractNum>
  <w:abstractNum w:abstractNumId="107">
    <w:nsid w:val="0E99308C"/>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108">
    <w:nsid w:val="0EF2002C"/>
    <w:multiLevelType w:val="hybridMultilevel"/>
    <w:tmpl w:val="AEA6A0C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0F834284"/>
    <w:multiLevelType w:val="singleLevel"/>
    <w:tmpl w:val="0B2257F8"/>
    <w:lvl w:ilvl="0">
      <w:start w:val="446"/>
      <w:numFmt w:val="decimal"/>
      <w:lvlText w:val="%1."/>
      <w:lvlJc w:val="left"/>
      <w:pPr>
        <w:tabs>
          <w:tab w:val="num" w:pos="454"/>
        </w:tabs>
        <w:ind w:left="454" w:hanging="454"/>
      </w:pPr>
    </w:lvl>
  </w:abstractNum>
  <w:abstractNum w:abstractNumId="1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1">
    <w:nsid w:val="0F956E70"/>
    <w:multiLevelType w:val="singleLevel"/>
    <w:tmpl w:val="CF72C79C"/>
    <w:lvl w:ilvl="0">
      <w:start w:val="497"/>
      <w:numFmt w:val="decimal"/>
      <w:lvlText w:val="%1."/>
      <w:lvlJc w:val="left"/>
      <w:pPr>
        <w:tabs>
          <w:tab w:val="num" w:pos="454"/>
        </w:tabs>
        <w:ind w:left="454" w:hanging="454"/>
      </w:pPr>
    </w:lvl>
  </w:abstractNum>
  <w:abstractNum w:abstractNumId="112">
    <w:nsid w:val="0F9E45C9"/>
    <w:multiLevelType w:val="singleLevel"/>
    <w:tmpl w:val="0405000F"/>
    <w:lvl w:ilvl="0">
      <w:start w:val="1"/>
      <w:numFmt w:val="decimal"/>
      <w:lvlText w:val="%1."/>
      <w:lvlJc w:val="left"/>
      <w:pPr>
        <w:tabs>
          <w:tab w:val="num" w:pos="360"/>
        </w:tabs>
        <w:ind w:left="360" w:hanging="360"/>
      </w:pPr>
    </w:lvl>
  </w:abstractNum>
  <w:abstractNum w:abstractNumId="113">
    <w:nsid w:val="0FA6096C"/>
    <w:multiLevelType w:val="singleLevel"/>
    <w:tmpl w:val="4548502C"/>
    <w:lvl w:ilvl="0">
      <w:start w:val="457"/>
      <w:numFmt w:val="decimal"/>
      <w:lvlText w:val="%1."/>
      <w:lvlJc w:val="left"/>
      <w:pPr>
        <w:tabs>
          <w:tab w:val="num" w:pos="454"/>
        </w:tabs>
        <w:ind w:left="454" w:hanging="454"/>
      </w:pPr>
    </w:lvl>
  </w:abstractNum>
  <w:abstractNum w:abstractNumId="114">
    <w:nsid w:val="0FAA2B7D"/>
    <w:multiLevelType w:val="singleLevel"/>
    <w:tmpl w:val="9B2A0C66"/>
    <w:lvl w:ilvl="0">
      <w:start w:val="418"/>
      <w:numFmt w:val="decimal"/>
      <w:lvlText w:val="%1."/>
      <w:lvlJc w:val="left"/>
      <w:pPr>
        <w:tabs>
          <w:tab w:val="num" w:pos="454"/>
        </w:tabs>
        <w:ind w:left="454" w:hanging="454"/>
      </w:pPr>
    </w:lvl>
  </w:abstractNum>
  <w:abstractNum w:abstractNumId="115">
    <w:nsid w:val="0FC6470E"/>
    <w:multiLevelType w:val="singleLevel"/>
    <w:tmpl w:val="D78A81FC"/>
    <w:lvl w:ilvl="0">
      <w:start w:val="561"/>
      <w:numFmt w:val="decimal"/>
      <w:lvlText w:val="%1."/>
      <w:lvlJc w:val="left"/>
      <w:pPr>
        <w:tabs>
          <w:tab w:val="num" w:pos="454"/>
        </w:tabs>
        <w:ind w:left="454" w:hanging="454"/>
      </w:pPr>
    </w:lvl>
  </w:abstractNum>
  <w:abstractNum w:abstractNumId="116">
    <w:nsid w:val="102503AE"/>
    <w:multiLevelType w:val="singleLevel"/>
    <w:tmpl w:val="04050017"/>
    <w:lvl w:ilvl="0">
      <w:start w:val="1"/>
      <w:numFmt w:val="lowerLetter"/>
      <w:lvlText w:val="%1)"/>
      <w:lvlJc w:val="left"/>
      <w:pPr>
        <w:tabs>
          <w:tab w:val="num" w:pos="360"/>
        </w:tabs>
        <w:ind w:left="360" w:hanging="360"/>
      </w:pPr>
    </w:lvl>
  </w:abstractNum>
  <w:abstractNum w:abstractNumId="117">
    <w:nsid w:val="10497DF5"/>
    <w:multiLevelType w:val="singleLevel"/>
    <w:tmpl w:val="489CF7C6"/>
    <w:lvl w:ilvl="0">
      <w:start w:val="1"/>
      <w:numFmt w:val="decimal"/>
      <w:lvlText w:val="%1."/>
      <w:legacy w:legacy="1" w:legacySpace="0" w:legacyIndent="283"/>
      <w:lvlJc w:val="left"/>
      <w:pPr>
        <w:ind w:left="283" w:hanging="283"/>
      </w:pPr>
    </w:lvl>
  </w:abstractNum>
  <w:abstractNum w:abstractNumId="118">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9">
    <w:nsid w:val="10C05220"/>
    <w:multiLevelType w:val="singleLevel"/>
    <w:tmpl w:val="9522B130"/>
    <w:lvl w:ilvl="0">
      <w:start w:val="1"/>
      <w:numFmt w:val="decimal"/>
      <w:lvlText w:val="%1."/>
      <w:legacy w:legacy="1" w:legacySpace="0" w:legacyIndent="360"/>
      <w:lvlJc w:val="left"/>
      <w:pPr>
        <w:ind w:left="360" w:hanging="360"/>
      </w:pPr>
    </w:lvl>
  </w:abstractNum>
  <w:abstractNum w:abstractNumId="120">
    <w:nsid w:val="10DF622E"/>
    <w:multiLevelType w:val="singleLevel"/>
    <w:tmpl w:val="5906B2E2"/>
    <w:lvl w:ilvl="0">
      <w:start w:val="502"/>
      <w:numFmt w:val="decimal"/>
      <w:lvlText w:val="%1."/>
      <w:lvlJc w:val="left"/>
      <w:pPr>
        <w:tabs>
          <w:tab w:val="num" w:pos="454"/>
        </w:tabs>
        <w:ind w:left="454" w:hanging="454"/>
      </w:pPr>
    </w:lvl>
  </w:abstractNum>
  <w:abstractNum w:abstractNumId="121">
    <w:nsid w:val="111F185F"/>
    <w:multiLevelType w:val="hybridMultilevel"/>
    <w:tmpl w:val="2FC88BE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115E6D73"/>
    <w:multiLevelType w:val="hybridMultilevel"/>
    <w:tmpl w:val="3272BF8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11784F46"/>
    <w:multiLevelType w:val="singleLevel"/>
    <w:tmpl w:val="E9D0941A"/>
    <w:lvl w:ilvl="0">
      <w:start w:val="431"/>
      <w:numFmt w:val="decimal"/>
      <w:lvlText w:val="%1."/>
      <w:lvlJc w:val="left"/>
      <w:pPr>
        <w:tabs>
          <w:tab w:val="num" w:pos="454"/>
        </w:tabs>
        <w:ind w:left="454" w:hanging="454"/>
      </w:pPr>
    </w:lvl>
  </w:abstractNum>
  <w:abstractNum w:abstractNumId="124">
    <w:nsid w:val="11D7135E"/>
    <w:multiLevelType w:val="hybridMultilevel"/>
    <w:tmpl w:val="868ADD6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6">
    <w:nsid w:val="125C112C"/>
    <w:multiLevelType w:val="singleLevel"/>
    <w:tmpl w:val="E5D0E762"/>
    <w:lvl w:ilvl="0">
      <w:start w:val="593"/>
      <w:numFmt w:val="decimal"/>
      <w:lvlText w:val="%1."/>
      <w:lvlJc w:val="left"/>
      <w:pPr>
        <w:tabs>
          <w:tab w:val="num" w:pos="454"/>
        </w:tabs>
        <w:ind w:left="454" w:hanging="454"/>
      </w:pPr>
    </w:lvl>
  </w:abstractNum>
  <w:abstractNum w:abstractNumId="127">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28">
    <w:nsid w:val="127D740F"/>
    <w:multiLevelType w:val="singleLevel"/>
    <w:tmpl w:val="F5ECF492"/>
    <w:lvl w:ilvl="0">
      <w:start w:val="359"/>
      <w:numFmt w:val="decimal"/>
      <w:lvlText w:val="%1."/>
      <w:lvlJc w:val="left"/>
      <w:pPr>
        <w:tabs>
          <w:tab w:val="num" w:pos="454"/>
        </w:tabs>
        <w:ind w:left="454" w:hanging="454"/>
      </w:pPr>
    </w:lvl>
  </w:abstractNum>
  <w:abstractNum w:abstractNumId="129">
    <w:nsid w:val="129F0D6D"/>
    <w:multiLevelType w:val="singleLevel"/>
    <w:tmpl w:val="8F0C5E68"/>
    <w:lvl w:ilvl="0">
      <w:start w:val="695"/>
      <w:numFmt w:val="decimal"/>
      <w:lvlText w:val="%1."/>
      <w:lvlJc w:val="left"/>
      <w:pPr>
        <w:tabs>
          <w:tab w:val="num" w:pos="454"/>
        </w:tabs>
        <w:ind w:left="454" w:hanging="454"/>
      </w:pPr>
    </w:lvl>
  </w:abstractNum>
  <w:abstractNum w:abstractNumId="130">
    <w:nsid w:val="129F0FC6"/>
    <w:multiLevelType w:val="singleLevel"/>
    <w:tmpl w:val="0405000F"/>
    <w:lvl w:ilvl="0">
      <w:start w:val="1"/>
      <w:numFmt w:val="decimal"/>
      <w:lvlText w:val="%1."/>
      <w:lvlJc w:val="left"/>
      <w:pPr>
        <w:tabs>
          <w:tab w:val="num" w:pos="360"/>
        </w:tabs>
        <w:ind w:left="360" w:hanging="360"/>
      </w:pPr>
    </w:lvl>
  </w:abstractNum>
  <w:abstractNum w:abstractNumId="131">
    <w:nsid w:val="12C662C8"/>
    <w:multiLevelType w:val="singleLevel"/>
    <w:tmpl w:val="747C12F8"/>
    <w:lvl w:ilvl="0">
      <w:start w:val="264"/>
      <w:numFmt w:val="decimal"/>
      <w:lvlText w:val="%1."/>
      <w:lvlJc w:val="left"/>
      <w:pPr>
        <w:tabs>
          <w:tab w:val="num" w:pos="454"/>
        </w:tabs>
        <w:ind w:left="454" w:hanging="454"/>
      </w:pPr>
    </w:lvl>
  </w:abstractNum>
  <w:abstractNum w:abstractNumId="132">
    <w:nsid w:val="130D1F61"/>
    <w:multiLevelType w:val="singleLevel"/>
    <w:tmpl w:val="04050017"/>
    <w:lvl w:ilvl="0">
      <w:start w:val="1"/>
      <w:numFmt w:val="lowerLetter"/>
      <w:lvlText w:val="%1)"/>
      <w:lvlJc w:val="left"/>
      <w:pPr>
        <w:tabs>
          <w:tab w:val="num" w:pos="360"/>
        </w:tabs>
        <w:ind w:left="360" w:hanging="360"/>
      </w:pPr>
      <w:rPr>
        <w:rFonts w:hint="default"/>
      </w:rPr>
    </w:lvl>
  </w:abstractNum>
  <w:abstractNum w:abstractNumId="133">
    <w:nsid w:val="13282091"/>
    <w:multiLevelType w:val="singleLevel"/>
    <w:tmpl w:val="62FE4068"/>
    <w:lvl w:ilvl="0">
      <w:start w:val="465"/>
      <w:numFmt w:val="decimal"/>
      <w:lvlText w:val="%1."/>
      <w:lvlJc w:val="left"/>
      <w:pPr>
        <w:tabs>
          <w:tab w:val="num" w:pos="454"/>
        </w:tabs>
        <w:ind w:left="454" w:hanging="454"/>
      </w:pPr>
    </w:lvl>
  </w:abstractNum>
  <w:abstractNum w:abstractNumId="134">
    <w:nsid w:val="132F1426"/>
    <w:multiLevelType w:val="hybridMultilevel"/>
    <w:tmpl w:val="75FEF77E"/>
    <w:lvl w:ilvl="0" w:tplc="FF96D4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13815FC5"/>
    <w:multiLevelType w:val="singleLevel"/>
    <w:tmpl w:val="22ECFE9A"/>
    <w:lvl w:ilvl="0">
      <w:start w:val="334"/>
      <w:numFmt w:val="decimal"/>
      <w:lvlText w:val="%1."/>
      <w:lvlJc w:val="left"/>
      <w:pPr>
        <w:tabs>
          <w:tab w:val="num" w:pos="454"/>
        </w:tabs>
        <w:ind w:left="454" w:hanging="454"/>
      </w:pPr>
    </w:lvl>
  </w:abstractNum>
  <w:abstractNum w:abstractNumId="136">
    <w:nsid w:val="14292B54"/>
    <w:multiLevelType w:val="singleLevel"/>
    <w:tmpl w:val="F008272C"/>
    <w:lvl w:ilvl="0">
      <w:start w:val="1"/>
      <w:numFmt w:val="lowerLetter"/>
      <w:lvlText w:val="%1)"/>
      <w:lvlJc w:val="left"/>
      <w:pPr>
        <w:tabs>
          <w:tab w:val="num" w:pos="786"/>
        </w:tabs>
        <w:ind w:left="786" w:hanging="360"/>
      </w:pPr>
      <w:rPr>
        <w:rFonts w:hint="default"/>
      </w:rPr>
    </w:lvl>
  </w:abstractNum>
  <w:abstractNum w:abstractNumId="137">
    <w:nsid w:val="142E5807"/>
    <w:multiLevelType w:val="hybridMultilevel"/>
    <w:tmpl w:val="A784F9C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8">
    <w:nsid w:val="142F7A4C"/>
    <w:multiLevelType w:val="singleLevel"/>
    <w:tmpl w:val="249CC7D8"/>
    <w:lvl w:ilvl="0">
      <w:start w:val="557"/>
      <w:numFmt w:val="decimal"/>
      <w:lvlText w:val="%1."/>
      <w:lvlJc w:val="left"/>
      <w:pPr>
        <w:tabs>
          <w:tab w:val="num" w:pos="454"/>
        </w:tabs>
        <w:ind w:left="454" w:hanging="454"/>
      </w:pPr>
    </w:lvl>
  </w:abstractNum>
  <w:abstractNum w:abstractNumId="139">
    <w:nsid w:val="14483183"/>
    <w:multiLevelType w:val="hybridMultilevel"/>
    <w:tmpl w:val="73CE006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14692825"/>
    <w:multiLevelType w:val="singleLevel"/>
    <w:tmpl w:val="0C090017"/>
    <w:lvl w:ilvl="0">
      <w:start w:val="1"/>
      <w:numFmt w:val="lowerLetter"/>
      <w:lvlText w:val="%1)"/>
      <w:lvlJc w:val="left"/>
      <w:pPr>
        <w:tabs>
          <w:tab w:val="num" w:pos="360"/>
        </w:tabs>
        <w:ind w:left="360" w:hanging="360"/>
      </w:pPr>
      <w:rPr>
        <w:rFonts w:hint="default"/>
      </w:rPr>
    </w:lvl>
  </w:abstractNum>
  <w:abstractNum w:abstractNumId="141">
    <w:nsid w:val="14745694"/>
    <w:multiLevelType w:val="singleLevel"/>
    <w:tmpl w:val="4C525F44"/>
    <w:lvl w:ilvl="0">
      <w:start w:val="315"/>
      <w:numFmt w:val="decimal"/>
      <w:lvlText w:val="%1."/>
      <w:lvlJc w:val="left"/>
      <w:pPr>
        <w:tabs>
          <w:tab w:val="num" w:pos="454"/>
        </w:tabs>
        <w:ind w:left="454" w:hanging="454"/>
      </w:pPr>
    </w:lvl>
  </w:abstractNum>
  <w:abstractNum w:abstractNumId="142">
    <w:nsid w:val="14A65D4E"/>
    <w:multiLevelType w:val="singleLevel"/>
    <w:tmpl w:val="4B2A0D08"/>
    <w:lvl w:ilvl="0">
      <w:start w:val="65"/>
      <w:numFmt w:val="decimal"/>
      <w:lvlText w:val="%1."/>
      <w:lvlJc w:val="left"/>
      <w:pPr>
        <w:tabs>
          <w:tab w:val="num" w:pos="360"/>
        </w:tabs>
        <w:ind w:left="357" w:hanging="357"/>
      </w:pPr>
    </w:lvl>
  </w:abstractNum>
  <w:abstractNum w:abstractNumId="143">
    <w:nsid w:val="14BC202F"/>
    <w:multiLevelType w:val="singleLevel"/>
    <w:tmpl w:val="B28AE7C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144">
    <w:nsid w:val="14F24740"/>
    <w:multiLevelType w:val="hybridMultilevel"/>
    <w:tmpl w:val="497CABA6"/>
    <w:lvl w:ilvl="0" w:tplc="A77A6DA6">
      <w:start w:val="1"/>
      <w:numFmt w:val="chineseCountingThousand"/>
      <w:lvlRestart w:val="0"/>
      <w:lvlText w:val="(%1)"/>
      <w:lvlJc w:val="right"/>
      <w:pPr>
        <w:tabs>
          <w:tab w:val="num" w:pos="170"/>
        </w:tabs>
        <w:ind w:left="170" w:hanging="170"/>
      </w:pPr>
      <w:rPr>
        <w:rFonts w:ascii="Times New Roman" w:hAnsi="Times New Roman" w:hint="default"/>
        <w:b w:val="0"/>
        <w:i w:val="0"/>
        <w:sz w:val="20"/>
      </w:rPr>
    </w:lvl>
    <w:lvl w:ilvl="1" w:tplc="04090019" w:tentative="1">
      <w:start w:val="1"/>
      <w:numFmt w:val="lowerLetter"/>
      <w:lvlText w:val="%2."/>
      <w:lvlJc w:val="left"/>
      <w:pPr>
        <w:tabs>
          <w:tab w:val="num" w:pos="79"/>
        </w:tabs>
        <w:ind w:left="79" w:hanging="360"/>
      </w:pPr>
    </w:lvl>
    <w:lvl w:ilvl="2" w:tplc="0409001B" w:tentative="1">
      <w:start w:val="1"/>
      <w:numFmt w:val="lowerRoman"/>
      <w:lvlText w:val="%3."/>
      <w:lvlJc w:val="right"/>
      <w:pPr>
        <w:tabs>
          <w:tab w:val="num" w:pos="799"/>
        </w:tabs>
        <w:ind w:left="799" w:hanging="180"/>
      </w:pPr>
    </w:lvl>
    <w:lvl w:ilvl="3" w:tplc="0409000F" w:tentative="1">
      <w:start w:val="1"/>
      <w:numFmt w:val="decimal"/>
      <w:lvlText w:val="%4."/>
      <w:lvlJc w:val="left"/>
      <w:pPr>
        <w:tabs>
          <w:tab w:val="num" w:pos="1519"/>
        </w:tabs>
        <w:ind w:left="1519" w:hanging="360"/>
      </w:pPr>
    </w:lvl>
    <w:lvl w:ilvl="4" w:tplc="04090019" w:tentative="1">
      <w:start w:val="1"/>
      <w:numFmt w:val="lowerLetter"/>
      <w:lvlText w:val="%5."/>
      <w:lvlJc w:val="left"/>
      <w:pPr>
        <w:tabs>
          <w:tab w:val="num" w:pos="2239"/>
        </w:tabs>
        <w:ind w:left="2239" w:hanging="360"/>
      </w:pPr>
    </w:lvl>
    <w:lvl w:ilvl="5" w:tplc="0409001B" w:tentative="1">
      <w:start w:val="1"/>
      <w:numFmt w:val="lowerRoman"/>
      <w:lvlText w:val="%6."/>
      <w:lvlJc w:val="right"/>
      <w:pPr>
        <w:tabs>
          <w:tab w:val="num" w:pos="2959"/>
        </w:tabs>
        <w:ind w:left="2959" w:hanging="180"/>
      </w:pPr>
    </w:lvl>
    <w:lvl w:ilvl="6" w:tplc="0409000F" w:tentative="1">
      <w:start w:val="1"/>
      <w:numFmt w:val="decimal"/>
      <w:lvlText w:val="%7."/>
      <w:lvlJc w:val="left"/>
      <w:pPr>
        <w:tabs>
          <w:tab w:val="num" w:pos="3679"/>
        </w:tabs>
        <w:ind w:left="3679" w:hanging="360"/>
      </w:pPr>
    </w:lvl>
    <w:lvl w:ilvl="7" w:tplc="04090019" w:tentative="1">
      <w:start w:val="1"/>
      <w:numFmt w:val="lowerLetter"/>
      <w:lvlText w:val="%8."/>
      <w:lvlJc w:val="left"/>
      <w:pPr>
        <w:tabs>
          <w:tab w:val="num" w:pos="4399"/>
        </w:tabs>
        <w:ind w:left="4399" w:hanging="360"/>
      </w:pPr>
    </w:lvl>
    <w:lvl w:ilvl="8" w:tplc="0409001B" w:tentative="1">
      <w:start w:val="1"/>
      <w:numFmt w:val="lowerRoman"/>
      <w:lvlText w:val="%9."/>
      <w:lvlJc w:val="right"/>
      <w:pPr>
        <w:tabs>
          <w:tab w:val="num" w:pos="5119"/>
        </w:tabs>
        <w:ind w:left="5119" w:hanging="180"/>
      </w:pPr>
    </w:lvl>
  </w:abstractNum>
  <w:abstractNum w:abstractNumId="145">
    <w:nsid w:val="151D23BC"/>
    <w:multiLevelType w:val="singleLevel"/>
    <w:tmpl w:val="267CBFC2"/>
    <w:lvl w:ilvl="0">
      <w:start w:val="451"/>
      <w:numFmt w:val="decimal"/>
      <w:lvlText w:val="%1."/>
      <w:lvlJc w:val="left"/>
      <w:pPr>
        <w:tabs>
          <w:tab w:val="num" w:pos="454"/>
        </w:tabs>
        <w:ind w:left="454" w:hanging="454"/>
      </w:pPr>
    </w:lvl>
  </w:abstractNum>
  <w:abstractNum w:abstractNumId="146">
    <w:nsid w:val="155465D8"/>
    <w:multiLevelType w:val="hybridMultilevel"/>
    <w:tmpl w:val="A8D6BE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15631E7F"/>
    <w:multiLevelType w:val="singleLevel"/>
    <w:tmpl w:val="692E64A4"/>
    <w:lvl w:ilvl="0">
      <w:start w:val="726"/>
      <w:numFmt w:val="decimal"/>
      <w:lvlText w:val="%1."/>
      <w:lvlJc w:val="left"/>
      <w:pPr>
        <w:tabs>
          <w:tab w:val="num" w:pos="454"/>
        </w:tabs>
        <w:ind w:left="454" w:hanging="454"/>
      </w:pPr>
    </w:lvl>
  </w:abstractNum>
  <w:abstractNum w:abstractNumId="148">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149">
    <w:nsid w:val="15A16F2F"/>
    <w:multiLevelType w:val="singleLevel"/>
    <w:tmpl w:val="56F8FFA6"/>
    <w:lvl w:ilvl="0">
      <w:start w:val="361"/>
      <w:numFmt w:val="decimal"/>
      <w:lvlText w:val="%1."/>
      <w:lvlJc w:val="left"/>
      <w:pPr>
        <w:tabs>
          <w:tab w:val="num" w:pos="454"/>
        </w:tabs>
        <w:ind w:left="454" w:hanging="454"/>
      </w:pPr>
    </w:lvl>
  </w:abstractNum>
  <w:abstractNum w:abstractNumId="150">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1">
    <w:nsid w:val="16782748"/>
    <w:multiLevelType w:val="singleLevel"/>
    <w:tmpl w:val="8640CD22"/>
    <w:lvl w:ilvl="0">
      <w:start w:val="88"/>
      <w:numFmt w:val="decimal"/>
      <w:lvlText w:val="%1."/>
      <w:lvlJc w:val="left"/>
      <w:pPr>
        <w:tabs>
          <w:tab w:val="num" w:pos="454"/>
        </w:tabs>
        <w:ind w:left="454" w:hanging="454"/>
      </w:pPr>
    </w:lvl>
  </w:abstractNum>
  <w:abstractNum w:abstractNumId="152">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3">
    <w:nsid w:val="16F85D2A"/>
    <w:multiLevelType w:val="hybridMultilevel"/>
    <w:tmpl w:val="BC1C333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170C549E"/>
    <w:multiLevelType w:val="singleLevel"/>
    <w:tmpl w:val="01325DD6"/>
    <w:lvl w:ilvl="0">
      <w:start w:val="1"/>
      <w:numFmt w:val="lowerLetter"/>
      <w:lvlText w:val="(%1)"/>
      <w:lvlJc w:val="left"/>
      <w:pPr>
        <w:tabs>
          <w:tab w:val="num" w:pos="720"/>
        </w:tabs>
        <w:ind w:left="720" w:hanging="720"/>
      </w:pPr>
    </w:lvl>
  </w:abstractNum>
  <w:abstractNum w:abstractNumId="155">
    <w:nsid w:val="175C573F"/>
    <w:multiLevelType w:val="hybridMultilevel"/>
    <w:tmpl w:val="B8E8278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7">
    <w:nsid w:val="18094A8F"/>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158">
    <w:nsid w:val="182D3451"/>
    <w:multiLevelType w:val="singleLevel"/>
    <w:tmpl w:val="7D64D454"/>
    <w:lvl w:ilvl="0">
      <w:start w:val="506"/>
      <w:numFmt w:val="decimal"/>
      <w:lvlText w:val="%1."/>
      <w:lvlJc w:val="left"/>
      <w:pPr>
        <w:tabs>
          <w:tab w:val="num" w:pos="454"/>
        </w:tabs>
        <w:ind w:left="454" w:hanging="454"/>
      </w:pPr>
    </w:lvl>
  </w:abstractNum>
  <w:abstractNum w:abstractNumId="15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0">
    <w:nsid w:val="185414BE"/>
    <w:multiLevelType w:val="singleLevel"/>
    <w:tmpl w:val="A0705318"/>
    <w:lvl w:ilvl="0">
      <w:start w:val="583"/>
      <w:numFmt w:val="decimal"/>
      <w:lvlText w:val="%1."/>
      <w:lvlJc w:val="left"/>
      <w:pPr>
        <w:tabs>
          <w:tab w:val="num" w:pos="454"/>
        </w:tabs>
        <w:ind w:left="454" w:hanging="454"/>
      </w:pPr>
    </w:lvl>
  </w:abstractNum>
  <w:abstractNum w:abstractNumId="161">
    <w:nsid w:val="1872019E"/>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162">
    <w:nsid w:val="188A0AC2"/>
    <w:multiLevelType w:val="singleLevel"/>
    <w:tmpl w:val="04050017"/>
    <w:lvl w:ilvl="0">
      <w:start w:val="1"/>
      <w:numFmt w:val="lowerLetter"/>
      <w:lvlText w:val="%1)"/>
      <w:lvlJc w:val="left"/>
      <w:pPr>
        <w:tabs>
          <w:tab w:val="num" w:pos="360"/>
        </w:tabs>
        <w:ind w:left="360" w:hanging="360"/>
      </w:pPr>
    </w:lvl>
  </w:abstractNum>
  <w:abstractNum w:abstractNumId="163">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164">
    <w:nsid w:val="18EC48E2"/>
    <w:multiLevelType w:val="singleLevel"/>
    <w:tmpl w:val="AD8E9C1A"/>
    <w:lvl w:ilvl="0">
      <w:start w:val="1"/>
      <w:numFmt w:val="lowerLetter"/>
      <w:lvlText w:val="%1)"/>
      <w:legacy w:legacy="1" w:legacySpace="0" w:legacyIndent="283"/>
      <w:lvlJc w:val="left"/>
      <w:pPr>
        <w:ind w:left="991" w:hanging="283"/>
      </w:pPr>
    </w:lvl>
  </w:abstractNum>
  <w:abstractNum w:abstractNumId="165">
    <w:nsid w:val="190D30A3"/>
    <w:multiLevelType w:val="singleLevel"/>
    <w:tmpl w:val="FD8CADF8"/>
    <w:lvl w:ilvl="0">
      <w:start w:val="76"/>
      <w:numFmt w:val="decimal"/>
      <w:lvlText w:val="%1."/>
      <w:lvlJc w:val="left"/>
      <w:pPr>
        <w:tabs>
          <w:tab w:val="num" w:pos="454"/>
        </w:tabs>
        <w:ind w:left="454" w:hanging="454"/>
      </w:pPr>
    </w:lvl>
  </w:abstractNum>
  <w:abstractNum w:abstractNumId="166">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7">
    <w:nsid w:val="193821E4"/>
    <w:multiLevelType w:val="singleLevel"/>
    <w:tmpl w:val="D3E6C342"/>
    <w:lvl w:ilvl="0">
      <w:start w:val="730"/>
      <w:numFmt w:val="decimal"/>
      <w:lvlText w:val="%1."/>
      <w:lvlJc w:val="left"/>
      <w:pPr>
        <w:tabs>
          <w:tab w:val="num" w:pos="454"/>
        </w:tabs>
        <w:ind w:left="454" w:hanging="454"/>
      </w:pPr>
    </w:lvl>
  </w:abstractNum>
  <w:abstractNum w:abstractNumId="168">
    <w:nsid w:val="196E3E0B"/>
    <w:multiLevelType w:val="singleLevel"/>
    <w:tmpl w:val="AB16F1CE"/>
    <w:lvl w:ilvl="0">
      <w:start w:val="269"/>
      <w:numFmt w:val="decimal"/>
      <w:lvlText w:val="%1."/>
      <w:lvlJc w:val="left"/>
      <w:pPr>
        <w:tabs>
          <w:tab w:val="num" w:pos="454"/>
        </w:tabs>
        <w:ind w:left="454" w:hanging="454"/>
      </w:pPr>
    </w:lvl>
  </w:abstractNum>
  <w:abstractNum w:abstractNumId="169">
    <w:nsid w:val="1971286F"/>
    <w:multiLevelType w:val="singleLevel"/>
    <w:tmpl w:val="CCFA1CF0"/>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170">
    <w:nsid w:val="197A187D"/>
    <w:multiLevelType w:val="singleLevel"/>
    <w:tmpl w:val="C6BA4714"/>
    <w:lvl w:ilvl="0">
      <w:start w:val="154"/>
      <w:numFmt w:val="decimal"/>
      <w:lvlText w:val="%1."/>
      <w:lvlJc w:val="left"/>
      <w:pPr>
        <w:tabs>
          <w:tab w:val="num" w:pos="454"/>
        </w:tabs>
        <w:ind w:left="454" w:hanging="454"/>
      </w:pPr>
      <w:rPr>
        <w:b w:val="0"/>
        <w:i w:val="0"/>
        <w:sz w:val="24"/>
        <w:szCs w:val="24"/>
      </w:rPr>
    </w:lvl>
  </w:abstractNum>
  <w:abstractNum w:abstractNumId="171">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172">
    <w:nsid w:val="19B86FB9"/>
    <w:multiLevelType w:val="hybridMultilevel"/>
    <w:tmpl w:val="987C40A4"/>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19D24FA9"/>
    <w:multiLevelType w:val="singleLevel"/>
    <w:tmpl w:val="6358B5CE"/>
    <w:lvl w:ilvl="0">
      <w:start w:val="380"/>
      <w:numFmt w:val="decimal"/>
      <w:lvlText w:val="%1."/>
      <w:lvlJc w:val="left"/>
      <w:pPr>
        <w:tabs>
          <w:tab w:val="num" w:pos="454"/>
        </w:tabs>
        <w:ind w:left="454" w:hanging="454"/>
      </w:pPr>
    </w:lvl>
  </w:abstractNum>
  <w:abstractNum w:abstractNumId="174">
    <w:nsid w:val="19F752CA"/>
    <w:multiLevelType w:val="hybridMultilevel"/>
    <w:tmpl w:val="B3F8A27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1A013F59"/>
    <w:multiLevelType w:val="singleLevel"/>
    <w:tmpl w:val="F5403420"/>
    <w:lvl w:ilvl="0">
      <w:start w:val="56"/>
      <w:numFmt w:val="decimal"/>
      <w:lvlText w:val="%1."/>
      <w:lvlJc w:val="left"/>
      <w:pPr>
        <w:tabs>
          <w:tab w:val="num" w:pos="360"/>
        </w:tabs>
        <w:ind w:left="357" w:hanging="357"/>
      </w:pPr>
    </w:lvl>
  </w:abstractNum>
  <w:abstractNum w:abstractNumId="176">
    <w:nsid w:val="1A5A16FB"/>
    <w:multiLevelType w:val="hybridMultilevel"/>
    <w:tmpl w:val="A928D8F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1ACB1DB5"/>
    <w:multiLevelType w:val="singleLevel"/>
    <w:tmpl w:val="0405000F"/>
    <w:lvl w:ilvl="0">
      <w:start w:val="1"/>
      <w:numFmt w:val="decimal"/>
      <w:lvlText w:val="%1."/>
      <w:lvlJc w:val="left"/>
      <w:pPr>
        <w:tabs>
          <w:tab w:val="num" w:pos="360"/>
        </w:tabs>
        <w:ind w:left="360" w:hanging="360"/>
      </w:pPr>
    </w:lvl>
  </w:abstractNum>
  <w:abstractNum w:abstractNumId="178">
    <w:nsid w:val="1AD3375B"/>
    <w:multiLevelType w:val="singleLevel"/>
    <w:tmpl w:val="04050017"/>
    <w:lvl w:ilvl="0">
      <w:start w:val="1"/>
      <w:numFmt w:val="lowerLetter"/>
      <w:lvlText w:val="%1)"/>
      <w:lvlJc w:val="left"/>
      <w:pPr>
        <w:tabs>
          <w:tab w:val="num" w:pos="360"/>
        </w:tabs>
        <w:ind w:left="360" w:hanging="360"/>
      </w:pPr>
    </w:lvl>
  </w:abstractNum>
  <w:abstractNum w:abstractNumId="179">
    <w:nsid w:val="1AF72A32"/>
    <w:multiLevelType w:val="singleLevel"/>
    <w:tmpl w:val="3F7849D0"/>
    <w:lvl w:ilvl="0">
      <w:start w:val="467"/>
      <w:numFmt w:val="decimal"/>
      <w:lvlText w:val="%1."/>
      <w:lvlJc w:val="left"/>
      <w:pPr>
        <w:tabs>
          <w:tab w:val="num" w:pos="454"/>
        </w:tabs>
        <w:ind w:left="454" w:hanging="454"/>
      </w:pPr>
    </w:lvl>
  </w:abstractNum>
  <w:abstractNum w:abstractNumId="180">
    <w:nsid w:val="1B011A72"/>
    <w:multiLevelType w:val="singleLevel"/>
    <w:tmpl w:val="04050017"/>
    <w:lvl w:ilvl="0">
      <w:start w:val="1"/>
      <w:numFmt w:val="lowerLetter"/>
      <w:lvlText w:val="%1)"/>
      <w:lvlJc w:val="left"/>
      <w:pPr>
        <w:tabs>
          <w:tab w:val="num" w:pos="360"/>
        </w:tabs>
        <w:ind w:left="360" w:hanging="360"/>
      </w:pPr>
    </w:lvl>
  </w:abstractNum>
  <w:abstractNum w:abstractNumId="181">
    <w:nsid w:val="1B03774B"/>
    <w:multiLevelType w:val="hybridMultilevel"/>
    <w:tmpl w:val="6EC6042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1B110F92"/>
    <w:multiLevelType w:val="singleLevel"/>
    <w:tmpl w:val="C70EF3E4"/>
    <w:lvl w:ilvl="0">
      <w:start w:val="414"/>
      <w:numFmt w:val="decimal"/>
      <w:lvlText w:val="%1."/>
      <w:lvlJc w:val="left"/>
      <w:pPr>
        <w:tabs>
          <w:tab w:val="num" w:pos="454"/>
        </w:tabs>
        <w:ind w:left="454" w:hanging="454"/>
      </w:pPr>
    </w:lvl>
  </w:abstractNum>
  <w:abstractNum w:abstractNumId="183">
    <w:nsid w:val="1B6A6CAD"/>
    <w:multiLevelType w:val="singleLevel"/>
    <w:tmpl w:val="56429B16"/>
    <w:lvl w:ilvl="0">
      <w:start w:val="315"/>
      <w:numFmt w:val="decimal"/>
      <w:lvlText w:val="%1."/>
      <w:lvlJc w:val="left"/>
      <w:pPr>
        <w:tabs>
          <w:tab w:val="num" w:pos="454"/>
        </w:tabs>
        <w:ind w:left="454" w:hanging="454"/>
      </w:pPr>
    </w:lvl>
  </w:abstractNum>
  <w:abstractNum w:abstractNumId="184">
    <w:nsid w:val="1BA9651B"/>
    <w:multiLevelType w:val="singleLevel"/>
    <w:tmpl w:val="C8C4AA06"/>
    <w:lvl w:ilvl="0">
      <w:start w:val="283"/>
      <w:numFmt w:val="decimal"/>
      <w:lvlText w:val="%1."/>
      <w:lvlJc w:val="left"/>
      <w:pPr>
        <w:tabs>
          <w:tab w:val="num" w:pos="454"/>
        </w:tabs>
        <w:ind w:left="454" w:hanging="454"/>
      </w:pPr>
    </w:lvl>
  </w:abstractNum>
  <w:abstractNum w:abstractNumId="185">
    <w:nsid w:val="1BBD63D3"/>
    <w:multiLevelType w:val="singleLevel"/>
    <w:tmpl w:val="E0246968"/>
    <w:lvl w:ilvl="0">
      <w:start w:val="556"/>
      <w:numFmt w:val="decimal"/>
      <w:lvlText w:val="%1."/>
      <w:lvlJc w:val="left"/>
      <w:pPr>
        <w:tabs>
          <w:tab w:val="num" w:pos="454"/>
        </w:tabs>
        <w:ind w:left="454" w:hanging="454"/>
      </w:pPr>
    </w:lvl>
  </w:abstractNum>
  <w:abstractNum w:abstractNumId="186">
    <w:nsid w:val="1BDC0970"/>
    <w:multiLevelType w:val="singleLevel"/>
    <w:tmpl w:val="385C76E2"/>
    <w:lvl w:ilvl="0">
      <w:start w:val="335"/>
      <w:numFmt w:val="decimal"/>
      <w:lvlText w:val="%1."/>
      <w:lvlJc w:val="left"/>
      <w:pPr>
        <w:tabs>
          <w:tab w:val="num" w:pos="454"/>
        </w:tabs>
        <w:ind w:left="454" w:hanging="454"/>
      </w:pPr>
    </w:lvl>
  </w:abstractNum>
  <w:abstractNum w:abstractNumId="187">
    <w:nsid w:val="1C0113E5"/>
    <w:multiLevelType w:val="singleLevel"/>
    <w:tmpl w:val="48ECDA5A"/>
    <w:lvl w:ilvl="0">
      <w:start w:val="627"/>
      <w:numFmt w:val="decimal"/>
      <w:lvlText w:val="%1."/>
      <w:lvlJc w:val="left"/>
      <w:pPr>
        <w:tabs>
          <w:tab w:val="num" w:pos="454"/>
        </w:tabs>
        <w:ind w:left="454" w:hanging="454"/>
      </w:pPr>
    </w:lvl>
  </w:abstractNum>
  <w:abstractNum w:abstractNumId="188">
    <w:nsid w:val="1C1763D3"/>
    <w:multiLevelType w:val="singleLevel"/>
    <w:tmpl w:val="0C090017"/>
    <w:lvl w:ilvl="0">
      <w:start w:val="1"/>
      <w:numFmt w:val="lowerLetter"/>
      <w:lvlText w:val="%1)"/>
      <w:lvlJc w:val="left"/>
      <w:pPr>
        <w:tabs>
          <w:tab w:val="num" w:pos="360"/>
        </w:tabs>
        <w:ind w:left="360" w:hanging="360"/>
      </w:pPr>
      <w:rPr>
        <w:rFonts w:hint="default"/>
      </w:rPr>
    </w:lvl>
  </w:abstractNum>
  <w:abstractNum w:abstractNumId="189">
    <w:nsid w:val="1C5C2CA2"/>
    <w:multiLevelType w:val="singleLevel"/>
    <w:tmpl w:val="05B41A94"/>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90">
    <w:nsid w:val="1C5D61A9"/>
    <w:multiLevelType w:val="singleLevel"/>
    <w:tmpl w:val="9DEE421A"/>
    <w:lvl w:ilvl="0">
      <w:start w:val="576"/>
      <w:numFmt w:val="decimal"/>
      <w:lvlText w:val="%1."/>
      <w:lvlJc w:val="left"/>
      <w:pPr>
        <w:tabs>
          <w:tab w:val="num" w:pos="454"/>
        </w:tabs>
        <w:ind w:left="454" w:hanging="454"/>
      </w:pPr>
    </w:lvl>
  </w:abstractNum>
  <w:abstractNum w:abstractNumId="191">
    <w:nsid w:val="1C657CA5"/>
    <w:multiLevelType w:val="singleLevel"/>
    <w:tmpl w:val="CE02D3F0"/>
    <w:lvl w:ilvl="0">
      <w:start w:val="253"/>
      <w:numFmt w:val="decimal"/>
      <w:lvlText w:val="%1."/>
      <w:lvlJc w:val="left"/>
      <w:pPr>
        <w:tabs>
          <w:tab w:val="num" w:pos="454"/>
        </w:tabs>
        <w:ind w:left="454" w:hanging="454"/>
      </w:pPr>
    </w:lvl>
  </w:abstractNum>
  <w:abstractNum w:abstractNumId="192">
    <w:nsid w:val="1CB61D8E"/>
    <w:multiLevelType w:val="singleLevel"/>
    <w:tmpl w:val="04050017"/>
    <w:lvl w:ilvl="0">
      <w:start w:val="1"/>
      <w:numFmt w:val="lowerLetter"/>
      <w:lvlText w:val="%1)"/>
      <w:lvlJc w:val="left"/>
      <w:pPr>
        <w:tabs>
          <w:tab w:val="num" w:pos="360"/>
        </w:tabs>
        <w:ind w:left="360" w:hanging="360"/>
      </w:pPr>
    </w:lvl>
  </w:abstractNum>
  <w:abstractNum w:abstractNumId="193">
    <w:nsid w:val="1CEE7DC4"/>
    <w:multiLevelType w:val="hybridMultilevel"/>
    <w:tmpl w:val="1214F64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1CF76F6B"/>
    <w:multiLevelType w:val="singleLevel"/>
    <w:tmpl w:val="52E0ACB6"/>
    <w:lvl w:ilvl="0">
      <w:start w:val="30"/>
      <w:numFmt w:val="decimal"/>
      <w:lvlText w:val="%1."/>
      <w:lvlJc w:val="left"/>
      <w:pPr>
        <w:tabs>
          <w:tab w:val="num" w:pos="360"/>
        </w:tabs>
        <w:ind w:left="360" w:hanging="360"/>
      </w:pPr>
      <w:rPr>
        <w:rFonts w:hint="default"/>
      </w:rPr>
    </w:lvl>
  </w:abstractNum>
  <w:abstractNum w:abstractNumId="195">
    <w:nsid w:val="1CFA5A48"/>
    <w:multiLevelType w:val="hybridMultilevel"/>
    <w:tmpl w:val="AC9EDAF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1D004947"/>
    <w:multiLevelType w:val="singleLevel"/>
    <w:tmpl w:val="FFFFFFFF"/>
    <w:lvl w:ilvl="0">
      <w:start w:val="1"/>
      <w:numFmt w:val="bullet"/>
      <w:lvlText w:val=""/>
      <w:legacy w:legacy="1" w:legacySpace="0" w:legacyIndent="283"/>
      <w:lvlJc w:val="left"/>
      <w:pPr>
        <w:ind w:left="283" w:hanging="283"/>
      </w:pPr>
      <w:rPr>
        <w:rFonts w:ascii="Symbol" w:hAnsi="Symbol" w:cs="Times New Roman" w:hint="default"/>
      </w:rPr>
    </w:lvl>
  </w:abstractNum>
  <w:abstractNum w:abstractNumId="197">
    <w:nsid w:val="1D1328A2"/>
    <w:multiLevelType w:val="singleLevel"/>
    <w:tmpl w:val="3CA61CFC"/>
    <w:lvl w:ilvl="0">
      <w:start w:val="323"/>
      <w:numFmt w:val="decimal"/>
      <w:lvlText w:val="%1."/>
      <w:lvlJc w:val="left"/>
      <w:pPr>
        <w:tabs>
          <w:tab w:val="num" w:pos="454"/>
        </w:tabs>
        <w:ind w:left="454" w:hanging="454"/>
      </w:pPr>
    </w:lvl>
  </w:abstractNum>
  <w:abstractNum w:abstractNumId="198">
    <w:nsid w:val="1D3241E8"/>
    <w:multiLevelType w:val="singleLevel"/>
    <w:tmpl w:val="A43E84C0"/>
    <w:lvl w:ilvl="0">
      <w:start w:val="242"/>
      <w:numFmt w:val="decimal"/>
      <w:lvlText w:val="%1."/>
      <w:lvlJc w:val="left"/>
      <w:pPr>
        <w:tabs>
          <w:tab w:val="num" w:pos="454"/>
        </w:tabs>
        <w:ind w:left="454" w:hanging="454"/>
      </w:pPr>
    </w:lvl>
  </w:abstractNum>
  <w:abstractNum w:abstractNumId="199">
    <w:nsid w:val="1D503AC9"/>
    <w:multiLevelType w:val="singleLevel"/>
    <w:tmpl w:val="EF30A2C0"/>
    <w:lvl w:ilvl="0">
      <w:start w:val="73"/>
      <w:numFmt w:val="decimal"/>
      <w:lvlText w:val="%1. "/>
      <w:lvlJc w:val="left"/>
      <w:pPr>
        <w:tabs>
          <w:tab w:val="num" w:pos="454"/>
        </w:tabs>
        <w:ind w:left="454" w:hanging="454"/>
      </w:pPr>
      <w:rPr>
        <w:b w:val="0"/>
        <w:i w:val="0"/>
        <w:sz w:val="24"/>
        <w:szCs w:val="24"/>
      </w:rPr>
    </w:lvl>
  </w:abstractNum>
  <w:abstractNum w:abstractNumId="200">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01">
    <w:nsid w:val="1D613DB1"/>
    <w:multiLevelType w:val="hybridMultilevel"/>
    <w:tmpl w:val="E966711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1D6C7C74"/>
    <w:multiLevelType w:val="singleLevel"/>
    <w:tmpl w:val="0405000F"/>
    <w:lvl w:ilvl="0">
      <w:start w:val="1"/>
      <w:numFmt w:val="decimal"/>
      <w:lvlText w:val="%1."/>
      <w:lvlJc w:val="left"/>
      <w:pPr>
        <w:tabs>
          <w:tab w:val="num" w:pos="360"/>
        </w:tabs>
        <w:ind w:left="360" w:hanging="360"/>
      </w:pPr>
    </w:lvl>
  </w:abstractNum>
  <w:abstractNum w:abstractNumId="203">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4">
    <w:nsid w:val="1DBF5CFB"/>
    <w:multiLevelType w:val="hybridMultilevel"/>
    <w:tmpl w:val="A6F6A10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1DF62A47"/>
    <w:multiLevelType w:val="hybridMultilevel"/>
    <w:tmpl w:val="63424B2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6">
    <w:nsid w:val="1E277518"/>
    <w:multiLevelType w:val="singleLevel"/>
    <w:tmpl w:val="04050017"/>
    <w:lvl w:ilvl="0">
      <w:start w:val="1"/>
      <w:numFmt w:val="lowerLetter"/>
      <w:lvlText w:val="%1)"/>
      <w:lvlJc w:val="left"/>
      <w:pPr>
        <w:tabs>
          <w:tab w:val="num" w:pos="360"/>
        </w:tabs>
        <w:ind w:left="360" w:hanging="360"/>
      </w:pPr>
      <w:rPr>
        <w:rFonts w:hint="default"/>
      </w:rPr>
    </w:lvl>
  </w:abstractNum>
  <w:abstractNum w:abstractNumId="207">
    <w:nsid w:val="1E304754"/>
    <w:multiLevelType w:val="singleLevel"/>
    <w:tmpl w:val="47AAA70E"/>
    <w:lvl w:ilvl="0">
      <w:start w:val="442"/>
      <w:numFmt w:val="decimal"/>
      <w:lvlText w:val="%1."/>
      <w:lvlJc w:val="left"/>
      <w:pPr>
        <w:tabs>
          <w:tab w:val="num" w:pos="454"/>
        </w:tabs>
        <w:ind w:left="454" w:hanging="454"/>
      </w:pPr>
    </w:lvl>
  </w:abstractNum>
  <w:abstractNum w:abstractNumId="208">
    <w:nsid w:val="1E56713E"/>
    <w:multiLevelType w:val="singleLevel"/>
    <w:tmpl w:val="CB82D2CA"/>
    <w:lvl w:ilvl="0">
      <w:start w:val="321"/>
      <w:numFmt w:val="decimal"/>
      <w:lvlText w:val="%1."/>
      <w:lvlJc w:val="left"/>
      <w:pPr>
        <w:tabs>
          <w:tab w:val="num" w:pos="454"/>
        </w:tabs>
        <w:ind w:left="454" w:hanging="454"/>
      </w:pPr>
    </w:lvl>
  </w:abstractNum>
  <w:abstractNum w:abstractNumId="209">
    <w:nsid w:val="1E7C38F7"/>
    <w:multiLevelType w:val="singleLevel"/>
    <w:tmpl w:val="04050017"/>
    <w:lvl w:ilvl="0">
      <w:start w:val="1"/>
      <w:numFmt w:val="lowerLetter"/>
      <w:lvlText w:val="%1)"/>
      <w:lvlJc w:val="left"/>
      <w:pPr>
        <w:tabs>
          <w:tab w:val="num" w:pos="360"/>
        </w:tabs>
        <w:ind w:left="360" w:hanging="360"/>
      </w:pPr>
      <w:rPr>
        <w:rFonts w:hint="default"/>
      </w:rPr>
    </w:lvl>
  </w:abstractNum>
  <w:abstractNum w:abstractNumId="210">
    <w:nsid w:val="1E9E3C95"/>
    <w:multiLevelType w:val="singleLevel"/>
    <w:tmpl w:val="694CFCDC"/>
    <w:lvl w:ilvl="0">
      <w:start w:val="236"/>
      <w:numFmt w:val="decimal"/>
      <w:lvlText w:val="%1."/>
      <w:lvlJc w:val="left"/>
      <w:pPr>
        <w:tabs>
          <w:tab w:val="num" w:pos="454"/>
        </w:tabs>
        <w:ind w:left="454" w:hanging="454"/>
      </w:pPr>
    </w:lvl>
  </w:abstractNum>
  <w:abstractNum w:abstractNumId="211">
    <w:nsid w:val="1F0245D9"/>
    <w:multiLevelType w:val="singleLevel"/>
    <w:tmpl w:val="2FCAC3DA"/>
    <w:lvl w:ilvl="0">
      <w:start w:val="352"/>
      <w:numFmt w:val="decimal"/>
      <w:lvlText w:val="%1."/>
      <w:lvlJc w:val="left"/>
      <w:pPr>
        <w:tabs>
          <w:tab w:val="num" w:pos="454"/>
        </w:tabs>
        <w:ind w:left="454" w:hanging="454"/>
      </w:pPr>
    </w:lvl>
  </w:abstractNum>
  <w:abstractNum w:abstractNumId="212">
    <w:nsid w:val="1F0C4128"/>
    <w:multiLevelType w:val="singleLevel"/>
    <w:tmpl w:val="0C09000F"/>
    <w:lvl w:ilvl="0">
      <w:start w:val="1"/>
      <w:numFmt w:val="decimal"/>
      <w:lvlText w:val="%1."/>
      <w:lvlJc w:val="left"/>
      <w:pPr>
        <w:tabs>
          <w:tab w:val="num" w:pos="360"/>
        </w:tabs>
        <w:ind w:left="360" w:hanging="360"/>
      </w:pPr>
    </w:lvl>
  </w:abstractNum>
  <w:abstractNum w:abstractNumId="213">
    <w:nsid w:val="1F22251D"/>
    <w:multiLevelType w:val="singleLevel"/>
    <w:tmpl w:val="1CAE948E"/>
    <w:lvl w:ilvl="0">
      <w:start w:val="4"/>
      <w:numFmt w:val="upp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214">
    <w:nsid w:val="1F566932"/>
    <w:multiLevelType w:val="hybridMultilevel"/>
    <w:tmpl w:val="EB06D7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1FB22603"/>
    <w:multiLevelType w:val="singleLevel"/>
    <w:tmpl w:val="04050011"/>
    <w:lvl w:ilvl="0">
      <w:start w:val="1"/>
      <w:numFmt w:val="decimal"/>
      <w:lvlText w:val="%1)"/>
      <w:lvlJc w:val="left"/>
      <w:pPr>
        <w:tabs>
          <w:tab w:val="num" w:pos="360"/>
        </w:tabs>
        <w:ind w:left="360" w:hanging="360"/>
      </w:pPr>
      <w:rPr>
        <w:rFonts w:hint="default"/>
      </w:rPr>
    </w:lvl>
  </w:abstractNum>
  <w:abstractNum w:abstractNumId="216">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17">
    <w:nsid w:val="1FF95926"/>
    <w:multiLevelType w:val="singleLevel"/>
    <w:tmpl w:val="0405000F"/>
    <w:lvl w:ilvl="0">
      <w:start w:val="1"/>
      <w:numFmt w:val="decimal"/>
      <w:lvlText w:val="%1."/>
      <w:lvlJc w:val="left"/>
      <w:pPr>
        <w:tabs>
          <w:tab w:val="num" w:pos="360"/>
        </w:tabs>
        <w:ind w:left="360" w:hanging="360"/>
      </w:pPr>
    </w:lvl>
  </w:abstractNum>
  <w:abstractNum w:abstractNumId="218">
    <w:nsid w:val="200474FA"/>
    <w:multiLevelType w:val="singleLevel"/>
    <w:tmpl w:val="BDB66D08"/>
    <w:lvl w:ilvl="0">
      <w:start w:val="775"/>
      <w:numFmt w:val="decimal"/>
      <w:lvlText w:val="%1."/>
      <w:lvlJc w:val="left"/>
      <w:pPr>
        <w:tabs>
          <w:tab w:val="num" w:pos="454"/>
        </w:tabs>
        <w:ind w:left="454" w:hanging="454"/>
      </w:pPr>
    </w:lvl>
  </w:abstractNum>
  <w:abstractNum w:abstractNumId="219">
    <w:nsid w:val="20145DE9"/>
    <w:multiLevelType w:val="singleLevel"/>
    <w:tmpl w:val="DCDA4786"/>
    <w:lvl w:ilvl="0">
      <w:start w:val="413"/>
      <w:numFmt w:val="decimal"/>
      <w:lvlText w:val="%1."/>
      <w:lvlJc w:val="left"/>
      <w:pPr>
        <w:tabs>
          <w:tab w:val="num" w:pos="454"/>
        </w:tabs>
        <w:ind w:left="454" w:hanging="454"/>
      </w:pPr>
    </w:lvl>
  </w:abstractNum>
  <w:abstractNum w:abstractNumId="220">
    <w:nsid w:val="2025718D"/>
    <w:multiLevelType w:val="singleLevel"/>
    <w:tmpl w:val="2B12BB8A"/>
    <w:lvl w:ilvl="0">
      <w:start w:val="330"/>
      <w:numFmt w:val="decimal"/>
      <w:lvlText w:val="%1."/>
      <w:lvlJc w:val="left"/>
      <w:pPr>
        <w:tabs>
          <w:tab w:val="num" w:pos="454"/>
        </w:tabs>
        <w:ind w:left="454" w:hanging="454"/>
      </w:pPr>
    </w:lvl>
  </w:abstractNum>
  <w:abstractNum w:abstractNumId="221">
    <w:nsid w:val="202C7D16"/>
    <w:multiLevelType w:val="singleLevel"/>
    <w:tmpl w:val="00620E48"/>
    <w:lvl w:ilvl="0">
      <w:start w:val="486"/>
      <w:numFmt w:val="decimal"/>
      <w:lvlText w:val="%1."/>
      <w:lvlJc w:val="left"/>
      <w:pPr>
        <w:tabs>
          <w:tab w:val="num" w:pos="454"/>
        </w:tabs>
        <w:ind w:left="454" w:hanging="454"/>
      </w:pPr>
    </w:lvl>
  </w:abstractNum>
  <w:abstractNum w:abstractNumId="222">
    <w:nsid w:val="20882A04"/>
    <w:multiLevelType w:val="singleLevel"/>
    <w:tmpl w:val="92183DB8"/>
    <w:lvl w:ilvl="0">
      <w:start w:val="744"/>
      <w:numFmt w:val="decimal"/>
      <w:lvlText w:val="%1."/>
      <w:lvlJc w:val="left"/>
      <w:pPr>
        <w:tabs>
          <w:tab w:val="num" w:pos="454"/>
        </w:tabs>
        <w:ind w:left="454" w:hanging="454"/>
      </w:pPr>
    </w:lvl>
  </w:abstractNum>
  <w:abstractNum w:abstractNumId="223">
    <w:nsid w:val="20895832"/>
    <w:multiLevelType w:val="singleLevel"/>
    <w:tmpl w:val="C11A788E"/>
    <w:lvl w:ilvl="0">
      <w:start w:val="777"/>
      <w:numFmt w:val="decimal"/>
      <w:lvlText w:val="%1."/>
      <w:lvlJc w:val="left"/>
      <w:pPr>
        <w:tabs>
          <w:tab w:val="num" w:pos="454"/>
        </w:tabs>
        <w:ind w:left="454" w:hanging="454"/>
      </w:pPr>
    </w:lvl>
  </w:abstractNum>
  <w:abstractNum w:abstractNumId="224">
    <w:nsid w:val="20AA5940"/>
    <w:multiLevelType w:val="hybridMultilevel"/>
    <w:tmpl w:val="84CA974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20DD7F9A"/>
    <w:multiLevelType w:val="singleLevel"/>
    <w:tmpl w:val="764A94C8"/>
    <w:lvl w:ilvl="0">
      <w:start w:val="335"/>
      <w:numFmt w:val="decimal"/>
      <w:lvlText w:val="%1."/>
      <w:lvlJc w:val="left"/>
      <w:pPr>
        <w:tabs>
          <w:tab w:val="num" w:pos="454"/>
        </w:tabs>
        <w:ind w:left="454" w:hanging="454"/>
      </w:pPr>
    </w:lvl>
  </w:abstractNum>
  <w:abstractNum w:abstractNumId="226">
    <w:nsid w:val="211E3C22"/>
    <w:multiLevelType w:val="hybridMultilevel"/>
    <w:tmpl w:val="57CC888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2140478E"/>
    <w:multiLevelType w:val="singleLevel"/>
    <w:tmpl w:val="007864D2"/>
    <w:lvl w:ilvl="0">
      <w:start w:val="83"/>
      <w:numFmt w:val="decimal"/>
      <w:lvlText w:val="%1."/>
      <w:lvlJc w:val="left"/>
      <w:pPr>
        <w:tabs>
          <w:tab w:val="num" w:pos="454"/>
        </w:tabs>
        <w:ind w:left="454" w:hanging="454"/>
      </w:pPr>
    </w:lvl>
  </w:abstractNum>
  <w:abstractNum w:abstractNumId="228">
    <w:nsid w:val="214B739A"/>
    <w:multiLevelType w:val="hybridMultilevel"/>
    <w:tmpl w:val="49468E4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9">
    <w:nsid w:val="21980B69"/>
    <w:multiLevelType w:val="singleLevel"/>
    <w:tmpl w:val="9BFEF798"/>
    <w:lvl w:ilvl="0">
      <w:start w:val="356"/>
      <w:numFmt w:val="decimal"/>
      <w:lvlText w:val="%1."/>
      <w:lvlJc w:val="left"/>
      <w:pPr>
        <w:tabs>
          <w:tab w:val="num" w:pos="454"/>
        </w:tabs>
        <w:ind w:left="454" w:hanging="454"/>
      </w:pPr>
    </w:lvl>
  </w:abstractNum>
  <w:abstractNum w:abstractNumId="230">
    <w:nsid w:val="21A574C0"/>
    <w:multiLevelType w:val="singleLevel"/>
    <w:tmpl w:val="B31CC886"/>
    <w:lvl w:ilvl="0">
      <w:start w:val="338"/>
      <w:numFmt w:val="decimal"/>
      <w:lvlText w:val="%1."/>
      <w:lvlJc w:val="left"/>
      <w:pPr>
        <w:tabs>
          <w:tab w:val="num" w:pos="454"/>
        </w:tabs>
        <w:ind w:left="454" w:hanging="454"/>
      </w:pPr>
    </w:lvl>
  </w:abstractNum>
  <w:abstractNum w:abstractNumId="231">
    <w:nsid w:val="21A6241E"/>
    <w:multiLevelType w:val="hybridMultilevel"/>
    <w:tmpl w:val="A99C71D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21BC6849"/>
    <w:multiLevelType w:val="singleLevel"/>
    <w:tmpl w:val="9FCA8C56"/>
    <w:lvl w:ilvl="0">
      <w:start w:val="506"/>
      <w:numFmt w:val="decimal"/>
      <w:lvlText w:val="%1."/>
      <w:lvlJc w:val="left"/>
      <w:pPr>
        <w:tabs>
          <w:tab w:val="num" w:pos="454"/>
        </w:tabs>
        <w:ind w:left="454" w:hanging="454"/>
      </w:pPr>
    </w:lvl>
  </w:abstractNum>
  <w:abstractNum w:abstractNumId="233">
    <w:nsid w:val="21CF4A21"/>
    <w:multiLevelType w:val="hybridMultilevel"/>
    <w:tmpl w:val="2AA8E2E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4">
    <w:nsid w:val="21FD2914"/>
    <w:multiLevelType w:val="singleLevel"/>
    <w:tmpl w:val="2B06C8C2"/>
    <w:lvl w:ilvl="0">
      <w:start w:val="634"/>
      <w:numFmt w:val="decimal"/>
      <w:lvlText w:val="%1."/>
      <w:lvlJc w:val="left"/>
      <w:pPr>
        <w:tabs>
          <w:tab w:val="num" w:pos="454"/>
        </w:tabs>
        <w:ind w:left="454" w:hanging="454"/>
      </w:pPr>
    </w:lvl>
  </w:abstractNum>
  <w:abstractNum w:abstractNumId="235">
    <w:nsid w:val="22031003"/>
    <w:multiLevelType w:val="singleLevel"/>
    <w:tmpl w:val="DB6A13DC"/>
    <w:lvl w:ilvl="0">
      <w:start w:val="249"/>
      <w:numFmt w:val="decimal"/>
      <w:lvlText w:val="%1."/>
      <w:lvlJc w:val="left"/>
      <w:pPr>
        <w:tabs>
          <w:tab w:val="num" w:pos="454"/>
        </w:tabs>
        <w:ind w:left="454" w:hanging="454"/>
      </w:pPr>
    </w:lvl>
  </w:abstractNum>
  <w:abstractNum w:abstractNumId="236">
    <w:nsid w:val="221A77F9"/>
    <w:multiLevelType w:val="hybridMultilevel"/>
    <w:tmpl w:val="D8C46BE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7">
    <w:nsid w:val="225B3225"/>
    <w:multiLevelType w:val="hybridMultilevel"/>
    <w:tmpl w:val="C278ECF4"/>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22BF3D20"/>
    <w:multiLevelType w:val="hybridMultilevel"/>
    <w:tmpl w:val="5E24295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40">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23484476"/>
    <w:multiLevelType w:val="hybridMultilevel"/>
    <w:tmpl w:val="3AEC02B0"/>
    <w:lvl w:ilvl="0" w:tplc="ACB64EE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23785ADD"/>
    <w:multiLevelType w:val="hybridMultilevel"/>
    <w:tmpl w:val="3AC877D0"/>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3">
    <w:nsid w:val="23BE7B76"/>
    <w:multiLevelType w:val="hybridMultilevel"/>
    <w:tmpl w:val="6400F4C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23E83F31"/>
    <w:multiLevelType w:val="hybridMultilevel"/>
    <w:tmpl w:val="E0B286A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2409268C"/>
    <w:multiLevelType w:val="singleLevel"/>
    <w:tmpl w:val="0405000F"/>
    <w:lvl w:ilvl="0">
      <w:start w:val="1"/>
      <w:numFmt w:val="decimal"/>
      <w:lvlText w:val="%1."/>
      <w:lvlJc w:val="left"/>
      <w:pPr>
        <w:tabs>
          <w:tab w:val="num" w:pos="360"/>
        </w:tabs>
        <w:ind w:left="360" w:hanging="360"/>
      </w:pPr>
    </w:lvl>
  </w:abstractNum>
  <w:abstractNum w:abstractNumId="246">
    <w:nsid w:val="245B6E52"/>
    <w:multiLevelType w:val="singleLevel"/>
    <w:tmpl w:val="4E9E8D24"/>
    <w:lvl w:ilvl="0">
      <w:start w:val="674"/>
      <w:numFmt w:val="decimal"/>
      <w:lvlText w:val="%1."/>
      <w:lvlJc w:val="left"/>
      <w:pPr>
        <w:tabs>
          <w:tab w:val="num" w:pos="454"/>
        </w:tabs>
        <w:ind w:left="454" w:hanging="454"/>
      </w:pPr>
    </w:lvl>
  </w:abstractNum>
  <w:abstractNum w:abstractNumId="247">
    <w:nsid w:val="248B28C4"/>
    <w:multiLevelType w:val="hybridMultilevel"/>
    <w:tmpl w:val="4490AF6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24DD754B"/>
    <w:multiLevelType w:val="singleLevel"/>
    <w:tmpl w:val="0405000F"/>
    <w:lvl w:ilvl="0">
      <w:start w:val="1"/>
      <w:numFmt w:val="decimal"/>
      <w:lvlText w:val="%1."/>
      <w:lvlJc w:val="left"/>
      <w:pPr>
        <w:tabs>
          <w:tab w:val="num" w:pos="360"/>
        </w:tabs>
        <w:ind w:left="360" w:hanging="360"/>
      </w:pPr>
    </w:lvl>
  </w:abstractNum>
  <w:abstractNum w:abstractNumId="249">
    <w:nsid w:val="25027943"/>
    <w:multiLevelType w:val="singleLevel"/>
    <w:tmpl w:val="249CF576"/>
    <w:lvl w:ilvl="0">
      <w:start w:val="655"/>
      <w:numFmt w:val="decimal"/>
      <w:lvlText w:val="%1."/>
      <w:lvlJc w:val="left"/>
      <w:pPr>
        <w:tabs>
          <w:tab w:val="num" w:pos="454"/>
        </w:tabs>
        <w:ind w:left="454" w:hanging="454"/>
      </w:pPr>
    </w:lvl>
  </w:abstractNum>
  <w:abstractNum w:abstractNumId="250">
    <w:nsid w:val="2530505F"/>
    <w:multiLevelType w:val="singleLevel"/>
    <w:tmpl w:val="17E4C92C"/>
    <w:lvl w:ilvl="0">
      <w:start w:val="257"/>
      <w:numFmt w:val="decimal"/>
      <w:lvlText w:val="%1."/>
      <w:lvlJc w:val="left"/>
      <w:pPr>
        <w:tabs>
          <w:tab w:val="num" w:pos="454"/>
        </w:tabs>
        <w:ind w:left="454" w:hanging="454"/>
      </w:pPr>
    </w:lvl>
  </w:abstractNum>
  <w:abstractNum w:abstractNumId="251">
    <w:nsid w:val="254156DA"/>
    <w:multiLevelType w:val="hybridMultilevel"/>
    <w:tmpl w:val="5F7693CA"/>
    <w:lvl w:ilvl="0" w:tplc="C5DAE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nsid w:val="25670F60"/>
    <w:multiLevelType w:val="singleLevel"/>
    <w:tmpl w:val="42E81EDC"/>
    <w:lvl w:ilvl="0">
      <w:start w:val="439"/>
      <w:numFmt w:val="decimal"/>
      <w:lvlText w:val="%1."/>
      <w:lvlJc w:val="left"/>
      <w:pPr>
        <w:tabs>
          <w:tab w:val="num" w:pos="454"/>
        </w:tabs>
        <w:ind w:left="454" w:hanging="454"/>
      </w:pPr>
    </w:lvl>
  </w:abstractNum>
  <w:abstractNum w:abstractNumId="253">
    <w:nsid w:val="259F7137"/>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5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5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6">
    <w:nsid w:val="260D0C82"/>
    <w:multiLevelType w:val="singleLevel"/>
    <w:tmpl w:val="7BBC6C3A"/>
    <w:lvl w:ilvl="0">
      <w:start w:val="215"/>
      <w:numFmt w:val="decimal"/>
      <w:lvlText w:val="%1."/>
      <w:lvlJc w:val="left"/>
      <w:pPr>
        <w:tabs>
          <w:tab w:val="num" w:pos="454"/>
        </w:tabs>
        <w:ind w:left="454" w:hanging="454"/>
      </w:pPr>
    </w:lvl>
  </w:abstractNum>
  <w:abstractNum w:abstractNumId="257">
    <w:nsid w:val="2634452B"/>
    <w:multiLevelType w:val="singleLevel"/>
    <w:tmpl w:val="0405000F"/>
    <w:lvl w:ilvl="0">
      <w:start w:val="1"/>
      <w:numFmt w:val="decimal"/>
      <w:lvlText w:val="%1."/>
      <w:lvlJc w:val="left"/>
      <w:pPr>
        <w:tabs>
          <w:tab w:val="num" w:pos="360"/>
        </w:tabs>
        <w:ind w:left="360" w:hanging="360"/>
      </w:pPr>
    </w:lvl>
  </w:abstractNum>
  <w:abstractNum w:abstractNumId="258">
    <w:nsid w:val="26677638"/>
    <w:multiLevelType w:val="hybridMultilevel"/>
    <w:tmpl w:val="38EAB99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9">
    <w:nsid w:val="26814A69"/>
    <w:multiLevelType w:val="singleLevel"/>
    <w:tmpl w:val="B0DED10C"/>
    <w:lvl w:ilvl="0">
      <w:start w:val="617"/>
      <w:numFmt w:val="decimal"/>
      <w:lvlText w:val="%1."/>
      <w:lvlJc w:val="left"/>
      <w:pPr>
        <w:tabs>
          <w:tab w:val="num" w:pos="454"/>
        </w:tabs>
        <w:ind w:left="454" w:hanging="454"/>
      </w:pPr>
    </w:lvl>
  </w:abstractNum>
  <w:abstractNum w:abstractNumId="260">
    <w:nsid w:val="26ED0BEA"/>
    <w:multiLevelType w:val="hybridMultilevel"/>
    <w:tmpl w:val="98FED81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271A383F"/>
    <w:multiLevelType w:val="singleLevel"/>
    <w:tmpl w:val="50FE7C56"/>
    <w:lvl w:ilvl="0">
      <w:start w:val="771"/>
      <w:numFmt w:val="decimal"/>
      <w:lvlText w:val="%1."/>
      <w:lvlJc w:val="left"/>
      <w:pPr>
        <w:tabs>
          <w:tab w:val="num" w:pos="454"/>
        </w:tabs>
        <w:ind w:left="454" w:hanging="454"/>
      </w:pPr>
    </w:lvl>
  </w:abstractNum>
  <w:abstractNum w:abstractNumId="262">
    <w:nsid w:val="27423774"/>
    <w:multiLevelType w:val="singleLevel"/>
    <w:tmpl w:val="304C5706"/>
    <w:lvl w:ilvl="0">
      <w:start w:val="367"/>
      <w:numFmt w:val="decimal"/>
      <w:lvlText w:val="%1."/>
      <w:lvlJc w:val="left"/>
      <w:pPr>
        <w:tabs>
          <w:tab w:val="num" w:pos="454"/>
        </w:tabs>
        <w:ind w:left="454" w:hanging="454"/>
      </w:pPr>
    </w:lvl>
  </w:abstractNum>
  <w:abstractNum w:abstractNumId="263">
    <w:nsid w:val="2769237A"/>
    <w:multiLevelType w:val="singleLevel"/>
    <w:tmpl w:val="7E74B298"/>
    <w:lvl w:ilvl="0">
      <w:start w:val="1"/>
      <w:numFmt w:val="lowerLetter"/>
      <w:lvlText w:val="%1)"/>
      <w:lvlJc w:val="left"/>
      <w:pPr>
        <w:tabs>
          <w:tab w:val="num" w:pos="786"/>
        </w:tabs>
        <w:ind w:left="786" w:hanging="360"/>
      </w:pPr>
      <w:rPr>
        <w:rFonts w:hint="default"/>
      </w:rPr>
    </w:lvl>
  </w:abstractNum>
  <w:abstractNum w:abstractNumId="264">
    <w:nsid w:val="27703B38"/>
    <w:multiLevelType w:val="singleLevel"/>
    <w:tmpl w:val="BDB66D08"/>
    <w:lvl w:ilvl="0">
      <w:start w:val="775"/>
      <w:numFmt w:val="decimal"/>
      <w:lvlText w:val="%1."/>
      <w:lvlJc w:val="left"/>
      <w:pPr>
        <w:tabs>
          <w:tab w:val="num" w:pos="454"/>
        </w:tabs>
        <w:ind w:left="454" w:hanging="454"/>
      </w:pPr>
    </w:lvl>
  </w:abstractNum>
  <w:abstractNum w:abstractNumId="265">
    <w:nsid w:val="27814B51"/>
    <w:multiLevelType w:val="singleLevel"/>
    <w:tmpl w:val="0FFE095C"/>
    <w:lvl w:ilvl="0">
      <w:start w:val="380"/>
      <w:numFmt w:val="decimal"/>
      <w:lvlText w:val="%1."/>
      <w:lvlJc w:val="left"/>
      <w:pPr>
        <w:tabs>
          <w:tab w:val="num" w:pos="454"/>
        </w:tabs>
        <w:ind w:left="454" w:hanging="454"/>
      </w:pPr>
    </w:lvl>
  </w:abstractNum>
  <w:abstractNum w:abstractNumId="266">
    <w:nsid w:val="27B91CAC"/>
    <w:multiLevelType w:val="singleLevel"/>
    <w:tmpl w:val="04050017"/>
    <w:lvl w:ilvl="0">
      <w:start w:val="1"/>
      <w:numFmt w:val="lowerLetter"/>
      <w:lvlText w:val="%1)"/>
      <w:lvlJc w:val="left"/>
      <w:pPr>
        <w:tabs>
          <w:tab w:val="num" w:pos="360"/>
        </w:tabs>
        <w:ind w:left="360" w:hanging="360"/>
      </w:pPr>
    </w:lvl>
  </w:abstractNum>
  <w:abstractNum w:abstractNumId="267">
    <w:nsid w:val="27E121EB"/>
    <w:multiLevelType w:val="singleLevel"/>
    <w:tmpl w:val="AC9EDF7C"/>
    <w:lvl w:ilvl="0">
      <w:start w:val="624"/>
      <w:numFmt w:val="decimal"/>
      <w:lvlText w:val="%1."/>
      <w:lvlJc w:val="left"/>
      <w:pPr>
        <w:tabs>
          <w:tab w:val="num" w:pos="454"/>
        </w:tabs>
        <w:ind w:left="454" w:hanging="454"/>
      </w:pPr>
    </w:lvl>
  </w:abstractNum>
  <w:abstractNum w:abstractNumId="268">
    <w:nsid w:val="284F09B1"/>
    <w:multiLevelType w:val="hybridMultilevel"/>
    <w:tmpl w:val="1E400900"/>
    <w:lvl w:ilvl="0" w:tplc="4296E0DC">
      <w:start w:val="1"/>
      <w:numFmt w:val="lowerLetter"/>
      <w:lvlRestart w:val="0"/>
      <w:lvlText w:val="(%1)"/>
      <w:lvlJc w:val="right"/>
      <w:pPr>
        <w:tabs>
          <w:tab w:val="num" w:pos="1588"/>
        </w:tabs>
        <w:ind w:left="1588"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nsid w:val="287F4570"/>
    <w:multiLevelType w:val="singleLevel"/>
    <w:tmpl w:val="7A8CEBBC"/>
    <w:lvl w:ilvl="0">
      <w:start w:val="82"/>
      <w:numFmt w:val="decimal"/>
      <w:lvlText w:val="%1."/>
      <w:lvlJc w:val="left"/>
      <w:pPr>
        <w:tabs>
          <w:tab w:val="num" w:pos="454"/>
        </w:tabs>
        <w:ind w:left="454" w:hanging="454"/>
      </w:pPr>
    </w:lvl>
  </w:abstractNum>
  <w:abstractNum w:abstractNumId="270">
    <w:nsid w:val="28807AA8"/>
    <w:multiLevelType w:val="singleLevel"/>
    <w:tmpl w:val="04050017"/>
    <w:lvl w:ilvl="0">
      <w:start w:val="1"/>
      <w:numFmt w:val="lowerLetter"/>
      <w:lvlText w:val="%1)"/>
      <w:lvlJc w:val="left"/>
      <w:pPr>
        <w:tabs>
          <w:tab w:val="num" w:pos="360"/>
        </w:tabs>
        <w:ind w:left="360" w:hanging="360"/>
      </w:pPr>
    </w:lvl>
  </w:abstractNum>
  <w:abstractNum w:abstractNumId="271">
    <w:nsid w:val="289527B5"/>
    <w:multiLevelType w:val="hybridMultilevel"/>
    <w:tmpl w:val="0B32C7C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28BF738A"/>
    <w:multiLevelType w:val="singleLevel"/>
    <w:tmpl w:val="0405000F"/>
    <w:lvl w:ilvl="0">
      <w:start w:val="1"/>
      <w:numFmt w:val="decimal"/>
      <w:lvlText w:val="%1."/>
      <w:lvlJc w:val="left"/>
      <w:pPr>
        <w:tabs>
          <w:tab w:val="num" w:pos="360"/>
        </w:tabs>
        <w:ind w:left="360" w:hanging="360"/>
      </w:pPr>
    </w:lvl>
  </w:abstractNum>
  <w:abstractNum w:abstractNumId="273">
    <w:nsid w:val="28DD5E8E"/>
    <w:multiLevelType w:val="singleLevel"/>
    <w:tmpl w:val="E250CEDE"/>
    <w:lvl w:ilvl="0">
      <w:start w:val="247"/>
      <w:numFmt w:val="decimal"/>
      <w:lvlText w:val="%1."/>
      <w:lvlJc w:val="left"/>
      <w:pPr>
        <w:tabs>
          <w:tab w:val="num" w:pos="454"/>
        </w:tabs>
        <w:ind w:left="454" w:hanging="454"/>
      </w:pPr>
    </w:lvl>
  </w:abstractNum>
  <w:abstractNum w:abstractNumId="274">
    <w:nsid w:val="28F32978"/>
    <w:multiLevelType w:val="singleLevel"/>
    <w:tmpl w:val="5ADE9472"/>
    <w:lvl w:ilvl="0">
      <w:start w:val="214"/>
      <w:numFmt w:val="decimal"/>
      <w:lvlText w:val="%1."/>
      <w:lvlJc w:val="left"/>
      <w:pPr>
        <w:tabs>
          <w:tab w:val="num" w:pos="454"/>
        </w:tabs>
        <w:ind w:left="454" w:hanging="454"/>
      </w:pPr>
    </w:lvl>
  </w:abstractNum>
  <w:abstractNum w:abstractNumId="275">
    <w:nsid w:val="2918305B"/>
    <w:multiLevelType w:val="singleLevel"/>
    <w:tmpl w:val="0405000F"/>
    <w:lvl w:ilvl="0">
      <w:start w:val="1"/>
      <w:numFmt w:val="decimal"/>
      <w:lvlText w:val="%1."/>
      <w:lvlJc w:val="left"/>
      <w:pPr>
        <w:tabs>
          <w:tab w:val="num" w:pos="360"/>
        </w:tabs>
        <w:ind w:left="360" w:hanging="360"/>
      </w:pPr>
    </w:lvl>
  </w:abstractNum>
  <w:abstractNum w:abstractNumId="276">
    <w:nsid w:val="29184528"/>
    <w:multiLevelType w:val="singleLevel"/>
    <w:tmpl w:val="7CDC7BD0"/>
    <w:lvl w:ilvl="0">
      <w:start w:val="42"/>
      <w:numFmt w:val="decimal"/>
      <w:lvlText w:val="%1."/>
      <w:lvlJc w:val="left"/>
      <w:pPr>
        <w:tabs>
          <w:tab w:val="num" w:pos="454"/>
        </w:tabs>
        <w:ind w:left="454" w:hanging="454"/>
      </w:pPr>
    </w:lvl>
  </w:abstractNum>
  <w:abstractNum w:abstractNumId="277">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8">
    <w:nsid w:val="296E0E9C"/>
    <w:multiLevelType w:val="singleLevel"/>
    <w:tmpl w:val="6B54FA1A"/>
    <w:lvl w:ilvl="0">
      <w:start w:val="721"/>
      <w:numFmt w:val="decimal"/>
      <w:lvlText w:val="%1."/>
      <w:lvlJc w:val="left"/>
      <w:pPr>
        <w:tabs>
          <w:tab w:val="num" w:pos="454"/>
        </w:tabs>
        <w:ind w:left="454" w:hanging="454"/>
      </w:pPr>
    </w:lvl>
  </w:abstractNum>
  <w:abstractNum w:abstractNumId="279">
    <w:nsid w:val="297932C0"/>
    <w:multiLevelType w:val="singleLevel"/>
    <w:tmpl w:val="E51C12F2"/>
    <w:lvl w:ilvl="0">
      <w:start w:val="101"/>
      <w:numFmt w:val="decimal"/>
      <w:lvlText w:val="%1."/>
      <w:lvlJc w:val="left"/>
      <w:pPr>
        <w:tabs>
          <w:tab w:val="num" w:pos="454"/>
        </w:tabs>
        <w:ind w:left="454" w:hanging="454"/>
      </w:pPr>
    </w:lvl>
  </w:abstractNum>
  <w:abstractNum w:abstractNumId="280">
    <w:nsid w:val="298D3338"/>
    <w:multiLevelType w:val="hybridMultilevel"/>
    <w:tmpl w:val="758A8E3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29CD5CED"/>
    <w:multiLevelType w:val="singleLevel"/>
    <w:tmpl w:val="04050017"/>
    <w:lvl w:ilvl="0">
      <w:start w:val="1"/>
      <w:numFmt w:val="lowerLetter"/>
      <w:lvlText w:val="%1)"/>
      <w:lvlJc w:val="left"/>
      <w:pPr>
        <w:tabs>
          <w:tab w:val="num" w:pos="360"/>
        </w:tabs>
        <w:ind w:left="360" w:hanging="360"/>
      </w:pPr>
    </w:lvl>
  </w:abstractNum>
  <w:abstractNum w:abstractNumId="282">
    <w:nsid w:val="29E32DBD"/>
    <w:multiLevelType w:val="singleLevel"/>
    <w:tmpl w:val="241E0990"/>
    <w:lvl w:ilvl="0">
      <w:start w:val="764"/>
      <w:numFmt w:val="decimal"/>
      <w:lvlText w:val="%1."/>
      <w:lvlJc w:val="left"/>
      <w:pPr>
        <w:tabs>
          <w:tab w:val="num" w:pos="454"/>
        </w:tabs>
        <w:ind w:left="454" w:hanging="454"/>
      </w:pPr>
    </w:lvl>
  </w:abstractNum>
  <w:abstractNum w:abstractNumId="283">
    <w:nsid w:val="29EC7F70"/>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284">
    <w:nsid w:val="2A7460AB"/>
    <w:multiLevelType w:val="hybridMultilevel"/>
    <w:tmpl w:val="9B742ED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5">
    <w:nsid w:val="2A820170"/>
    <w:multiLevelType w:val="singleLevel"/>
    <w:tmpl w:val="252EC0C2"/>
    <w:lvl w:ilvl="0">
      <w:start w:val="723"/>
      <w:numFmt w:val="decimal"/>
      <w:lvlText w:val="%1."/>
      <w:lvlJc w:val="left"/>
      <w:pPr>
        <w:tabs>
          <w:tab w:val="num" w:pos="454"/>
        </w:tabs>
        <w:ind w:left="454" w:hanging="454"/>
      </w:pPr>
    </w:lvl>
  </w:abstractNum>
  <w:abstractNum w:abstractNumId="286">
    <w:nsid w:val="2A9E37C2"/>
    <w:multiLevelType w:val="singleLevel"/>
    <w:tmpl w:val="6A4ED4EE"/>
    <w:lvl w:ilvl="0">
      <w:start w:val="626"/>
      <w:numFmt w:val="decimal"/>
      <w:lvlText w:val="%1."/>
      <w:lvlJc w:val="left"/>
      <w:pPr>
        <w:tabs>
          <w:tab w:val="num" w:pos="454"/>
        </w:tabs>
        <w:ind w:left="454" w:hanging="454"/>
      </w:pPr>
    </w:lvl>
  </w:abstractNum>
  <w:abstractNum w:abstractNumId="287">
    <w:nsid w:val="2AA41ECA"/>
    <w:multiLevelType w:val="hybridMultilevel"/>
    <w:tmpl w:val="C82CEE4C"/>
    <w:lvl w:ilvl="0" w:tplc="4296E0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nsid w:val="2AC86E94"/>
    <w:multiLevelType w:val="hybridMultilevel"/>
    <w:tmpl w:val="DF1EFBB6"/>
    <w:lvl w:ilvl="0" w:tplc="DAA45E0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2AC92529"/>
    <w:multiLevelType w:val="singleLevel"/>
    <w:tmpl w:val="7F0EE420"/>
    <w:lvl w:ilvl="0">
      <w:start w:val="772"/>
      <w:numFmt w:val="decimal"/>
      <w:lvlText w:val="%1."/>
      <w:lvlJc w:val="left"/>
      <w:pPr>
        <w:tabs>
          <w:tab w:val="num" w:pos="454"/>
        </w:tabs>
        <w:ind w:left="454" w:hanging="454"/>
      </w:pPr>
    </w:lvl>
  </w:abstractNum>
  <w:abstractNum w:abstractNumId="290">
    <w:nsid w:val="2AD600E0"/>
    <w:multiLevelType w:val="singleLevel"/>
    <w:tmpl w:val="26DAC8AE"/>
    <w:lvl w:ilvl="0">
      <w:start w:val="369"/>
      <w:numFmt w:val="decimal"/>
      <w:lvlText w:val="%1."/>
      <w:lvlJc w:val="left"/>
      <w:pPr>
        <w:tabs>
          <w:tab w:val="num" w:pos="454"/>
        </w:tabs>
        <w:ind w:left="454" w:hanging="454"/>
      </w:pPr>
    </w:lvl>
  </w:abstractNum>
  <w:abstractNum w:abstractNumId="291">
    <w:nsid w:val="2B28686D"/>
    <w:multiLevelType w:val="singleLevel"/>
    <w:tmpl w:val="0405000F"/>
    <w:lvl w:ilvl="0">
      <w:start w:val="1"/>
      <w:numFmt w:val="decimal"/>
      <w:lvlText w:val="%1."/>
      <w:lvlJc w:val="left"/>
      <w:pPr>
        <w:tabs>
          <w:tab w:val="num" w:pos="360"/>
        </w:tabs>
        <w:ind w:left="360" w:hanging="360"/>
      </w:pPr>
    </w:lvl>
  </w:abstractNum>
  <w:abstractNum w:abstractNumId="292">
    <w:nsid w:val="2B3F49C6"/>
    <w:multiLevelType w:val="singleLevel"/>
    <w:tmpl w:val="E94C9216"/>
    <w:lvl w:ilvl="0">
      <w:start w:val="1"/>
      <w:numFmt w:val="lowerRoman"/>
      <w:lvlText w:val="(%1)"/>
      <w:lvlJc w:val="right"/>
      <w:pPr>
        <w:tabs>
          <w:tab w:val="num" w:pos="2160"/>
        </w:tabs>
        <w:ind w:left="2160" w:hanging="516"/>
      </w:pPr>
    </w:lvl>
  </w:abstractNum>
  <w:abstractNum w:abstractNumId="293">
    <w:nsid w:val="2B453179"/>
    <w:multiLevelType w:val="singleLevel"/>
    <w:tmpl w:val="04050017"/>
    <w:lvl w:ilvl="0">
      <w:start w:val="1"/>
      <w:numFmt w:val="lowerLetter"/>
      <w:lvlText w:val="%1)"/>
      <w:lvlJc w:val="left"/>
      <w:pPr>
        <w:tabs>
          <w:tab w:val="num" w:pos="360"/>
        </w:tabs>
        <w:ind w:left="360" w:hanging="360"/>
      </w:pPr>
    </w:lvl>
  </w:abstractNum>
  <w:abstractNum w:abstractNumId="294">
    <w:nsid w:val="2B510768"/>
    <w:multiLevelType w:val="singleLevel"/>
    <w:tmpl w:val="80F22F5A"/>
    <w:lvl w:ilvl="0">
      <w:start w:val="1"/>
      <w:numFmt w:val="lowerLetter"/>
      <w:lvlText w:val="%1)"/>
      <w:legacy w:legacy="1" w:legacySpace="0" w:legacyIndent="360"/>
      <w:lvlJc w:val="left"/>
      <w:pPr>
        <w:ind w:left="360" w:hanging="360"/>
      </w:pPr>
    </w:lvl>
  </w:abstractNum>
  <w:abstractNum w:abstractNumId="295">
    <w:nsid w:val="2B8427C9"/>
    <w:multiLevelType w:val="hybridMultilevel"/>
    <w:tmpl w:val="27FC6206"/>
    <w:lvl w:ilvl="0" w:tplc="4296E0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2BE948DB"/>
    <w:multiLevelType w:val="hybridMultilevel"/>
    <w:tmpl w:val="45B25400"/>
    <w:lvl w:ilvl="0" w:tplc="98B25BA0">
      <w:start w:val="1"/>
      <w:numFmt w:val="lowerLetter"/>
      <w:lvlRestart w:val="0"/>
      <w:lvlText w:val="(%1)"/>
      <w:lvlJc w:val="right"/>
      <w:pPr>
        <w:tabs>
          <w:tab w:val="num" w:pos="1531"/>
        </w:tabs>
        <w:ind w:left="1531" w:hanging="227"/>
      </w:pPr>
      <w:rPr>
        <w:rFonts w:ascii="Times New Roman" w:hAnsi="Times New Roman"/>
        <w:b w:val="0"/>
        <w:i w:val="0"/>
        <w:sz w:val="24"/>
      </w:rPr>
    </w:lvl>
    <w:lvl w:ilvl="1" w:tplc="E6D6560C">
      <w:start w:val="462"/>
      <w:numFmt w:val="decimal"/>
      <w:lvlText w:val="%2．"/>
      <w:lvlJc w:val="left"/>
      <w:pPr>
        <w:tabs>
          <w:tab w:val="num" w:pos="2010"/>
        </w:tabs>
        <w:ind w:left="2010" w:hanging="930"/>
      </w:pPr>
      <w:rPr>
        <w:rFonts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7">
    <w:nsid w:val="2BEA6BB2"/>
    <w:multiLevelType w:val="hybridMultilevel"/>
    <w:tmpl w:val="D11A6EF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2BFD48C4"/>
    <w:multiLevelType w:val="hybridMultilevel"/>
    <w:tmpl w:val="B9E89A52"/>
    <w:lvl w:ilvl="0" w:tplc="0FF0A79A">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9">
    <w:nsid w:val="2C0317FA"/>
    <w:multiLevelType w:val="singleLevel"/>
    <w:tmpl w:val="6AA6D1F6"/>
    <w:lvl w:ilvl="0">
      <w:start w:val="620"/>
      <w:numFmt w:val="decimal"/>
      <w:lvlText w:val="%1."/>
      <w:lvlJc w:val="left"/>
      <w:pPr>
        <w:tabs>
          <w:tab w:val="num" w:pos="454"/>
        </w:tabs>
        <w:ind w:left="454" w:hanging="454"/>
      </w:pPr>
    </w:lvl>
  </w:abstractNum>
  <w:abstractNum w:abstractNumId="300">
    <w:nsid w:val="2C7D0302"/>
    <w:multiLevelType w:val="singleLevel"/>
    <w:tmpl w:val="B5BA16BC"/>
    <w:lvl w:ilvl="0">
      <w:start w:val="656"/>
      <w:numFmt w:val="decimal"/>
      <w:lvlText w:val="%1."/>
      <w:lvlJc w:val="left"/>
      <w:pPr>
        <w:tabs>
          <w:tab w:val="num" w:pos="454"/>
        </w:tabs>
        <w:ind w:left="454" w:hanging="454"/>
      </w:pPr>
    </w:lvl>
  </w:abstractNum>
  <w:abstractNum w:abstractNumId="301">
    <w:nsid w:val="2C8C2D9E"/>
    <w:multiLevelType w:val="singleLevel"/>
    <w:tmpl w:val="A6E42994"/>
    <w:lvl w:ilvl="0">
      <w:start w:val="724"/>
      <w:numFmt w:val="decimal"/>
      <w:lvlText w:val="%1."/>
      <w:lvlJc w:val="left"/>
      <w:pPr>
        <w:tabs>
          <w:tab w:val="num" w:pos="454"/>
        </w:tabs>
        <w:ind w:left="454" w:hanging="454"/>
      </w:pPr>
    </w:lvl>
  </w:abstractNum>
  <w:abstractNum w:abstractNumId="302">
    <w:nsid w:val="2CA7508C"/>
    <w:multiLevelType w:val="hybridMultilevel"/>
    <w:tmpl w:val="977E36B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3">
    <w:nsid w:val="2CCD7C07"/>
    <w:multiLevelType w:val="singleLevel"/>
    <w:tmpl w:val="185E2478"/>
    <w:lvl w:ilvl="0">
      <w:start w:val="502"/>
      <w:numFmt w:val="decimal"/>
      <w:lvlText w:val="%1."/>
      <w:lvlJc w:val="left"/>
      <w:pPr>
        <w:tabs>
          <w:tab w:val="num" w:pos="454"/>
        </w:tabs>
        <w:ind w:left="454" w:hanging="454"/>
      </w:pPr>
    </w:lvl>
  </w:abstractNum>
  <w:abstractNum w:abstractNumId="304">
    <w:nsid w:val="2CDC2DDF"/>
    <w:multiLevelType w:val="singleLevel"/>
    <w:tmpl w:val="04050017"/>
    <w:lvl w:ilvl="0">
      <w:start w:val="1"/>
      <w:numFmt w:val="lowerLetter"/>
      <w:lvlText w:val="%1)"/>
      <w:lvlJc w:val="left"/>
      <w:pPr>
        <w:tabs>
          <w:tab w:val="num" w:pos="360"/>
        </w:tabs>
        <w:ind w:left="360" w:hanging="360"/>
      </w:pPr>
    </w:lvl>
  </w:abstractNum>
  <w:abstractNum w:abstractNumId="305">
    <w:nsid w:val="2CE632CF"/>
    <w:multiLevelType w:val="singleLevel"/>
    <w:tmpl w:val="04050017"/>
    <w:lvl w:ilvl="0">
      <w:start w:val="1"/>
      <w:numFmt w:val="lowerLetter"/>
      <w:lvlText w:val="%1)"/>
      <w:lvlJc w:val="left"/>
      <w:pPr>
        <w:tabs>
          <w:tab w:val="num" w:pos="360"/>
        </w:tabs>
        <w:ind w:left="360" w:hanging="360"/>
      </w:pPr>
    </w:lvl>
  </w:abstractNum>
  <w:abstractNum w:abstractNumId="306">
    <w:nsid w:val="2CF448CC"/>
    <w:multiLevelType w:val="singleLevel"/>
    <w:tmpl w:val="7A48BB0C"/>
    <w:lvl w:ilvl="0">
      <w:start w:val="511"/>
      <w:numFmt w:val="decimal"/>
      <w:lvlText w:val="%1."/>
      <w:lvlJc w:val="left"/>
      <w:pPr>
        <w:tabs>
          <w:tab w:val="num" w:pos="454"/>
        </w:tabs>
        <w:ind w:left="454" w:hanging="454"/>
      </w:pPr>
    </w:lvl>
  </w:abstractNum>
  <w:abstractNum w:abstractNumId="307">
    <w:nsid w:val="2CFA2530"/>
    <w:multiLevelType w:val="hybridMultilevel"/>
    <w:tmpl w:val="CA10706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8">
    <w:nsid w:val="2D097138"/>
    <w:multiLevelType w:val="hybridMultilevel"/>
    <w:tmpl w:val="68F63E3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2E507210"/>
    <w:multiLevelType w:val="hybridMultilevel"/>
    <w:tmpl w:val="1D7C9A3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2E617AE5"/>
    <w:multiLevelType w:val="singleLevel"/>
    <w:tmpl w:val="1152E3F2"/>
    <w:lvl w:ilvl="0">
      <w:start w:val="83"/>
      <w:numFmt w:val="decimal"/>
      <w:lvlText w:val="%1."/>
      <w:lvlJc w:val="left"/>
      <w:pPr>
        <w:tabs>
          <w:tab w:val="num" w:pos="454"/>
        </w:tabs>
        <w:ind w:left="454" w:hanging="454"/>
      </w:pPr>
      <w:rPr>
        <w:b w:val="0"/>
        <w:i w:val="0"/>
        <w:sz w:val="24"/>
        <w:szCs w:val="24"/>
      </w:rPr>
    </w:lvl>
  </w:abstractNum>
  <w:abstractNum w:abstractNumId="311">
    <w:nsid w:val="2E7912F6"/>
    <w:multiLevelType w:val="singleLevel"/>
    <w:tmpl w:val="DE8C3298"/>
    <w:lvl w:ilvl="0">
      <w:start w:val="365"/>
      <w:numFmt w:val="decimal"/>
      <w:lvlText w:val="%1."/>
      <w:lvlJc w:val="left"/>
      <w:pPr>
        <w:tabs>
          <w:tab w:val="num" w:pos="454"/>
        </w:tabs>
        <w:ind w:left="454" w:hanging="454"/>
      </w:pPr>
    </w:lvl>
  </w:abstractNum>
  <w:abstractNum w:abstractNumId="312">
    <w:nsid w:val="2EB750A2"/>
    <w:multiLevelType w:val="singleLevel"/>
    <w:tmpl w:val="1E6A15CC"/>
    <w:lvl w:ilvl="0">
      <w:numFmt w:val="bullet"/>
      <w:lvlText w:val="-"/>
      <w:lvlJc w:val="left"/>
      <w:pPr>
        <w:tabs>
          <w:tab w:val="num" w:pos="360"/>
        </w:tabs>
        <w:ind w:left="360" w:hanging="360"/>
      </w:pPr>
      <w:rPr>
        <w:rFonts w:hint="default"/>
      </w:rPr>
    </w:lvl>
  </w:abstractNum>
  <w:abstractNum w:abstractNumId="313">
    <w:nsid w:val="2EF77AF5"/>
    <w:multiLevelType w:val="hybridMultilevel"/>
    <w:tmpl w:val="C64024A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2F6E3F42"/>
    <w:multiLevelType w:val="hybridMultilevel"/>
    <w:tmpl w:val="F084A4E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5">
    <w:nsid w:val="2F700683"/>
    <w:multiLevelType w:val="singleLevel"/>
    <w:tmpl w:val="341C5E4E"/>
    <w:lvl w:ilvl="0">
      <w:start w:val="361"/>
      <w:numFmt w:val="decimal"/>
      <w:lvlText w:val="%1."/>
      <w:lvlJc w:val="left"/>
      <w:pPr>
        <w:tabs>
          <w:tab w:val="num" w:pos="454"/>
        </w:tabs>
        <w:ind w:left="454" w:hanging="454"/>
      </w:pPr>
    </w:lvl>
  </w:abstractNum>
  <w:abstractNum w:abstractNumId="316">
    <w:nsid w:val="2FCE3D3B"/>
    <w:multiLevelType w:val="singleLevel"/>
    <w:tmpl w:val="30ACA520"/>
    <w:lvl w:ilvl="0">
      <w:start w:val="507"/>
      <w:numFmt w:val="decimal"/>
      <w:lvlText w:val="%1."/>
      <w:lvlJc w:val="left"/>
      <w:pPr>
        <w:tabs>
          <w:tab w:val="num" w:pos="454"/>
        </w:tabs>
        <w:ind w:left="454" w:hanging="454"/>
      </w:pPr>
    </w:lvl>
  </w:abstractNum>
  <w:abstractNum w:abstractNumId="317">
    <w:nsid w:val="30014951"/>
    <w:multiLevelType w:val="hybridMultilevel"/>
    <w:tmpl w:val="ED880234"/>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8">
    <w:nsid w:val="30212FCD"/>
    <w:multiLevelType w:val="hybridMultilevel"/>
    <w:tmpl w:val="2BA2596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9">
    <w:nsid w:val="30270768"/>
    <w:multiLevelType w:val="singleLevel"/>
    <w:tmpl w:val="AD8E9C1A"/>
    <w:lvl w:ilvl="0">
      <w:start w:val="1"/>
      <w:numFmt w:val="lowerLetter"/>
      <w:lvlText w:val="%1)"/>
      <w:legacy w:legacy="1" w:legacySpace="0" w:legacyIndent="283"/>
      <w:lvlJc w:val="left"/>
      <w:pPr>
        <w:ind w:left="991" w:hanging="283"/>
      </w:pPr>
    </w:lvl>
  </w:abstractNum>
  <w:abstractNum w:abstractNumId="320">
    <w:nsid w:val="302A75A7"/>
    <w:multiLevelType w:val="singleLevel"/>
    <w:tmpl w:val="3496DD40"/>
    <w:lvl w:ilvl="0">
      <w:start w:val="1"/>
      <w:numFmt w:val="decimal"/>
      <w:lvlText w:val="(%1)"/>
      <w:lvlJc w:val="left"/>
      <w:pPr>
        <w:tabs>
          <w:tab w:val="num" w:pos="1440"/>
        </w:tabs>
        <w:ind w:left="1440" w:hanging="720"/>
      </w:pPr>
    </w:lvl>
  </w:abstractNum>
  <w:abstractNum w:abstractNumId="321">
    <w:nsid w:val="30403766"/>
    <w:multiLevelType w:val="singleLevel"/>
    <w:tmpl w:val="FE9C54B6"/>
    <w:lvl w:ilvl="0">
      <w:start w:val="3"/>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322">
    <w:nsid w:val="30835E80"/>
    <w:multiLevelType w:val="singleLevel"/>
    <w:tmpl w:val="2FA40E06"/>
    <w:lvl w:ilvl="0">
      <w:start w:val="628"/>
      <w:numFmt w:val="decimal"/>
      <w:lvlText w:val="%1."/>
      <w:lvlJc w:val="left"/>
      <w:pPr>
        <w:tabs>
          <w:tab w:val="num" w:pos="454"/>
        </w:tabs>
        <w:ind w:left="454" w:hanging="454"/>
      </w:pPr>
    </w:lvl>
  </w:abstractNum>
  <w:abstractNum w:abstractNumId="323">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324">
    <w:nsid w:val="30B84BE7"/>
    <w:multiLevelType w:val="singleLevel"/>
    <w:tmpl w:val="2918E9DC"/>
    <w:lvl w:ilvl="0">
      <w:start w:val="463"/>
      <w:numFmt w:val="decimal"/>
      <w:lvlText w:val="%1."/>
      <w:lvlJc w:val="left"/>
      <w:pPr>
        <w:tabs>
          <w:tab w:val="num" w:pos="454"/>
        </w:tabs>
        <w:ind w:left="454" w:hanging="454"/>
      </w:pPr>
    </w:lvl>
  </w:abstractNum>
  <w:abstractNum w:abstractNumId="325">
    <w:nsid w:val="30E86251"/>
    <w:multiLevelType w:val="singleLevel"/>
    <w:tmpl w:val="0C090017"/>
    <w:lvl w:ilvl="0">
      <w:start w:val="1"/>
      <w:numFmt w:val="lowerLetter"/>
      <w:lvlText w:val="%1)"/>
      <w:lvlJc w:val="left"/>
      <w:pPr>
        <w:tabs>
          <w:tab w:val="num" w:pos="360"/>
        </w:tabs>
        <w:ind w:left="360" w:hanging="360"/>
      </w:pPr>
      <w:rPr>
        <w:rFonts w:hint="default"/>
      </w:rPr>
    </w:lvl>
  </w:abstractNum>
  <w:abstractNum w:abstractNumId="326">
    <w:nsid w:val="31217EE8"/>
    <w:multiLevelType w:val="singleLevel"/>
    <w:tmpl w:val="1C58DC56"/>
    <w:lvl w:ilvl="0">
      <w:start w:val="163"/>
      <w:numFmt w:val="decimal"/>
      <w:lvlText w:val="%1."/>
      <w:lvlJc w:val="left"/>
      <w:pPr>
        <w:tabs>
          <w:tab w:val="num" w:pos="454"/>
        </w:tabs>
        <w:ind w:left="454" w:hanging="454"/>
      </w:pPr>
    </w:lvl>
  </w:abstractNum>
  <w:abstractNum w:abstractNumId="327">
    <w:nsid w:val="31233CDC"/>
    <w:multiLevelType w:val="singleLevel"/>
    <w:tmpl w:val="0405000F"/>
    <w:lvl w:ilvl="0">
      <w:start w:val="1"/>
      <w:numFmt w:val="decimal"/>
      <w:lvlText w:val="%1."/>
      <w:lvlJc w:val="left"/>
      <w:pPr>
        <w:tabs>
          <w:tab w:val="num" w:pos="360"/>
        </w:tabs>
        <w:ind w:left="360" w:hanging="360"/>
      </w:pPr>
    </w:lvl>
  </w:abstractNum>
  <w:abstractNum w:abstractNumId="328">
    <w:nsid w:val="31374F10"/>
    <w:multiLevelType w:val="singleLevel"/>
    <w:tmpl w:val="04050017"/>
    <w:lvl w:ilvl="0">
      <w:start w:val="1"/>
      <w:numFmt w:val="lowerLetter"/>
      <w:lvlText w:val="%1)"/>
      <w:lvlJc w:val="left"/>
      <w:pPr>
        <w:tabs>
          <w:tab w:val="num" w:pos="360"/>
        </w:tabs>
        <w:ind w:left="360" w:hanging="360"/>
      </w:pPr>
      <w:rPr>
        <w:rFonts w:hint="default"/>
      </w:rPr>
    </w:lvl>
  </w:abstractNum>
  <w:abstractNum w:abstractNumId="329">
    <w:nsid w:val="313D33C1"/>
    <w:multiLevelType w:val="singleLevel"/>
    <w:tmpl w:val="8442663E"/>
    <w:lvl w:ilvl="0">
      <w:start w:val="1"/>
      <w:numFmt w:val="lowerLetter"/>
      <w:lvlText w:val="%1)"/>
      <w:legacy w:legacy="1" w:legacySpace="0" w:legacyIndent="360"/>
      <w:lvlJc w:val="left"/>
      <w:pPr>
        <w:ind w:left="360" w:hanging="360"/>
      </w:pPr>
      <w:rPr>
        <w:b/>
        <w:i/>
        <w:sz w:val="28"/>
        <w:szCs w:val="28"/>
      </w:rPr>
    </w:lvl>
  </w:abstractNum>
  <w:abstractNum w:abstractNumId="330">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1">
    <w:nsid w:val="3192798D"/>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32">
    <w:nsid w:val="31B07A1E"/>
    <w:multiLevelType w:val="singleLevel"/>
    <w:tmpl w:val="398E452E"/>
    <w:lvl w:ilvl="0">
      <w:start w:val="478"/>
      <w:numFmt w:val="decimal"/>
      <w:lvlText w:val="%1."/>
      <w:lvlJc w:val="left"/>
      <w:pPr>
        <w:tabs>
          <w:tab w:val="num" w:pos="454"/>
        </w:tabs>
        <w:ind w:left="454" w:hanging="454"/>
      </w:pPr>
    </w:lvl>
  </w:abstractNum>
  <w:abstractNum w:abstractNumId="333">
    <w:nsid w:val="31C103BD"/>
    <w:multiLevelType w:val="singleLevel"/>
    <w:tmpl w:val="0405000F"/>
    <w:lvl w:ilvl="0">
      <w:start w:val="1"/>
      <w:numFmt w:val="decimal"/>
      <w:lvlText w:val="%1."/>
      <w:lvlJc w:val="left"/>
      <w:pPr>
        <w:tabs>
          <w:tab w:val="num" w:pos="360"/>
        </w:tabs>
        <w:ind w:left="360" w:hanging="360"/>
      </w:pPr>
    </w:lvl>
  </w:abstractNum>
  <w:abstractNum w:abstractNumId="334">
    <w:nsid w:val="3207058C"/>
    <w:multiLevelType w:val="singleLevel"/>
    <w:tmpl w:val="12524668"/>
    <w:lvl w:ilvl="0">
      <w:start w:val="471"/>
      <w:numFmt w:val="decimal"/>
      <w:lvlText w:val="%1."/>
      <w:lvlJc w:val="left"/>
      <w:pPr>
        <w:tabs>
          <w:tab w:val="num" w:pos="454"/>
        </w:tabs>
        <w:ind w:left="454" w:hanging="454"/>
      </w:pPr>
    </w:lvl>
  </w:abstractNum>
  <w:abstractNum w:abstractNumId="335">
    <w:nsid w:val="320E744D"/>
    <w:multiLevelType w:val="singleLevel"/>
    <w:tmpl w:val="0C090017"/>
    <w:lvl w:ilvl="0">
      <w:start w:val="1"/>
      <w:numFmt w:val="lowerLetter"/>
      <w:lvlText w:val="%1)"/>
      <w:lvlJc w:val="left"/>
      <w:pPr>
        <w:tabs>
          <w:tab w:val="num" w:pos="360"/>
        </w:tabs>
        <w:ind w:left="360" w:hanging="360"/>
      </w:pPr>
      <w:rPr>
        <w:rFonts w:hint="default"/>
      </w:rPr>
    </w:lvl>
  </w:abstractNum>
  <w:abstractNum w:abstractNumId="336">
    <w:nsid w:val="321F1475"/>
    <w:multiLevelType w:val="singleLevel"/>
    <w:tmpl w:val="0405000F"/>
    <w:lvl w:ilvl="0">
      <w:start w:val="1"/>
      <w:numFmt w:val="decimal"/>
      <w:lvlText w:val="%1."/>
      <w:lvlJc w:val="left"/>
      <w:pPr>
        <w:tabs>
          <w:tab w:val="num" w:pos="360"/>
        </w:tabs>
        <w:ind w:left="360" w:hanging="360"/>
      </w:pPr>
    </w:lvl>
  </w:abstractNum>
  <w:abstractNum w:abstractNumId="337">
    <w:nsid w:val="322C78E1"/>
    <w:multiLevelType w:val="singleLevel"/>
    <w:tmpl w:val="E7124B62"/>
    <w:lvl w:ilvl="0">
      <w:start w:val="531"/>
      <w:numFmt w:val="decimal"/>
      <w:lvlText w:val="%1."/>
      <w:lvlJc w:val="left"/>
      <w:pPr>
        <w:tabs>
          <w:tab w:val="num" w:pos="454"/>
        </w:tabs>
        <w:ind w:left="454" w:hanging="454"/>
      </w:pPr>
    </w:lvl>
  </w:abstractNum>
  <w:abstractNum w:abstractNumId="338">
    <w:nsid w:val="32330C8A"/>
    <w:multiLevelType w:val="singleLevel"/>
    <w:tmpl w:val="5254B0DC"/>
    <w:lvl w:ilvl="0">
      <w:start w:val="419"/>
      <w:numFmt w:val="decimal"/>
      <w:lvlText w:val="%1."/>
      <w:lvlJc w:val="left"/>
      <w:pPr>
        <w:tabs>
          <w:tab w:val="num" w:pos="454"/>
        </w:tabs>
        <w:ind w:left="454" w:hanging="454"/>
      </w:pPr>
    </w:lvl>
  </w:abstractNum>
  <w:abstractNum w:abstractNumId="339">
    <w:nsid w:val="32511239"/>
    <w:multiLevelType w:val="singleLevel"/>
    <w:tmpl w:val="B0122E44"/>
    <w:lvl w:ilvl="0">
      <w:start w:val="305"/>
      <w:numFmt w:val="decimal"/>
      <w:lvlText w:val="%1."/>
      <w:lvlJc w:val="left"/>
      <w:pPr>
        <w:tabs>
          <w:tab w:val="num" w:pos="454"/>
        </w:tabs>
        <w:ind w:left="454" w:hanging="454"/>
      </w:pPr>
    </w:lvl>
  </w:abstractNum>
  <w:abstractNum w:abstractNumId="340">
    <w:nsid w:val="32BF0D97"/>
    <w:multiLevelType w:val="singleLevel"/>
    <w:tmpl w:val="0405000F"/>
    <w:lvl w:ilvl="0">
      <w:start w:val="1"/>
      <w:numFmt w:val="decimal"/>
      <w:lvlText w:val="%1."/>
      <w:lvlJc w:val="left"/>
      <w:pPr>
        <w:tabs>
          <w:tab w:val="num" w:pos="360"/>
        </w:tabs>
        <w:ind w:left="360" w:hanging="360"/>
      </w:pPr>
    </w:lvl>
  </w:abstractNum>
  <w:abstractNum w:abstractNumId="341">
    <w:nsid w:val="32C443D3"/>
    <w:multiLevelType w:val="singleLevel"/>
    <w:tmpl w:val="68809554"/>
    <w:lvl w:ilvl="0">
      <w:start w:val="244"/>
      <w:numFmt w:val="decimal"/>
      <w:lvlText w:val="%1."/>
      <w:lvlJc w:val="left"/>
      <w:pPr>
        <w:tabs>
          <w:tab w:val="num" w:pos="454"/>
        </w:tabs>
        <w:ind w:left="454" w:hanging="454"/>
      </w:pPr>
    </w:lvl>
  </w:abstractNum>
  <w:abstractNum w:abstractNumId="34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43">
    <w:nsid w:val="32ED5B99"/>
    <w:multiLevelType w:val="singleLevel"/>
    <w:tmpl w:val="9F8A1E30"/>
    <w:lvl w:ilvl="0">
      <w:start w:val="292"/>
      <w:numFmt w:val="decimal"/>
      <w:lvlText w:val="%1."/>
      <w:lvlJc w:val="left"/>
      <w:pPr>
        <w:tabs>
          <w:tab w:val="num" w:pos="454"/>
        </w:tabs>
        <w:ind w:left="454" w:hanging="454"/>
      </w:pPr>
    </w:lvl>
  </w:abstractNum>
  <w:abstractNum w:abstractNumId="344">
    <w:nsid w:val="33120778"/>
    <w:multiLevelType w:val="hybridMultilevel"/>
    <w:tmpl w:val="7F16FF8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5">
    <w:nsid w:val="33462F69"/>
    <w:multiLevelType w:val="hybridMultilevel"/>
    <w:tmpl w:val="2D14BEF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347">
    <w:nsid w:val="33E35B81"/>
    <w:multiLevelType w:val="singleLevel"/>
    <w:tmpl w:val="C450A5CE"/>
    <w:lvl w:ilvl="0">
      <w:start w:val="600"/>
      <w:numFmt w:val="decimal"/>
      <w:lvlText w:val="%1."/>
      <w:lvlJc w:val="left"/>
      <w:pPr>
        <w:tabs>
          <w:tab w:val="num" w:pos="454"/>
        </w:tabs>
        <w:ind w:left="454" w:hanging="454"/>
      </w:pPr>
    </w:lvl>
  </w:abstractNum>
  <w:abstractNum w:abstractNumId="348">
    <w:nsid w:val="34205C6A"/>
    <w:multiLevelType w:val="singleLevel"/>
    <w:tmpl w:val="7DEC29B4"/>
    <w:lvl w:ilvl="0">
      <w:start w:val="235"/>
      <w:numFmt w:val="decimal"/>
      <w:lvlText w:val="%1."/>
      <w:lvlJc w:val="left"/>
      <w:pPr>
        <w:tabs>
          <w:tab w:val="num" w:pos="454"/>
        </w:tabs>
        <w:ind w:left="454" w:hanging="454"/>
      </w:pPr>
    </w:lvl>
  </w:abstractNum>
  <w:abstractNum w:abstractNumId="349">
    <w:nsid w:val="342E139D"/>
    <w:multiLevelType w:val="hybridMultilevel"/>
    <w:tmpl w:val="51A45C7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51">
    <w:nsid w:val="346B1ED0"/>
    <w:multiLevelType w:val="hybridMultilevel"/>
    <w:tmpl w:val="8FC28C66"/>
    <w:lvl w:ilvl="0" w:tplc="33906670">
      <w:start w:val="1"/>
      <w:numFmt w:val="bullet"/>
      <w:lvlText w:val=""/>
      <w:lvlJc w:val="left"/>
      <w:pPr>
        <w:tabs>
          <w:tab w:val="num" w:pos="1496"/>
        </w:tabs>
        <w:ind w:left="1209" w:hanging="73"/>
      </w:pPr>
      <w:rPr>
        <w:rFonts w:ascii="Symbol" w:hAnsi="Symbol" w:hint="default"/>
      </w:rPr>
    </w:lvl>
    <w:lvl w:ilvl="1" w:tplc="04090003" w:tentative="1">
      <w:start w:val="1"/>
      <w:numFmt w:val="bullet"/>
      <w:lvlText w:val="o"/>
      <w:lvlJc w:val="left"/>
      <w:pPr>
        <w:tabs>
          <w:tab w:val="num" w:pos="2292"/>
        </w:tabs>
        <w:ind w:left="2292" w:hanging="360"/>
      </w:pPr>
      <w:rPr>
        <w:rFonts w:ascii="Courier New" w:hAnsi="Courier New" w:hint="default"/>
      </w:rPr>
    </w:lvl>
    <w:lvl w:ilvl="2" w:tplc="04090005" w:tentative="1">
      <w:start w:val="1"/>
      <w:numFmt w:val="bullet"/>
      <w:lvlText w:val=""/>
      <w:lvlJc w:val="left"/>
      <w:pPr>
        <w:tabs>
          <w:tab w:val="num" w:pos="3012"/>
        </w:tabs>
        <w:ind w:left="3012" w:hanging="360"/>
      </w:pPr>
      <w:rPr>
        <w:rFonts w:ascii="Wingdings" w:hAnsi="Wingdings" w:hint="default"/>
      </w:rPr>
    </w:lvl>
    <w:lvl w:ilvl="3" w:tplc="04090001" w:tentative="1">
      <w:start w:val="1"/>
      <w:numFmt w:val="bullet"/>
      <w:lvlText w:val=""/>
      <w:lvlJc w:val="left"/>
      <w:pPr>
        <w:tabs>
          <w:tab w:val="num" w:pos="3732"/>
        </w:tabs>
        <w:ind w:left="3732" w:hanging="360"/>
      </w:pPr>
      <w:rPr>
        <w:rFonts w:ascii="Symbol" w:hAnsi="Symbol" w:hint="default"/>
      </w:rPr>
    </w:lvl>
    <w:lvl w:ilvl="4" w:tplc="04090003" w:tentative="1">
      <w:start w:val="1"/>
      <w:numFmt w:val="bullet"/>
      <w:lvlText w:val="o"/>
      <w:lvlJc w:val="left"/>
      <w:pPr>
        <w:tabs>
          <w:tab w:val="num" w:pos="4452"/>
        </w:tabs>
        <w:ind w:left="4452" w:hanging="360"/>
      </w:pPr>
      <w:rPr>
        <w:rFonts w:ascii="Courier New" w:hAnsi="Courier New" w:hint="default"/>
      </w:rPr>
    </w:lvl>
    <w:lvl w:ilvl="5" w:tplc="04090005" w:tentative="1">
      <w:start w:val="1"/>
      <w:numFmt w:val="bullet"/>
      <w:lvlText w:val=""/>
      <w:lvlJc w:val="left"/>
      <w:pPr>
        <w:tabs>
          <w:tab w:val="num" w:pos="5172"/>
        </w:tabs>
        <w:ind w:left="5172" w:hanging="360"/>
      </w:pPr>
      <w:rPr>
        <w:rFonts w:ascii="Wingdings" w:hAnsi="Wingdings" w:hint="default"/>
      </w:rPr>
    </w:lvl>
    <w:lvl w:ilvl="6" w:tplc="04090001" w:tentative="1">
      <w:start w:val="1"/>
      <w:numFmt w:val="bullet"/>
      <w:lvlText w:val=""/>
      <w:lvlJc w:val="left"/>
      <w:pPr>
        <w:tabs>
          <w:tab w:val="num" w:pos="5892"/>
        </w:tabs>
        <w:ind w:left="5892" w:hanging="360"/>
      </w:pPr>
      <w:rPr>
        <w:rFonts w:ascii="Symbol" w:hAnsi="Symbol" w:hint="default"/>
      </w:rPr>
    </w:lvl>
    <w:lvl w:ilvl="7" w:tplc="04090003" w:tentative="1">
      <w:start w:val="1"/>
      <w:numFmt w:val="bullet"/>
      <w:lvlText w:val="o"/>
      <w:lvlJc w:val="left"/>
      <w:pPr>
        <w:tabs>
          <w:tab w:val="num" w:pos="6612"/>
        </w:tabs>
        <w:ind w:left="6612" w:hanging="360"/>
      </w:pPr>
      <w:rPr>
        <w:rFonts w:ascii="Courier New" w:hAnsi="Courier New" w:hint="default"/>
      </w:rPr>
    </w:lvl>
    <w:lvl w:ilvl="8" w:tplc="04090005" w:tentative="1">
      <w:start w:val="1"/>
      <w:numFmt w:val="bullet"/>
      <w:lvlText w:val=""/>
      <w:lvlJc w:val="left"/>
      <w:pPr>
        <w:tabs>
          <w:tab w:val="num" w:pos="7332"/>
        </w:tabs>
        <w:ind w:left="7332" w:hanging="360"/>
      </w:pPr>
      <w:rPr>
        <w:rFonts w:ascii="Wingdings" w:hAnsi="Wingdings" w:hint="default"/>
      </w:rPr>
    </w:lvl>
  </w:abstractNum>
  <w:abstractNum w:abstractNumId="352">
    <w:nsid w:val="34985CA0"/>
    <w:multiLevelType w:val="singleLevel"/>
    <w:tmpl w:val="090096B0"/>
    <w:lvl w:ilvl="0">
      <w:start w:val="705"/>
      <w:numFmt w:val="decimal"/>
      <w:lvlText w:val="%1."/>
      <w:lvlJc w:val="left"/>
      <w:pPr>
        <w:tabs>
          <w:tab w:val="num" w:pos="454"/>
        </w:tabs>
        <w:ind w:left="454" w:hanging="454"/>
      </w:pPr>
    </w:lvl>
  </w:abstractNum>
  <w:abstractNum w:abstractNumId="353">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4">
    <w:nsid w:val="355A0665"/>
    <w:multiLevelType w:val="singleLevel"/>
    <w:tmpl w:val="4F26BE0E"/>
    <w:lvl w:ilvl="0">
      <w:start w:val="3"/>
      <w:numFmt w:val="bullet"/>
      <w:lvlText w:val="-"/>
      <w:lvlJc w:val="left"/>
      <w:pPr>
        <w:tabs>
          <w:tab w:val="num" w:pos="420"/>
        </w:tabs>
        <w:ind w:left="420" w:hanging="360"/>
      </w:pPr>
      <w:rPr>
        <w:rFonts w:hint="default"/>
      </w:rPr>
    </w:lvl>
  </w:abstractNum>
  <w:abstractNum w:abstractNumId="355">
    <w:nsid w:val="35A359D6"/>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56">
    <w:nsid w:val="35A41F84"/>
    <w:multiLevelType w:val="hybridMultilevel"/>
    <w:tmpl w:val="A8D6BE60"/>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7">
    <w:nsid w:val="35ED065F"/>
    <w:multiLevelType w:val="hybridMultilevel"/>
    <w:tmpl w:val="470AC5D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8">
    <w:nsid w:val="361C139C"/>
    <w:multiLevelType w:val="singleLevel"/>
    <w:tmpl w:val="4B00A0BA"/>
    <w:lvl w:ilvl="0">
      <w:start w:val="301"/>
      <w:numFmt w:val="decimal"/>
      <w:lvlText w:val="%1."/>
      <w:lvlJc w:val="left"/>
      <w:pPr>
        <w:tabs>
          <w:tab w:val="num" w:pos="454"/>
        </w:tabs>
        <w:ind w:left="454" w:hanging="454"/>
      </w:pPr>
    </w:lvl>
  </w:abstractNum>
  <w:abstractNum w:abstractNumId="359">
    <w:nsid w:val="36255761"/>
    <w:multiLevelType w:val="singleLevel"/>
    <w:tmpl w:val="0409000F"/>
    <w:lvl w:ilvl="0">
      <w:start w:val="1"/>
      <w:numFmt w:val="decimal"/>
      <w:lvlText w:val="%1."/>
      <w:lvlJc w:val="left"/>
      <w:pPr>
        <w:tabs>
          <w:tab w:val="num" w:pos="360"/>
        </w:tabs>
        <w:ind w:left="360" w:hanging="360"/>
      </w:pPr>
    </w:lvl>
  </w:abstractNum>
  <w:abstractNum w:abstractNumId="360">
    <w:nsid w:val="36936E6B"/>
    <w:multiLevelType w:val="singleLevel"/>
    <w:tmpl w:val="11184752"/>
    <w:lvl w:ilvl="0">
      <w:start w:val="648"/>
      <w:numFmt w:val="decimal"/>
      <w:lvlText w:val="%1."/>
      <w:lvlJc w:val="left"/>
      <w:pPr>
        <w:tabs>
          <w:tab w:val="num" w:pos="454"/>
        </w:tabs>
        <w:ind w:left="454" w:hanging="454"/>
      </w:pPr>
    </w:lvl>
  </w:abstractNum>
  <w:abstractNum w:abstractNumId="361">
    <w:nsid w:val="36953F71"/>
    <w:multiLevelType w:val="singleLevel"/>
    <w:tmpl w:val="3D58A72A"/>
    <w:lvl w:ilvl="0">
      <w:start w:val="295"/>
      <w:numFmt w:val="decimal"/>
      <w:lvlText w:val="%1."/>
      <w:lvlJc w:val="left"/>
      <w:pPr>
        <w:tabs>
          <w:tab w:val="num" w:pos="454"/>
        </w:tabs>
        <w:ind w:left="454" w:hanging="454"/>
      </w:pPr>
    </w:lvl>
  </w:abstractNum>
  <w:abstractNum w:abstractNumId="362">
    <w:nsid w:val="36C976AA"/>
    <w:multiLevelType w:val="singleLevel"/>
    <w:tmpl w:val="04050017"/>
    <w:lvl w:ilvl="0">
      <w:start w:val="1"/>
      <w:numFmt w:val="lowerLetter"/>
      <w:lvlText w:val="%1)"/>
      <w:lvlJc w:val="left"/>
      <w:pPr>
        <w:tabs>
          <w:tab w:val="num" w:pos="360"/>
        </w:tabs>
        <w:ind w:left="360" w:hanging="360"/>
      </w:pPr>
    </w:lvl>
  </w:abstractNum>
  <w:abstractNum w:abstractNumId="36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64">
    <w:nsid w:val="379C13A2"/>
    <w:multiLevelType w:val="singleLevel"/>
    <w:tmpl w:val="80EC7F06"/>
    <w:lvl w:ilvl="0">
      <w:start w:val="718"/>
      <w:numFmt w:val="decimal"/>
      <w:lvlText w:val="%1."/>
      <w:lvlJc w:val="left"/>
      <w:pPr>
        <w:tabs>
          <w:tab w:val="num" w:pos="454"/>
        </w:tabs>
        <w:ind w:left="454" w:hanging="454"/>
      </w:pPr>
    </w:lvl>
  </w:abstractNum>
  <w:abstractNum w:abstractNumId="365">
    <w:nsid w:val="37A62B98"/>
    <w:multiLevelType w:val="singleLevel"/>
    <w:tmpl w:val="8BE69D98"/>
    <w:lvl w:ilvl="0">
      <w:start w:val="320"/>
      <w:numFmt w:val="decimal"/>
      <w:lvlText w:val="%1."/>
      <w:lvlJc w:val="left"/>
      <w:pPr>
        <w:tabs>
          <w:tab w:val="num" w:pos="454"/>
        </w:tabs>
        <w:ind w:left="454" w:hanging="454"/>
      </w:pPr>
    </w:lvl>
  </w:abstractNum>
  <w:abstractNum w:abstractNumId="366">
    <w:nsid w:val="37F73D1E"/>
    <w:multiLevelType w:val="singleLevel"/>
    <w:tmpl w:val="0C09000F"/>
    <w:lvl w:ilvl="0">
      <w:start w:val="1"/>
      <w:numFmt w:val="decimal"/>
      <w:lvlText w:val="%1."/>
      <w:lvlJc w:val="left"/>
      <w:pPr>
        <w:tabs>
          <w:tab w:val="num" w:pos="360"/>
        </w:tabs>
        <w:ind w:left="360" w:hanging="360"/>
      </w:pPr>
      <w:rPr>
        <w:rFonts w:hint="default"/>
      </w:rPr>
    </w:lvl>
  </w:abstractNum>
  <w:abstractNum w:abstractNumId="367">
    <w:nsid w:val="38427A0C"/>
    <w:multiLevelType w:val="singleLevel"/>
    <w:tmpl w:val="5F1C1D60"/>
    <w:lvl w:ilvl="0">
      <w:start w:val="565"/>
      <w:numFmt w:val="decimal"/>
      <w:lvlText w:val="%1."/>
      <w:lvlJc w:val="left"/>
      <w:pPr>
        <w:tabs>
          <w:tab w:val="num" w:pos="454"/>
        </w:tabs>
        <w:ind w:left="454" w:hanging="454"/>
      </w:pPr>
    </w:lvl>
  </w:abstractNum>
  <w:abstractNum w:abstractNumId="368">
    <w:nsid w:val="3863762A"/>
    <w:multiLevelType w:val="singleLevel"/>
    <w:tmpl w:val="CE8AF82C"/>
    <w:lvl w:ilvl="0">
      <w:start w:val="633"/>
      <w:numFmt w:val="decimal"/>
      <w:lvlText w:val="%1."/>
      <w:lvlJc w:val="left"/>
      <w:pPr>
        <w:tabs>
          <w:tab w:val="num" w:pos="454"/>
        </w:tabs>
        <w:ind w:left="454" w:hanging="454"/>
      </w:pPr>
    </w:lvl>
  </w:abstractNum>
  <w:abstractNum w:abstractNumId="369">
    <w:nsid w:val="38A720F6"/>
    <w:multiLevelType w:val="singleLevel"/>
    <w:tmpl w:val="709EF6CC"/>
    <w:lvl w:ilvl="0">
      <w:start w:val="601"/>
      <w:numFmt w:val="decimal"/>
      <w:lvlText w:val="%1."/>
      <w:lvlJc w:val="left"/>
      <w:pPr>
        <w:tabs>
          <w:tab w:val="num" w:pos="454"/>
        </w:tabs>
        <w:ind w:left="454" w:hanging="454"/>
      </w:pPr>
    </w:lvl>
  </w:abstractNum>
  <w:abstractNum w:abstractNumId="370">
    <w:nsid w:val="38DB774A"/>
    <w:multiLevelType w:val="singleLevel"/>
    <w:tmpl w:val="573E7016"/>
    <w:lvl w:ilvl="0">
      <w:start w:val="770"/>
      <w:numFmt w:val="decimal"/>
      <w:lvlText w:val="%1."/>
      <w:lvlJc w:val="left"/>
      <w:pPr>
        <w:tabs>
          <w:tab w:val="num" w:pos="454"/>
        </w:tabs>
        <w:ind w:left="454" w:hanging="454"/>
      </w:pPr>
    </w:lvl>
  </w:abstractNum>
  <w:abstractNum w:abstractNumId="371">
    <w:nsid w:val="38FC4C92"/>
    <w:multiLevelType w:val="singleLevel"/>
    <w:tmpl w:val="04050017"/>
    <w:lvl w:ilvl="0">
      <w:start w:val="1"/>
      <w:numFmt w:val="lowerLetter"/>
      <w:lvlText w:val="%1)"/>
      <w:lvlJc w:val="left"/>
      <w:pPr>
        <w:tabs>
          <w:tab w:val="num" w:pos="360"/>
        </w:tabs>
        <w:ind w:left="360" w:hanging="360"/>
      </w:pPr>
      <w:rPr>
        <w:rFonts w:hint="default"/>
      </w:rPr>
    </w:lvl>
  </w:abstractNum>
  <w:abstractNum w:abstractNumId="372">
    <w:nsid w:val="39192CB0"/>
    <w:multiLevelType w:val="hybridMultilevel"/>
    <w:tmpl w:val="443864DC"/>
    <w:lvl w:ilvl="0" w:tplc="C5DAE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nsid w:val="39621EA1"/>
    <w:multiLevelType w:val="hybridMultilevel"/>
    <w:tmpl w:val="A0DE0CAE"/>
    <w:lvl w:ilvl="0" w:tplc="FF96D4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4">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75">
    <w:nsid w:val="39D90235"/>
    <w:multiLevelType w:val="singleLevel"/>
    <w:tmpl w:val="5366C8E2"/>
    <w:lvl w:ilvl="0">
      <w:start w:val="1"/>
      <w:numFmt w:val="bullet"/>
      <w:pStyle w:val="x"/>
      <w:lvlText w:val=""/>
      <w:lvlJc w:val="left"/>
      <w:pPr>
        <w:tabs>
          <w:tab w:val="num" w:pos="510"/>
        </w:tabs>
        <w:ind w:left="510" w:hanging="510"/>
      </w:pPr>
      <w:rPr>
        <w:rFonts w:ascii="Symbol" w:hAnsi="Symbol" w:hint="default"/>
      </w:rPr>
    </w:lvl>
  </w:abstractNum>
  <w:abstractNum w:abstractNumId="376">
    <w:nsid w:val="39DD0C8A"/>
    <w:multiLevelType w:val="singleLevel"/>
    <w:tmpl w:val="0A6081F8"/>
    <w:lvl w:ilvl="0">
      <w:start w:val="235"/>
      <w:numFmt w:val="decimal"/>
      <w:lvlText w:val="%1."/>
      <w:lvlJc w:val="left"/>
      <w:pPr>
        <w:tabs>
          <w:tab w:val="num" w:pos="454"/>
        </w:tabs>
        <w:ind w:left="454" w:hanging="454"/>
      </w:pPr>
    </w:lvl>
  </w:abstractNum>
  <w:abstractNum w:abstractNumId="377">
    <w:nsid w:val="3A0F0B77"/>
    <w:multiLevelType w:val="singleLevel"/>
    <w:tmpl w:val="9D929952"/>
    <w:lvl w:ilvl="0">
      <w:start w:val="240"/>
      <w:numFmt w:val="decimal"/>
      <w:lvlText w:val="%1."/>
      <w:lvlJc w:val="left"/>
      <w:pPr>
        <w:tabs>
          <w:tab w:val="num" w:pos="454"/>
        </w:tabs>
        <w:ind w:left="454" w:hanging="454"/>
      </w:pPr>
    </w:lvl>
  </w:abstractNum>
  <w:abstractNum w:abstractNumId="378">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79">
    <w:nsid w:val="3A272314"/>
    <w:multiLevelType w:val="singleLevel"/>
    <w:tmpl w:val="AB28B4D2"/>
    <w:lvl w:ilvl="0">
      <w:start w:val="653"/>
      <w:numFmt w:val="decimal"/>
      <w:lvlText w:val="%1."/>
      <w:lvlJc w:val="left"/>
      <w:pPr>
        <w:tabs>
          <w:tab w:val="num" w:pos="454"/>
        </w:tabs>
        <w:ind w:left="454" w:hanging="454"/>
      </w:pPr>
    </w:lvl>
  </w:abstractNum>
  <w:abstractNum w:abstractNumId="380">
    <w:nsid w:val="3A4D4986"/>
    <w:multiLevelType w:val="hybridMultilevel"/>
    <w:tmpl w:val="B53C2C18"/>
    <w:lvl w:ilvl="0" w:tplc="98B25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1">
    <w:nsid w:val="3A5B63E2"/>
    <w:multiLevelType w:val="singleLevel"/>
    <w:tmpl w:val="2180A6AA"/>
    <w:lvl w:ilvl="0">
      <w:start w:val="452"/>
      <w:numFmt w:val="decimal"/>
      <w:lvlText w:val="%1."/>
      <w:lvlJc w:val="left"/>
      <w:pPr>
        <w:tabs>
          <w:tab w:val="num" w:pos="454"/>
        </w:tabs>
        <w:ind w:left="454" w:hanging="454"/>
      </w:pPr>
    </w:lvl>
  </w:abstractNum>
  <w:abstractNum w:abstractNumId="382">
    <w:nsid w:val="3A8C52B8"/>
    <w:multiLevelType w:val="singleLevel"/>
    <w:tmpl w:val="589024BA"/>
    <w:lvl w:ilvl="0">
      <w:start w:val="492"/>
      <w:numFmt w:val="decimal"/>
      <w:lvlText w:val="%1."/>
      <w:lvlJc w:val="left"/>
      <w:pPr>
        <w:tabs>
          <w:tab w:val="num" w:pos="454"/>
        </w:tabs>
        <w:ind w:left="454" w:hanging="454"/>
      </w:pPr>
    </w:lvl>
  </w:abstractNum>
  <w:abstractNum w:abstractNumId="383">
    <w:nsid w:val="3A9C29C5"/>
    <w:multiLevelType w:val="singleLevel"/>
    <w:tmpl w:val="B07630E6"/>
    <w:lvl w:ilvl="0">
      <w:start w:val="149"/>
      <w:numFmt w:val="decimal"/>
      <w:lvlText w:val="%1."/>
      <w:lvlJc w:val="left"/>
      <w:pPr>
        <w:tabs>
          <w:tab w:val="num" w:pos="454"/>
        </w:tabs>
        <w:ind w:left="454" w:hanging="454"/>
      </w:pPr>
    </w:lvl>
  </w:abstractNum>
  <w:abstractNum w:abstractNumId="384">
    <w:nsid w:val="3AA21CF9"/>
    <w:multiLevelType w:val="singleLevel"/>
    <w:tmpl w:val="A102416E"/>
    <w:lvl w:ilvl="0">
      <w:start w:val="620"/>
      <w:numFmt w:val="decimal"/>
      <w:lvlText w:val="%1."/>
      <w:lvlJc w:val="left"/>
      <w:pPr>
        <w:tabs>
          <w:tab w:val="num" w:pos="454"/>
        </w:tabs>
        <w:ind w:left="454" w:hanging="454"/>
      </w:pPr>
    </w:lvl>
  </w:abstractNum>
  <w:abstractNum w:abstractNumId="385">
    <w:nsid w:val="3BB8306E"/>
    <w:multiLevelType w:val="singleLevel"/>
    <w:tmpl w:val="0DD27804"/>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86">
    <w:nsid w:val="3BE86A04"/>
    <w:multiLevelType w:val="singleLevel"/>
    <w:tmpl w:val="9984EC86"/>
    <w:lvl w:ilvl="0">
      <w:start w:val="658"/>
      <w:numFmt w:val="decimal"/>
      <w:lvlText w:val="%1."/>
      <w:lvlJc w:val="left"/>
      <w:pPr>
        <w:tabs>
          <w:tab w:val="num" w:pos="454"/>
        </w:tabs>
        <w:ind w:left="454" w:hanging="454"/>
      </w:pPr>
    </w:lvl>
  </w:abstractNum>
  <w:abstractNum w:abstractNumId="387">
    <w:nsid w:val="3BF445DE"/>
    <w:multiLevelType w:val="singleLevel"/>
    <w:tmpl w:val="19DC8406"/>
    <w:lvl w:ilvl="0">
      <w:start w:val="500"/>
      <w:numFmt w:val="decimal"/>
      <w:lvlText w:val="%1."/>
      <w:lvlJc w:val="left"/>
      <w:pPr>
        <w:tabs>
          <w:tab w:val="num" w:pos="454"/>
        </w:tabs>
        <w:ind w:left="454" w:hanging="454"/>
      </w:pPr>
    </w:lvl>
  </w:abstractNum>
  <w:abstractNum w:abstractNumId="388">
    <w:nsid w:val="3BFC703E"/>
    <w:multiLevelType w:val="singleLevel"/>
    <w:tmpl w:val="04050017"/>
    <w:lvl w:ilvl="0">
      <w:start w:val="1"/>
      <w:numFmt w:val="lowerLetter"/>
      <w:lvlText w:val="%1)"/>
      <w:lvlJc w:val="left"/>
      <w:pPr>
        <w:tabs>
          <w:tab w:val="num" w:pos="360"/>
        </w:tabs>
        <w:ind w:left="360" w:hanging="360"/>
      </w:pPr>
    </w:lvl>
  </w:abstractNum>
  <w:abstractNum w:abstractNumId="389">
    <w:nsid w:val="3C3F0E3B"/>
    <w:multiLevelType w:val="singleLevel"/>
    <w:tmpl w:val="04050017"/>
    <w:lvl w:ilvl="0">
      <w:start w:val="1"/>
      <w:numFmt w:val="lowerLetter"/>
      <w:lvlText w:val="%1)"/>
      <w:lvlJc w:val="left"/>
      <w:pPr>
        <w:tabs>
          <w:tab w:val="num" w:pos="360"/>
        </w:tabs>
        <w:ind w:left="360" w:hanging="360"/>
      </w:pPr>
      <w:rPr>
        <w:rFonts w:hint="default"/>
      </w:rPr>
    </w:lvl>
  </w:abstractNum>
  <w:abstractNum w:abstractNumId="390">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1">
    <w:nsid w:val="3C96170C"/>
    <w:multiLevelType w:val="hybridMultilevel"/>
    <w:tmpl w:val="9A3A465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93">
    <w:nsid w:val="3D082EE0"/>
    <w:multiLevelType w:val="singleLevel"/>
    <w:tmpl w:val="EEEA504C"/>
    <w:lvl w:ilvl="0">
      <w:start w:val="2"/>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94">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95">
    <w:nsid w:val="3D523420"/>
    <w:multiLevelType w:val="singleLevel"/>
    <w:tmpl w:val="6C72C6D6"/>
    <w:lvl w:ilvl="0">
      <w:start w:val="238"/>
      <w:numFmt w:val="decimal"/>
      <w:lvlText w:val="%1."/>
      <w:lvlJc w:val="left"/>
      <w:pPr>
        <w:tabs>
          <w:tab w:val="num" w:pos="454"/>
        </w:tabs>
        <w:ind w:left="454" w:hanging="454"/>
      </w:pPr>
    </w:lvl>
  </w:abstractNum>
  <w:abstractNum w:abstractNumId="396">
    <w:nsid w:val="3D622775"/>
    <w:multiLevelType w:val="singleLevel"/>
    <w:tmpl w:val="2CCE483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397">
    <w:nsid w:val="3D787358"/>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398">
    <w:nsid w:val="3D8141CC"/>
    <w:multiLevelType w:val="singleLevel"/>
    <w:tmpl w:val="04050017"/>
    <w:lvl w:ilvl="0">
      <w:start w:val="1"/>
      <w:numFmt w:val="lowerLetter"/>
      <w:lvlText w:val="%1)"/>
      <w:lvlJc w:val="left"/>
      <w:pPr>
        <w:tabs>
          <w:tab w:val="num" w:pos="360"/>
        </w:tabs>
        <w:ind w:left="360" w:hanging="360"/>
      </w:pPr>
    </w:lvl>
  </w:abstractNum>
  <w:abstractNum w:abstractNumId="399">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0">
    <w:nsid w:val="3D9F45CD"/>
    <w:multiLevelType w:val="singleLevel"/>
    <w:tmpl w:val="8FE24D78"/>
    <w:lvl w:ilvl="0">
      <w:start w:val="354"/>
      <w:numFmt w:val="decimal"/>
      <w:lvlText w:val="%1."/>
      <w:lvlJc w:val="left"/>
      <w:pPr>
        <w:tabs>
          <w:tab w:val="num" w:pos="454"/>
        </w:tabs>
        <w:ind w:left="454" w:hanging="454"/>
      </w:pPr>
    </w:lvl>
  </w:abstractNum>
  <w:abstractNum w:abstractNumId="401">
    <w:nsid w:val="3DF77A29"/>
    <w:multiLevelType w:val="singleLevel"/>
    <w:tmpl w:val="EDE64B1A"/>
    <w:lvl w:ilvl="0">
      <w:start w:val="630"/>
      <w:numFmt w:val="decimal"/>
      <w:lvlText w:val="%1."/>
      <w:lvlJc w:val="left"/>
      <w:pPr>
        <w:tabs>
          <w:tab w:val="num" w:pos="454"/>
        </w:tabs>
        <w:ind w:left="454" w:hanging="454"/>
      </w:pPr>
    </w:lvl>
  </w:abstractNum>
  <w:abstractNum w:abstractNumId="402">
    <w:nsid w:val="3E016ABE"/>
    <w:multiLevelType w:val="singleLevel"/>
    <w:tmpl w:val="3F5E4F8E"/>
    <w:lvl w:ilvl="0">
      <w:start w:val="214"/>
      <w:numFmt w:val="decimal"/>
      <w:lvlText w:val="%1."/>
      <w:lvlJc w:val="left"/>
      <w:pPr>
        <w:tabs>
          <w:tab w:val="num" w:pos="454"/>
        </w:tabs>
        <w:ind w:left="454" w:hanging="454"/>
      </w:pPr>
    </w:lvl>
  </w:abstractNum>
  <w:abstractNum w:abstractNumId="403">
    <w:nsid w:val="3E1A3F50"/>
    <w:multiLevelType w:val="singleLevel"/>
    <w:tmpl w:val="1DF46606"/>
    <w:lvl w:ilvl="0">
      <w:start w:val="384"/>
      <w:numFmt w:val="decimal"/>
      <w:lvlText w:val="%1."/>
      <w:lvlJc w:val="left"/>
      <w:pPr>
        <w:tabs>
          <w:tab w:val="num" w:pos="454"/>
        </w:tabs>
        <w:ind w:left="454" w:hanging="454"/>
      </w:pPr>
    </w:lvl>
  </w:abstractNum>
  <w:abstractNum w:abstractNumId="404">
    <w:nsid w:val="3E2267FF"/>
    <w:multiLevelType w:val="hybridMultilevel"/>
    <w:tmpl w:val="CF6AABE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406">
    <w:nsid w:val="3E6F66E2"/>
    <w:multiLevelType w:val="singleLevel"/>
    <w:tmpl w:val="700AC4FE"/>
    <w:lvl w:ilvl="0">
      <w:start w:val="530"/>
      <w:numFmt w:val="decimal"/>
      <w:lvlText w:val="%1."/>
      <w:lvlJc w:val="left"/>
      <w:pPr>
        <w:tabs>
          <w:tab w:val="num" w:pos="454"/>
        </w:tabs>
        <w:ind w:left="454" w:hanging="454"/>
      </w:pPr>
    </w:lvl>
  </w:abstractNum>
  <w:abstractNum w:abstractNumId="407">
    <w:nsid w:val="3E7003B7"/>
    <w:multiLevelType w:val="hybridMultilevel"/>
    <w:tmpl w:val="493C035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8">
    <w:nsid w:val="3EE064B8"/>
    <w:multiLevelType w:val="hybridMultilevel"/>
    <w:tmpl w:val="4A0E71D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9">
    <w:nsid w:val="3F487B26"/>
    <w:multiLevelType w:val="hybridMultilevel"/>
    <w:tmpl w:val="A7BE9760"/>
    <w:lvl w:ilvl="0" w:tplc="FA261F8C">
      <w:start w:val="1"/>
      <w:numFmt w:val="bullet"/>
      <w:lvlText w:val=""/>
      <w:lvlJc w:val="left"/>
      <w:pPr>
        <w:tabs>
          <w:tab w:val="num" w:pos="1074"/>
        </w:tabs>
        <w:ind w:left="1071" w:hanging="357"/>
      </w:pPr>
      <w:rPr>
        <w:rFonts w:ascii="Symbol" w:hAnsi="Symbol" w:hint="default"/>
      </w:rPr>
    </w:lvl>
    <w:lvl w:ilvl="1" w:tplc="C0BEF21E">
      <w:numFmt w:val="bullet"/>
      <w:lvlText w:val=""/>
      <w:lvlJc w:val="left"/>
      <w:pPr>
        <w:tabs>
          <w:tab w:val="num" w:pos="2154"/>
        </w:tabs>
        <w:ind w:left="2154" w:hanging="360"/>
      </w:pPr>
      <w:rPr>
        <w:rFonts w:ascii="Symbol" w:eastAsia="Times New Roman" w:hAnsi="Symbol"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0">
    <w:nsid w:val="3F5C7C63"/>
    <w:multiLevelType w:val="singleLevel"/>
    <w:tmpl w:val="516ABA80"/>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11">
    <w:nsid w:val="3FB36747"/>
    <w:multiLevelType w:val="singleLevel"/>
    <w:tmpl w:val="E266E338"/>
    <w:lvl w:ilvl="0">
      <w:start w:val="82"/>
      <w:numFmt w:val="decimal"/>
      <w:lvlText w:val="%1."/>
      <w:lvlJc w:val="left"/>
      <w:pPr>
        <w:tabs>
          <w:tab w:val="num" w:pos="360"/>
        </w:tabs>
        <w:ind w:left="357" w:hanging="357"/>
      </w:pPr>
    </w:lvl>
  </w:abstractNum>
  <w:abstractNum w:abstractNumId="412">
    <w:nsid w:val="40001190"/>
    <w:multiLevelType w:val="singleLevel"/>
    <w:tmpl w:val="0405000F"/>
    <w:lvl w:ilvl="0">
      <w:start w:val="1"/>
      <w:numFmt w:val="decimal"/>
      <w:lvlText w:val="%1."/>
      <w:lvlJc w:val="left"/>
      <w:pPr>
        <w:tabs>
          <w:tab w:val="num" w:pos="360"/>
        </w:tabs>
        <w:ind w:left="360" w:hanging="360"/>
      </w:pPr>
    </w:lvl>
  </w:abstractNum>
  <w:abstractNum w:abstractNumId="413">
    <w:nsid w:val="40217DFF"/>
    <w:multiLevelType w:val="hybridMultilevel"/>
    <w:tmpl w:val="025E2FD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nsid w:val="40221049"/>
    <w:multiLevelType w:val="singleLevel"/>
    <w:tmpl w:val="04D4B0C4"/>
    <w:lvl w:ilvl="0">
      <w:start w:val="1"/>
      <w:numFmt w:val="decimal"/>
      <w:lvlText w:val="%1."/>
      <w:lvlJc w:val="left"/>
      <w:pPr>
        <w:tabs>
          <w:tab w:val="num" w:pos="360"/>
        </w:tabs>
        <w:ind w:left="360" w:hanging="360"/>
      </w:pPr>
    </w:lvl>
  </w:abstractNum>
  <w:abstractNum w:abstractNumId="41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16">
    <w:nsid w:val="40995E81"/>
    <w:multiLevelType w:val="singleLevel"/>
    <w:tmpl w:val="04050017"/>
    <w:lvl w:ilvl="0">
      <w:start w:val="1"/>
      <w:numFmt w:val="lowerLetter"/>
      <w:lvlText w:val="%1)"/>
      <w:lvlJc w:val="left"/>
      <w:pPr>
        <w:tabs>
          <w:tab w:val="num" w:pos="360"/>
        </w:tabs>
        <w:ind w:left="360" w:hanging="360"/>
      </w:pPr>
    </w:lvl>
  </w:abstractNum>
  <w:abstractNum w:abstractNumId="417">
    <w:nsid w:val="40FD602B"/>
    <w:multiLevelType w:val="singleLevel"/>
    <w:tmpl w:val="3EE0624C"/>
    <w:lvl w:ilvl="0">
      <w:start w:val="1"/>
      <w:numFmt w:val="lowerLetter"/>
      <w:lvlText w:val="%1)"/>
      <w:lvlJc w:val="left"/>
      <w:pPr>
        <w:tabs>
          <w:tab w:val="num" w:pos="817"/>
        </w:tabs>
        <w:ind w:left="817" w:hanging="363"/>
      </w:pPr>
      <w:rPr>
        <w:rFonts w:hint="default"/>
      </w:rPr>
    </w:lvl>
  </w:abstractNum>
  <w:abstractNum w:abstractNumId="418">
    <w:nsid w:val="40FE017E"/>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419">
    <w:nsid w:val="41227749"/>
    <w:multiLevelType w:val="singleLevel"/>
    <w:tmpl w:val="8A60EFA8"/>
    <w:lvl w:ilvl="0">
      <w:start w:val="312"/>
      <w:numFmt w:val="decimal"/>
      <w:lvlText w:val="%1."/>
      <w:lvlJc w:val="left"/>
      <w:pPr>
        <w:tabs>
          <w:tab w:val="num" w:pos="454"/>
        </w:tabs>
        <w:ind w:left="454" w:hanging="454"/>
      </w:pPr>
    </w:lvl>
  </w:abstractNum>
  <w:abstractNum w:abstractNumId="420">
    <w:nsid w:val="41231A25"/>
    <w:multiLevelType w:val="singleLevel"/>
    <w:tmpl w:val="B7968096"/>
    <w:lvl w:ilvl="0">
      <w:start w:val="146"/>
      <w:numFmt w:val="decimal"/>
      <w:lvlText w:val="%1."/>
      <w:lvlJc w:val="left"/>
      <w:pPr>
        <w:tabs>
          <w:tab w:val="num" w:pos="454"/>
        </w:tabs>
        <w:ind w:left="454" w:hanging="454"/>
      </w:pPr>
      <w:rPr>
        <w:b w:val="0"/>
        <w:i w:val="0"/>
        <w:sz w:val="24"/>
        <w:szCs w:val="24"/>
      </w:rPr>
    </w:lvl>
  </w:abstractNum>
  <w:abstractNum w:abstractNumId="421">
    <w:nsid w:val="4123249A"/>
    <w:multiLevelType w:val="singleLevel"/>
    <w:tmpl w:val="A69404E0"/>
    <w:lvl w:ilvl="0">
      <w:start w:val="253"/>
      <w:numFmt w:val="decimal"/>
      <w:lvlText w:val="%1."/>
      <w:lvlJc w:val="left"/>
      <w:pPr>
        <w:tabs>
          <w:tab w:val="num" w:pos="454"/>
        </w:tabs>
        <w:ind w:left="454" w:hanging="454"/>
      </w:pPr>
    </w:lvl>
  </w:abstractNum>
  <w:abstractNum w:abstractNumId="422">
    <w:nsid w:val="41B32B4F"/>
    <w:multiLevelType w:val="singleLevel"/>
    <w:tmpl w:val="04050017"/>
    <w:lvl w:ilvl="0">
      <w:start w:val="1"/>
      <w:numFmt w:val="lowerLetter"/>
      <w:lvlText w:val="%1)"/>
      <w:lvlJc w:val="left"/>
      <w:pPr>
        <w:tabs>
          <w:tab w:val="num" w:pos="360"/>
        </w:tabs>
        <w:ind w:left="360" w:hanging="360"/>
      </w:pPr>
      <w:rPr>
        <w:rFonts w:hint="default"/>
      </w:rPr>
    </w:lvl>
  </w:abstractNum>
  <w:abstractNum w:abstractNumId="423">
    <w:nsid w:val="41C43E08"/>
    <w:multiLevelType w:val="hybridMultilevel"/>
    <w:tmpl w:val="FDA440E6"/>
    <w:lvl w:ilvl="0" w:tplc="DA044DE4">
      <w:start w:val="1"/>
      <w:numFmt w:val="lowerLetter"/>
      <w:lvlRestart w:val="0"/>
      <w:lvlText w:val="(%1)"/>
      <w:lvlJc w:val="right"/>
      <w:pPr>
        <w:tabs>
          <w:tab w:val="num" w:pos="1758"/>
        </w:tabs>
        <w:ind w:left="1758" w:hanging="227"/>
      </w:pPr>
      <w:rPr>
        <w:rFonts w:ascii="Times New Roman" w:hAnsi="Times New Roman" w:hint="eastAsia"/>
        <w:b w:val="0"/>
        <w:i w:val="0"/>
        <w:sz w:val="24"/>
      </w:rPr>
    </w:lvl>
    <w:lvl w:ilvl="1" w:tplc="DA044DE4">
      <w:start w:val="1"/>
      <w:numFmt w:val="lowerLetter"/>
      <w:lvlRestart w:val="0"/>
      <w:lvlText w:val="(%2)"/>
      <w:lvlJc w:val="right"/>
      <w:pPr>
        <w:tabs>
          <w:tab w:val="num" w:pos="1534"/>
        </w:tabs>
        <w:ind w:left="1534" w:hanging="227"/>
      </w:pPr>
      <w:rPr>
        <w:rFonts w:ascii="Times New Roman" w:hAnsi="Times New Roman" w:hint="eastAsia"/>
        <w:b w:val="0"/>
        <w:i w:val="0"/>
        <w:sz w:val="24"/>
      </w:rPr>
    </w:lvl>
    <w:lvl w:ilvl="2" w:tplc="0409001B" w:tentative="1">
      <w:start w:val="1"/>
      <w:numFmt w:val="lowerRoman"/>
      <w:lvlText w:val="%3."/>
      <w:lvlJc w:val="right"/>
      <w:pPr>
        <w:tabs>
          <w:tab w:val="num" w:pos="2387"/>
        </w:tabs>
        <w:ind w:left="2387" w:hanging="180"/>
      </w:pPr>
    </w:lvl>
    <w:lvl w:ilvl="3" w:tplc="0409000F" w:tentative="1">
      <w:start w:val="1"/>
      <w:numFmt w:val="decimal"/>
      <w:lvlText w:val="%4."/>
      <w:lvlJc w:val="left"/>
      <w:pPr>
        <w:tabs>
          <w:tab w:val="num" w:pos="3107"/>
        </w:tabs>
        <w:ind w:left="3107" w:hanging="360"/>
      </w:pPr>
    </w:lvl>
    <w:lvl w:ilvl="4" w:tplc="04090019" w:tentative="1">
      <w:start w:val="1"/>
      <w:numFmt w:val="lowerLetter"/>
      <w:lvlText w:val="%5."/>
      <w:lvlJc w:val="left"/>
      <w:pPr>
        <w:tabs>
          <w:tab w:val="num" w:pos="3827"/>
        </w:tabs>
        <w:ind w:left="3827" w:hanging="360"/>
      </w:pPr>
    </w:lvl>
    <w:lvl w:ilvl="5" w:tplc="0409001B" w:tentative="1">
      <w:start w:val="1"/>
      <w:numFmt w:val="lowerRoman"/>
      <w:lvlText w:val="%6."/>
      <w:lvlJc w:val="right"/>
      <w:pPr>
        <w:tabs>
          <w:tab w:val="num" w:pos="4547"/>
        </w:tabs>
        <w:ind w:left="4547" w:hanging="180"/>
      </w:pPr>
    </w:lvl>
    <w:lvl w:ilvl="6" w:tplc="0409000F" w:tentative="1">
      <w:start w:val="1"/>
      <w:numFmt w:val="decimal"/>
      <w:lvlText w:val="%7."/>
      <w:lvlJc w:val="left"/>
      <w:pPr>
        <w:tabs>
          <w:tab w:val="num" w:pos="5267"/>
        </w:tabs>
        <w:ind w:left="5267" w:hanging="360"/>
      </w:pPr>
    </w:lvl>
    <w:lvl w:ilvl="7" w:tplc="04090019" w:tentative="1">
      <w:start w:val="1"/>
      <w:numFmt w:val="lowerLetter"/>
      <w:lvlText w:val="%8."/>
      <w:lvlJc w:val="left"/>
      <w:pPr>
        <w:tabs>
          <w:tab w:val="num" w:pos="5987"/>
        </w:tabs>
        <w:ind w:left="5987" w:hanging="360"/>
      </w:pPr>
    </w:lvl>
    <w:lvl w:ilvl="8" w:tplc="0409001B" w:tentative="1">
      <w:start w:val="1"/>
      <w:numFmt w:val="lowerRoman"/>
      <w:lvlText w:val="%9."/>
      <w:lvlJc w:val="right"/>
      <w:pPr>
        <w:tabs>
          <w:tab w:val="num" w:pos="6707"/>
        </w:tabs>
        <w:ind w:left="6707" w:hanging="180"/>
      </w:pPr>
    </w:lvl>
  </w:abstractNum>
  <w:abstractNum w:abstractNumId="424">
    <w:nsid w:val="41F762BB"/>
    <w:multiLevelType w:val="hybridMultilevel"/>
    <w:tmpl w:val="E904FAD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5">
    <w:nsid w:val="422666B0"/>
    <w:multiLevelType w:val="singleLevel"/>
    <w:tmpl w:val="F096463A"/>
    <w:lvl w:ilvl="0">
      <w:start w:val="254"/>
      <w:numFmt w:val="decimal"/>
      <w:lvlText w:val="%1."/>
      <w:lvlJc w:val="left"/>
      <w:pPr>
        <w:tabs>
          <w:tab w:val="num" w:pos="454"/>
        </w:tabs>
        <w:ind w:left="454" w:hanging="454"/>
      </w:pPr>
    </w:lvl>
  </w:abstractNum>
  <w:abstractNum w:abstractNumId="426">
    <w:nsid w:val="429F1C46"/>
    <w:multiLevelType w:val="singleLevel"/>
    <w:tmpl w:val="E9A27296"/>
    <w:lvl w:ilvl="0">
      <w:start w:val="1"/>
      <w:numFmt w:val="lowerLetter"/>
      <w:lvlText w:val="%1)"/>
      <w:lvlJc w:val="left"/>
      <w:pPr>
        <w:tabs>
          <w:tab w:val="num" w:pos="454"/>
        </w:tabs>
        <w:ind w:left="454" w:hanging="454"/>
      </w:pPr>
      <w:rPr>
        <w:rFonts w:hint="default"/>
      </w:rPr>
    </w:lvl>
  </w:abstractNum>
  <w:abstractNum w:abstractNumId="427">
    <w:nsid w:val="42A85A28"/>
    <w:multiLevelType w:val="singleLevel"/>
    <w:tmpl w:val="03621A18"/>
    <w:lvl w:ilvl="0">
      <w:start w:val="545"/>
      <w:numFmt w:val="decimal"/>
      <w:lvlText w:val="%1."/>
      <w:lvlJc w:val="left"/>
      <w:pPr>
        <w:tabs>
          <w:tab w:val="num" w:pos="454"/>
        </w:tabs>
        <w:ind w:left="454" w:hanging="454"/>
      </w:pPr>
    </w:lvl>
  </w:abstractNum>
  <w:abstractNum w:abstractNumId="428">
    <w:nsid w:val="42A87323"/>
    <w:multiLevelType w:val="hybridMultilevel"/>
    <w:tmpl w:val="CD20DE54"/>
    <w:lvl w:ilvl="0" w:tplc="98B25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9">
    <w:nsid w:val="42AA2F87"/>
    <w:multiLevelType w:val="singleLevel"/>
    <w:tmpl w:val="B720F0DA"/>
    <w:lvl w:ilvl="0">
      <w:start w:val="328"/>
      <w:numFmt w:val="decimal"/>
      <w:lvlText w:val="%1."/>
      <w:lvlJc w:val="left"/>
      <w:pPr>
        <w:tabs>
          <w:tab w:val="num" w:pos="454"/>
        </w:tabs>
        <w:ind w:left="454" w:hanging="454"/>
      </w:pPr>
    </w:lvl>
  </w:abstractNum>
  <w:abstractNum w:abstractNumId="430">
    <w:nsid w:val="42D225B8"/>
    <w:multiLevelType w:val="singleLevel"/>
    <w:tmpl w:val="3FF4D9E4"/>
    <w:lvl w:ilvl="0">
      <w:start w:val="382"/>
      <w:numFmt w:val="decimal"/>
      <w:lvlText w:val="%1."/>
      <w:lvlJc w:val="left"/>
      <w:pPr>
        <w:tabs>
          <w:tab w:val="num" w:pos="454"/>
        </w:tabs>
        <w:ind w:left="454" w:hanging="454"/>
      </w:pPr>
    </w:lvl>
  </w:abstractNum>
  <w:abstractNum w:abstractNumId="431">
    <w:nsid w:val="42EA4E5A"/>
    <w:multiLevelType w:val="singleLevel"/>
    <w:tmpl w:val="4A4CB67E"/>
    <w:lvl w:ilvl="0">
      <w:start w:val="139"/>
      <w:numFmt w:val="decimal"/>
      <w:lvlText w:val="%1."/>
      <w:lvlJc w:val="left"/>
      <w:pPr>
        <w:tabs>
          <w:tab w:val="num" w:pos="454"/>
        </w:tabs>
        <w:ind w:left="454" w:hanging="454"/>
      </w:pPr>
    </w:lvl>
  </w:abstractNum>
  <w:abstractNum w:abstractNumId="432">
    <w:nsid w:val="4312584F"/>
    <w:multiLevelType w:val="singleLevel"/>
    <w:tmpl w:val="EF7C0E08"/>
    <w:lvl w:ilvl="0">
      <w:start w:val="435"/>
      <w:numFmt w:val="decimal"/>
      <w:lvlText w:val="%1."/>
      <w:lvlJc w:val="left"/>
      <w:pPr>
        <w:tabs>
          <w:tab w:val="num" w:pos="454"/>
        </w:tabs>
        <w:ind w:left="454" w:hanging="454"/>
      </w:pPr>
    </w:lvl>
  </w:abstractNum>
  <w:abstractNum w:abstractNumId="433">
    <w:nsid w:val="43346441"/>
    <w:multiLevelType w:val="singleLevel"/>
    <w:tmpl w:val="481E08B6"/>
    <w:lvl w:ilvl="0">
      <w:start w:val="758"/>
      <w:numFmt w:val="decimal"/>
      <w:lvlText w:val="%1."/>
      <w:lvlJc w:val="left"/>
      <w:pPr>
        <w:tabs>
          <w:tab w:val="num" w:pos="454"/>
        </w:tabs>
        <w:ind w:left="454" w:hanging="454"/>
      </w:pPr>
    </w:lvl>
  </w:abstractNum>
  <w:abstractNum w:abstractNumId="434">
    <w:nsid w:val="436A6A33"/>
    <w:multiLevelType w:val="hybridMultilevel"/>
    <w:tmpl w:val="ED0C826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36">
    <w:nsid w:val="439F6B57"/>
    <w:multiLevelType w:val="singleLevel"/>
    <w:tmpl w:val="6F7EAF2A"/>
    <w:lvl w:ilvl="0">
      <w:start w:val="446"/>
      <w:numFmt w:val="decimal"/>
      <w:lvlText w:val="%1."/>
      <w:lvlJc w:val="left"/>
      <w:pPr>
        <w:tabs>
          <w:tab w:val="num" w:pos="454"/>
        </w:tabs>
        <w:ind w:left="454" w:hanging="454"/>
      </w:pPr>
    </w:lvl>
  </w:abstractNum>
  <w:abstractNum w:abstractNumId="437">
    <w:nsid w:val="43AF5199"/>
    <w:multiLevelType w:val="singleLevel"/>
    <w:tmpl w:val="6D6C483C"/>
    <w:lvl w:ilvl="0">
      <w:start w:val="66"/>
      <w:numFmt w:val="decimal"/>
      <w:lvlText w:val="%1."/>
      <w:lvlJc w:val="left"/>
      <w:pPr>
        <w:tabs>
          <w:tab w:val="num" w:pos="360"/>
        </w:tabs>
        <w:ind w:left="357" w:hanging="357"/>
      </w:pPr>
    </w:lvl>
  </w:abstractNum>
  <w:abstractNum w:abstractNumId="438">
    <w:nsid w:val="43BA7A6E"/>
    <w:multiLevelType w:val="hybridMultilevel"/>
    <w:tmpl w:val="35C424A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9">
    <w:nsid w:val="43F724F3"/>
    <w:multiLevelType w:val="singleLevel"/>
    <w:tmpl w:val="B6F8C022"/>
    <w:lvl w:ilvl="0">
      <w:start w:val="672"/>
      <w:numFmt w:val="decimal"/>
      <w:lvlText w:val="%1."/>
      <w:lvlJc w:val="left"/>
      <w:pPr>
        <w:tabs>
          <w:tab w:val="num" w:pos="454"/>
        </w:tabs>
        <w:ind w:left="454" w:hanging="454"/>
      </w:pPr>
    </w:lvl>
  </w:abstractNum>
  <w:abstractNum w:abstractNumId="440">
    <w:nsid w:val="44152CDC"/>
    <w:multiLevelType w:val="singleLevel"/>
    <w:tmpl w:val="94C86420"/>
    <w:lvl w:ilvl="0">
      <w:start w:val="7"/>
      <w:numFmt w:val="decimal"/>
      <w:lvlText w:val="%1."/>
      <w:lvlJc w:val="left"/>
      <w:pPr>
        <w:tabs>
          <w:tab w:val="num" w:pos="454"/>
        </w:tabs>
        <w:ind w:left="454" w:hanging="454"/>
      </w:pPr>
    </w:lvl>
  </w:abstractNum>
  <w:abstractNum w:abstractNumId="441">
    <w:nsid w:val="442A487E"/>
    <w:multiLevelType w:val="singleLevel"/>
    <w:tmpl w:val="468A8E8E"/>
    <w:lvl w:ilvl="0">
      <w:start w:val="505"/>
      <w:numFmt w:val="decimal"/>
      <w:lvlText w:val="%1."/>
      <w:lvlJc w:val="left"/>
      <w:pPr>
        <w:tabs>
          <w:tab w:val="num" w:pos="454"/>
        </w:tabs>
        <w:ind w:left="454" w:hanging="454"/>
      </w:pPr>
    </w:lvl>
  </w:abstractNum>
  <w:abstractNum w:abstractNumId="442">
    <w:nsid w:val="442B78F9"/>
    <w:multiLevelType w:val="singleLevel"/>
    <w:tmpl w:val="04050017"/>
    <w:lvl w:ilvl="0">
      <w:start w:val="1"/>
      <w:numFmt w:val="lowerLetter"/>
      <w:lvlText w:val="%1)"/>
      <w:lvlJc w:val="left"/>
      <w:pPr>
        <w:tabs>
          <w:tab w:val="num" w:pos="360"/>
        </w:tabs>
        <w:ind w:left="360" w:hanging="360"/>
      </w:pPr>
      <w:rPr>
        <w:rFonts w:hint="default"/>
      </w:rPr>
    </w:lvl>
  </w:abstractNum>
  <w:abstractNum w:abstractNumId="443">
    <w:nsid w:val="443C0239"/>
    <w:multiLevelType w:val="hybridMultilevel"/>
    <w:tmpl w:val="CB60B5A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4">
    <w:nsid w:val="44676FFA"/>
    <w:multiLevelType w:val="singleLevel"/>
    <w:tmpl w:val="160ACC32"/>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445">
    <w:nsid w:val="449D06DF"/>
    <w:multiLevelType w:val="singleLevel"/>
    <w:tmpl w:val="9176C9C4"/>
    <w:lvl w:ilvl="0">
      <w:start w:val="128"/>
      <w:numFmt w:val="bullet"/>
      <w:lvlText w:val="-"/>
      <w:lvlJc w:val="left"/>
      <w:pPr>
        <w:tabs>
          <w:tab w:val="num" w:pos="417"/>
        </w:tabs>
        <w:ind w:left="417" w:hanging="360"/>
      </w:pPr>
      <w:rPr>
        <w:rFonts w:ascii="Times New Roman" w:hAnsi="Times New Roman" w:cs="Times New Roman" w:hint="default"/>
      </w:rPr>
    </w:lvl>
  </w:abstractNum>
  <w:abstractNum w:abstractNumId="446">
    <w:nsid w:val="44C04C95"/>
    <w:multiLevelType w:val="singleLevel"/>
    <w:tmpl w:val="B31CC886"/>
    <w:lvl w:ilvl="0">
      <w:start w:val="338"/>
      <w:numFmt w:val="decimal"/>
      <w:lvlText w:val="%1."/>
      <w:lvlJc w:val="left"/>
      <w:pPr>
        <w:tabs>
          <w:tab w:val="num" w:pos="454"/>
        </w:tabs>
        <w:ind w:left="454" w:hanging="454"/>
      </w:pPr>
    </w:lvl>
  </w:abstractNum>
  <w:abstractNum w:abstractNumId="447">
    <w:nsid w:val="44EB3A89"/>
    <w:multiLevelType w:val="singleLevel"/>
    <w:tmpl w:val="BDEA3A2E"/>
    <w:lvl w:ilvl="0">
      <w:start w:val="103"/>
      <w:numFmt w:val="decimal"/>
      <w:lvlText w:val="%1."/>
      <w:lvlJc w:val="left"/>
      <w:pPr>
        <w:tabs>
          <w:tab w:val="num" w:pos="454"/>
        </w:tabs>
        <w:ind w:left="454" w:hanging="454"/>
      </w:pPr>
    </w:lvl>
  </w:abstractNum>
  <w:abstractNum w:abstractNumId="448">
    <w:nsid w:val="452262D5"/>
    <w:multiLevelType w:val="singleLevel"/>
    <w:tmpl w:val="A3C68D76"/>
    <w:lvl w:ilvl="0">
      <w:start w:val="509"/>
      <w:numFmt w:val="decimal"/>
      <w:lvlText w:val="%1."/>
      <w:lvlJc w:val="left"/>
      <w:pPr>
        <w:tabs>
          <w:tab w:val="num" w:pos="454"/>
        </w:tabs>
        <w:ind w:left="454" w:hanging="454"/>
      </w:pPr>
    </w:lvl>
  </w:abstractNum>
  <w:abstractNum w:abstractNumId="449">
    <w:nsid w:val="452D144C"/>
    <w:multiLevelType w:val="singleLevel"/>
    <w:tmpl w:val="7C4C0A7C"/>
    <w:lvl w:ilvl="0">
      <w:start w:val="1"/>
      <w:numFmt w:val="decimal"/>
      <w:lvlText w:val="(%1)"/>
      <w:lvlJc w:val="left"/>
      <w:pPr>
        <w:tabs>
          <w:tab w:val="num" w:pos="720"/>
        </w:tabs>
        <w:ind w:left="720" w:hanging="720"/>
      </w:pPr>
    </w:lvl>
  </w:abstractNum>
  <w:abstractNum w:abstractNumId="450">
    <w:nsid w:val="45370418"/>
    <w:multiLevelType w:val="singleLevel"/>
    <w:tmpl w:val="790E826A"/>
    <w:lvl w:ilvl="0">
      <w:start w:val="700"/>
      <w:numFmt w:val="decimal"/>
      <w:lvlText w:val="%1."/>
      <w:lvlJc w:val="left"/>
      <w:pPr>
        <w:tabs>
          <w:tab w:val="num" w:pos="454"/>
        </w:tabs>
        <w:ind w:left="454" w:hanging="454"/>
      </w:pPr>
    </w:lvl>
  </w:abstractNum>
  <w:abstractNum w:abstractNumId="451">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2">
    <w:nsid w:val="45AF13D7"/>
    <w:multiLevelType w:val="singleLevel"/>
    <w:tmpl w:val="04050017"/>
    <w:lvl w:ilvl="0">
      <w:start w:val="1"/>
      <w:numFmt w:val="lowerLetter"/>
      <w:lvlText w:val="%1)"/>
      <w:lvlJc w:val="left"/>
      <w:pPr>
        <w:tabs>
          <w:tab w:val="num" w:pos="360"/>
        </w:tabs>
        <w:ind w:left="360" w:hanging="360"/>
      </w:pPr>
      <w:rPr>
        <w:rFonts w:hint="default"/>
      </w:rPr>
    </w:lvl>
  </w:abstractNum>
  <w:abstractNum w:abstractNumId="453">
    <w:nsid w:val="45D242ED"/>
    <w:multiLevelType w:val="hybridMultilevel"/>
    <w:tmpl w:val="7638D1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45DC4637"/>
    <w:multiLevelType w:val="singleLevel"/>
    <w:tmpl w:val="D2BABF0A"/>
    <w:lvl w:ilvl="0">
      <w:start w:val="1"/>
      <w:numFmt w:val="lowerLetter"/>
      <w:lvlText w:val="%1)"/>
      <w:lvlJc w:val="left"/>
      <w:pPr>
        <w:tabs>
          <w:tab w:val="num" w:pos="720"/>
        </w:tabs>
        <w:ind w:left="720" w:hanging="720"/>
      </w:pPr>
      <w:rPr>
        <w:rFonts w:hint="default"/>
      </w:rPr>
    </w:lvl>
  </w:abstractNum>
  <w:abstractNum w:abstractNumId="455">
    <w:nsid w:val="4635173C"/>
    <w:multiLevelType w:val="hybridMultilevel"/>
    <w:tmpl w:val="29E221A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6">
    <w:nsid w:val="463F1B13"/>
    <w:multiLevelType w:val="singleLevel"/>
    <w:tmpl w:val="06566C4E"/>
    <w:lvl w:ilvl="0">
      <w:start w:val="1"/>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57">
    <w:nsid w:val="46794114"/>
    <w:multiLevelType w:val="singleLevel"/>
    <w:tmpl w:val="C0341596"/>
    <w:lvl w:ilvl="0">
      <w:start w:val="722"/>
      <w:numFmt w:val="decimal"/>
      <w:lvlText w:val="%1."/>
      <w:lvlJc w:val="left"/>
      <w:pPr>
        <w:tabs>
          <w:tab w:val="num" w:pos="454"/>
        </w:tabs>
        <w:ind w:left="454" w:hanging="454"/>
      </w:pPr>
    </w:lvl>
  </w:abstractNum>
  <w:abstractNum w:abstractNumId="458">
    <w:nsid w:val="46B3083E"/>
    <w:multiLevelType w:val="singleLevel"/>
    <w:tmpl w:val="66FC57E0"/>
    <w:lvl w:ilvl="0">
      <w:start w:val="605"/>
      <w:numFmt w:val="decimal"/>
      <w:lvlText w:val="%1."/>
      <w:lvlJc w:val="left"/>
      <w:pPr>
        <w:tabs>
          <w:tab w:val="num" w:pos="454"/>
        </w:tabs>
        <w:ind w:left="454" w:hanging="454"/>
      </w:pPr>
    </w:lvl>
  </w:abstractNum>
  <w:abstractNum w:abstractNumId="459">
    <w:nsid w:val="470C6C78"/>
    <w:multiLevelType w:val="singleLevel"/>
    <w:tmpl w:val="2CCE483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60">
    <w:nsid w:val="474145A5"/>
    <w:multiLevelType w:val="singleLevel"/>
    <w:tmpl w:val="904EAE34"/>
    <w:lvl w:ilvl="0">
      <w:start w:val="342"/>
      <w:numFmt w:val="decimal"/>
      <w:lvlText w:val="%1."/>
      <w:lvlJc w:val="left"/>
      <w:pPr>
        <w:tabs>
          <w:tab w:val="num" w:pos="454"/>
        </w:tabs>
        <w:ind w:left="454" w:hanging="454"/>
      </w:pPr>
    </w:lvl>
  </w:abstractNum>
  <w:abstractNum w:abstractNumId="461">
    <w:nsid w:val="478A4FCD"/>
    <w:multiLevelType w:val="singleLevel"/>
    <w:tmpl w:val="31C83514"/>
    <w:lvl w:ilvl="0">
      <w:start w:val="1"/>
      <w:numFmt w:val="decimal"/>
      <w:lvlText w:val="%1."/>
      <w:lvlJc w:val="left"/>
      <w:pPr>
        <w:tabs>
          <w:tab w:val="num" w:pos="454"/>
        </w:tabs>
        <w:ind w:left="454" w:hanging="454"/>
      </w:pPr>
    </w:lvl>
  </w:abstractNum>
  <w:abstractNum w:abstractNumId="462">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63">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4">
    <w:nsid w:val="47C643A1"/>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465">
    <w:nsid w:val="47FA0137"/>
    <w:multiLevelType w:val="singleLevel"/>
    <w:tmpl w:val="57E20DBE"/>
    <w:lvl w:ilvl="0">
      <w:start w:val="325"/>
      <w:numFmt w:val="decimal"/>
      <w:lvlText w:val="%1."/>
      <w:lvlJc w:val="left"/>
      <w:pPr>
        <w:tabs>
          <w:tab w:val="num" w:pos="454"/>
        </w:tabs>
        <w:ind w:left="454" w:hanging="454"/>
      </w:pPr>
    </w:lvl>
  </w:abstractNum>
  <w:abstractNum w:abstractNumId="466">
    <w:nsid w:val="481D3219"/>
    <w:multiLevelType w:val="singleLevel"/>
    <w:tmpl w:val="510254BE"/>
    <w:lvl w:ilvl="0">
      <w:start w:val="486"/>
      <w:numFmt w:val="decimal"/>
      <w:lvlText w:val="%1."/>
      <w:lvlJc w:val="left"/>
      <w:pPr>
        <w:tabs>
          <w:tab w:val="num" w:pos="454"/>
        </w:tabs>
        <w:ind w:left="454" w:hanging="454"/>
      </w:pPr>
    </w:lvl>
  </w:abstractNum>
  <w:abstractNum w:abstractNumId="467">
    <w:nsid w:val="485A6392"/>
    <w:multiLevelType w:val="singleLevel"/>
    <w:tmpl w:val="3E0469A6"/>
    <w:lvl w:ilvl="0">
      <w:start w:val="231"/>
      <w:numFmt w:val="decimal"/>
      <w:lvlText w:val="%1."/>
      <w:lvlJc w:val="left"/>
      <w:pPr>
        <w:tabs>
          <w:tab w:val="num" w:pos="454"/>
        </w:tabs>
        <w:ind w:left="454" w:hanging="454"/>
      </w:pPr>
    </w:lvl>
  </w:abstractNum>
  <w:abstractNum w:abstractNumId="46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9">
    <w:nsid w:val="48830EDB"/>
    <w:multiLevelType w:val="singleLevel"/>
    <w:tmpl w:val="7EC842DE"/>
    <w:lvl w:ilvl="0">
      <w:start w:val="489"/>
      <w:numFmt w:val="decimal"/>
      <w:lvlText w:val="%1."/>
      <w:lvlJc w:val="left"/>
      <w:pPr>
        <w:tabs>
          <w:tab w:val="num" w:pos="454"/>
        </w:tabs>
        <w:ind w:left="454" w:hanging="454"/>
      </w:pPr>
    </w:lvl>
  </w:abstractNum>
  <w:abstractNum w:abstractNumId="47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71">
    <w:nsid w:val="48CC7CF5"/>
    <w:multiLevelType w:val="singleLevel"/>
    <w:tmpl w:val="476A035C"/>
    <w:lvl w:ilvl="0">
      <w:start w:val="6"/>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472">
    <w:nsid w:val="48F40E3B"/>
    <w:multiLevelType w:val="singleLevel"/>
    <w:tmpl w:val="0405000F"/>
    <w:lvl w:ilvl="0">
      <w:start w:val="1"/>
      <w:numFmt w:val="decimal"/>
      <w:lvlText w:val="%1."/>
      <w:lvlJc w:val="left"/>
      <w:pPr>
        <w:tabs>
          <w:tab w:val="num" w:pos="360"/>
        </w:tabs>
        <w:ind w:left="360" w:hanging="360"/>
      </w:pPr>
    </w:lvl>
  </w:abstractNum>
  <w:abstractNum w:abstractNumId="473">
    <w:nsid w:val="490036AB"/>
    <w:multiLevelType w:val="singleLevel"/>
    <w:tmpl w:val="1ECCEA72"/>
    <w:lvl w:ilvl="0">
      <w:start w:val="1"/>
      <w:numFmt w:val="decimal"/>
      <w:lvlText w:val="(%1)"/>
      <w:lvlJc w:val="left"/>
      <w:pPr>
        <w:tabs>
          <w:tab w:val="num" w:pos="360"/>
        </w:tabs>
        <w:ind w:left="360" w:hanging="360"/>
      </w:pPr>
      <w:rPr>
        <w:rFonts w:hint="default"/>
      </w:rPr>
    </w:lvl>
  </w:abstractNum>
  <w:abstractNum w:abstractNumId="474">
    <w:nsid w:val="494220F4"/>
    <w:multiLevelType w:val="singleLevel"/>
    <w:tmpl w:val="746E05F2"/>
    <w:lvl w:ilvl="0">
      <w:start w:val="93"/>
      <w:numFmt w:val="decimal"/>
      <w:lvlText w:val="%1."/>
      <w:lvlJc w:val="left"/>
      <w:pPr>
        <w:tabs>
          <w:tab w:val="num" w:pos="454"/>
        </w:tabs>
        <w:ind w:left="454" w:hanging="454"/>
      </w:pPr>
    </w:lvl>
  </w:abstractNum>
  <w:abstractNum w:abstractNumId="475">
    <w:nsid w:val="496E43E1"/>
    <w:multiLevelType w:val="hybridMultilevel"/>
    <w:tmpl w:val="9E2A1B4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497E379F"/>
    <w:multiLevelType w:val="hybridMultilevel"/>
    <w:tmpl w:val="FB048D8C"/>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7">
    <w:nsid w:val="49837348"/>
    <w:multiLevelType w:val="singleLevel"/>
    <w:tmpl w:val="DBCA6FA8"/>
    <w:lvl w:ilvl="0">
      <w:start w:val="700"/>
      <w:numFmt w:val="decimal"/>
      <w:lvlText w:val="%1."/>
      <w:lvlJc w:val="left"/>
      <w:pPr>
        <w:tabs>
          <w:tab w:val="num" w:pos="454"/>
        </w:tabs>
        <w:ind w:left="454" w:hanging="454"/>
      </w:pPr>
    </w:lvl>
  </w:abstractNum>
  <w:abstractNum w:abstractNumId="478">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9">
    <w:nsid w:val="49FC029B"/>
    <w:multiLevelType w:val="hybridMultilevel"/>
    <w:tmpl w:val="5C7ED24C"/>
    <w:lvl w:ilvl="0" w:tplc="FF96D4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1">
    <w:nsid w:val="4A804E1A"/>
    <w:multiLevelType w:val="singleLevel"/>
    <w:tmpl w:val="04050017"/>
    <w:lvl w:ilvl="0">
      <w:start w:val="1"/>
      <w:numFmt w:val="lowerLetter"/>
      <w:lvlText w:val="%1)"/>
      <w:lvlJc w:val="left"/>
      <w:pPr>
        <w:tabs>
          <w:tab w:val="num" w:pos="360"/>
        </w:tabs>
        <w:ind w:left="360" w:hanging="360"/>
      </w:pPr>
      <w:rPr>
        <w:rFonts w:hint="default"/>
      </w:rPr>
    </w:lvl>
  </w:abstractNum>
  <w:abstractNum w:abstractNumId="482">
    <w:nsid w:val="4B4D7F15"/>
    <w:multiLevelType w:val="singleLevel"/>
    <w:tmpl w:val="608E8B32"/>
    <w:lvl w:ilvl="0">
      <w:start w:val="450"/>
      <w:numFmt w:val="decimal"/>
      <w:lvlText w:val="%1."/>
      <w:lvlJc w:val="left"/>
      <w:pPr>
        <w:tabs>
          <w:tab w:val="num" w:pos="454"/>
        </w:tabs>
        <w:ind w:left="454" w:hanging="454"/>
      </w:pPr>
    </w:lvl>
  </w:abstractNum>
  <w:abstractNum w:abstractNumId="483">
    <w:nsid w:val="4B9D0AB8"/>
    <w:multiLevelType w:val="singleLevel"/>
    <w:tmpl w:val="63DA0EA8"/>
    <w:lvl w:ilvl="0">
      <w:start w:val="323"/>
      <w:numFmt w:val="decimal"/>
      <w:lvlText w:val="%1."/>
      <w:lvlJc w:val="left"/>
      <w:pPr>
        <w:tabs>
          <w:tab w:val="num" w:pos="454"/>
        </w:tabs>
        <w:ind w:left="454" w:hanging="454"/>
      </w:pPr>
    </w:lvl>
  </w:abstractNum>
  <w:abstractNum w:abstractNumId="484">
    <w:nsid w:val="4BBE0B12"/>
    <w:multiLevelType w:val="hybridMultilevel"/>
    <w:tmpl w:val="E06644CE"/>
    <w:lvl w:ilvl="0" w:tplc="71261B1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5">
    <w:nsid w:val="4BC75F68"/>
    <w:multiLevelType w:val="singleLevel"/>
    <w:tmpl w:val="E8D4B7D0"/>
    <w:lvl w:ilvl="0">
      <w:start w:val="532"/>
      <w:numFmt w:val="decimal"/>
      <w:lvlText w:val="%1."/>
      <w:lvlJc w:val="left"/>
      <w:pPr>
        <w:tabs>
          <w:tab w:val="num" w:pos="454"/>
        </w:tabs>
        <w:ind w:left="454" w:hanging="454"/>
      </w:pPr>
    </w:lvl>
  </w:abstractNum>
  <w:abstractNum w:abstractNumId="486">
    <w:nsid w:val="4C37158F"/>
    <w:multiLevelType w:val="singleLevel"/>
    <w:tmpl w:val="8D1E4EB6"/>
    <w:lvl w:ilvl="0">
      <w:start w:val="413"/>
      <w:numFmt w:val="decimal"/>
      <w:lvlText w:val="%1."/>
      <w:lvlJc w:val="left"/>
      <w:pPr>
        <w:tabs>
          <w:tab w:val="num" w:pos="454"/>
        </w:tabs>
        <w:ind w:left="454" w:hanging="454"/>
      </w:pPr>
    </w:lvl>
  </w:abstractNum>
  <w:abstractNum w:abstractNumId="487">
    <w:nsid w:val="4CB90B0D"/>
    <w:multiLevelType w:val="hybridMultilevel"/>
    <w:tmpl w:val="3A82E19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8">
    <w:nsid w:val="4CF34104"/>
    <w:multiLevelType w:val="singleLevel"/>
    <w:tmpl w:val="7018DD8A"/>
    <w:lvl w:ilvl="0">
      <w:start w:val="258"/>
      <w:numFmt w:val="decimal"/>
      <w:lvlText w:val="%1."/>
      <w:lvlJc w:val="left"/>
      <w:pPr>
        <w:tabs>
          <w:tab w:val="num" w:pos="454"/>
        </w:tabs>
        <w:ind w:left="454" w:hanging="454"/>
      </w:pPr>
    </w:lvl>
  </w:abstractNum>
  <w:abstractNum w:abstractNumId="489">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90">
    <w:nsid w:val="4D766370"/>
    <w:multiLevelType w:val="singleLevel"/>
    <w:tmpl w:val="E19CC9E2"/>
    <w:lvl w:ilvl="0">
      <w:start w:val="326"/>
      <w:numFmt w:val="decimal"/>
      <w:lvlText w:val="%1."/>
      <w:lvlJc w:val="left"/>
      <w:pPr>
        <w:tabs>
          <w:tab w:val="num" w:pos="454"/>
        </w:tabs>
        <w:ind w:left="454" w:hanging="454"/>
      </w:pPr>
    </w:lvl>
  </w:abstractNum>
  <w:abstractNum w:abstractNumId="491">
    <w:nsid w:val="4DA91DCC"/>
    <w:multiLevelType w:val="singleLevel"/>
    <w:tmpl w:val="C1101492"/>
    <w:lvl w:ilvl="0">
      <w:start w:val="187"/>
      <w:numFmt w:val="decimal"/>
      <w:lvlText w:val="%1."/>
      <w:lvlJc w:val="left"/>
      <w:pPr>
        <w:tabs>
          <w:tab w:val="num" w:pos="454"/>
        </w:tabs>
        <w:ind w:left="454" w:hanging="454"/>
      </w:pPr>
    </w:lvl>
  </w:abstractNum>
  <w:abstractNum w:abstractNumId="49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93">
    <w:nsid w:val="4DF44E37"/>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49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95">
    <w:nsid w:val="4E8A5289"/>
    <w:multiLevelType w:val="singleLevel"/>
    <w:tmpl w:val="2CE24FE6"/>
    <w:lvl w:ilvl="0">
      <w:start w:val="641"/>
      <w:numFmt w:val="decimal"/>
      <w:lvlText w:val="%1."/>
      <w:lvlJc w:val="left"/>
      <w:pPr>
        <w:tabs>
          <w:tab w:val="num" w:pos="454"/>
        </w:tabs>
        <w:ind w:left="454" w:hanging="454"/>
      </w:pPr>
    </w:lvl>
  </w:abstractNum>
  <w:abstractNum w:abstractNumId="496">
    <w:nsid w:val="4E997D60"/>
    <w:multiLevelType w:val="singleLevel"/>
    <w:tmpl w:val="74323C6E"/>
    <w:lvl w:ilvl="0">
      <w:start w:val="719"/>
      <w:numFmt w:val="decimal"/>
      <w:lvlText w:val="%1."/>
      <w:lvlJc w:val="left"/>
      <w:pPr>
        <w:tabs>
          <w:tab w:val="num" w:pos="454"/>
        </w:tabs>
        <w:ind w:left="454" w:hanging="454"/>
      </w:pPr>
    </w:lvl>
  </w:abstractNum>
  <w:abstractNum w:abstractNumId="497">
    <w:nsid w:val="4EB53E38"/>
    <w:multiLevelType w:val="singleLevel"/>
    <w:tmpl w:val="5F3E374A"/>
    <w:lvl w:ilvl="0">
      <w:start w:val="394"/>
      <w:numFmt w:val="decimal"/>
      <w:lvlText w:val="%1."/>
      <w:lvlJc w:val="left"/>
      <w:pPr>
        <w:tabs>
          <w:tab w:val="num" w:pos="454"/>
        </w:tabs>
        <w:ind w:left="454" w:hanging="454"/>
      </w:pPr>
    </w:lvl>
  </w:abstractNum>
  <w:abstractNum w:abstractNumId="498">
    <w:nsid w:val="4ED754CA"/>
    <w:multiLevelType w:val="singleLevel"/>
    <w:tmpl w:val="815E74F8"/>
    <w:lvl w:ilvl="0">
      <w:start w:val="91"/>
      <w:numFmt w:val="decimal"/>
      <w:lvlText w:val="%1."/>
      <w:lvlJc w:val="left"/>
      <w:pPr>
        <w:tabs>
          <w:tab w:val="num" w:pos="454"/>
        </w:tabs>
        <w:ind w:left="454" w:hanging="454"/>
      </w:pPr>
    </w:lvl>
  </w:abstractNum>
  <w:abstractNum w:abstractNumId="499">
    <w:nsid w:val="4EDF04A0"/>
    <w:multiLevelType w:val="singleLevel"/>
    <w:tmpl w:val="04050017"/>
    <w:lvl w:ilvl="0">
      <w:start w:val="1"/>
      <w:numFmt w:val="lowerLetter"/>
      <w:lvlText w:val="%1)"/>
      <w:lvlJc w:val="left"/>
      <w:pPr>
        <w:tabs>
          <w:tab w:val="num" w:pos="360"/>
        </w:tabs>
        <w:ind w:left="360" w:hanging="360"/>
      </w:pPr>
    </w:lvl>
  </w:abstractNum>
  <w:abstractNum w:abstractNumId="500">
    <w:nsid w:val="4EE035D6"/>
    <w:multiLevelType w:val="singleLevel"/>
    <w:tmpl w:val="06F66C48"/>
    <w:lvl w:ilvl="0">
      <w:start w:val="363"/>
      <w:numFmt w:val="decimal"/>
      <w:lvlText w:val="%1."/>
      <w:lvlJc w:val="left"/>
      <w:pPr>
        <w:tabs>
          <w:tab w:val="num" w:pos="454"/>
        </w:tabs>
        <w:ind w:left="454" w:hanging="454"/>
      </w:pPr>
    </w:lvl>
  </w:abstractNum>
  <w:abstractNum w:abstractNumId="501">
    <w:nsid w:val="4EEF765E"/>
    <w:multiLevelType w:val="singleLevel"/>
    <w:tmpl w:val="C694B30E"/>
    <w:lvl w:ilvl="0">
      <w:start w:val="535"/>
      <w:numFmt w:val="decimal"/>
      <w:lvlText w:val="%1."/>
      <w:lvlJc w:val="left"/>
      <w:pPr>
        <w:tabs>
          <w:tab w:val="num" w:pos="454"/>
        </w:tabs>
        <w:ind w:left="454" w:hanging="454"/>
      </w:pPr>
    </w:lvl>
  </w:abstractNum>
  <w:abstractNum w:abstractNumId="502">
    <w:nsid w:val="4EFA2598"/>
    <w:multiLevelType w:val="singleLevel"/>
    <w:tmpl w:val="0409000F"/>
    <w:lvl w:ilvl="0">
      <w:start w:val="1"/>
      <w:numFmt w:val="decimal"/>
      <w:lvlText w:val="%1."/>
      <w:lvlJc w:val="left"/>
      <w:pPr>
        <w:tabs>
          <w:tab w:val="num" w:pos="360"/>
        </w:tabs>
        <w:ind w:left="360" w:hanging="360"/>
      </w:pPr>
    </w:lvl>
  </w:abstractNum>
  <w:abstractNum w:abstractNumId="503">
    <w:nsid w:val="4F2B775D"/>
    <w:multiLevelType w:val="singleLevel"/>
    <w:tmpl w:val="299241E0"/>
    <w:lvl w:ilvl="0">
      <w:start w:val="153"/>
      <w:numFmt w:val="decimal"/>
      <w:lvlText w:val="%1."/>
      <w:lvlJc w:val="left"/>
      <w:pPr>
        <w:tabs>
          <w:tab w:val="num" w:pos="454"/>
        </w:tabs>
        <w:ind w:left="454" w:hanging="454"/>
      </w:pPr>
    </w:lvl>
  </w:abstractNum>
  <w:abstractNum w:abstractNumId="50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5">
    <w:nsid w:val="4F5C3C35"/>
    <w:multiLevelType w:val="singleLevel"/>
    <w:tmpl w:val="DB140A6E"/>
    <w:lvl w:ilvl="0">
      <w:start w:val="363"/>
      <w:numFmt w:val="decimal"/>
      <w:lvlText w:val="%1."/>
      <w:lvlJc w:val="left"/>
      <w:pPr>
        <w:tabs>
          <w:tab w:val="num" w:pos="454"/>
        </w:tabs>
        <w:ind w:left="454" w:hanging="454"/>
      </w:pPr>
    </w:lvl>
  </w:abstractNum>
  <w:abstractNum w:abstractNumId="506">
    <w:nsid w:val="4F72151F"/>
    <w:multiLevelType w:val="singleLevel"/>
    <w:tmpl w:val="D4BEF48A"/>
    <w:lvl w:ilvl="0">
      <w:start w:val="774"/>
      <w:numFmt w:val="decimal"/>
      <w:lvlText w:val="%1."/>
      <w:lvlJc w:val="left"/>
      <w:pPr>
        <w:tabs>
          <w:tab w:val="num" w:pos="454"/>
        </w:tabs>
        <w:ind w:left="454" w:hanging="454"/>
      </w:pPr>
    </w:lvl>
  </w:abstractNum>
  <w:abstractNum w:abstractNumId="507">
    <w:nsid w:val="4FDE4E66"/>
    <w:multiLevelType w:val="singleLevel"/>
    <w:tmpl w:val="4B184DD0"/>
    <w:lvl w:ilvl="0">
      <w:start w:val="403"/>
      <w:numFmt w:val="decimal"/>
      <w:lvlText w:val="%1."/>
      <w:lvlJc w:val="left"/>
      <w:pPr>
        <w:tabs>
          <w:tab w:val="num" w:pos="454"/>
        </w:tabs>
        <w:ind w:left="454" w:hanging="454"/>
      </w:pPr>
    </w:lvl>
  </w:abstractNum>
  <w:abstractNum w:abstractNumId="508">
    <w:nsid w:val="4FEF4298"/>
    <w:multiLevelType w:val="singleLevel"/>
    <w:tmpl w:val="4AD8C8D2"/>
    <w:lvl w:ilvl="0">
      <w:start w:val="750"/>
      <w:numFmt w:val="decimal"/>
      <w:lvlText w:val="%1."/>
      <w:lvlJc w:val="left"/>
      <w:pPr>
        <w:tabs>
          <w:tab w:val="num" w:pos="454"/>
        </w:tabs>
        <w:ind w:left="454" w:hanging="454"/>
      </w:pPr>
    </w:lvl>
  </w:abstractNum>
  <w:abstractNum w:abstractNumId="509">
    <w:nsid w:val="50081477"/>
    <w:multiLevelType w:val="hybridMultilevel"/>
    <w:tmpl w:val="A2D2B962"/>
    <w:lvl w:ilvl="0" w:tplc="4296E0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0">
    <w:nsid w:val="50267BBA"/>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511">
    <w:nsid w:val="50576069"/>
    <w:multiLevelType w:val="singleLevel"/>
    <w:tmpl w:val="04050017"/>
    <w:lvl w:ilvl="0">
      <w:start w:val="1"/>
      <w:numFmt w:val="lowerLetter"/>
      <w:lvlText w:val="%1)"/>
      <w:lvlJc w:val="left"/>
      <w:pPr>
        <w:tabs>
          <w:tab w:val="num" w:pos="360"/>
        </w:tabs>
        <w:ind w:left="360" w:hanging="360"/>
      </w:pPr>
      <w:rPr>
        <w:rFonts w:hint="default"/>
      </w:rPr>
    </w:lvl>
  </w:abstractNum>
  <w:abstractNum w:abstractNumId="512">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13">
    <w:nsid w:val="507317FD"/>
    <w:multiLevelType w:val="singleLevel"/>
    <w:tmpl w:val="4DFAD5FA"/>
    <w:lvl w:ilvl="0">
      <w:start w:val="1"/>
      <w:numFmt w:val="bullet"/>
      <w:pStyle w:val="a"/>
      <w:lvlText w:val=""/>
      <w:lvlJc w:val="left"/>
      <w:pPr>
        <w:tabs>
          <w:tab w:val="num" w:pos="510"/>
        </w:tabs>
        <w:ind w:left="510" w:hanging="510"/>
      </w:pPr>
      <w:rPr>
        <w:rFonts w:ascii="Symbol" w:hAnsi="Symbol" w:hint="default"/>
        <w:sz w:val="16"/>
      </w:rPr>
    </w:lvl>
  </w:abstractNum>
  <w:abstractNum w:abstractNumId="514">
    <w:nsid w:val="50C42A59"/>
    <w:multiLevelType w:val="hybridMultilevel"/>
    <w:tmpl w:val="BDDACD84"/>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5">
    <w:nsid w:val="510318C3"/>
    <w:multiLevelType w:val="singleLevel"/>
    <w:tmpl w:val="0405000F"/>
    <w:lvl w:ilvl="0">
      <w:start w:val="1"/>
      <w:numFmt w:val="decimal"/>
      <w:lvlText w:val="%1."/>
      <w:lvlJc w:val="left"/>
      <w:pPr>
        <w:tabs>
          <w:tab w:val="num" w:pos="360"/>
        </w:tabs>
        <w:ind w:left="360" w:hanging="360"/>
      </w:pPr>
    </w:lvl>
  </w:abstractNum>
  <w:abstractNum w:abstractNumId="516">
    <w:nsid w:val="513A61FC"/>
    <w:multiLevelType w:val="singleLevel"/>
    <w:tmpl w:val="04050017"/>
    <w:lvl w:ilvl="0">
      <w:start w:val="1"/>
      <w:numFmt w:val="lowerLetter"/>
      <w:lvlText w:val="%1)"/>
      <w:lvlJc w:val="left"/>
      <w:pPr>
        <w:tabs>
          <w:tab w:val="num" w:pos="360"/>
        </w:tabs>
        <w:ind w:left="360" w:hanging="360"/>
      </w:pPr>
      <w:rPr>
        <w:rFonts w:hint="default"/>
      </w:rPr>
    </w:lvl>
  </w:abstractNum>
  <w:abstractNum w:abstractNumId="517">
    <w:nsid w:val="516306A1"/>
    <w:multiLevelType w:val="singleLevel"/>
    <w:tmpl w:val="5AFE4FE0"/>
    <w:lvl w:ilvl="0">
      <w:start w:val="604"/>
      <w:numFmt w:val="decimal"/>
      <w:lvlText w:val="%1."/>
      <w:lvlJc w:val="left"/>
      <w:pPr>
        <w:tabs>
          <w:tab w:val="num" w:pos="454"/>
        </w:tabs>
        <w:ind w:left="454" w:hanging="454"/>
      </w:pPr>
    </w:lvl>
  </w:abstractNum>
  <w:abstractNum w:abstractNumId="518">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19">
    <w:nsid w:val="517D5F54"/>
    <w:multiLevelType w:val="singleLevel"/>
    <w:tmpl w:val="B7781DD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520">
    <w:nsid w:val="51876BC0"/>
    <w:multiLevelType w:val="singleLevel"/>
    <w:tmpl w:val="E0F22D46"/>
    <w:lvl w:ilvl="0">
      <w:start w:val="64"/>
      <w:numFmt w:val="decimal"/>
      <w:lvlText w:val="%1."/>
      <w:lvlJc w:val="left"/>
      <w:pPr>
        <w:tabs>
          <w:tab w:val="num" w:pos="454"/>
        </w:tabs>
        <w:ind w:left="454" w:hanging="454"/>
      </w:pPr>
    </w:lvl>
  </w:abstractNum>
  <w:abstractNum w:abstractNumId="521">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22">
    <w:nsid w:val="519D4868"/>
    <w:multiLevelType w:val="singleLevel"/>
    <w:tmpl w:val="0FB4BC5C"/>
    <w:lvl w:ilvl="0">
      <w:start w:val="647"/>
      <w:numFmt w:val="decimal"/>
      <w:lvlText w:val="%1."/>
      <w:lvlJc w:val="left"/>
      <w:pPr>
        <w:tabs>
          <w:tab w:val="num" w:pos="454"/>
        </w:tabs>
        <w:ind w:left="454" w:hanging="454"/>
      </w:pPr>
    </w:lvl>
  </w:abstractNum>
  <w:abstractNum w:abstractNumId="523">
    <w:nsid w:val="52041FEE"/>
    <w:multiLevelType w:val="hybridMultilevel"/>
    <w:tmpl w:val="3A6A7E3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4">
    <w:nsid w:val="521E11DF"/>
    <w:multiLevelType w:val="singleLevel"/>
    <w:tmpl w:val="976239D2"/>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525">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6">
    <w:nsid w:val="527E6F1E"/>
    <w:multiLevelType w:val="hybridMultilevel"/>
    <w:tmpl w:val="200EFA2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7">
    <w:nsid w:val="52B11B69"/>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528">
    <w:nsid w:val="530D56E0"/>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529">
    <w:nsid w:val="532B5712"/>
    <w:multiLevelType w:val="singleLevel"/>
    <w:tmpl w:val="265E3C38"/>
    <w:lvl w:ilvl="0">
      <w:start w:val="439"/>
      <w:numFmt w:val="decimal"/>
      <w:lvlText w:val="%1."/>
      <w:lvlJc w:val="left"/>
      <w:pPr>
        <w:tabs>
          <w:tab w:val="num" w:pos="454"/>
        </w:tabs>
        <w:ind w:left="454" w:hanging="454"/>
      </w:pPr>
    </w:lvl>
  </w:abstractNum>
  <w:abstractNum w:abstractNumId="530">
    <w:nsid w:val="538B465F"/>
    <w:multiLevelType w:val="hybridMultilevel"/>
    <w:tmpl w:val="B776AD0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1">
    <w:nsid w:val="53900210"/>
    <w:multiLevelType w:val="hybridMultilevel"/>
    <w:tmpl w:val="BEBCE5E2"/>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2">
    <w:nsid w:val="53AB0C2B"/>
    <w:multiLevelType w:val="hybridMultilevel"/>
    <w:tmpl w:val="FDC88FA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3">
    <w:nsid w:val="53B7587C"/>
    <w:multiLevelType w:val="singleLevel"/>
    <w:tmpl w:val="07AEEE82"/>
    <w:lvl w:ilvl="0">
      <w:start w:val="396"/>
      <w:numFmt w:val="decimal"/>
      <w:lvlText w:val="%1."/>
      <w:lvlJc w:val="left"/>
      <w:pPr>
        <w:tabs>
          <w:tab w:val="num" w:pos="454"/>
        </w:tabs>
        <w:ind w:left="454" w:hanging="454"/>
      </w:pPr>
    </w:lvl>
  </w:abstractNum>
  <w:abstractNum w:abstractNumId="534">
    <w:nsid w:val="53B7626F"/>
    <w:multiLevelType w:val="singleLevel"/>
    <w:tmpl w:val="DE64262A"/>
    <w:lvl w:ilvl="0">
      <w:start w:val="472"/>
      <w:numFmt w:val="decimal"/>
      <w:lvlText w:val="%1."/>
      <w:lvlJc w:val="left"/>
      <w:pPr>
        <w:tabs>
          <w:tab w:val="num" w:pos="454"/>
        </w:tabs>
        <w:ind w:left="454" w:hanging="454"/>
      </w:pPr>
    </w:lvl>
  </w:abstractNum>
  <w:abstractNum w:abstractNumId="53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36">
    <w:nsid w:val="54173615"/>
    <w:multiLevelType w:val="singleLevel"/>
    <w:tmpl w:val="E5AA514E"/>
    <w:lvl w:ilvl="0">
      <w:start w:val="640"/>
      <w:numFmt w:val="decimal"/>
      <w:lvlText w:val="%1."/>
      <w:lvlJc w:val="left"/>
      <w:pPr>
        <w:tabs>
          <w:tab w:val="num" w:pos="454"/>
        </w:tabs>
        <w:ind w:left="454" w:hanging="454"/>
      </w:pPr>
    </w:lvl>
  </w:abstractNum>
  <w:abstractNum w:abstractNumId="537">
    <w:nsid w:val="542670A5"/>
    <w:multiLevelType w:val="singleLevel"/>
    <w:tmpl w:val="AC9094C4"/>
    <w:lvl w:ilvl="0">
      <w:start w:val="707"/>
      <w:numFmt w:val="decimal"/>
      <w:lvlText w:val="%1."/>
      <w:lvlJc w:val="left"/>
      <w:pPr>
        <w:tabs>
          <w:tab w:val="num" w:pos="454"/>
        </w:tabs>
        <w:ind w:left="454" w:hanging="454"/>
      </w:pPr>
    </w:lvl>
  </w:abstractNum>
  <w:abstractNum w:abstractNumId="538">
    <w:nsid w:val="542F643F"/>
    <w:multiLevelType w:val="singleLevel"/>
    <w:tmpl w:val="91E23286"/>
    <w:lvl w:ilvl="0">
      <w:start w:val="359"/>
      <w:numFmt w:val="decimal"/>
      <w:lvlText w:val="%1."/>
      <w:lvlJc w:val="left"/>
      <w:pPr>
        <w:tabs>
          <w:tab w:val="num" w:pos="454"/>
        </w:tabs>
        <w:ind w:left="454" w:hanging="454"/>
      </w:pPr>
    </w:lvl>
  </w:abstractNum>
  <w:abstractNum w:abstractNumId="539">
    <w:nsid w:val="544520F9"/>
    <w:multiLevelType w:val="hybridMultilevel"/>
    <w:tmpl w:val="48D43DC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0">
    <w:nsid w:val="5461556C"/>
    <w:multiLevelType w:val="singleLevel"/>
    <w:tmpl w:val="04050017"/>
    <w:lvl w:ilvl="0">
      <w:start w:val="1"/>
      <w:numFmt w:val="lowerLetter"/>
      <w:lvlText w:val="%1)"/>
      <w:lvlJc w:val="left"/>
      <w:pPr>
        <w:tabs>
          <w:tab w:val="num" w:pos="360"/>
        </w:tabs>
        <w:ind w:left="360" w:hanging="360"/>
      </w:pPr>
    </w:lvl>
  </w:abstractNum>
  <w:abstractNum w:abstractNumId="541">
    <w:nsid w:val="549227C9"/>
    <w:multiLevelType w:val="singleLevel"/>
    <w:tmpl w:val="E47E5B8A"/>
    <w:lvl w:ilvl="0">
      <w:start w:val="65"/>
      <w:numFmt w:val="decimal"/>
      <w:lvlText w:val="%1."/>
      <w:lvlJc w:val="left"/>
      <w:pPr>
        <w:tabs>
          <w:tab w:val="num" w:pos="454"/>
        </w:tabs>
        <w:ind w:left="454" w:hanging="454"/>
      </w:pPr>
    </w:lvl>
  </w:abstractNum>
  <w:abstractNum w:abstractNumId="542">
    <w:nsid w:val="54A75B18"/>
    <w:multiLevelType w:val="hybridMultilevel"/>
    <w:tmpl w:val="BC685B4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3">
    <w:nsid w:val="54B56487"/>
    <w:multiLevelType w:val="hybridMultilevel"/>
    <w:tmpl w:val="B030AC6A"/>
    <w:lvl w:ilvl="0" w:tplc="41105B9E">
      <w:start w:val="1"/>
      <w:numFmt w:val="bullet"/>
      <w:lvlText w:val=""/>
      <w:lvlJc w:val="left"/>
      <w:pPr>
        <w:tabs>
          <w:tab w:val="num" w:pos="786"/>
        </w:tabs>
        <w:ind w:left="783" w:hanging="357"/>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544">
    <w:nsid w:val="54B73A46"/>
    <w:multiLevelType w:val="singleLevel"/>
    <w:tmpl w:val="0C09000F"/>
    <w:lvl w:ilvl="0">
      <w:start w:val="1"/>
      <w:numFmt w:val="decimal"/>
      <w:lvlText w:val="%1."/>
      <w:lvlJc w:val="left"/>
      <w:pPr>
        <w:tabs>
          <w:tab w:val="num" w:pos="360"/>
        </w:tabs>
        <w:ind w:left="360" w:hanging="360"/>
      </w:pPr>
      <w:rPr>
        <w:rFonts w:hint="default"/>
      </w:rPr>
    </w:lvl>
  </w:abstractNum>
  <w:abstractNum w:abstractNumId="545">
    <w:nsid w:val="54B86E8D"/>
    <w:multiLevelType w:val="singleLevel"/>
    <w:tmpl w:val="6B227876"/>
    <w:lvl w:ilvl="0">
      <w:start w:val="493"/>
      <w:numFmt w:val="decimal"/>
      <w:lvlText w:val="%1."/>
      <w:lvlJc w:val="left"/>
      <w:pPr>
        <w:tabs>
          <w:tab w:val="num" w:pos="454"/>
        </w:tabs>
        <w:ind w:left="454" w:hanging="454"/>
      </w:pPr>
    </w:lvl>
  </w:abstractNum>
  <w:abstractNum w:abstractNumId="546">
    <w:nsid w:val="54E6403B"/>
    <w:multiLevelType w:val="singleLevel"/>
    <w:tmpl w:val="D532615E"/>
    <w:lvl w:ilvl="0">
      <w:start w:val="558"/>
      <w:numFmt w:val="decimal"/>
      <w:lvlText w:val="%1."/>
      <w:lvlJc w:val="left"/>
      <w:pPr>
        <w:tabs>
          <w:tab w:val="num" w:pos="454"/>
        </w:tabs>
        <w:ind w:left="454" w:hanging="454"/>
      </w:pPr>
    </w:lvl>
  </w:abstractNum>
  <w:abstractNum w:abstractNumId="547">
    <w:nsid w:val="55265F3C"/>
    <w:multiLevelType w:val="singleLevel"/>
    <w:tmpl w:val="A9967096"/>
    <w:lvl w:ilvl="0">
      <w:start w:val="645"/>
      <w:numFmt w:val="decimal"/>
      <w:lvlText w:val="%1."/>
      <w:lvlJc w:val="left"/>
      <w:pPr>
        <w:tabs>
          <w:tab w:val="num" w:pos="454"/>
        </w:tabs>
        <w:ind w:left="454" w:hanging="454"/>
      </w:pPr>
    </w:lvl>
  </w:abstractNum>
  <w:abstractNum w:abstractNumId="548">
    <w:nsid w:val="554B63D1"/>
    <w:multiLevelType w:val="singleLevel"/>
    <w:tmpl w:val="04050017"/>
    <w:lvl w:ilvl="0">
      <w:start w:val="1"/>
      <w:numFmt w:val="lowerLetter"/>
      <w:lvlText w:val="%1)"/>
      <w:lvlJc w:val="left"/>
      <w:pPr>
        <w:tabs>
          <w:tab w:val="num" w:pos="360"/>
        </w:tabs>
        <w:ind w:left="360" w:hanging="360"/>
      </w:pPr>
      <w:rPr>
        <w:rFonts w:hint="default"/>
      </w:rPr>
    </w:lvl>
  </w:abstractNum>
  <w:abstractNum w:abstractNumId="549">
    <w:nsid w:val="554B6A20"/>
    <w:multiLevelType w:val="singleLevel"/>
    <w:tmpl w:val="F2BA4D1C"/>
    <w:lvl w:ilvl="0">
      <w:start w:val="547"/>
      <w:numFmt w:val="decimal"/>
      <w:lvlText w:val="%1."/>
      <w:lvlJc w:val="left"/>
      <w:pPr>
        <w:tabs>
          <w:tab w:val="num" w:pos="454"/>
        </w:tabs>
        <w:ind w:left="454" w:hanging="454"/>
      </w:pPr>
    </w:lvl>
  </w:abstractNum>
  <w:abstractNum w:abstractNumId="550">
    <w:nsid w:val="554D423D"/>
    <w:multiLevelType w:val="singleLevel"/>
    <w:tmpl w:val="04050017"/>
    <w:lvl w:ilvl="0">
      <w:start w:val="1"/>
      <w:numFmt w:val="lowerLetter"/>
      <w:lvlText w:val="%1)"/>
      <w:lvlJc w:val="left"/>
      <w:pPr>
        <w:tabs>
          <w:tab w:val="num" w:pos="360"/>
        </w:tabs>
        <w:ind w:left="360" w:hanging="360"/>
      </w:pPr>
      <w:rPr>
        <w:rFonts w:hint="default"/>
      </w:rPr>
    </w:lvl>
  </w:abstractNum>
  <w:abstractNum w:abstractNumId="551">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552">
    <w:nsid w:val="55AA3206"/>
    <w:multiLevelType w:val="singleLevel"/>
    <w:tmpl w:val="0405000F"/>
    <w:lvl w:ilvl="0">
      <w:start w:val="1"/>
      <w:numFmt w:val="decimal"/>
      <w:lvlText w:val="%1."/>
      <w:lvlJc w:val="left"/>
      <w:pPr>
        <w:tabs>
          <w:tab w:val="num" w:pos="360"/>
        </w:tabs>
        <w:ind w:left="360" w:hanging="360"/>
      </w:pPr>
    </w:lvl>
  </w:abstractNum>
  <w:abstractNum w:abstractNumId="553">
    <w:nsid w:val="55B53D47"/>
    <w:multiLevelType w:val="singleLevel"/>
    <w:tmpl w:val="04050017"/>
    <w:lvl w:ilvl="0">
      <w:start w:val="1"/>
      <w:numFmt w:val="lowerLetter"/>
      <w:lvlText w:val="%1)"/>
      <w:lvlJc w:val="left"/>
      <w:pPr>
        <w:tabs>
          <w:tab w:val="num" w:pos="360"/>
        </w:tabs>
        <w:ind w:left="360" w:hanging="360"/>
      </w:pPr>
    </w:lvl>
  </w:abstractNum>
  <w:abstractNum w:abstractNumId="554">
    <w:nsid w:val="55D470C8"/>
    <w:multiLevelType w:val="hybridMultilevel"/>
    <w:tmpl w:val="D21AED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5">
    <w:nsid w:val="560714FE"/>
    <w:multiLevelType w:val="singleLevel"/>
    <w:tmpl w:val="04050017"/>
    <w:lvl w:ilvl="0">
      <w:start w:val="1"/>
      <w:numFmt w:val="lowerLetter"/>
      <w:lvlText w:val="%1)"/>
      <w:lvlJc w:val="left"/>
      <w:pPr>
        <w:tabs>
          <w:tab w:val="num" w:pos="360"/>
        </w:tabs>
        <w:ind w:left="360" w:hanging="360"/>
      </w:pPr>
    </w:lvl>
  </w:abstractNum>
  <w:abstractNum w:abstractNumId="556">
    <w:nsid w:val="563C7BEF"/>
    <w:multiLevelType w:val="singleLevel"/>
    <w:tmpl w:val="04050017"/>
    <w:lvl w:ilvl="0">
      <w:start w:val="1"/>
      <w:numFmt w:val="lowerLetter"/>
      <w:lvlText w:val="%1)"/>
      <w:lvlJc w:val="left"/>
      <w:pPr>
        <w:tabs>
          <w:tab w:val="num" w:pos="360"/>
        </w:tabs>
        <w:ind w:left="360" w:hanging="360"/>
      </w:pPr>
    </w:lvl>
  </w:abstractNum>
  <w:abstractNum w:abstractNumId="557">
    <w:nsid w:val="56611669"/>
    <w:multiLevelType w:val="singleLevel"/>
    <w:tmpl w:val="04050017"/>
    <w:lvl w:ilvl="0">
      <w:start w:val="1"/>
      <w:numFmt w:val="lowerLetter"/>
      <w:lvlText w:val="%1)"/>
      <w:lvlJc w:val="left"/>
      <w:pPr>
        <w:tabs>
          <w:tab w:val="num" w:pos="360"/>
        </w:tabs>
        <w:ind w:left="360" w:hanging="360"/>
      </w:pPr>
      <w:rPr>
        <w:rFonts w:hint="default"/>
      </w:rPr>
    </w:lvl>
  </w:abstractNum>
  <w:abstractNum w:abstractNumId="558">
    <w:nsid w:val="56984CC7"/>
    <w:multiLevelType w:val="singleLevel"/>
    <w:tmpl w:val="CF2EB0AE"/>
    <w:lvl w:ilvl="0">
      <w:start w:val="230"/>
      <w:numFmt w:val="decimal"/>
      <w:lvlText w:val="%1."/>
      <w:lvlJc w:val="left"/>
      <w:pPr>
        <w:tabs>
          <w:tab w:val="num" w:pos="454"/>
        </w:tabs>
        <w:ind w:left="454" w:hanging="454"/>
      </w:pPr>
    </w:lvl>
  </w:abstractNum>
  <w:abstractNum w:abstractNumId="559">
    <w:nsid w:val="56A36F53"/>
    <w:multiLevelType w:val="hybridMultilevel"/>
    <w:tmpl w:val="116E2CC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0">
    <w:nsid w:val="56B8151B"/>
    <w:multiLevelType w:val="hybridMultilevel"/>
    <w:tmpl w:val="A184F21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1">
    <w:nsid w:val="56C22BDC"/>
    <w:multiLevelType w:val="singleLevel"/>
    <w:tmpl w:val="9D08E7E4"/>
    <w:lvl w:ilvl="0">
      <w:start w:val="319"/>
      <w:numFmt w:val="decimal"/>
      <w:lvlText w:val="%1."/>
      <w:lvlJc w:val="left"/>
      <w:pPr>
        <w:tabs>
          <w:tab w:val="num" w:pos="454"/>
        </w:tabs>
        <w:ind w:left="454" w:hanging="454"/>
      </w:pPr>
    </w:lvl>
  </w:abstractNum>
  <w:abstractNum w:abstractNumId="562">
    <w:nsid w:val="56C62971"/>
    <w:multiLevelType w:val="hybridMultilevel"/>
    <w:tmpl w:val="0706EABA"/>
    <w:lvl w:ilvl="0" w:tplc="A8F0A38C">
      <w:start w:val="1"/>
      <w:numFmt w:val="decimal"/>
      <w:lvlRestart w:val="0"/>
      <w:lvlText w:val="(%1)"/>
      <w:lvlJc w:val="right"/>
      <w:pPr>
        <w:tabs>
          <w:tab w:val="num" w:pos="227"/>
        </w:tabs>
        <w:ind w:left="227" w:hanging="227"/>
      </w:pPr>
      <w:rPr>
        <w:rFonts w:ascii="Times New Roman" w:hAnsi="Times New Roman" w:hint="eastAsia"/>
        <w:b w:val="0"/>
        <w:i w:val="0"/>
        <w:sz w:val="22"/>
      </w:rPr>
    </w:lvl>
    <w:lvl w:ilvl="1" w:tplc="04090019" w:tentative="1">
      <w:start w:val="1"/>
      <w:numFmt w:val="lowerLetter"/>
      <w:lvlText w:val="%2."/>
      <w:lvlJc w:val="left"/>
      <w:pPr>
        <w:tabs>
          <w:tab w:val="num" w:pos="136"/>
        </w:tabs>
        <w:ind w:left="136" w:hanging="360"/>
      </w:pPr>
    </w:lvl>
    <w:lvl w:ilvl="2" w:tplc="0409001B" w:tentative="1">
      <w:start w:val="1"/>
      <w:numFmt w:val="lowerRoman"/>
      <w:lvlText w:val="%3."/>
      <w:lvlJc w:val="right"/>
      <w:pPr>
        <w:tabs>
          <w:tab w:val="num" w:pos="856"/>
        </w:tabs>
        <w:ind w:left="856" w:hanging="180"/>
      </w:pPr>
    </w:lvl>
    <w:lvl w:ilvl="3" w:tplc="0409000F" w:tentative="1">
      <w:start w:val="1"/>
      <w:numFmt w:val="decimal"/>
      <w:lvlText w:val="%4."/>
      <w:lvlJc w:val="left"/>
      <w:pPr>
        <w:tabs>
          <w:tab w:val="num" w:pos="1576"/>
        </w:tabs>
        <w:ind w:left="1576" w:hanging="360"/>
      </w:pPr>
    </w:lvl>
    <w:lvl w:ilvl="4" w:tplc="04090019" w:tentative="1">
      <w:start w:val="1"/>
      <w:numFmt w:val="lowerLetter"/>
      <w:lvlText w:val="%5."/>
      <w:lvlJc w:val="left"/>
      <w:pPr>
        <w:tabs>
          <w:tab w:val="num" w:pos="2296"/>
        </w:tabs>
        <w:ind w:left="2296" w:hanging="360"/>
      </w:pPr>
    </w:lvl>
    <w:lvl w:ilvl="5" w:tplc="0409001B" w:tentative="1">
      <w:start w:val="1"/>
      <w:numFmt w:val="lowerRoman"/>
      <w:lvlText w:val="%6."/>
      <w:lvlJc w:val="right"/>
      <w:pPr>
        <w:tabs>
          <w:tab w:val="num" w:pos="3016"/>
        </w:tabs>
        <w:ind w:left="3016" w:hanging="180"/>
      </w:pPr>
    </w:lvl>
    <w:lvl w:ilvl="6" w:tplc="0409000F" w:tentative="1">
      <w:start w:val="1"/>
      <w:numFmt w:val="decimal"/>
      <w:lvlText w:val="%7."/>
      <w:lvlJc w:val="left"/>
      <w:pPr>
        <w:tabs>
          <w:tab w:val="num" w:pos="3736"/>
        </w:tabs>
        <w:ind w:left="3736" w:hanging="360"/>
      </w:pPr>
    </w:lvl>
    <w:lvl w:ilvl="7" w:tplc="04090019" w:tentative="1">
      <w:start w:val="1"/>
      <w:numFmt w:val="lowerLetter"/>
      <w:lvlText w:val="%8."/>
      <w:lvlJc w:val="left"/>
      <w:pPr>
        <w:tabs>
          <w:tab w:val="num" w:pos="4456"/>
        </w:tabs>
        <w:ind w:left="4456" w:hanging="360"/>
      </w:pPr>
    </w:lvl>
    <w:lvl w:ilvl="8" w:tplc="0409001B" w:tentative="1">
      <w:start w:val="1"/>
      <w:numFmt w:val="lowerRoman"/>
      <w:lvlText w:val="%9."/>
      <w:lvlJc w:val="right"/>
      <w:pPr>
        <w:tabs>
          <w:tab w:val="num" w:pos="5176"/>
        </w:tabs>
        <w:ind w:left="5176" w:hanging="180"/>
      </w:pPr>
    </w:lvl>
  </w:abstractNum>
  <w:abstractNum w:abstractNumId="563">
    <w:nsid w:val="56CB7275"/>
    <w:multiLevelType w:val="singleLevel"/>
    <w:tmpl w:val="9D0C3BE2"/>
    <w:lvl w:ilvl="0">
      <w:start w:val="86"/>
      <w:numFmt w:val="decimal"/>
      <w:lvlText w:val="%1."/>
      <w:lvlJc w:val="left"/>
      <w:pPr>
        <w:tabs>
          <w:tab w:val="num" w:pos="360"/>
        </w:tabs>
        <w:ind w:left="357" w:hanging="357"/>
      </w:pPr>
    </w:lvl>
  </w:abstractNum>
  <w:abstractNum w:abstractNumId="564">
    <w:nsid w:val="56E60C7E"/>
    <w:multiLevelType w:val="hybridMultilevel"/>
    <w:tmpl w:val="DFB0266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5">
    <w:nsid w:val="56F5464B"/>
    <w:multiLevelType w:val="hybridMultilevel"/>
    <w:tmpl w:val="B76E7FD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6">
    <w:nsid w:val="57273D40"/>
    <w:multiLevelType w:val="singleLevel"/>
    <w:tmpl w:val="A86E09F0"/>
    <w:lvl w:ilvl="0">
      <w:start w:val="250"/>
      <w:numFmt w:val="decimal"/>
      <w:lvlText w:val="%1."/>
      <w:lvlJc w:val="left"/>
      <w:pPr>
        <w:tabs>
          <w:tab w:val="num" w:pos="454"/>
        </w:tabs>
        <w:ind w:left="454" w:hanging="454"/>
      </w:pPr>
    </w:lvl>
  </w:abstractNum>
  <w:abstractNum w:abstractNumId="567">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68">
    <w:nsid w:val="5758067E"/>
    <w:multiLevelType w:val="singleLevel"/>
    <w:tmpl w:val="4F26BE0E"/>
    <w:lvl w:ilvl="0">
      <w:start w:val="3"/>
      <w:numFmt w:val="bullet"/>
      <w:lvlText w:val="-"/>
      <w:lvlJc w:val="left"/>
      <w:pPr>
        <w:tabs>
          <w:tab w:val="num" w:pos="420"/>
        </w:tabs>
        <w:ind w:left="420" w:hanging="360"/>
      </w:pPr>
      <w:rPr>
        <w:rFonts w:hint="default"/>
      </w:rPr>
    </w:lvl>
  </w:abstractNum>
  <w:abstractNum w:abstractNumId="569">
    <w:nsid w:val="576E6AC4"/>
    <w:multiLevelType w:val="singleLevel"/>
    <w:tmpl w:val="04050017"/>
    <w:lvl w:ilvl="0">
      <w:start w:val="1"/>
      <w:numFmt w:val="lowerLetter"/>
      <w:lvlText w:val="%1)"/>
      <w:lvlJc w:val="left"/>
      <w:pPr>
        <w:tabs>
          <w:tab w:val="num" w:pos="360"/>
        </w:tabs>
        <w:ind w:left="360" w:hanging="360"/>
      </w:pPr>
    </w:lvl>
  </w:abstractNum>
  <w:abstractNum w:abstractNumId="570">
    <w:nsid w:val="5771495C"/>
    <w:multiLevelType w:val="singleLevel"/>
    <w:tmpl w:val="2BFCC846"/>
    <w:lvl w:ilvl="0">
      <w:start w:val="476"/>
      <w:numFmt w:val="decimal"/>
      <w:lvlText w:val="%1."/>
      <w:lvlJc w:val="left"/>
      <w:pPr>
        <w:tabs>
          <w:tab w:val="num" w:pos="454"/>
        </w:tabs>
        <w:ind w:left="454" w:hanging="454"/>
      </w:pPr>
    </w:lvl>
  </w:abstractNum>
  <w:abstractNum w:abstractNumId="571">
    <w:nsid w:val="57883B3E"/>
    <w:multiLevelType w:val="singleLevel"/>
    <w:tmpl w:val="E6AC15B8"/>
    <w:lvl w:ilvl="0">
      <w:start w:val="662"/>
      <w:numFmt w:val="decimal"/>
      <w:lvlText w:val="%1."/>
      <w:lvlJc w:val="left"/>
      <w:pPr>
        <w:tabs>
          <w:tab w:val="num" w:pos="454"/>
        </w:tabs>
        <w:ind w:left="454" w:hanging="454"/>
      </w:pPr>
    </w:lvl>
  </w:abstractNum>
  <w:abstractNum w:abstractNumId="572">
    <w:nsid w:val="578B2F3A"/>
    <w:multiLevelType w:val="singleLevel"/>
    <w:tmpl w:val="9DECFD6C"/>
    <w:lvl w:ilvl="0">
      <w:start w:val="483"/>
      <w:numFmt w:val="decimal"/>
      <w:lvlText w:val="%1."/>
      <w:lvlJc w:val="left"/>
      <w:pPr>
        <w:tabs>
          <w:tab w:val="num" w:pos="454"/>
        </w:tabs>
        <w:ind w:left="454" w:hanging="454"/>
      </w:pPr>
    </w:lvl>
  </w:abstractNum>
  <w:abstractNum w:abstractNumId="573">
    <w:nsid w:val="578C4DB8"/>
    <w:multiLevelType w:val="singleLevel"/>
    <w:tmpl w:val="53F8C2EE"/>
    <w:lvl w:ilvl="0">
      <w:start w:val="86"/>
      <w:numFmt w:val="decimal"/>
      <w:lvlText w:val="%1."/>
      <w:lvlJc w:val="left"/>
      <w:pPr>
        <w:tabs>
          <w:tab w:val="num" w:pos="454"/>
        </w:tabs>
        <w:ind w:left="454" w:hanging="454"/>
      </w:pPr>
    </w:lvl>
  </w:abstractNum>
  <w:abstractNum w:abstractNumId="574">
    <w:nsid w:val="57B9131D"/>
    <w:multiLevelType w:val="singleLevel"/>
    <w:tmpl w:val="CBF03460"/>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575">
    <w:nsid w:val="57F7655E"/>
    <w:multiLevelType w:val="singleLevel"/>
    <w:tmpl w:val="1BE80BA2"/>
    <w:lvl w:ilvl="0">
      <w:start w:val="3"/>
      <w:numFmt w:val="bullet"/>
      <w:lvlText w:val="-"/>
      <w:lvlJc w:val="left"/>
      <w:pPr>
        <w:tabs>
          <w:tab w:val="num" w:pos="360"/>
        </w:tabs>
        <w:ind w:left="360" w:hanging="360"/>
      </w:pPr>
      <w:rPr>
        <w:rFonts w:hint="default"/>
      </w:rPr>
    </w:lvl>
  </w:abstractNum>
  <w:abstractNum w:abstractNumId="576">
    <w:nsid w:val="581E4E2A"/>
    <w:multiLevelType w:val="singleLevel"/>
    <w:tmpl w:val="D848D79C"/>
    <w:lvl w:ilvl="0">
      <w:start w:val="1"/>
      <w:numFmt w:val="bullet"/>
      <w:lvlText w:val="-"/>
      <w:lvlJc w:val="left"/>
      <w:pPr>
        <w:tabs>
          <w:tab w:val="num" w:pos="360"/>
        </w:tabs>
        <w:ind w:left="360" w:hanging="360"/>
      </w:pPr>
      <w:rPr>
        <w:rFonts w:hint="default"/>
      </w:rPr>
    </w:lvl>
  </w:abstractNum>
  <w:abstractNum w:abstractNumId="577">
    <w:nsid w:val="58916A4E"/>
    <w:multiLevelType w:val="hybridMultilevel"/>
    <w:tmpl w:val="F96AE840"/>
    <w:lvl w:ilvl="0" w:tplc="4D307F2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8">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579">
    <w:nsid w:val="589D3A6B"/>
    <w:multiLevelType w:val="singleLevel"/>
    <w:tmpl w:val="BCF220FC"/>
    <w:lvl w:ilvl="0">
      <w:start w:val="669"/>
      <w:numFmt w:val="decimal"/>
      <w:lvlText w:val="%1."/>
      <w:lvlJc w:val="left"/>
      <w:pPr>
        <w:tabs>
          <w:tab w:val="num" w:pos="454"/>
        </w:tabs>
        <w:ind w:left="454" w:hanging="454"/>
      </w:pPr>
    </w:lvl>
  </w:abstractNum>
  <w:abstractNum w:abstractNumId="580">
    <w:nsid w:val="58D05F4B"/>
    <w:multiLevelType w:val="singleLevel"/>
    <w:tmpl w:val="0C090017"/>
    <w:lvl w:ilvl="0">
      <w:start w:val="1"/>
      <w:numFmt w:val="lowerLetter"/>
      <w:lvlText w:val="%1)"/>
      <w:lvlJc w:val="left"/>
      <w:pPr>
        <w:tabs>
          <w:tab w:val="num" w:pos="360"/>
        </w:tabs>
        <w:ind w:left="360" w:hanging="360"/>
      </w:pPr>
      <w:rPr>
        <w:rFonts w:hint="default"/>
      </w:rPr>
    </w:lvl>
  </w:abstractNum>
  <w:abstractNum w:abstractNumId="581">
    <w:nsid w:val="590026C7"/>
    <w:multiLevelType w:val="singleLevel"/>
    <w:tmpl w:val="FD5C7BBE"/>
    <w:lvl w:ilvl="0">
      <w:start w:val="223"/>
      <w:numFmt w:val="decimal"/>
      <w:lvlText w:val="%1."/>
      <w:lvlJc w:val="left"/>
      <w:pPr>
        <w:tabs>
          <w:tab w:val="num" w:pos="454"/>
        </w:tabs>
        <w:ind w:left="454" w:hanging="454"/>
      </w:pPr>
    </w:lvl>
  </w:abstractNum>
  <w:abstractNum w:abstractNumId="582">
    <w:nsid w:val="5901572C"/>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583">
    <w:nsid w:val="593477D8"/>
    <w:multiLevelType w:val="singleLevel"/>
    <w:tmpl w:val="3B98C65E"/>
    <w:lvl w:ilvl="0">
      <w:start w:val="590"/>
      <w:numFmt w:val="decimal"/>
      <w:lvlText w:val="%1."/>
      <w:lvlJc w:val="left"/>
      <w:pPr>
        <w:tabs>
          <w:tab w:val="num" w:pos="454"/>
        </w:tabs>
        <w:ind w:left="454" w:hanging="454"/>
      </w:pPr>
    </w:lvl>
  </w:abstractNum>
  <w:abstractNum w:abstractNumId="584">
    <w:nsid w:val="59420B06"/>
    <w:multiLevelType w:val="singleLevel"/>
    <w:tmpl w:val="B0E24B9A"/>
    <w:lvl w:ilvl="0">
      <w:start w:val="253"/>
      <w:numFmt w:val="decimal"/>
      <w:lvlText w:val="%1."/>
      <w:lvlJc w:val="left"/>
      <w:pPr>
        <w:tabs>
          <w:tab w:val="num" w:pos="454"/>
        </w:tabs>
        <w:ind w:left="454" w:hanging="454"/>
      </w:pPr>
    </w:lvl>
  </w:abstractNum>
  <w:abstractNum w:abstractNumId="585">
    <w:nsid w:val="59816DAD"/>
    <w:multiLevelType w:val="singleLevel"/>
    <w:tmpl w:val="EE0ABEDC"/>
    <w:lvl w:ilvl="0">
      <w:start w:val="575"/>
      <w:numFmt w:val="decimal"/>
      <w:lvlText w:val="%1."/>
      <w:lvlJc w:val="left"/>
      <w:pPr>
        <w:tabs>
          <w:tab w:val="num" w:pos="454"/>
        </w:tabs>
        <w:ind w:left="454" w:hanging="454"/>
      </w:pPr>
    </w:lvl>
  </w:abstractNum>
  <w:abstractNum w:abstractNumId="586">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7">
    <w:nsid w:val="59E33105"/>
    <w:multiLevelType w:val="hybridMultilevel"/>
    <w:tmpl w:val="7D1066DA"/>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8">
    <w:nsid w:val="5A040F01"/>
    <w:multiLevelType w:val="singleLevel"/>
    <w:tmpl w:val="04050017"/>
    <w:lvl w:ilvl="0">
      <w:start w:val="1"/>
      <w:numFmt w:val="lowerLetter"/>
      <w:lvlText w:val="%1)"/>
      <w:lvlJc w:val="left"/>
      <w:pPr>
        <w:tabs>
          <w:tab w:val="num" w:pos="360"/>
        </w:tabs>
        <w:ind w:left="360" w:hanging="360"/>
      </w:pPr>
    </w:lvl>
  </w:abstractNum>
  <w:abstractNum w:abstractNumId="589">
    <w:nsid w:val="5A20367E"/>
    <w:multiLevelType w:val="hybridMultilevel"/>
    <w:tmpl w:val="91CE365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0">
    <w:nsid w:val="5A257EC2"/>
    <w:multiLevelType w:val="singleLevel"/>
    <w:tmpl w:val="0405000F"/>
    <w:lvl w:ilvl="0">
      <w:start w:val="1"/>
      <w:numFmt w:val="decimal"/>
      <w:lvlText w:val="%1."/>
      <w:lvlJc w:val="left"/>
      <w:pPr>
        <w:tabs>
          <w:tab w:val="num" w:pos="360"/>
        </w:tabs>
        <w:ind w:left="360" w:hanging="360"/>
      </w:pPr>
    </w:lvl>
  </w:abstractNum>
  <w:abstractNum w:abstractNumId="591">
    <w:nsid w:val="5A437E3E"/>
    <w:multiLevelType w:val="singleLevel"/>
    <w:tmpl w:val="F418E2F6"/>
    <w:lvl w:ilvl="0">
      <w:start w:val="568"/>
      <w:numFmt w:val="decimal"/>
      <w:lvlText w:val="%1."/>
      <w:lvlJc w:val="left"/>
      <w:pPr>
        <w:tabs>
          <w:tab w:val="num" w:pos="454"/>
        </w:tabs>
        <w:ind w:left="454" w:hanging="454"/>
      </w:pPr>
    </w:lvl>
  </w:abstractNum>
  <w:abstractNum w:abstractNumId="59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93">
    <w:nsid w:val="5A885F65"/>
    <w:multiLevelType w:val="singleLevel"/>
    <w:tmpl w:val="CB70184E"/>
    <w:lvl w:ilvl="0">
      <w:start w:val="343"/>
      <w:numFmt w:val="decimal"/>
      <w:lvlText w:val="%1."/>
      <w:lvlJc w:val="left"/>
      <w:pPr>
        <w:tabs>
          <w:tab w:val="num" w:pos="454"/>
        </w:tabs>
        <w:ind w:left="454" w:hanging="454"/>
      </w:pPr>
    </w:lvl>
  </w:abstractNum>
  <w:abstractNum w:abstractNumId="594">
    <w:nsid w:val="5AC806CF"/>
    <w:multiLevelType w:val="singleLevel"/>
    <w:tmpl w:val="88361D48"/>
    <w:lvl w:ilvl="0">
      <w:start w:val="482"/>
      <w:numFmt w:val="decimal"/>
      <w:lvlText w:val="%1."/>
      <w:lvlJc w:val="left"/>
      <w:pPr>
        <w:tabs>
          <w:tab w:val="num" w:pos="454"/>
        </w:tabs>
        <w:ind w:left="454" w:hanging="454"/>
      </w:pPr>
    </w:lvl>
  </w:abstractNum>
  <w:abstractNum w:abstractNumId="59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96">
    <w:nsid w:val="5B231F55"/>
    <w:multiLevelType w:val="singleLevel"/>
    <w:tmpl w:val="69BA9D64"/>
    <w:lvl w:ilvl="0">
      <w:start w:val="104"/>
      <w:numFmt w:val="decimal"/>
      <w:lvlText w:val="%1."/>
      <w:lvlJc w:val="left"/>
      <w:pPr>
        <w:tabs>
          <w:tab w:val="num" w:pos="454"/>
        </w:tabs>
        <w:ind w:left="454" w:hanging="454"/>
      </w:pPr>
    </w:lvl>
  </w:abstractNum>
  <w:abstractNum w:abstractNumId="597">
    <w:nsid w:val="5B2A14F5"/>
    <w:multiLevelType w:val="singleLevel"/>
    <w:tmpl w:val="E4064F40"/>
    <w:lvl w:ilvl="0">
      <w:start w:val="241"/>
      <w:numFmt w:val="decimal"/>
      <w:lvlText w:val="%1."/>
      <w:lvlJc w:val="left"/>
      <w:pPr>
        <w:tabs>
          <w:tab w:val="num" w:pos="454"/>
        </w:tabs>
        <w:ind w:left="454" w:hanging="454"/>
      </w:pPr>
    </w:lvl>
  </w:abstractNum>
  <w:abstractNum w:abstractNumId="598">
    <w:nsid w:val="5B342C31"/>
    <w:multiLevelType w:val="singleLevel"/>
    <w:tmpl w:val="FD8CADF8"/>
    <w:lvl w:ilvl="0">
      <w:start w:val="76"/>
      <w:numFmt w:val="decimal"/>
      <w:lvlText w:val="%1."/>
      <w:lvlJc w:val="left"/>
      <w:pPr>
        <w:tabs>
          <w:tab w:val="num" w:pos="454"/>
        </w:tabs>
        <w:ind w:left="454" w:hanging="454"/>
      </w:pPr>
    </w:lvl>
  </w:abstractNum>
  <w:abstractNum w:abstractNumId="599">
    <w:nsid w:val="5B38314D"/>
    <w:multiLevelType w:val="singleLevel"/>
    <w:tmpl w:val="0C09000F"/>
    <w:lvl w:ilvl="0">
      <w:start w:val="1"/>
      <w:numFmt w:val="decimal"/>
      <w:lvlText w:val="%1."/>
      <w:lvlJc w:val="left"/>
      <w:pPr>
        <w:tabs>
          <w:tab w:val="num" w:pos="360"/>
        </w:tabs>
        <w:ind w:left="360" w:hanging="360"/>
      </w:pPr>
      <w:rPr>
        <w:rFonts w:hint="default"/>
      </w:rPr>
    </w:lvl>
  </w:abstractNum>
  <w:abstractNum w:abstractNumId="600">
    <w:nsid w:val="5B510B82"/>
    <w:multiLevelType w:val="singleLevel"/>
    <w:tmpl w:val="8848DA42"/>
    <w:lvl w:ilvl="0">
      <w:start w:val="584"/>
      <w:numFmt w:val="decimal"/>
      <w:lvlText w:val="%1."/>
      <w:lvlJc w:val="left"/>
      <w:pPr>
        <w:tabs>
          <w:tab w:val="num" w:pos="454"/>
        </w:tabs>
        <w:ind w:left="454" w:hanging="454"/>
      </w:pPr>
    </w:lvl>
  </w:abstractNum>
  <w:abstractNum w:abstractNumId="601">
    <w:nsid w:val="5B7010E3"/>
    <w:multiLevelType w:val="singleLevel"/>
    <w:tmpl w:val="0CA8CCA6"/>
    <w:lvl w:ilvl="0">
      <w:start w:val="362"/>
      <w:numFmt w:val="decimal"/>
      <w:lvlText w:val="%1."/>
      <w:lvlJc w:val="left"/>
      <w:pPr>
        <w:tabs>
          <w:tab w:val="num" w:pos="454"/>
        </w:tabs>
        <w:ind w:left="454" w:hanging="454"/>
      </w:pPr>
    </w:lvl>
  </w:abstractNum>
  <w:abstractNum w:abstractNumId="602">
    <w:nsid w:val="5B96457D"/>
    <w:multiLevelType w:val="singleLevel"/>
    <w:tmpl w:val="8BBE9E2E"/>
    <w:lvl w:ilvl="0">
      <w:start w:val="382"/>
      <w:numFmt w:val="decimal"/>
      <w:lvlText w:val="%1."/>
      <w:lvlJc w:val="left"/>
      <w:pPr>
        <w:tabs>
          <w:tab w:val="num" w:pos="454"/>
        </w:tabs>
        <w:ind w:left="454" w:hanging="454"/>
      </w:pPr>
    </w:lvl>
  </w:abstractNum>
  <w:abstractNum w:abstractNumId="603">
    <w:nsid w:val="5BCC581B"/>
    <w:multiLevelType w:val="singleLevel"/>
    <w:tmpl w:val="04050017"/>
    <w:lvl w:ilvl="0">
      <w:start w:val="1"/>
      <w:numFmt w:val="lowerLetter"/>
      <w:lvlText w:val="%1)"/>
      <w:lvlJc w:val="left"/>
      <w:pPr>
        <w:tabs>
          <w:tab w:val="num" w:pos="360"/>
        </w:tabs>
        <w:ind w:left="360" w:hanging="360"/>
      </w:pPr>
      <w:rPr>
        <w:rFonts w:hint="default"/>
      </w:rPr>
    </w:lvl>
  </w:abstractNum>
  <w:abstractNum w:abstractNumId="604">
    <w:nsid w:val="5C04545F"/>
    <w:multiLevelType w:val="singleLevel"/>
    <w:tmpl w:val="0405000F"/>
    <w:lvl w:ilvl="0">
      <w:start w:val="1"/>
      <w:numFmt w:val="decimal"/>
      <w:lvlText w:val="%1."/>
      <w:lvlJc w:val="left"/>
      <w:pPr>
        <w:tabs>
          <w:tab w:val="num" w:pos="360"/>
        </w:tabs>
        <w:ind w:left="360" w:hanging="360"/>
      </w:pPr>
    </w:lvl>
  </w:abstractNum>
  <w:abstractNum w:abstractNumId="605">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06">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607">
    <w:nsid w:val="5C4920BD"/>
    <w:multiLevelType w:val="singleLevel"/>
    <w:tmpl w:val="42BEFB50"/>
    <w:lvl w:ilvl="0">
      <w:start w:val="245"/>
      <w:numFmt w:val="decimal"/>
      <w:lvlText w:val="%1."/>
      <w:lvlJc w:val="left"/>
      <w:pPr>
        <w:tabs>
          <w:tab w:val="num" w:pos="454"/>
        </w:tabs>
        <w:ind w:left="454" w:hanging="454"/>
      </w:pPr>
    </w:lvl>
  </w:abstractNum>
  <w:abstractNum w:abstractNumId="608">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9">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0">
    <w:nsid w:val="5C4F0D70"/>
    <w:multiLevelType w:val="singleLevel"/>
    <w:tmpl w:val="0C09000F"/>
    <w:lvl w:ilvl="0">
      <w:start w:val="1"/>
      <w:numFmt w:val="decimal"/>
      <w:lvlText w:val="%1."/>
      <w:lvlJc w:val="left"/>
      <w:pPr>
        <w:tabs>
          <w:tab w:val="num" w:pos="360"/>
        </w:tabs>
        <w:ind w:left="360" w:hanging="360"/>
      </w:pPr>
      <w:rPr>
        <w:rFonts w:hint="default"/>
      </w:rPr>
    </w:lvl>
  </w:abstractNum>
  <w:abstractNum w:abstractNumId="611">
    <w:nsid w:val="5C89394D"/>
    <w:multiLevelType w:val="singleLevel"/>
    <w:tmpl w:val="1A78B922"/>
    <w:lvl w:ilvl="0">
      <w:start w:val="216"/>
      <w:numFmt w:val="decimal"/>
      <w:lvlText w:val="%1."/>
      <w:lvlJc w:val="left"/>
      <w:pPr>
        <w:tabs>
          <w:tab w:val="num" w:pos="484"/>
        </w:tabs>
        <w:ind w:left="484" w:hanging="484"/>
      </w:pPr>
      <w:rPr>
        <w:rFonts w:hint="default"/>
      </w:rPr>
    </w:lvl>
  </w:abstractNum>
  <w:abstractNum w:abstractNumId="612">
    <w:nsid w:val="5CAE52D2"/>
    <w:multiLevelType w:val="singleLevel"/>
    <w:tmpl w:val="C16038E2"/>
    <w:lvl w:ilvl="0">
      <w:start w:val="1"/>
      <w:numFmt w:val="lowerLetter"/>
      <w:lvlText w:val="%1)"/>
      <w:lvlJc w:val="left"/>
      <w:pPr>
        <w:tabs>
          <w:tab w:val="num" w:pos="454"/>
        </w:tabs>
        <w:ind w:left="454" w:hanging="454"/>
      </w:pPr>
      <w:rPr>
        <w:rFonts w:hint="default"/>
      </w:rPr>
    </w:lvl>
  </w:abstractNum>
  <w:abstractNum w:abstractNumId="613">
    <w:nsid w:val="5CC41163"/>
    <w:multiLevelType w:val="singleLevel"/>
    <w:tmpl w:val="04050017"/>
    <w:lvl w:ilvl="0">
      <w:start w:val="1"/>
      <w:numFmt w:val="lowerLetter"/>
      <w:lvlText w:val="%1)"/>
      <w:lvlJc w:val="left"/>
      <w:pPr>
        <w:tabs>
          <w:tab w:val="num" w:pos="360"/>
        </w:tabs>
        <w:ind w:left="360" w:hanging="360"/>
      </w:pPr>
    </w:lvl>
  </w:abstractNum>
  <w:abstractNum w:abstractNumId="614">
    <w:nsid w:val="5CC534D7"/>
    <w:multiLevelType w:val="hybridMultilevel"/>
    <w:tmpl w:val="BF02607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6">
    <w:nsid w:val="5CCC4106"/>
    <w:multiLevelType w:val="hybridMultilevel"/>
    <w:tmpl w:val="7FB60DE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7">
    <w:nsid w:val="5D0D1591"/>
    <w:multiLevelType w:val="hybridMultilevel"/>
    <w:tmpl w:val="0576BB9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8">
    <w:nsid w:val="5D3C10DA"/>
    <w:multiLevelType w:val="singleLevel"/>
    <w:tmpl w:val="1486DE82"/>
    <w:lvl w:ilvl="0">
      <w:start w:val="496"/>
      <w:numFmt w:val="decimal"/>
      <w:lvlText w:val="%1."/>
      <w:lvlJc w:val="left"/>
      <w:pPr>
        <w:tabs>
          <w:tab w:val="num" w:pos="454"/>
        </w:tabs>
        <w:ind w:left="454" w:hanging="454"/>
      </w:pPr>
    </w:lvl>
  </w:abstractNum>
  <w:abstractNum w:abstractNumId="61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0">
    <w:nsid w:val="5DA67E32"/>
    <w:multiLevelType w:val="singleLevel"/>
    <w:tmpl w:val="7B862E6E"/>
    <w:lvl w:ilvl="0">
      <w:start w:val="247"/>
      <w:numFmt w:val="decimal"/>
      <w:lvlText w:val="%1."/>
      <w:lvlJc w:val="left"/>
      <w:pPr>
        <w:tabs>
          <w:tab w:val="num" w:pos="454"/>
        </w:tabs>
        <w:ind w:left="454" w:hanging="454"/>
      </w:pPr>
    </w:lvl>
  </w:abstractNum>
  <w:abstractNum w:abstractNumId="621">
    <w:nsid w:val="5DC80100"/>
    <w:multiLevelType w:val="singleLevel"/>
    <w:tmpl w:val="FC1A10AC"/>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622">
    <w:nsid w:val="5DC81E2A"/>
    <w:multiLevelType w:val="singleLevel"/>
    <w:tmpl w:val="0405000F"/>
    <w:lvl w:ilvl="0">
      <w:start w:val="1"/>
      <w:numFmt w:val="decimal"/>
      <w:lvlText w:val="%1."/>
      <w:lvlJc w:val="left"/>
      <w:pPr>
        <w:tabs>
          <w:tab w:val="num" w:pos="360"/>
        </w:tabs>
        <w:ind w:left="360" w:hanging="360"/>
      </w:pPr>
    </w:lvl>
  </w:abstractNum>
  <w:abstractNum w:abstractNumId="623">
    <w:nsid w:val="5DCF207E"/>
    <w:multiLevelType w:val="singleLevel"/>
    <w:tmpl w:val="6B561DC0"/>
    <w:lvl w:ilvl="0">
      <w:start w:val="355"/>
      <w:numFmt w:val="decimal"/>
      <w:lvlText w:val="%1."/>
      <w:lvlJc w:val="left"/>
      <w:pPr>
        <w:tabs>
          <w:tab w:val="num" w:pos="454"/>
        </w:tabs>
        <w:ind w:left="454" w:hanging="454"/>
      </w:pPr>
    </w:lvl>
  </w:abstractNum>
  <w:abstractNum w:abstractNumId="624">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25">
    <w:nsid w:val="5E064581"/>
    <w:multiLevelType w:val="singleLevel"/>
    <w:tmpl w:val="338CDACE"/>
    <w:lvl w:ilvl="0">
      <w:start w:val="70"/>
      <w:numFmt w:val="decimal"/>
      <w:lvlText w:val="%1."/>
      <w:lvlJc w:val="left"/>
      <w:pPr>
        <w:tabs>
          <w:tab w:val="num" w:pos="360"/>
        </w:tabs>
        <w:ind w:left="357" w:hanging="357"/>
      </w:pPr>
    </w:lvl>
  </w:abstractNum>
  <w:abstractNum w:abstractNumId="626">
    <w:nsid w:val="5E441801"/>
    <w:multiLevelType w:val="hybridMultilevel"/>
    <w:tmpl w:val="40EE532C"/>
    <w:lvl w:ilvl="0" w:tplc="EC8AED0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7">
    <w:nsid w:val="5EA76BF8"/>
    <w:multiLevelType w:val="singleLevel"/>
    <w:tmpl w:val="A5B6A8CC"/>
    <w:lvl w:ilvl="0">
      <w:start w:val="420"/>
      <w:numFmt w:val="decimal"/>
      <w:lvlText w:val="%1."/>
      <w:lvlJc w:val="left"/>
      <w:pPr>
        <w:tabs>
          <w:tab w:val="num" w:pos="454"/>
        </w:tabs>
        <w:ind w:left="454" w:hanging="454"/>
      </w:pPr>
    </w:lvl>
  </w:abstractNum>
  <w:abstractNum w:abstractNumId="628">
    <w:nsid w:val="5EDD17A6"/>
    <w:multiLevelType w:val="singleLevel"/>
    <w:tmpl w:val="848C7876"/>
    <w:lvl w:ilvl="0">
      <w:start w:val="777"/>
      <w:numFmt w:val="decimal"/>
      <w:lvlText w:val="%1."/>
      <w:lvlJc w:val="left"/>
      <w:pPr>
        <w:tabs>
          <w:tab w:val="num" w:pos="454"/>
        </w:tabs>
        <w:ind w:left="454" w:hanging="454"/>
      </w:pPr>
    </w:lvl>
  </w:abstractNum>
  <w:abstractNum w:abstractNumId="62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30">
    <w:nsid w:val="5F382249"/>
    <w:multiLevelType w:val="singleLevel"/>
    <w:tmpl w:val="DC26281A"/>
    <w:lvl w:ilvl="0">
      <w:start w:val="245"/>
      <w:numFmt w:val="decimal"/>
      <w:lvlText w:val="%1."/>
      <w:lvlJc w:val="left"/>
      <w:pPr>
        <w:tabs>
          <w:tab w:val="num" w:pos="454"/>
        </w:tabs>
        <w:ind w:left="454" w:hanging="454"/>
      </w:pPr>
    </w:lvl>
  </w:abstractNum>
  <w:abstractNum w:abstractNumId="631">
    <w:nsid w:val="602820B2"/>
    <w:multiLevelType w:val="singleLevel"/>
    <w:tmpl w:val="0C090017"/>
    <w:lvl w:ilvl="0">
      <w:start w:val="1"/>
      <w:numFmt w:val="lowerLetter"/>
      <w:lvlText w:val="%1)"/>
      <w:lvlJc w:val="left"/>
      <w:pPr>
        <w:tabs>
          <w:tab w:val="num" w:pos="360"/>
        </w:tabs>
        <w:ind w:left="360" w:hanging="360"/>
      </w:pPr>
      <w:rPr>
        <w:rFonts w:hint="default"/>
      </w:rPr>
    </w:lvl>
  </w:abstractNum>
  <w:abstractNum w:abstractNumId="632">
    <w:nsid w:val="60630BA8"/>
    <w:multiLevelType w:val="singleLevel"/>
    <w:tmpl w:val="04050017"/>
    <w:lvl w:ilvl="0">
      <w:start w:val="1"/>
      <w:numFmt w:val="lowerLetter"/>
      <w:lvlText w:val="%1)"/>
      <w:lvlJc w:val="left"/>
      <w:pPr>
        <w:tabs>
          <w:tab w:val="num" w:pos="360"/>
        </w:tabs>
        <w:ind w:left="360" w:hanging="360"/>
      </w:pPr>
    </w:lvl>
  </w:abstractNum>
  <w:abstractNum w:abstractNumId="633">
    <w:nsid w:val="60956C39"/>
    <w:multiLevelType w:val="singleLevel"/>
    <w:tmpl w:val="DF369D30"/>
    <w:lvl w:ilvl="0">
      <w:start w:val="33"/>
      <w:numFmt w:val="decimal"/>
      <w:lvlText w:val="%1."/>
      <w:lvlJc w:val="left"/>
      <w:pPr>
        <w:tabs>
          <w:tab w:val="num" w:pos="454"/>
        </w:tabs>
        <w:ind w:left="454" w:hanging="454"/>
      </w:pPr>
    </w:lvl>
  </w:abstractNum>
  <w:abstractNum w:abstractNumId="634">
    <w:nsid w:val="6096167A"/>
    <w:multiLevelType w:val="singleLevel"/>
    <w:tmpl w:val="04050017"/>
    <w:lvl w:ilvl="0">
      <w:start w:val="1"/>
      <w:numFmt w:val="lowerLetter"/>
      <w:lvlText w:val="%1)"/>
      <w:lvlJc w:val="left"/>
      <w:pPr>
        <w:tabs>
          <w:tab w:val="num" w:pos="360"/>
        </w:tabs>
        <w:ind w:left="360" w:hanging="360"/>
      </w:pPr>
      <w:rPr>
        <w:rFonts w:hint="default"/>
      </w:rPr>
    </w:lvl>
  </w:abstractNum>
  <w:abstractNum w:abstractNumId="635">
    <w:nsid w:val="60BC567E"/>
    <w:multiLevelType w:val="singleLevel"/>
    <w:tmpl w:val="65B43D1C"/>
    <w:lvl w:ilvl="0">
      <w:start w:val="246"/>
      <w:numFmt w:val="decimal"/>
      <w:lvlText w:val="%1."/>
      <w:lvlJc w:val="left"/>
      <w:pPr>
        <w:tabs>
          <w:tab w:val="num" w:pos="454"/>
        </w:tabs>
        <w:ind w:left="454" w:hanging="454"/>
      </w:pPr>
    </w:lvl>
  </w:abstractNum>
  <w:abstractNum w:abstractNumId="636">
    <w:nsid w:val="60D16DD4"/>
    <w:multiLevelType w:val="singleLevel"/>
    <w:tmpl w:val="353C8696"/>
    <w:lvl w:ilvl="0">
      <w:start w:val="354"/>
      <w:numFmt w:val="decimal"/>
      <w:lvlText w:val="%1."/>
      <w:lvlJc w:val="left"/>
      <w:pPr>
        <w:tabs>
          <w:tab w:val="num" w:pos="454"/>
        </w:tabs>
        <w:ind w:left="454" w:hanging="454"/>
      </w:pPr>
    </w:lvl>
  </w:abstractNum>
  <w:abstractNum w:abstractNumId="637">
    <w:nsid w:val="60DC187A"/>
    <w:multiLevelType w:val="singleLevel"/>
    <w:tmpl w:val="FAD0ABB4"/>
    <w:lvl w:ilvl="0">
      <w:start w:val="439"/>
      <w:numFmt w:val="decimal"/>
      <w:lvlText w:val="%1."/>
      <w:lvlJc w:val="left"/>
      <w:pPr>
        <w:tabs>
          <w:tab w:val="num" w:pos="454"/>
        </w:tabs>
        <w:ind w:left="454" w:hanging="454"/>
      </w:pPr>
    </w:lvl>
  </w:abstractNum>
  <w:abstractNum w:abstractNumId="638">
    <w:nsid w:val="613C79F4"/>
    <w:multiLevelType w:val="hybridMultilevel"/>
    <w:tmpl w:val="A3AEF57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9">
    <w:nsid w:val="614015AF"/>
    <w:multiLevelType w:val="singleLevel"/>
    <w:tmpl w:val="21D06FC8"/>
    <w:lvl w:ilvl="0">
      <w:start w:val="359"/>
      <w:numFmt w:val="decimal"/>
      <w:lvlText w:val="%1."/>
      <w:lvlJc w:val="left"/>
      <w:pPr>
        <w:tabs>
          <w:tab w:val="num" w:pos="454"/>
        </w:tabs>
        <w:ind w:left="454" w:hanging="454"/>
      </w:pPr>
    </w:lvl>
  </w:abstractNum>
  <w:abstractNum w:abstractNumId="640">
    <w:nsid w:val="616A75B0"/>
    <w:multiLevelType w:val="hybridMultilevel"/>
    <w:tmpl w:val="771AABD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1">
    <w:nsid w:val="617174CE"/>
    <w:multiLevelType w:val="singleLevel"/>
    <w:tmpl w:val="949A4F4E"/>
    <w:lvl w:ilvl="0">
      <w:start w:val="612"/>
      <w:numFmt w:val="decimal"/>
      <w:lvlText w:val="%1."/>
      <w:lvlJc w:val="left"/>
      <w:pPr>
        <w:tabs>
          <w:tab w:val="num" w:pos="454"/>
        </w:tabs>
        <w:ind w:left="454" w:hanging="454"/>
      </w:pPr>
    </w:lvl>
  </w:abstractNum>
  <w:abstractNum w:abstractNumId="642">
    <w:nsid w:val="61901C6E"/>
    <w:multiLevelType w:val="singleLevel"/>
    <w:tmpl w:val="0405000F"/>
    <w:lvl w:ilvl="0">
      <w:start w:val="1"/>
      <w:numFmt w:val="decimal"/>
      <w:lvlText w:val="%1."/>
      <w:lvlJc w:val="left"/>
      <w:pPr>
        <w:tabs>
          <w:tab w:val="num" w:pos="360"/>
        </w:tabs>
        <w:ind w:left="360" w:hanging="360"/>
      </w:pPr>
    </w:lvl>
  </w:abstractNum>
  <w:abstractNum w:abstractNumId="643">
    <w:nsid w:val="61C046F9"/>
    <w:multiLevelType w:val="singleLevel"/>
    <w:tmpl w:val="B70AA508"/>
    <w:lvl w:ilvl="0">
      <w:start w:val="634"/>
      <w:numFmt w:val="decimal"/>
      <w:lvlText w:val="%1."/>
      <w:lvlJc w:val="left"/>
      <w:pPr>
        <w:tabs>
          <w:tab w:val="num" w:pos="454"/>
        </w:tabs>
        <w:ind w:left="454" w:hanging="454"/>
      </w:pPr>
    </w:lvl>
  </w:abstractNum>
  <w:abstractNum w:abstractNumId="644">
    <w:nsid w:val="622F6028"/>
    <w:multiLevelType w:val="singleLevel"/>
    <w:tmpl w:val="2FB2495A"/>
    <w:lvl w:ilvl="0">
      <w:start w:val="1"/>
      <w:numFmt w:val="lowerLetter"/>
      <w:lvlText w:val="%1)"/>
      <w:lvlJc w:val="left"/>
      <w:pPr>
        <w:tabs>
          <w:tab w:val="num" w:pos="786"/>
        </w:tabs>
        <w:ind w:left="786" w:hanging="360"/>
      </w:pPr>
      <w:rPr>
        <w:rFonts w:hint="default"/>
      </w:rPr>
    </w:lvl>
  </w:abstractNum>
  <w:abstractNum w:abstractNumId="645">
    <w:nsid w:val="62325A45"/>
    <w:multiLevelType w:val="hybridMultilevel"/>
    <w:tmpl w:val="905EE81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6">
    <w:nsid w:val="625D5113"/>
    <w:multiLevelType w:val="singleLevel"/>
    <w:tmpl w:val="206C2892"/>
    <w:lvl w:ilvl="0">
      <w:start w:val="288"/>
      <w:numFmt w:val="decimal"/>
      <w:lvlText w:val="%1."/>
      <w:lvlJc w:val="left"/>
      <w:pPr>
        <w:tabs>
          <w:tab w:val="num" w:pos="454"/>
        </w:tabs>
        <w:ind w:left="454" w:hanging="454"/>
      </w:pPr>
    </w:lvl>
  </w:abstractNum>
  <w:abstractNum w:abstractNumId="647">
    <w:nsid w:val="62615F84"/>
    <w:multiLevelType w:val="hybridMultilevel"/>
    <w:tmpl w:val="14AE99B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8">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9">
    <w:nsid w:val="6286020B"/>
    <w:multiLevelType w:val="singleLevel"/>
    <w:tmpl w:val="04050017"/>
    <w:lvl w:ilvl="0">
      <w:start w:val="1"/>
      <w:numFmt w:val="lowerLetter"/>
      <w:lvlText w:val="%1)"/>
      <w:lvlJc w:val="left"/>
      <w:pPr>
        <w:tabs>
          <w:tab w:val="num" w:pos="360"/>
        </w:tabs>
        <w:ind w:left="360" w:hanging="360"/>
      </w:pPr>
      <w:rPr>
        <w:rFonts w:hint="default"/>
      </w:rPr>
    </w:lvl>
  </w:abstractNum>
  <w:abstractNum w:abstractNumId="65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51">
    <w:nsid w:val="62CA2E76"/>
    <w:multiLevelType w:val="singleLevel"/>
    <w:tmpl w:val="5776D3D2"/>
    <w:lvl w:ilvl="0">
      <w:start w:val="553"/>
      <w:numFmt w:val="decimal"/>
      <w:lvlText w:val="%1."/>
      <w:lvlJc w:val="left"/>
      <w:pPr>
        <w:tabs>
          <w:tab w:val="num" w:pos="454"/>
        </w:tabs>
        <w:ind w:left="454" w:hanging="454"/>
      </w:pPr>
    </w:lvl>
  </w:abstractNum>
  <w:abstractNum w:abstractNumId="652">
    <w:nsid w:val="632F3BE9"/>
    <w:multiLevelType w:val="hybridMultilevel"/>
    <w:tmpl w:val="1FF0C21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3">
    <w:nsid w:val="635916F4"/>
    <w:multiLevelType w:val="singleLevel"/>
    <w:tmpl w:val="5F2A5492"/>
    <w:lvl w:ilvl="0">
      <w:start w:val="714"/>
      <w:numFmt w:val="decimal"/>
      <w:lvlText w:val="%1."/>
      <w:lvlJc w:val="left"/>
      <w:pPr>
        <w:tabs>
          <w:tab w:val="num" w:pos="454"/>
        </w:tabs>
        <w:ind w:left="454" w:hanging="454"/>
      </w:pPr>
    </w:lvl>
  </w:abstractNum>
  <w:abstractNum w:abstractNumId="654">
    <w:nsid w:val="63B7359D"/>
    <w:multiLevelType w:val="singleLevel"/>
    <w:tmpl w:val="FF42175E"/>
    <w:lvl w:ilvl="0">
      <w:start w:val="77"/>
      <w:numFmt w:val="decimal"/>
      <w:lvlText w:val="%1. "/>
      <w:lvlJc w:val="left"/>
      <w:pPr>
        <w:tabs>
          <w:tab w:val="num" w:pos="454"/>
        </w:tabs>
        <w:ind w:left="454" w:hanging="454"/>
      </w:pPr>
      <w:rPr>
        <w:b w:val="0"/>
        <w:i w:val="0"/>
        <w:sz w:val="24"/>
        <w:szCs w:val="24"/>
      </w:rPr>
    </w:lvl>
  </w:abstractNum>
  <w:abstractNum w:abstractNumId="655">
    <w:nsid w:val="63C373E4"/>
    <w:multiLevelType w:val="singleLevel"/>
    <w:tmpl w:val="04050017"/>
    <w:lvl w:ilvl="0">
      <w:start w:val="1"/>
      <w:numFmt w:val="lowerLetter"/>
      <w:lvlText w:val="%1)"/>
      <w:lvlJc w:val="left"/>
      <w:pPr>
        <w:tabs>
          <w:tab w:val="num" w:pos="360"/>
        </w:tabs>
        <w:ind w:left="360" w:hanging="360"/>
      </w:pPr>
    </w:lvl>
  </w:abstractNum>
  <w:abstractNum w:abstractNumId="656">
    <w:nsid w:val="63CA17E7"/>
    <w:multiLevelType w:val="hybridMultilevel"/>
    <w:tmpl w:val="705E383A"/>
    <w:lvl w:ilvl="0" w:tplc="4296E0D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7">
    <w:nsid w:val="63E0658E"/>
    <w:multiLevelType w:val="singleLevel"/>
    <w:tmpl w:val="393C0108"/>
    <w:lvl w:ilvl="0">
      <w:start w:val="35"/>
      <w:numFmt w:val="decimal"/>
      <w:lvlText w:val="%1."/>
      <w:lvlJc w:val="left"/>
      <w:pPr>
        <w:tabs>
          <w:tab w:val="num" w:pos="454"/>
        </w:tabs>
        <w:ind w:left="454" w:hanging="454"/>
      </w:pPr>
    </w:lvl>
  </w:abstractNum>
  <w:abstractNum w:abstractNumId="658">
    <w:nsid w:val="63E62949"/>
    <w:multiLevelType w:val="singleLevel"/>
    <w:tmpl w:val="04050017"/>
    <w:lvl w:ilvl="0">
      <w:start w:val="1"/>
      <w:numFmt w:val="lowerLetter"/>
      <w:lvlText w:val="%1)"/>
      <w:lvlJc w:val="left"/>
      <w:pPr>
        <w:tabs>
          <w:tab w:val="num" w:pos="360"/>
        </w:tabs>
        <w:ind w:left="360" w:hanging="360"/>
      </w:pPr>
      <w:rPr>
        <w:rFonts w:hint="default"/>
      </w:rPr>
    </w:lvl>
  </w:abstractNum>
  <w:abstractNum w:abstractNumId="659">
    <w:nsid w:val="63EB789C"/>
    <w:multiLevelType w:val="singleLevel"/>
    <w:tmpl w:val="6742CCD0"/>
    <w:lvl w:ilvl="0">
      <w:start w:val="737"/>
      <w:numFmt w:val="decimal"/>
      <w:lvlText w:val="%1."/>
      <w:lvlJc w:val="left"/>
      <w:pPr>
        <w:tabs>
          <w:tab w:val="num" w:pos="454"/>
        </w:tabs>
        <w:ind w:left="454" w:hanging="454"/>
      </w:pPr>
    </w:lvl>
  </w:abstractNum>
  <w:abstractNum w:abstractNumId="660">
    <w:nsid w:val="63F17021"/>
    <w:multiLevelType w:val="singleLevel"/>
    <w:tmpl w:val="04050017"/>
    <w:lvl w:ilvl="0">
      <w:start w:val="1"/>
      <w:numFmt w:val="lowerLetter"/>
      <w:lvlText w:val="%1)"/>
      <w:lvlJc w:val="left"/>
      <w:pPr>
        <w:tabs>
          <w:tab w:val="num" w:pos="360"/>
        </w:tabs>
        <w:ind w:left="360" w:hanging="360"/>
      </w:pPr>
      <w:rPr>
        <w:rFonts w:hint="default"/>
      </w:rPr>
    </w:lvl>
  </w:abstractNum>
  <w:abstractNum w:abstractNumId="661">
    <w:nsid w:val="640724E7"/>
    <w:multiLevelType w:val="hybridMultilevel"/>
    <w:tmpl w:val="F6F48990"/>
    <w:lvl w:ilvl="0" w:tplc="17CEAB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2">
    <w:nsid w:val="643D3896"/>
    <w:multiLevelType w:val="singleLevel"/>
    <w:tmpl w:val="93E2C0E0"/>
    <w:lvl w:ilvl="0">
      <w:start w:val="541"/>
      <w:numFmt w:val="decimal"/>
      <w:lvlText w:val="%1."/>
      <w:lvlJc w:val="left"/>
      <w:pPr>
        <w:tabs>
          <w:tab w:val="num" w:pos="454"/>
        </w:tabs>
        <w:ind w:left="454" w:hanging="454"/>
      </w:pPr>
    </w:lvl>
  </w:abstractNum>
  <w:abstractNum w:abstractNumId="663">
    <w:nsid w:val="64444A60"/>
    <w:multiLevelType w:val="singleLevel"/>
    <w:tmpl w:val="BAE6A976"/>
    <w:lvl w:ilvl="0">
      <w:start w:val="55"/>
      <w:numFmt w:val="decimal"/>
      <w:lvlText w:val="%1."/>
      <w:lvlJc w:val="left"/>
      <w:pPr>
        <w:tabs>
          <w:tab w:val="num" w:pos="360"/>
        </w:tabs>
        <w:ind w:left="357" w:hanging="357"/>
      </w:pPr>
    </w:lvl>
  </w:abstractNum>
  <w:abstractNum w:abstractNumId="66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65">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6">
    <w:nsid w:val="64AD7E04"/>
    <w:multiLevelType w:val="hybridMultilevel"/>
    <w:tmpl w:val="4956BA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7">
    <w:nsid w:val="64C76337"/>
    <w:multiLevelType w:val="hybridMultilevel"/>
    <w:tmpl w:val="DCBC9C7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8">
    <w:nsid w:val="65194E11"/>
    <w:multiLevelType w:val="singleLevel"/>
    <w:tmpl w:val="9B523558"/>
    <w:lvl w:ilvl="0">
      <w:start w:val="165"/>
      <w:numFmt w:val="decimal"/>
      <w:lvlText w:val="%1."/>
      <w:lvlJc w:val="left"/>
      <w:pPr>
        <w:tabs>
          <w:tab w:val="num" w:pos="454"/>
        </w:tabs>
        <w:ind w:left="454" w:hanging="454"/>
      </w:pPr>
      <w:rPr>
        <w:b w:val="0"/>
        <w:i w:val="0"/>
        <w:sz w:val="24"/>
        <w:szCs w:val="24"/>
      </w:rPr>
    </w:lvl>
  </w:abstractNum>
  <w:abstractNum w:abstractNumId="669">
    <w:nsid w:val="653446C4"/>
    <w:multiLevelType w:val="singleLevel"/>
    <w:tmpl w:val="29EC9A58"/>
    <w:lvl w:ilvl="0">
      <w:start w:val="339"/>
      <w:numFmt w:val="decimal"/>
      <w:lvlText w:val="%1."/>
      <w:lvlJc w:val="left"/>
      <w:pPr>
        <w:tabs>
          <w:tab w:val="num" w:pos="454"/>
        </w:tabs>
        <w:ind w:left="454" w:hanging="454"/>
      </w:pPr>
    </w:lvl>
  </w:abstractNum>
  <w:abstractNum w:abstractNumId="670">
    <w:nsid w:val="655E0CAF"/>
    <w:multiLevelType w:val="hybridMultilevel"/>
    <w:tmpl w:val="ADD4149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1">
    <w:nsid w:val="65832237"/>
    <w:multiLevelType w:val="singleLevel"/>
    <w:tmpl w:val="B316E918"/>
    <w:lvl w:ilvl="0">
      <w:start w:val="140"/>
      <w:numFmt w:val="decimal"/>
      <w:lvlText w:val="%1."/>
      <w:lvlJc w:val="left"/>
      <w:pPr>
        <w:tabs>
          <w:tab w:val="num" w:pos="454"/>
        </w:tabs>
        <w:ind w:left="454" w:hanging="454"/>
      </w:pPr>
      <w:rPr>
        <w:b w:val="0"/>
        <w:i w:val="0"/>
        <w:sz w:val="24"/>
        <w:szCs w:val="24"/>
      </w:rPr>
    </w:lvl>
  </w:abstractNum>
  <w:abstractNum w:abstractNumId="672">
    <w:nsid w:val="658C76D5"/>
    <w:multiLevelType w:val="singleLevel"/>
    <w:tmpl w:val="20247DB4"/>
    <w:lvl w:ilvl="0">
      <w:start w:val="125"/>
      <w:numFmt w:val="decimal"/>
      <w:lvlText w:val="%1."/>
      <w:lvlJc w:val="left"/>
      <w:pPr>
        <w:tabs>
          <w:tab w:val="num" w:pos="454"/>
        </w:tabs>
        <w:ind w:left="454" w:hanging="454"/>
      </w:pPr>
      <w:rPr>
        <w:b w:val="0"/>
        <w:i w:val="0"/>
        <w:sz w:val="24"/>
        <w:szCs w:val="24"/>
      </w:rPr>
    </w:lvl>
  </w:abstractNum>
  <w:abstractNum w:abstractNumId="673">
    <w:nsid w:val="659667F2"/>
    <w:multiLevelType w:val="singleLevel"/>
    <w:tmpl w:val="ECBCAE8E"/>
    <w:lvl w:ilvl="0">
      <w:start w:val="1"/>
      <w:numFmt w:val="decimal"/>
      <w:lvlText w:val="%1."/>
      <w:lvlJc w:val="left"/>
      <w:pPr>
        <w:tabs>
          <w:tab w:val="num" w:pos="360"/>
        </w:tabs>
        <w:ind w:left="360" w:hanging="360"/>
      </w:pPr>
      <w:rPr>
        <w:rFonts w:hint="default"/>
        <w:sz w:val="24"/>
        <w:szCs w:val="24"/>
        <w:u w:val="none"/>
      </w:rPr>
    </w:lvl>
  </w:abstractNum>
  <w:abstractNum w:abstractNumId="674">
    <w:nsid w:val="659835A5"/>
    <w:multiLevelType w:val="singleLevel"/>
    <w:tmpl w:val="016CF000"/>
    <w:lvl w:ilvl="0">
      <w:start w:val="772"/>
      <w:numFmt w:val="decimal"/>
      <w:lvlText w:val="%1."/>
      <w:lvlJc w:val="left"/>
      <w:pPr>
        <w:tabs>
          <w:tab w:val="num" w:pos="454"/>
        </w:tabs>
        <w:ind w:left="454" w:hanging="454"/>
      </w:pPr>
    </w:lvl>
  </w:abstractNum>
  <w:abstractNum w:abstractNumId="675">
    <w:nsid w:val="65D15DFE"/>
    <w:multiLevelType w:val="singleLevel"/>
    <w:tmpl w:val="475E6D3C"/>
    <w:lvl w:ilvl="0">
      <w:start w:val="1"/>
      <w:numFmt w:val="decimal"/>
      <w:lvlText w:val="%1."/>
      <w:lvlJc w:val="left"/>
      <w:pPr>
        <w:tabs>
          <w:tab w:val="num" w:pos="360"/>
        </w:tabs>
        <w:ind w:left="360" w:hanging="360"/>
      </w:pPr>
    </w:lvl>
  </w:abstractNum>
  <w:abstractNum w:abstractNumId="676">
    <w:nsid w:val="65F94F47"/>
    <w:multiLevelType w:val="singleLevel"/>
    <w:tmpl w:val="723E4A82"/>
    <w:lvl w:ilvl="0">
      <w:start w:val="344"/>
      <w:numFmt w:val="decimal"/>
      <w:lvlText w:val="%1."/>
      <w:lvlJc w:val="left"/>
      <w:pPr>
        <w:tabs>
          <w:tab w:val="num" w:pos="454"/>
        </w:tabs>
        <w:ind w:left="454" w:hanging="454"/>
      </w:pPr>
    </w:lvl>
  </w:abstractNum>
  <w:abstractNum w:abstractNumId="677">
    <w:nsid w:val="661F08F4"/>
    <w:multiLevelType w:val="singleLevel"/>
    <w:tmpl w:val="2F3ED08E"/>
    <w:lvl w:ilvl="0">
      <w:start w:val="1"/>
      <w:numFmt w:val="lowerLetter"/>
      <w:lvlText w:val="%1)"/>
      <w:lvlJc w:val="left"/>
      <w:pPr>
        <w:tabs>
          <w:tab w:val="num" w:pos="413"/>
        </w:tabs>
        <w:ind w:left="413" w:hanging="413"/>
      </w:pPr>
      <w:rPr>
        <w:rFonts w:hint="default"/>
      </w:rPr>
    </w:lvl>
  </w:abstractNum>
  <w:abstractNum w:abstractNumId="678">
    <w:nsid w:val="664A0325"/>
    <w:multiLevelType w:val="hybridMultilevel"/>
    <w:tmpl w:val="B41C174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9">
    <w:nsid w:val="66522FA7"/>
    <w:multiLevelType w:val="singleLevel"/>
    <w:tmpl w:val="E478694A"/>
    <w:lvl w:ilvl="0">
      <w:start w:val="614"/>
      <w:numFmt w:val="decimal"/>
      <w:lvlText w:val="%1."/>
      <w:lvlJc w:val="left"/>
      <w:pPr>
        <w:tabs>
          <w:tab w:val="num" w:pos="454"/>
        </w:tabs>
        <w:ind w:left="454" w:hanging="454"/>
      </w:pPr>
    </w:lvl>
  </w:abstractNum>
  <w:abstractNum w:abstractNumId="680">
    <w:nsid w:val="668706DD"/>
    <w:multiLevelType w:val="singleLevel"/>
    <w:tmpl w:val="FF2A904A"/>
    <w:lvl w:ilvl="0">
      <w:start w:val="313"/>
      <w:numFmt w:val="decimal"/>
      <w:lvlText w:val="%1."/>
      <w:lvlJc w:val="left"/>
      <w:pPr>
        <w:tabs>
          <w:tab w:val="num" w:pos="454"/>
        </w:tabs>
        <w:ind w:left="454" w:hanging="454"/>
      </w:pPr>
    </w:lvl>
  </w:abstractNum>
  <w:abstractNum w:abstractNumId="681">
    <w:nsid w:val="66982214"/>
    <w:multiLevelType w:val="singleLevel"/>
    <w:tmpl w:val="095C53D0"/>
    <w:lvl w:ilvl="0">
      <w:start w:val="778"/>
      <w:numFmt w:val="decimal"/>
      <w:lvlText w:val="%1."/>
      <w:lvlJc w:val="left"/>
      <w:pPr>
        <w:tabs>
          <w:tab w:val="num" w:pos="454"/>
        </w:tabs>
        <w:ind w:left="454" w:hanging="454"/>
      </w:pPr>
    </w:lvl>
  </w:abstractNum>
  <w:abstractNum w:abstractNumId="682">
    <w:nsid w:val="66A17373"/>
    <w:multiLevelType w:val="singleLevel"/>
    <w:tmpl w:val="3B86DEC6"/>
    <w:lvl w:ilvl="0">
      <w:start w:val="640"/>
      <w:numFmt w:val="decimal"/>
      <w:lvlText w:val="%1."/>
      <w:lvlJc w:val="left"/>
      <w:pPr>
        <w:tabs>
          <w:tab w:val="num" w:pos="454"/>
        </w:tabs>
        <w:ind w:left="454" w:hanging="454"/>
      </w:pPr>
    </w:lvl>
  </w:abstractNum>
  <w:abstractNum w:abstractNumId="683">
    <w:nsid w:val="66AF03CB"/>
    <w:multiLevelType w:val="singleLevel"/>
    <w:tmpl w:val="46B27714"/>
    <w:lvl w:ilvl="0">
      <w:start w:val="345"/>
      <w:numFmt w:val="decimal"/>
      <w:lvlText w:val="%1."/>
      <w:lvlJc w:val="left"/>
      <w:pPr>
        <w:tabs>
          <w:tab w:val="num" w:pos="454"/>
        </w:tabs>
        <w:ind w:left="454" w:hanging="454"/>
      </w:pPr>
    </w:lvl>
  </w:abstractNum>
  <w:abstractNum w:abstractNumId="684">
    <w:nsid w:val="671276A1"/>
    <w:multiLevelType w:val="singleLevel"/>
    <w:tmpl w:val="611E3514"/>
    <w:lvl w:ilvl="0">
      <w:start w:val="120"/>
      <w:numFmt w:val="decimal"/>
      <w:lvlText w:val="%1."/>
      <w:lvlJc w:val="left"/>
      <w:pPr>
        <w:tabs>
          <w:tab w:val="num" w:pos="454"/>
        </w:tabs>
        <w:ind w:left="454" w:hanging="454"/>
      </w:pPr>
    </w:lvl>
  </w:abstractNum>
  <w:abstractNum w:abstractNumId="685">
    <w:nsid w:val="6721251B"/>
    <w:multiLevelType w:val="hybridMultilevel"/>
    <w:tmpl w:val="6D3CF6C8"/>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6">
    <w:nsid w:val="677B1541"/>
    <w:multiLevelType w:val="singleLevel"/>
    <w:tmpl w:val="A7AAA30E"/>
    <w:lvl w:ilvl="0">
      <w:start w:val="725"/>
      <w:numFmt w:val="decimal"/>
      <w:lvlText w:val="%1."/>
      <w:lvlJc w:val="left"/>
      <w:pPr>
        <w:tabs>
          <w:tab w:val="num" w:pos="454"/>
        </w:tabs>
        <w:ind w:left="454" w:hanging="454"/>
      </w:pPr>
    </w:lvl>
  </w:abstractNum>
  <w:abstractNum w:abstractNumId="687">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88">
    <w:nsid w:val="67BC5EDA"/>
    <w:multiLevelType w:val="singleLevel"/>
    <w:tmpl w:val="489CF7C6"/>
    <w:lvl w:ilvl="0">
      <w:start w:val="1"/>
      <w:numFmt w:val="decimal"/>
      <w:lvlText w:val="%1."/>
      <w:legacy w:legacy="1" w:legacySpace="0" w:legacyIndent="283"/>
      <w:lvlJc w:val="left"/>
      <w:pPr>
        <w:ind w:left="283" w:hanging="283"/>
      </w:pPr>
    </w:lvl>
  </w:abstractNum>
  <w:abstractNum w:abstractNumId="689">
    <w:nsid w:val="67FE4D42"/>
    <w:multiLevelType w:val="hybridMultilevel"/>
    <w:tmpl w:val="24D20F6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0">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1">
    <w:nsid w:val="68332AA4"/>
    <w:multiLevelType w:val="singleLevel"/>
    <w:tmpl w:val="05B41A94"/>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692">
    <w:nsid w:val="68611F85"/>
    <w:multiLevelType w:val="singleLevel"/>
    <w:tmpl w:val="0405000F"/>
    <w:lvl w:ilvl="0">
      <w:start w:val="1"/>
      <w:numFmt w:val="decimal"/>
      <w:lvlText w:val="%1."/>
      <w:lvlJc w:val="left"/>
      <w:pPr>
        <w:tabs>
          <w:tab w:val="num" w:pos="360"/>
        </w:tabs>
        <w:ind w:left="360" w:hanging="360"/>
      </w:pPr>
    </w:lvl>
  </w:abstractNum>
  <w:abstractNum w:abstractNumId="693">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94">
    <w:nsid w:val="68BA6323"/>
    <w:multiLevelType w:val="singleLevel"/>
    <w:tmpl w:val="9A9AA6F6"/>
    <w:lvl w:ilvl="0">
      <w:start w:val="550"/>
      <w:numFmt w:val="decimal"/>
      <w:lvlText w:val="%1."/>
      <w:lvlJc w:val="left"/>
      <w:pPr>
        <w:tabs>
          <w:tab w:val="num" w:pos="454"/>
        </w:tabs>
        <w:ind w:left="454" w:hanging="454"/>
      </w:pPr>
    </w:lvl>
  </w:abstractNum>
  <w:abstractNum w:abstractNumId="695">
    <w:nsid w:val="68EC04F5"/>
    <w:multiLevelType w:val="singleLevel"/>
    <w:tmpl w:val="C2FAA7B6"/>
    <w:lvl w:ilvl="0">
      <w:start w:val="406"/>
      <w:numFmt w:val="decimal"/>
      <w:lvlText w:val="%1."/>
      <w:lvlJc w:val="left"/>
      <w:pPr>
        <w:tabs>
          <w:tab w:val="num" w:pos="454"/>
        </w:tabs>
        <w:ind w:left="454" w:hanging="454"/>
      </w:pPr>
    </w:lvl>
  </w:abstractNum>
  <w:abstractNum w:abstractNumId="696">
    <w:nsid w:val="691C2AEB"/>
    <w:multiLevelType w:val="singleLevel"/>
    <w:tmpl w:val="914A3710"/>
    <w:lvl w:ilvl="0">
      <w:start w:val="487"/>
      <w:numFmt w:val="decimal"/>
      <w:lvlText w:val="%1."/>
      <w:lvlJc w:val="left"/>
      <w:pPr>
        <w:tabs>
          <w:tab w:val="num" w:pos="454"/>
        </w:tabs>
        <w:ind w:left="454" w:hanging="454"/>
      </w:pPr>
    </w:lvl>
  </w:abstractNum>
  <w:abstractNum w:abstractNumId="697">
    <w:nsid w:val="69355F26"/>
    <w:multiLevelType w:val="hybridMultilevel"/>
    <w:tmpl w:val="DB0284BC"/>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8">
    <w:nsid w:val="694557AE"/>
    <w:multiLevelType w:val="singleLevel"/>
    <w:tmpl w:val="04050001"/>
    <w:lvl w:ilvl="0">
      <w:numFmt w:val="bullet"/>
      <w:lvlText w:val=""/>
      <w:lvlJc w:val="left"/>
      <w:pPr>
        <w:tabs>
          <w:tab w:val="num" w:pos="360"/>
        </w:tabs>
        <w:ind w:left="360" w:hanging="360"/>
      </w:pPr>
      <w:rPr>
        <w:rFonts w:ascii="Symbol" w:hAnsi="Symbol" w:cs="Times New Roman" w:hint="default"/>
      </w:rPr>
    </w:lvl>
  </w:abstractNum>
  <w:abstractNum w:abstractNumId="699">
    <w:nsid w:val="69467015"/>
    <w:multiLevelType w:val="hybridMultilevel"/>
    <w:tmpl w:val="5266718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0">
    <w:nsid w:val="69506FD4"/>
    <w:multiLevelType w:val="singleLevel"/>
    <w:tmpl w:val="AF062C02"/>
    <w:lvl w:ilvl="0">
      <w:start w:val="3"/>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701">
    <w:nsid w:val="69536039"/>
    <w:multiLevelType w:val="hybridMultilevel"/>
    <w:tmpl w:val="4F96C706"/>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2">
    <w:nsid w:val="695812F4"/>
    <w:multiLevelType w:val="singleLevel"/>
    <w:tmpl w:val="B8D2F34C"/>
    <w:lvl w:ilvl="0">
      <w:start w:val="2"/>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abstractNum>
  <w:abstractNum w:abstractNumId="703">
    <w:nsid w:val="69AE0EB5"/>
    <w:multiLevelType w:val="singleLevel"/>
    <w:tmpl w:val="ADAC36FE"/>
    <w:lvl w:ilvl="0">
      <w:start w:val="3"/>
      <w:numFmt w:val="upp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704">
    <w:nsid w:val="69F649C0"/>
    <w:multiLevelType w:val="hybridMultilevel"/>
    <w:tmpl w:val="FCCA9DB8"/>
    <w:lvl w:ilvl="0" w:tplc="A402672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5">
    <w:nsid w:val="6A05221B"/>
    <w:multiLevelType w:val="singleLevel"/>
    <w:tmpl w:val="B52000D2"/>
    <w:lvl w:ilvl="0">
      <w:start w:val="340"/>
      <w:numFmt w:val="decimal"/>
      <w:lvlText w:val="%1."/>
      <w:lvlJc w:val="left"/>
      <w:pPr>
        <w:tabs>
          <w:tab w:val="num" w:pos="454"/>
        </w:tabs>
        <w:ind w:left="454" w:hanging="454"/>
      </w:pPr>
    </w:lvl>
  </w:abstractNum>
  <w:abstractNum w:abstractNumId="706">
    <w:nsid w:val="6A162948"/>
    <w:multiLevelType w:val="hybridMultilevel"/>
    <w:tmpl w:val="D45EBB1E"/>
    <w:lvl w:ilvl="0" w:tplc="74345C5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7">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08">
    <w:nsid w:val="6A464283"/>
    <w:multiLevelType w:val="singleLevel"/>
    <w:tmpl w:val="EEFCF626"/>
    <w:lvl w:ilvl="0">
      <w:start w:val="70"/>
      <w:numFmt w:val="decimal"/>
      <w:lvlText w:val="%1."/>
      <w:lvlJc w:val="left"/>
      <w:pPr>
        <w:tabs>
          <w:tab w:val="num" w:pos="454"/>
        </w:tabs>
        <w:ind w:left="454" w:hanging="454"/>
      </w:pPr>
      <w:rPr>
        <w:b w:val="0"/>
        <w:i w:val="0"/>
        <w:sz w:val="24"/>
        <w:szCs w:val="24"/>
      </w:rPr>
    </w:lvl>
  </w:abstractNum>
  <w:abstractNum w:abstractNumId="709">
    <w:nsid w:val="6A61589D"/>
    <w:multiLevelType w:val="singleLevel"/>
    <w:tmpl w:val="62B420EC"/>
    <w:lvl w:ilvl="0">
      <w:start w:val="103"/>
      <w:numFmt w:val="decimal"/>
      <w:lvlText w:val="%1."/>
      <w:lvlJc w:val="left"/>
      <w:pPr>
        <w:tabs>
          <w:tab w:val="num" w:pos="454"/>
        </w:tabs>
        <w:ind w:left="454" w:hanging="454"/>
      </w:pPr>
    </w:lvl>
  </w:abstractNum>
  <w:abstractNum w:abstractNumId="710">
    <w:nsid w:val="6AB85CFB"/>
    <w:multiLevelType w:val="hybridMultilevel"/>
    <w:tmpl w:val="C2D62EF2"/>
    <w:lvl w:ilvl="0" w:tplc="C5DAE68E">
      <w:start w:val="1"/>
      <w:numFmt w:val="lowerLetter"/>
      <w:lvlRestart w:val="0"/>
      <w:lvlText w:val="(%1)"/>
      <w:lvlJc w:val="right"/>
      <w:pPr>
        <w:tabs>
          <w:tab w:val="num" w:pos="1531"/>
        </w:tabs>
        <w:ind w:left="1531" w:hanging="227"/>
      </w:pPr>
      <w:rPr>
        <w:rFonts w:ascii="Times New Roman" w:hAnsi="Times New Roman"/>
        <w:b w:val="0"/>
        <w:i w:val="0"/>
        <w:sz w:val="24"/>
      </w:rPr>
    </w:lvl>
    <w:lvl w:ilvl="1" w:tplc="C5DAE68E">
      <w:start w:val="1"/>
      <w:numFmt w:val="lowerLetter"/>
      <w:lvlRestart w:val="0"/>
      <w:lvlText w:val="(%2)"/>
      <w:lvlJc w:val="right"/>
      <w:pPr>
        <w:tabs>
          <w:tab w:val="num" w:pos="1307"/>
        </w:tabs>
        <w:ind w:left="1307" w:hanging="227"/>
      </w:pPr>
      <w:rPr>
        <w:rFonts w:ascii="Times New Roman" w:hAnsi="Times New Roman"/>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1">
    <w:nsid w:val="6AE36029"/>
    <w:multiLevelType w:val="hybridMultilevel"/>
    <w:tmpl w:val="8086128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2">
    <w:nsid w:val="6B3F1803"/>
    <w:multiLevelType w:val="hybridMultilevel"/>
    <w:tmpl w:val="A3E28A46"/>
    <w:lvl w:ilvl="0" w:tplc="98B25BA0">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713">
    <w:nsid w:val="6B5C6E72"/>
    <w:multiLevelType w:val="singleLevel"/>
    <w:tmpl w:val="DB643344"/>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714">
    <w:nsid w:val="6B881A41"/>
    <w:multiLevelType w:val="singleLevel"/>
    <w:tmpl w:val="DF4874F8"/>
    <w:lvl w:ilvl="0">
      <w:start w:val="476"/>
      <w:numFmt w:val="decimal"/>
      <w:lvlText w:val="%1."/>
      <w:lvlJc w:val="left"/>
      <w:pPr>
        <w:tabs>
          <w:tab w:val="num" w:pos="454"/>
        </w:tabs>
        <w:ind w:left="454" w:hanging="454"/>
      </w:pPr>
    </w:lvl>
  </w:abstractNum>
  <w:abstractNum w:abstractNumId="715">
    <w:nsid w:val="6B916DBB"/>
    <w:multiLevelType w:val="singleLevel"/>
    <w:tmpl w:val="A6406634"/>
    <w:lvl w:ilvl="0">
      <w:start w:val="308"/>
      <w:numFmt w:val="decimal"/>
      <w:lvlText w:val="%1."/>
      <w:lvlJc w:val="left"/>
      <w:pPr>
        <w:tabs>
          <w:tab w:val="num" w:pos="454"/>
        </w:tabs>
        <w:ind w:left="454" w:hanging="454"/>
      </w:pPr>
    </w:lvl>
  </w:abstractNum>
  <w:abstractNum w:abstractNumId="716">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7">
    <w:nsid w:val="6C136E63"/>
    <w:multiLevelType w:val="singleLevel"/>
    <w:tmpl w:val="04050017"/>
    <w:lvl w:ilvl="0">
      <w:start w:val="1"/>
      <w:numFmt w:val="lowerLetter"/>
      <w:lvlText w:val="%1)"/>
      <w:lvlJc w:val="left"/>
      <w:pPr>
        <w:tabs>
          <w:tab w:val="num" w:pos="360"/>
        </w:tabs>
        <w:ind w:left="360" w:hanging="360"/>
      </w:pPr>
    </w:lvl>
  </w:abstractNum>
  <w:abstractNum w:abstractNumId="718">
    <w:nsid w:val="6C3166F5"/>
    <w:multiLevelType w:val="hybridMultilevel"/>
    <w:tmpl w:val="1F7AF12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9">
    <w:nsid w:val="6C484650"/>
    <w:multiLevelType w:val="singleLevel"/>
    <w:tmpl w:val="0405000F"/>
    <w:lvl w:ilvl="0">
      <w:start w:val="1"/>
      <w:numFmt w:val="decimal"/>
      <w:lvlText w:val="%1."/>
      <w:lvlJc w:val="left"/>
      <w:pPr>
        <w:tabs>
          <w:tab w:val="num" w:pos="360"/>
        </w:tabs>
        <w:ind w:left="360" w:hanging="360"/>
      </w:pPr>
    </w:lvl>
  </w:abstractNum>
  <w:abstractNum w:abstractNumId="720">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1">
    <w:nsid w:val="6C973441"/>
    <w:multiLevelType w:val="singleLevel"/>
    <w:tmpl w:val="B28AE7CA"/>
    <w:lvl w:ilvl="0">
      <w:start w:val="3"/>
      <w:numFmt w:val="decimal"/>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722">
    <w:nsid w:val="6CBD4FC5"/>
    <w:multiLevelType w:val="singleLevel"/>
    <w:tmpl w:val="8D52EA08"/>
    <w:lvl w:ilvl="0">
      <w:start w:val="651"/>
      <w:numFmt w:val="decimal"/>
      <w:lvlText w:val="%1."/>
      <w:lvlJc w:val="left"/>
      <w:pPr>
        <w:tabs>
          <w:tab w:val="num" w:pos="454"/>
        </w:tabs>
        <w:ind w:left="454" w:hanging="454"/>
      </w:pPr>
    </w:lvl>
  </w:abstractNum>
  <w:abstractNum w:abstractNumId="723">
    <w:nsid w:val="6CC519B8"/>
    <w:multiLevelType w:val="hybridMultilevel"/>
    <w:tmpl w:val="AE7EC50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4">
    <w:nsid w:val="6CC752D6"/>
    <w:multiLevelType w:val="singleLevel"/>
    <w:tmpl w:val="9112EFD8"/>
    <w:lvl w:ilvl="0">
      <w:start w:val="331"/>
      <w:numFmt w:val="decimal"/>
      <w:lvlText w:val="%1."/>
      <w:lvlJc w:val="left"/>
      <w:pPr>
        <w:tabs>
          <w:tab w:val="num" w:pos="454"/>
        </w:tabs>
        <w:ind w:left="454" w:hanging="454"/>
      </w:pPr>
    </w:lvl>
  </w:abstractNum>
  <w:abstractNum w:abstractNumId="725">
    <w:nsid w:val="6CCC0F76"/>
    <w:multiLevelType w:val="hybridMultilevel"/>
    <w:tmpl w:val="C90A0D06"/>
    <w:lvl w:ilvl="0" w:tplc="98B25BA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6">
    <w:nsid w:val="6D0C3353"/>
    <w:multiLevelType w:val="singleLevel"/>
    <w:tmpl w:val="B0845FAC"/>
    <w:lvl w:ilvl="0">
      <w:start w:val="116"/>
      <w:numFmt w:val="decimal"/>
      <w:lvlText w:val="%1."/>
      <w:lvlJc w:val="left"/>
      <w:pPr>
        <w:tabs>
          <w:tab w:val="num" w:pos="454"/>
        </w:tabs>
        <w:ind w:left="454" w:hanging="454"/>
      </w:pPr>
    </w:lvl>
  </w:abstractNum>
  <w:abstractNum w:abstractNumId="727">
    <w:nsid w:val="6D5535BE"/>
    <w:multiLevelType w:val="singleLevel"/>
    <w:tmpl w:val="E640EB62"/>
    <w:lvl w:ilvl="0">
      <w:start w:val="167"/>
      <w:numFmt w:val="decimal"/>
      <w:lvlText w:val="%1."/>
      <w:lvlJc w:val="left"/>
      <w:pPr>
        <w:tabs>
          <w:tab w:val="num" w:pos="454"/>
        </w:tabs>
        <w:ind w:left="454" w:hanging="454"/>
      </w:pPr>
    </w:lvl>
  </w:abstractNum>
  <w:abstractNum w:abstractNumId="728">
    <w:nsid w:val="6D6E5F29"/>
    <w:multiLevelType w:val="singleLevel"/>
    <w:tmpl w:val="9D08E7E4"/>
    <w:lvl w:ilvl="0">
      <w:start w:val="319"/>
      <w:numFmt w:val="decimal"/>
      <w:lvlText w:val="%1."/>
      <w:lvlJc w:val="left"/>
      <w:pPr>
        <w:tabs>
          <w:tab w:val="num" w:pos="454"/>
        </w:tabs>
        <w:ind w:left="454" w:hanging="454"/>
      </w:pPr>
    </w:lvl>
  </w:abstractNum>
  <w:abstractNum w:abstractNumId="729">
    <w:nsid w:val="6E0D48E5"/>
    <w:multiLevelType w:val="singleLevel"/>
    <w:tmpl w:val="0405000F"/>
    <w:lvl w:ilvl="0">
      <w:start w:val="1"/>
      <w:numFmt w:val="decimal"/>
      <w:lvlText w:val="%1."/>
      <w:lvlJc w:val="left"/>
      <w:pPr>
        <w:tabs>
          <w:tab w:val="num" w:pos="360"/>
        </w:tabs>
        <w:ind w:left="360" w:hanging="360"/>
      </w:pPr>
    </w:lvl>
  </w:abstractNum>
  <w:abstractNum w:abstractNumId="730">
    <w:nsid w:val="6E3C362B"/>
    <w:multiLevelType w:val="singleLevel"/>
    <w:tmpl w:val="083AF07E"/>
    <w:lvl w:ilvl="0">
      <w:start w:val="480"/>
      <w:numFmt w:val="decimal"/>
      <w:lvlText w:val="%1."/>
      <w:lvlJc w:val="left"/>
      <w:pPr>
        <w:tabs>
          <w:tab w:val="num" w:pos="454"/>
        </w:tabs>
        <w:ind w:left="454" w:hanging="454"/>
      </w:pPr>
    </w:lvl>
  </w:abstractNum>
  <w:abstractNum w:abstractNumId="731">
    <w:nsid w:val="6E4F138C"/>
    <w:multiLevelType w:val="hybridMultilevel"/>
    <w:tmpl w:val="1D5A8E9E"/>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2">
    <w:nsid w:val="6E866213"/>
    <w:multiLevelType w:val="singleLevel"/>
    <w:tmpl w:val="04050017"/>
    <w:lvl w:ilvl="0">
      <w:start w:val="1"/>
      <w:numFmt w:val="lowerLetter"/>
      <w:lvlText w:val="%1)"/>
      <w:lvlJc w:val="left"/>
      <w:pPr>
        <w:tabs>
          <w:tab w:val="num" w:pos="360"/>
        </w:tabs>
        <w:ind w:left="360" w:hanging="360"/>
      </w:pPr>
      <w:rPr>
        <w:rFonts w:hint="default"/>
      </w:rPr>
    </w:lvl>
  </w:abstractNum>
  <w:abstractNum w:abstractNumId="733">
    <w:nsid w:val="6E882944"/>
    <w:multiLevelType w:val="singleLevel"/>
    <w:tmpl w:val="FAA0674A"/>
    <w:lvl w:ilvl="0">
      <w:start w:val="268"/>
      <w:numFmt w:val="decimal"/>
      <w:lvlText w:val="%1."/>
      <w:lvlJc w:val="left"/>
      <w:pPr>
        <w:tabs>
          <w:tab w:val="num" w:pos="454"/>
        </w:tabs>
        <w:ind w:left="454" w:hanging="454"/>
      </w:pPr>
    </w:lvl>
  </w:abstractNum>
  <w:abstractNum w:abstractNumId="734">
    <w:nsid w:val="6EFF0D6E"/>
    <w:multiLevelType w:val="singleLevel"/>
    <w:tmpl w:val="325C67F0"/>
    <w:lvl w:ilvl="0">
      <w:start w:val="725"/>
      <w:numFmt w:val="decimal"/>
      <w:lvlText w:val="%1."/>
      <w:lvlJc w:val="left"/>
      <w:pPr>
        <w:tabs>
          <w:tab w:val="num" w:pos="454"/>
        </w:tabs>
        <w:ind w:left="454" w:hanging="454"/>
      </w:pPr>
    </w:lvl>
  </w:abstractNum>
  <w:abstractNum w:abstractNumId="735">
    <w:nsid w:val="6F8E69E2"/>
    <w:multiLevelType w:val="singleLevel"/>
    <w:tmpl w:val="42E6C7F0"/>
    <w:lvl w:ilvl="0">
      <w:start w:val="667"/>
      <w:numFmt w:val="decimal"/>
      <w:lvlText w:val="%1."/>
      <w:lvlJc w:val="left"/>
      <w:pPr>
        <w:tabs>
          <w:tab w:val="num" w:pos="454"/>
        </w:tabs>
        <w:ind w:left="454" w:hanging="454"/>
      </w:pPr>
    </w:lvl>
  </w:abstractNum>
  <w:abstractNum w:abstractNumId="736">
    <w:nsid w:val="6FAA220E"/>
    <w:multiLevelType w:val="hybridMultilevel"/>
    <w:tmpl w:val="5B6484B6"/>
    <w:lvl w:ilvl="0" w:tplc="E620D88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7">
    <w:nsid w:val="6FAD0B57"/>
    <w:multiLevelType w:val="singleLevel"/>
    <w:tmpl w:val="B87E576A"/>
    <w:lvl w:ilvl="0">
      <w:start w:val="615"/>
      <w:numFmt w:val="decimal"/>
      <w:lvlText w:val="%1."/>
      <w:lvlJc w:val="left"/>
      <w:pPr>
        <w:tabs>
          <w:tab w:val="num" w:pos="454"/>
        </w:tabs>
        <w:ind w:left="454" w:hanging="454"/>
      </w:pPr>
    </w:lvl>
  </w:abstractNum>
  <w:abstractNum w:abstractNumId="738">
    <w:nsid w:val="6FBC5D3B"/>
    <w:multiLevelType w:val="singleLevel"/>
    <w:tmpl w:val="04050001"/>
    <w:lvl w:ilvl="0">
      <w:start w:val="1"/>
      <w:numFmt w:val="bullet"/>
      <w:lvlText w:val=""/>
      <w:lvlJc w:val="left"/>
      <w:pPr>
        <w:tabs>
          <w:tab w:val="num" w:pos="360"/>
        </w:tabs>
        <w:ind w:left="360" w:hanging="360"/>
      </w:pPr>
      <w:rPr>
        <w:rFonts w:ascii="Symbol" w:hAnsi="Symbol" w:cs="Times New Roman" w:hint="default"/>
      </w:rPr>
    </w:lvl>
  </w:abstractNum>
  <w:abstractNum w:abstractNumId="739">
    <w:nsid w:val="6FBF33EC"/>
    <w:multiLevelType w:val="hybridMultilevel"/>
    <w:tmpl w:val="6C38234A"/>
    <w:lvl w:ilvl="0" w:tplc="CE3C8F9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0">
    <w:nsid w:val="6FF1447B"/>
    <w:multiLevelType w:val="singleLevel"/>
    <w:tmpl w:val="04050017"/>
    <w:lvl w:ilvl="0">
      <w:start w:val="1"/>
      <w:numFmt w:val="lowerLetter"/>
      <w:lvlText w:val="%1)"/>
      <w:lvlJc w:val="left"/>
      <w:pPr>
        <w:tabs>
          <w:tab w:val="num" w:pos="360"/>
        </w:tabs>
        <w:ind w:left="360" w:hanging="360"/>
      </w:pPr>
      <w:rPr>
        <w:rFonts w:hint="default"/>
      </w:rPr>
    </w:lvl>
  </w:abstractNum>
  <w:abstractNum w:abstractNumId="741">
    <w:nsid w:val="700C4DA8"/>
    <w:multiLevelType w:val="singleLevel"/>
    <w:tmpl w:val="DEFE3198"/>
    <w:lvl w:ilvl="0">
      <w:start w:val="1"/>
      <w:numFmt w:val="bullet"/>
      <w:lvlText w:val=""/>
      <w:lvlJc w:val="left"/>
      <w:pPr>
        <w:tabs>
          <w:tab w:val="num" w:pos="360"/>
        </w:tabs>
        <w:ind w:left="284" w:hanging="284"/>
      </w:pPr>
      <w:rPr>
        <w:rFonts w:ascii="Symbol" w:hAnsi="Symbol" w:cs="Times New Roman" w:hint="default"/>
      </w:rPr>
    </w:lvl>
  </w:abstractNum>
  <w:abstractNum w:abstractNumId="742">
    <w:nsid w:val="706108D4"/>
    <w:multiLevelType w:val="hybridMultilevel"/>
    <w:tmpl w:val="D070079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3">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4">
    <w:nsid w:val="70C33786"/>
    <w:multiLevelType w:val="singleLevel"/>
    <w:tmpl w:val="2E0ABFAC"/>
    <w:lvl w:ilvl="0">
      <w:start w:val="164"/>
      <w:numFmt w:val="decimal"/>
      <w:lvlText w:val="%1."/>
      <w:lvlJc w:val="left"/>
      <w:pPr>
        <w:tabs>
          <w:tab w:val="num" w:pos="454"/>
        </w:tabs>
        <w:ind w:left="454" w:hanging="454"/>
      </w:pPr>
      <w:rPr>
        <w:b w:val="0"/>
        <w:i w:val="0"/>
        <w:sz w:val="24"/>
        <w:szCs w:val="24"/>
      </w:rPr>
    </w:lvl>
  </w:abstractNum>
  <w:abstractNum w:abstractNumId="745">
    <w:nsid w:val="70C34846"/>
    <w:multiLevelType w:val="singleLevel"/>
    <w:tmpl w:val="04050017"/>
    <w:lvl w:ilvl="0">
      <w:start w:val="1"/>
      <w:numFmt w:val="lowerLetter"/>
      <w:lvlText w:val="%1)"/>
      <w:lvlJc w:val="left"/>
      <w:pPr>
        <w:tabs>
          <w:tab w:val="num" w:pos="360"/>
        </w:tabs>
        <w:ind w:left="360" w:hanging="360"/>
      </w:pPr>
      <w:rPr>
        <w:rFonts w:hint="default"/>
      </w:rPr>
    </w:lvl>
  </w:abstractNum>
  <w:abstractNum w:abstractNumId="746">
    <w:nsid w:val="70EE24AC"/>
    <w:multiLevelType w:val="hybridMultilevel"/>
    <w:tmpl w:val="130E5E3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8">
    <w:nsid w:val="71773A8B"/>
    <w:multiLevelType w:val="singleLevel"/>
    <w:tmpl w:val="7CE24B80"/>
    <w:lvl w:ilvl="0">
      <w:start w:val="392"/>
      <w:numFmt w:val="decimal"/>
      <w:lvlText w:val="%1."/>
      <w:lvlJc w:val="left"/>
      <w:pPr>
        <w:tabs>
          <w:tab w:val="num" w:pos="454"/>
        </w:tabs>
        <w:ind w:left="454" w:hanging="454"/>
      </w:pPr>
    </w:lvl>
  </w:abstractNum>
  <w:abstractNum w:abstractNumId="749">
    <w:nsid w:val="71883A6D"/>
    <w:multiLevelType w:val="hybridMultilevel"/>
    <w:tmpl w:val="5374214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0">
    <w:nsid w:val="71B206F3"/>
    <w:multiLevelType w:val="singleLevel"/>
    <w:tmpl w:val="3BA0F258"/>
    <w:lvl w:ilvl="0">
      <w:start w:val="66"/>
      <w:numFmt w:val="decimal"/>
      <w:lvlText w:val="%1."/>
      <w:lvlJc w:val="left"/>
      <w:pPr>
        <w:tabs>
          <w:tab w:val="num" w:pos="454"/>
        </w:tabs>
        <w:ind w:left="454" w:hanging="454"/>
      </w:pPr>
    </w:lvl>
  </w:abstractNum>
  <w:abstractNum w:abstractNumId="751">
    <w:nsid w:val="71B4476B"/>
    <w:multiLevelType w:val="singleLevel"/>
    <w:tmpl w:val="2FA09B36"/>
    <w:lvl w:ilvl="0">
      <w:start w:val="55"/>
      <w:numFmt w:val="decimal"/>
      <w:lvlText w:val="%1."/>
      <w:lvlJc w:val="left"/>
      <w:pPr>
        <w:tabs>
          <w:tab w:val="num" w:pos="454"/>
        </w:tabs>
        <w:ind w:left="454" w:hanging="454"/>
      </w:pPr>
    </w:lvl>
  </w:abstractNum>
  <w:abstractNum w:abstractNumId="752">
    <w:nsid w:val="71C96F50"/>
    <w:multiLevelType w:val="hybridMultilevel"/>
    <w:tmpl w:val="1F12539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53">
    <w:nsid w:val="71D95678"/>
    <w:multiLevelType w:val="hybridMultilevel"/>
    <w:tmpl w:val="E2DEF45C"/>
    <w:lvl w:ilvl="0" w:tplc="B99412A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4">
    <w:nsid w:val="71DC6232"/>
    <w:multiLevelType w:val="hybridMultilevel"/>
    <w:tmpl w:val="B808827C"/>
    <w:lvl w:ilvl="0" w:tplc="F646A064">
      <w:start w:val="1"/>
      <w:numFmt w:val="bullet"/>
      <w:lvlRestart w:val="0"/>
      <w:lvlText w:val="-"/>
      <w:lvlJc w:val="left"/>
      <w:pPr>
        <w:tabs>
          <w:tab w:val="num" w:pos="0"/>
        </w:tabs>
        <w:ind w:left="1531" w:hanging="511"/>
      </w:pPr>
      <w:rPr>
        <w:rFonts w:ascii="SimSun" w:eastAsia="SimSun" w:hAnsi="Wingdings" w:hint="eastAsia"/>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5">
    <w:nsid w:val="72063007"/>
    <w:multiLevelType w:val="singleLevel"/>
    <w:tmpl w:val="5F5CA4A6"/>
    <w:lvl w:ilvl="0">
      <w:start w:val="341"/>
      <w:numFmt w:val="decimal"/>
      <w:lvlText w:val="%1."/>
      <w:lvlJc w:val="left"/>
      <w:pPr>
        <w:tabs>
          <w:tab w:val="num" w:pos="454"/>
        </w:tabs>
        <w:ind w:left="454" w:hanging="454"/>
      </w:pPr>
    </w:lvl>
  </w:abstractNum>
  <w:abstractNum w:abstractNumId="756">
    <w:nsid w:val="72975D95"/>
    <w:multiLevelType w:val="singleLevel"/>
    <w:tmpl w:val="9DC8A9F0"/>
    <w:lvl w:ilvl="0">
      <w:start w:val="46"/>
      <w:numFmt w:val="decimal"/>
      <w:lvlText w:val="%1."/>
      <w:lvlJc w:val="left"/>
      <w:pPr>
        <w:tabs>
          <w:tab w:val="num" w:pos="454"/>
        </w:tabs>
        <w:ind w:left="454" w:hanging="454"/>
      </w:pPr>
    </w:lvl>
  </w:abstractNum>
  <w:abstractNum w:abstractNumId="757">
    <w:nsid w:val="72A31606"/>
    <w:multiLevelType w:val="singleLevel"/>
    <w:tmpl w:val="63343F6E"/>
    <w:lvl w:ilvl="0">
      <w:start w:val="752"/>
      <w:numFmt w:val="decimal"/>
      <w:lvlText w:val="%1."/>
      <w:lvlJc w:val="left"/>
      <w:pPr>
        <w:tabs>
          <w:tab w:val="num" w:pos="454"/>
        </w:tabs>
        <w:ind w:left="454" w:hanging="454"/>
      </w:pPr>
    </w:lvl>
  </w:abstractNum>
  <w:abstractNum w:abstractNumId="758">
    <w:nsid w:val="72C77CC0"/>
    <w:multiLevelType w:val="singleLevel"/>
    <w:tmpl w:val="04050017"/>
    <w:lvl w:ilvl="0">
      <w:start w:val="1"/>
      <w:numFmt w:val="lowerLetter"/>
      <w:lvlText w:val="%1)"/>
      <w:lvlJc w:val="left"/>
      <w:pPr>
        <w:tabs>
          <w:tab w:val="num" w:pos="360"/>
        </w:tabs>
        <w:ind w:left="360" w:hanging="360"/>
      </w:pPr>
      <w:rPr>
        <w:rFonts w:hint="default"/>
      </w:rPr>
    </w:lvl>
  </w:abstractNum>
  <w:abstractNum w:abstractNumId="75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0">
    <w:nsid w:val="7332058D"/>
    <w:multiLevelType w:val="singleLevel"/>
    <w:tmpl w:val="0405000F"/>
    <w:lvl w:ilvl="0">
      <w:start w:val="1"/>
      <w:numFmt w:val="decimal"/>
      <w:lvlText w:val="%1."/>
      <w:lvlJc w:val="left"/>
      <w:pPr>
        <w:tabs>
          <w:tab w:val="num" w:pos="360"/>
        </w:tabs>
        <w:ind w:left="360" w:hanging="360"/>
      </w:pPr>
    </w:lvl>
  </w:abstractNum>
  <w:abstractNum w:abstractNumId="761">
    <w:nsid w:val="7363637D"/>
    <w:multiLevelType w:val="singleLevel"/>
    <w:tmpl w:val="489CF7C6"/>
    <w:lvl w:ilvl="0">
      <w:start w:val="1"/>
      <w:numFmt w:val="decimal"/>
      <w:lvlText w:val="%1."/>
      <w:legacy w:legacy="1" w:legacySpace="0" w:legacyIndent="283"/>
      <w:lvlJc w:val="left"/>
      <w:pPr>
        <w:ind w:left="283" w:hanging="283"/>
      </w:pPr>
    </w:lvl>
  </w:abstractNum>
  <w:abstractNum w:abstractNumId="762">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3">
    <w:nsid w:val="738B7B17"/>
    <w:multiLevelType w:val="hybridMultilevel"/>
    <w:tmpl w:val="FB20B84A"/>
    <w:lvl w:ilvl="0" w:tplc="54443FA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4">
    <w:nsid w:val="73CA59AB"/>
    <w:multiLevelType w:val="singleLevel"/>
    <w:tmpl w:val="AA504150"/>
    <w:lvl w:ilvl="0">
      <w:start w:val="577"/>
      <w:numFmt w:val="decimal"/>
      <w:lvlText w:val="%1."/>
      <w:lvlJc w:val="left"/>
      <w:pPr>
        <w:tabs>
          <w:tab w:val="num" w:pos="454"/>
        </w:tabs>
        <w:ind w:left="454" w:hanging="454"/>
      </w:pPr>
    </w:lvl>
  </w:abstractNum>
  <w:abstractNum w:abstractNumId="765">
    <w:nsid w:val="73CC2135"/>
    <w:multiLevelType w:val="singleLevel"/>
    <w:tmpl w:val="0405000F"/>
    <w:lvl w:ilvl="0">
      <w:start w:val="1"/>
      <w:numFmt w:val="decimal"/>
      <w:lvlText w:val="%1."/>
      <w:lvlJc w:val="left"/>
      <w:pPr>
        <w:tabs>
          <w:tab w:val="num" w:pos="360"/>
        </w:tabs>
        <w:ind w:left="360" w:hanging="360"/>
      </w:pPr>
    </w:lvl>
  </w:abstractNum>
  <w:abstractNum w:abstractNumId="766">
    <w:nsid w:val="74373845"/>
    <w:multiLevelType w:val="singleLevel"/>
    <w:tmpl w:val="F1529BAE"/>
    <w:lvl w:ilvl="0">
      <w:start w:val="428"/>
      <w:numFmt w:val="decimal"/>
      <w:lvlText w:val="%1."/>
      <w:lvlJc w:val="left"/>
      <w:pPr>
        <w:tabs>
          <w:tab w:val="num" w:pos="454"/>
        </w:tabs>
        <w:ind w:left="454" w:hanging="454"/>
      </w:pPr>
    </w:lvl>
  </w:abstractNum>
  <w:abstractNum w:abstractNumId="767">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768">
    <w:nsid w:val="74647651"/>
    <w:multiLevelType w:val="singleLevel"/>
    <w:tmpl w:val="7144AD82"/>
    <w:lvl w:ilvl="0">
      <w:start w:val="299"/>
      <w:numFmt w:val="decimal"/>
      <w:lvlText w:val="%1."/>
      <w:lvlJc w:val="left"/>
      <w:pPr>
        <w:tabs>
          <w:tab w:val="num" w:pos="454"/>
        </w:tabs>
        <w:ind w:left="454" w:hanging="454"/>
      </w:pPr>
    </w:lvl>
  </w:abstractNum>
  <w:abstractNum w:abstractNumId="76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70">
    <w:nsid w:val="74DC6351"/>
    <w:multiLevelType w:val="singleLevel"/>
    <w:tmpl w:val="DDE67CD2"/>
    <w:lvl w:ilvl="0">
      <w:start w:val="771"/>
      <w:numFmt w:val="decimal"/>
      <w:lvlText w:val="%1."/>
      <w:lvlJc w:val="left"/>
      <w:pPr>
        <w:tabs>
          <w:tab w:val="num" w:pos="454"/>
        </w:tabs>
        <w:ind w:left="454" w:hanging="454"/>
      </w:pPr>
    </w:lvl>
  </w:abstractNum>
  <w:abstractNum w:abstractNumId="771">
    <w:nsid w:val="74E2447A"/>
    <w:multiLevelType w:val="singleLevel"/>
    <w:tmpl w:val="65200336"/>
    <w:lvl w:ilvl="0">
      <w:start w:val="64"/>
      <w:numFmt w:val="decimal"/>
      <w:lvlText w:val="%1."/>
      <w:lvlJc w:val="left"/>
      <w:pPr>
        <w:tabs>
          <w:tab w:val="num" w:pos="360"/>
        </w:tabs>
        <w:ind w:left="357" w:hanging="357"/>
      </w:pPr>
    </w:lvl>
  </w:abstractNum>
  <w:abstractNum w:abstractNumId="772">
    <w:nsid w:val="754538B9"/>
    <w:multiLevelType w:val="hybridMultilevel"/>
    <w:tmpl w:val="A08CCC46"/>
    <w:lvl w:ilvl="0" w:tplc="539CEFEC">
      <w:start w:val="4"/>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3">
    <w:nsid w:val="76445653"/>
    <w:multiLevelType w:val="hybridMultilevel"/>
    <w:tmpl w:val="12A0E05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4">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5">
    <w:nsid w:val="77141554"/>
    <w:multiLevelType w:val="singleLevel"/>
    <w:tmpl w:val="BC8A882E"/>
    <w:lvl w:ilvl="0">
      <w:start w:val="350"/>
      <w:numFmt w:val="decimal"/>
      <w:lvlText w:val="%1."/>
      <w:lvlJc w:val="left"/>
      <w:pPr>
        <w:tabs>
          <w:tab w:val="num" w:pos="454"/>
        </w:tabs>
        <w:ind w:left="454" w:hanging="454"/>
      </w:pPr>
    </w:lvl>
  </w:abstractNum>
  <w:abstractNum w:abstractNumId="776">
    <w:nsid w:val="772E6E5C"/>
    <w:multiLevelType w:val="singleLevel"/>
    <w:tmpl w:val="B0AC4170"/>
    <w:lvl w:ilvl="0">
      <w:start w:val="760"/>
      <w:numFmt w:val="decimal"/>
      <w:lvlText w:val="%1."/>
      <w:lvlJc w:val="left"/>
      <w:pPr>
        <w:tabs>
          <w:tab w:val="num" w:pos="454"/>
        </w:tabs>
        <w:ind w:left="454" w:hanging="454"/>
      </w:pPr>
    </w:lvl>
  </w:abstractNum>
  <w:abstractNum w:abstractNumId="777">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8">
    <w:nsid w:val="774C710D"/>
    <w:multiLevelType w:val="singleLevel"/>
    <w:tmpl w:val="0405000F"/>
    <w:lvl w:ilvl="0">
      <w:start w:val="1"/>
      <w:numFmt w:val="decimal"/>
      <w:lvlText w:val="%1."/>
      <w:lvlJc w:val="left"/>
      <w:pPr>
        <w:tabs>
          <w:tab w:val="num" w:pos="360"/>
        </w:tabs>
        <w:ind w:left="360" w:hanging="360"/>
      </w:pPr>
    </w:lvl>
  </w:abstractNum>
  <w:abstractNum w:abstractNumId="779">
    <w:nsid w:val="77570C98"/>
    <w:multiLevelType w:val="singleLevel"/>
    <w:tmpl w:val="54FE298A"/>
    <w:lvl w:ilvl="0">
      <w:start w:val="366"/>
      <w:numFmt w:val="decimal"/>
      <w:lvlText w:val="%1."/>
      <w:lvlJc w:val="left"/>
      <w:pPr>
        <w:tabs>
          <w:tab w:val="num" w:pos="454"/>
        </w:tabs>
        <w:ind w:left="454" w:hanging="454"/>
      </w:pPr>
    </w:lvl>
  </w:abstractNum>
  <w:abstractNum w:abstractNumId="780">
    <w:nsid w:val="7760632F"/>
    <w:multiLevelType w:val="singleLevel"/>
    <w:tmpl w:val="04050017"/>
    <w:lvl w:ilvl="0">
      <w:start w:val="1"/>
      <w:numFmt w:val="lowerLetter"/>
      <w:lvlText w:val="%1)"/>
      <w:lvlJc w:val="left"/>
      <w:pPr>
        <w:tabs>
          <w:tab w:val="num" w:pos="360"/>
        </w:tabs>
        <w:ind w:left="360" w:hanging="360"/>
      </w:pPr>
    </w:lvl>
  </w:abstractNum>
  <w:abstractNum w:abstractNumId="781">
    <w:nsid w:val="776535D1"/>
    <w:multiLevelType w:val="singleLevel"/>
    <w:tmpl w:val="E34212A6"/>
    <w:lvl w:ilvl="0">
      <w:start w:val="480"/>
      <w:numFmt w:val="decimal"/>
      <w:lvlText w:val="%1."/>
      <w:lvlJc w:val="left"/>
      <w:pPr>
        <w:tabs>
          <w:tab w:val="num" w:pos="454"/>
        </w:tabs>
        <w:ind w:left="454" w:hanging="454"/>
      </w:pPr>
    </w:lvl>
  </w:abstractNum>
  <w:abstractNum w:abstractNumId="78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3">
    <w:nsid w:val="77B405F9"/>
    <w:multiLevelType w:val="hybridMultilevel"/>
    <w:tmpl w:val="96C220B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4">
    <w:nsid w:val="77EA27C8"/>
    <w:multiLevelType w:val="singleLevel"/>
    <w:tmpl w:val="1244F98A"/>
    <w:lvl w:ilvl="0">
      <w:start w:val="145"/>
      <w:numFmt w:val="decimal"/>
      <w:lvlText w:val="%1."/>
      <w:lvlJc w:val="left"/>
      <w:pPr>
        <w:tabs>
          <w:tab w:val="num" w:pos="454"/>
        </w:tabs>
        <w:ind w:left="454" w:hanging="454"/>
      </w:pPr>
    </w:lvl>
  </w:abstractNum>
  <w:abstractNum w:abstractNumId="785">
    <w:nsid w:val="77EE2F7D"/>
    <w:multiLevelType w:val="singleLevel"/>
    <w:tmpl w:val="FD2E7C10"/>
    <w:lvl w:ilvl="0">
      <w:start w:val="752"/>
      <w:numFmt w:val="decimal"/>
      <w:lvlText w:val="%1."/>
      <w:lvlJc w:val="left"/>
      <w:pPr>
        <w:tabs>
          <w:tab w:val="num" w:pos="454"/>
        </w:tabs>
        <w:ind w:left="454" w:hanging="454"/>
      </w:pPr>
    </w:lvl>
  </w:abstractNum>
  <w:abstractNum w:abstractNumId="786">
    <w:nsid w:val="7801194A"/>
    <w:multiLevelType w:val="singleLevel"/>
    <w:tmpl w:val="2CC4C966"/>
    <w:lvl w:ilvl="0">
      <w:start w:val="772"/>
      <w:numFmt w:val="decimal"/>
      <w:lvlText w:val="%1."/>
      <w:lvlJc w:val="left"/>
      <w:pPr>
        <w:tabs>
          <w:tab w:val="num" w:pos="454"/>
        </w:tabs>
        <w:ind w:left="454" w:hanging="454"/>
      </w:pPr>
    </w:lvl>
  </w:abstractNum>
  <w:abstractNum w:abstractNumId="787">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88">
    <w:nsid w:val="785116A8"/>
    <w:multiLevelType w:val="singleLevel"/>
    <w:tmpl w:val="4B182564"/>
    <w:lvl w:ilvl="0">
      <w:start w:val="184"/>
      <w:numFmt w:val="decimal"/>
      <w:lvlText w:val="%1."/>
      <w:lvlJc w:val="left"/>
      <w:pPr>
        <w:tabs>
          <w:tab w:val="num" w:pos="454"/>
        </w:tabs>
        <w:ind w:left="454" w:hanging="454"/>
      </w:pPr>
    </w:lvl>
  </w:abstractNum>
  <w:abstractNum w:abstractNumId="789">
    <w:nsid w:val="785533D0"/>
    <w:multiLevelType w:val="singleLevel"/>
    <w:tmpl w:val="0E5652E0"/>
    <w:lvl w:ilvl="0">
      <w:start w:val="73"/>
      <w:numFmt w:val="decimal"/>
      <w:lvlText w:val="%1."/>
      <w:lvlJc w:val="left"/>
      <w:pPr>
        <w:tabs>
          <w:tab w:val="num" w:pos="454"/>
        </w:tabs>
        <w:ind w:left="454" w:hanging="454"/>
      </w:pPr>
    </w:lvl>
  </w:abstractNum>
  <w:abstractNum w:abstractNumId="790">
    <w:nsid w:val="786160EC"/>
    <w:multiLevelType w:val="singleLevel"/>
    <w:tmpl w:val="E86AE438"/>
    <w:lvl w:ilvl="0">
      <w:start w:val="361"/>
      <w:numFmt w:val="decimal"/>
      <w:lvlText w:val="%1."/>
      <w:lvlJc w:val="left"/>
      <w:pPr>
        <w:tabs>
          <w:tab w:val="num" w:pos="454"/>
        </w:tabs>
        <w:ind w:left="454" w:hanging="454"/>
      </w:pPr>
    </w:lvl>
  </w:abstractNum>
  <w:abstractNum w:abstractNumId="791">
    <w:nsid w:val="7872781D"/>
    <w:multiLevelType w:val="singleLevel"/>
    <w:tmpl w:val="00D89E2E"/>
    <w:lvl w:ilvl="0">
      <w:start w:val="607"/>
      <w:numFmt w:val="decimal"/>
      <w:lvlText w:val="%1."/>
      <w:lvlJc w:val="left"/>
      <w:pPr>
        <w:tabs>
          <w:tab w:val="num" w:pos="454"/>
        </w:tabs>
        <w:ind w:left="454" w:hanging="454"/>
      </w:pPr>
    </w:lvl>
  </w:abstractNum>
  <w:abstractNum w:abstractNumId="792">
    <w:nsid w:val="7891243B"/>
    <w:multiLevelType w:val="singleLevel"/>
    <w:tmpl w:val="476092EA"/>
    <w:lvl w:ilvl="0">
      <w:start w:val="64"/>
      <w:numFmt w:val="decimal"/>
      <w:lvlText w:val="%1."/>
      <w:lvlJc w:val="left"/>
      <w:pPr>
        <w:tabs>
          <w:tab w:val="num" w:pos="454"/>
        </w:tabs>
        <w:ind w:left="454" w:hanging="454"/>
      </w:pPr>
    </w:lvl>
  </w:abstractNum>
  <w:abstractNum w:abstractNumId="793">
    <w:nsid w:val="789D007C"/>
    <w:multiLevelType w:val="singleLevel"/>
    <w:tmpl w:val="7D0A7AFE"/>
    <w:lvl w:ilvl="0">
      <w:start w:val="289"/>
      <w:numFmt w:val="decimal"/>
      <w:lvlText w:val="%1."/>
      <w:lvlJc w:val="left"/>
      <w:pPr>
        <w:tabs>
          <w:tab w:val="num" w:pos="454"/>
        </w:tabs>
        <w:ind w:left="454" w:hanging="454"/>
      </w:pPr>
    </w:lvl>
  </w:abstractNum>
  <w:abstractNum w:abstractNumId="794">
    <w:nsid w:val="78A77FD9"/>
    <w:multiLevelType w:val="singleLevel"/>
    <w:tmpl w:val="07AA7FAC"/>
    <w:lvl w:ilvl="0">
      <w:start w:val="1"/>
      <w:numFmt w:val="lowerLetter"/>
      <w:lvlText w:val="%1)"/>
      <w:lvlJc w:val="left"/>
      <w:pPr>
        <w:tabs>
          <w:tab w:val="num" w:pos="1065"/>
        </w:tabs>
        <w:ind w:left="1065" w:hanging="360"/>
      </w:pPr>
      <w:rPr>
        <w:rFonts w:hint="default"/>
      </w:rPr>
    </w:lvl>
  </w:abstractNum>
  <w:abstractNum w:abstractNumId="795">
    <w:nsid w:val="79015B21"/>
    <w:multiLevelType w:val="singleLevel"/>
    <w:tmpl w:val="04050017"/>
    <w:lvl w:ilvl="0">
      <w:start w:val="1"/>
      <w:numFmt w:val="lowerLetter"/>
      <w:lvlText w:val="%1)"/>
      <w:lvlJc w:val="left"/>
      <w:pPr>
        <w:tabs>
          <w:tab w:val="num" w:pos="360"/>
        </w:tabs>
        <w:ind w:left="360" w:hanging="360"/>
      </w:pPr>
    </w:lvl>
  </w:abstractNum>
  <w:abstractNum w:abstractNumId="796">
    <w:nsid w:val="79592AE9"/>
    <w:multiLevelType w:val="singleLevel"/>
    <w:tmpl w:val="249CC7D8"/>
    <w:lvl w:ilvl="0">
      <w:start w:val="557"/>
      <w:numFmt w:val="decimal"/>
      <w:lvlText w:val="%1."/>
      <w:lvlJc w:val="left"/>
      <w:pPr>
        <w:tabs>
          <w:tab w:val="num" w:pos="454"/>
        </w:tabs>
        <w:ind w:left="454" w:hanging="454"/>
      </w:pPr>
    </w:lvl>
  </w:abstractNum>
  <w:abstractNum w:abstractNumId="797">
    <w:nsid w:val="79796D64"/>
    <w:multiLevelType w:val="singleLevel"/>
    <w:tmpl w:val="E91A4178"/>
    <w:lvl w:ilvl="0">
      <w:start w:val="325"/>
      <w:numFmt w:val="decimal"/>
      <w:lvlText w:val="%1."/>
      <w:lvlJc w:val="left"/>
      <w:pPr>
        <w:tabs>
          <w:tab w:val="num" w:pos="454"/>
        </w:tabs>
        <w:ind w:left="454" w:hanging="454"/>
      </w:pPr>
    </w:lvl>
  </w:abstractNum>
  <w:abstractNum w:abstractNumId="798">
    <w:nsid w:val="799C1F6C"/>
    <w:multiLevelType w:val="singleLevel"/>
    <w:tmpl w:val="316A24EA"/>
    <w:lvl w:ilvl="0">
      <w:start w:val="1"/>
      <w:numFmt w:val="decimal"/>
      <w:lvlText w:val="(%1)"/>
      <w:lvlJc w:val="left"/>
      <w:pPr>
        <w:tabs>
          <w:tab w:val="num" w:pos="861"/>
        </w:tabs>
        <w:ind w:left="861" w:hanging="435"/>
      </w:pPr>
      <w:rPr>
        <w:rFonts w:hint="default"/>
      </w:rPr>
    </w:lvl>
  </w:abstractNum>
  <w:abstractNum w:abstractNumId="799">
    <w:nsid w:val="79A50B2D"/>
    <w:multiLevelType w:val="singleLevel"/>
    <w:tmpl w:val="0405000F"/>
    <w:lvl w:ilvl="0">
      <w:start w:val="1"/>
      <w:numFmt w:val="decimal"/>
      <w:lvlText w:val="%1."/>
      <w:lvlJc w:val="left"/>
      <w:pPr>
        <w:tabs>
          <w:tab w:val="num" w:pos="360"/>
        </w:tabs>
        <w:ind w:left="360" w:hanging="360"/>
      </w:pPr>
    </w:lvl>
  </w:abstractNum>
  <w:abstractNum w:abstractNumId="800">
    <w:nsid w:val="79AE64EA"/>
    <w:multiLevelType w:val="singleLevel"/>
    <w:tmpl w:val="48B6BD40"/>
    <w:lvl w:ilvl="0">
      <w:start w:val="502"/>
      <w:numFmt w:val="decimal"/>
      <w:lvlText w:val="%1."/>
      <w:lvlJc w:val="left"/>
      <w:pPr>
        <w:tabs>
          <w:tab w:val="num" w:pos="454"/>
        </w:tabs>
        <w:ind w:left="454" w:hanging="454"/>
      </w:pPr>
    </w:lvl>
  </w:abstractNum>
  <w:abstractNum w:abstractNumId="801">
    <w:nsid w:val="7A0145D4"/>
    <w:multiLevelType w:val="singleLevel"/>
    <w:tmpl w:val="1A5470BE"/>
    <w:lvl w:ilvl="0">
      <w:start w:val="1"/>
      <w:numFmt w:val="lowerLetter"/>
      <w:lvlText w:val="(%1) "/>
      <w:legacy w:legacy="1" w:legacySpace="0" w:legacyIndent="283"/>
      <w:lvlJc w:val="left"/>
      <w:pPr>
        <w:ind w:left="283" w:hanging="283"/>
      </w:pPr>
      <w:rPr>
        <w:rFonts w:ascii="Times New Roman" w:hAnsi="Times New Roman" w:cs="Times New Roman" w:hint="default"/>
        <w:b w:val="0"/>
        <w:i w:val="0"/>
        <w:sz w:val="24"/>
        <w:szCs w:val="24"/>
      </w:rPr>
    </w:lvl>
  </w:abstractNum>
  <w:abstractNum w:abstractNumId="802">
    <w:nsid w:val="7A090519"/>
    <w:multiLevelType w:val="singleLevel"/>
    <w:tmpl w:val="04050017"/>
    <w:lvl w:ilvl="0">
      <w:start w:val="1"/>
      <w:numFmt w:val="lowerLetter"/>
      <w:lvlText w:val="%1)"/>
      <w:lvlJc w:val="left"/>
      <w:pPr>
        <w:tabs>
          <w:tab w:val="num" w:pos="360"/>
        </w:tabs>
        <w:ind w:left="360" w:hanging="360"/>
      </w:pPr>
    </w:lvl>
  </w:abstractNum>
  <w:abstractNum w:abstractNumId="803">
    <w:nsid w:val="7A0C7BE0"/>
    <w:multiLevelType w:val="singleLevel"/>
    <w:tmpl w:val="3A6A3D1E"/>
    <w:lvl w:ilvl="0">
      <w:start w:val="358"/>
      <w:numFmt w:val="decimal"/>
      <w:lvlText w:val="%1."/>
      <w:lvlJc w:val="left"/>
      <w:pPr>
        <w:tabs>
          <w:tab w:val="num" w:pos="454"/>
        </w:tabs>
        <w:ind w:left="454" w:hanging="454"/>
      </w:pPr>
    </w:lvl>
  </w:abstractNum>
  <w:abstractNum w:abstractNumId="804">
    <w:nsid w:val="7A2F309D"/>
    <w:multiLevelType w:val="singleLevel"/>
    <w:tmpl w:val="04050017"/>
    <w:lvl w:ilvl="0">
      <w:start w:val="1"/>
      <w:numFmt w:val="lowerLetter"/>
      <w:lvlText w:val="%1)"/>
      <w:lvlJc w:val="left"/>
      <w:pPr>
        <w:tabs>
          <w:tab w:val="num" w:pos="360"/>
        </w:tabs>
        <w:ind w:left="360" w:hanging="360"/>
      </w:pPr>
      <w:rPr>
        <w:rFonts w:hint="default"/>
      </w:rPr>
    </w:lvl>
  </w:abstractNum>
  <w:abstractNum w:abstractNumId="805">
    <w:nsid w:val="7A32206D"/>
    <w:multiLevelType w:val="singleLevel"/>
    <w:tmpl w:val="ED268CCC"/>
    <w:lvl w:ilvl="0">
      <w:start w:val="522"/>
      <w:numFmt w:val="decimal"/>
      <w:lvlText w:val="%1."/>
      <w:lvlJc w:val="left"/>
      <w:pPr>
        <w:tabs>
          <w:tab w:val="num" w:pos="454"/>
        </w:tabs>
        <w:ind w:left="454" w:hanging="454"/>
      </w:pPr>
    </w:lvl>
  </w:abstractNum>
  <w:abstractNum w:abstractNumId="806">
    <w:nsid w:val="7A474122"/>
    <w:multiLevelType w:val="hybridMultilevel"/>
    <w:tmpl w:val="CAEE921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7">
    <w:nsid w:val="7A584FC8"/>
    <w:multiLevelType w:val="hybridMultilevel"/>
    <w:tmpl w:val="DE1EC392"/>
    <w:lvl w:ilvl="0" w:tplc="FF96D48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8">
    <w:nsid w:val="7A7C46D5"/>
    <w:multiLevelType w:val="singleLevel"/>
    <w:tmpl w:val="04050017"/>
    <w:lvl w:ilvl="0">
      <w:start w:val="1"/>
      <w:numFmt w:val="lowerLetter"/>
      <w:lvlText w:val="%1)"/>
      <w:lvlJc w:val="left"/>
      <w:pPr>
        <w:tabs>
          <w:tab w:val="num" w:pos="360"/>
        </w:tabs>
        <w:ind w:left="360" w:hanging="360"/>
      </w:pPr>
    </w:lvl>
  </w:abstractNum>
  <w:abstractNum w:abstractNumId="809">
    <w:nsid w:val="7A8F0B4B"/>
    <w:multiLevelType w:val="hybridMultilevel"/>
    <w:tmpl w:val="F808DF7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0">
    <w:nsid w:val="7ACA643D"/>
    <w:multiLevelType w:val="singleLevel"/>
    <w:tmpl w:val="0409000F"/>
    <w:lvl w:ilvl="0">
      <w:start w:val="1"/>
      <w:numFmt w:val="decimal"/>
      <w:lvlText w:val="%1."/>
      <w:lvlJc w:val="left"/>
      <w:pPr>
        <w:tabs>
          <w:tab w:val="num" w:pos="360"/>
        </w:tabs>
        <w:ind w:left="360" w:hanging="360"/>
      </w:pPr>
    </w:lvl>
  </w:abstractNum>
  <w:abstractNum w:abstractNumId="811">
    <w:nsid w:val="7AD47775"/>
    <w:multiLevelType w:val="singleLevel"/>
    <w:tmpl w:val="0DD27804"/>
    <w:lvl w:ilvl="0">
      <w:start w:val="2"/>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812">
    <w:nsid w:val="7AD63DCC"/>
    <w:multiLevelType w:val="hybridMultilevel"/>
    <w:tmpl w:val="FD08DF7C"/>
    <w:lvl w:ilvl="0" w:tplc="4296E0DC">
      <w:start w:val="1"/>
      <w:numFmt w:val="lowerLetter"/>
      <w:lvlRestart w:val="0"/>
      <w:lvlText w:val="(%1)"/>
      <w:lvlJc w:val="right"/>
      <w:pPr>
        <w:tabs>
          <w:tab w:val="num" w:pos="1531"/>
        </w:tabs>
        <w:ind w:left="1531" w:hanging="227"/>
      </w:pPr>
      <w:rPr>
        <w:rFonts w:ascii="Times New Roman" w:hAnsi="Times New Roman"/>
        <w:b w:val="0"/>
        <w:i w:val="0"/>
        <w:sz w:val="24"/>
      </w:rPr>
    </w:lvl>
    <w:lvl w:ilvl="1" w:tplc="4296E0DC">
      <w:start w:val="1"/>
      <w:numFmt w:val="lowerLetter"/>
      <w:lvlRestart w:val="0"/>
      <w:lvlText w:val="(%2)"/>
      <w:lvlJc w:val="right"/>
      <w:pPr>
        <w:tabs>
          <w:tab w:val="num" w:pos="1531"/>
        </w:tabs>
        <w:ind w:left="1531" w:hanging="227"/>
      </w:pPr>
      <w:rPr>
        <w:rFonts w:ascii="Times New Roman" w:hAnsi="Times New Roman"/>
        <w:b w:val="0"/>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14">
    <w:nsid w:val="7B386769"/>
    <w:multiLevelType w:val="hybridMultilevel"/>
    <w:tmpl w:val="CC28937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5">
    <w:nsid w:val="7B6935D3"/>
    <w:multiLevelType w:val="singleLevel"/>
    <w:tmpl w:val="08B200EA"/>
    <w:lvl w:ilvl="0">
      <w:start w:val="285"/>
      <w:numFmt w:val="decimal"/>
      <w:lvlText w:val="%1."/>
      <w:lvlJc w:val="left"/>
      <w:pPr>
        <w:tabs>
          <w:tab w:val="num" w:pos="454"/>
        </w:tabs>
        <w:ind w:left="454" w:hanging="454"/>
      </w:pPr>
    </w:lvl>
  </w:abstractNum>
  <w:abstractNum w:abstractNumId="81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17">
    <w:nsid w:val="7B84574E"/>
    <w:multiLevelType w:val="singleLevel"/>
    <w:tmpl w:val="04050001"/>
    <w:lvl w:ilvl="0">
      <w:start w:val="3"/>
      <w:numFmt w:val="bullet"/>
      <w:lvlText w:val=""/>
      <w:lvlJc w:val="left"/>
      <w:pPr>
        <w:tabs>
          <w:tab w:val="num" w:pos="360"/>
        </w:tabs>
        <w:ind w:left="360" w:hanging="360"/>
      </w:pPr>
      <w:rPr>
        <w:rFonts w:ascii="Symbol" w:hAnsi="Symbol" w:cs="Times New Roman" w:hint="default"/>
      </w:rPr>
    </w:lvl>
  </w:abstractNum>
  <w:abstractNum w:abstractNumId="818">
    <w:nsid w:val="7B856393"/>
    <w:multiLevelType w:val="singleLevel"/>
    <w:tmpl w:val="DB643344"/>
    <w:lvl w:ilvl="0">
      <w:start w:val="4"/>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abstractNum>
  <w:abstractNum w:abstractNumId="819">
    <w:nsid w:val="7BA66712"/>
    <w:multiLevelType w:val="singleLevel"/>
    <w:tmpl w:val="0405000F"/>
    <w:lvl w:ilvl="0">
      <w:start w:val="1"/>
      <w:numFmt w:val="decimal"/>
      <w:lvlText w:val="%1."/>
      <w:lvlJc w:val="left"/>
      <w:pPr>
        <w:tabs>
          <w:tab w:val="num" w:pos="360"/>
        </w:tabs>
        <w:ind w:left="360" w:hanging="360"/>
      </w:pPr>
    </w:lvl>
  </w:abstractNum>
  <w:abstractNum w:abstractNumId="820">
    <w:nsid w:val="7BA82DD4"/>
    <w:multiLevelType w:val="hybridMultilevel"/>
    <w:tmpl w:val="94C003BA"/>
    <w:lvl w:ilvl="0" w:tplc="119C0BA0">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1">
    <w:nsid w:val="7BB51D92"/>
    <w:multiLevelType w:val="singleLevel"/>
    <w:tmpl w:val="52946D42"/>
    <w:lvl w:ilvl="0">
      <w:start w:val="405"/>
      <w:numFmt w:val="decimal"/>
      <w:lvlText w:val="%1."/>
      <w:lvlJc w:val="left"/>
      <w:pPr>
        <w:tabs>
          <w:tab w:val="num" w:pos="454"/>
        </w:tabs>
        <w:ind w:left="454" w:hanging="454"/>
      </w:pPr>
    </w:lvl>
  </w:abstractNum>
  <w:abstractNum w:abstractNumId="822">
    <w:nsid w:val="7BEB2784"/>
    <w:multiLevelType w:val="hybridMultilevel"/>
    <w:tmpl w:val="684A5762"/>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3">
    <w:nsid w:val="7BF9406B"/>
    <w:multiLevelType w:val="hybridMultilevel"/>
    <w:tmpl w:val="2F32DAB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4">
    <w:nsid w:val="7C03516D"/>
    <w:multiLevelType w:val="singleLevel"/>
    <w:tmpl w:val="8298A080"/>
    <w:lvl w:ilvl="0">
      <w:start w:val="648"/>
      <w:numFmt w:val="decimal"/>
      <w:lvlText w:val="%1."/>
      <w:lvlJc w:val="left"/>
      <w:pPr>
        <w:tabs>
          <w:tab w:val="num" w:pos="454"/>
        </w:tabs>
        <w:ind w:left="454" w:hanging="454"/>
      </w:pPr>
    </w:lvl>
  </w:abstractNum>
  <w:abstractNum w:abstractNumId="825">
    <w:nsid w:val="7C0E047E"/>
    <w:multiLevelType w:val="singleLevel"/>
    <w:tmpl w:val="D1C277EC"/>
    <w:lvl w:ilvl="0">
      <w:start w:val="731"/>
      <w:numFmt w:val="decimal"/>
      <w:lvlText w:val="%1."/>
      <w:lvlJc w:val="left"/>
      <w:pPr>
        <w:tabs>
          <w:tab w:val="num" w:pos="454"/>
        </w:tabs>
        <w:ind w:left="454" w:hanging="454"/>
      </w:pPr>
    </w:lvl>
  </w:abstractNum>
  <w:abstractNum w:abstractNumId="826">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7">
    <w:nsid w:val="7C535E9F"/>
    <w:multiLevelType w:val="singleLevel"/>
    <w:tmpl w:val="48B26200"/>
    <w:lvl w:ilvl="0">
      <w:start w:val="555"/>
      <w:numFmt w:val="decimal"/>
      <w:lvlText w:val="%1."/>
      <w:lvlJc w:val="left"/>
      <w:pPr>
        <w:tabs>
          <w:tab w:val="num" w:pos="454"/>
        </w:tabs>
        <w:ind w:left="454" w:hanging="454"/>
      </w:pPr>
    </w:lvl>
  </w:abstractNum>
  <w:abstractNum w:abstractNumId="828">
    <w:nsid w:val="7C9F2B69"/>
    <w:multiLevelType w:val="singleLevel"/>
    <w:tmpl w:val="68FCE93A"/>
    <w:lvl w:ilvl="0">
      <w:start w:val="427"/>
      <w:numFmt w:val="decimal"/>
      <w:lvlText w:val="%1."/>
      <w:lvlJc w:val="left"/>
      <w:pPr>
        <w:tabs>
          <w:tab w:val="num" w:pos="454"/>
        </w:tabs>
        <w:ind w:left="454" w:hanging="454"/>
      </w:pPr>
    </w:lvl>
  </w:abstractNum>
  <w:abstractNum w:abstractNumId="829">
    <w:nsid w:val="7CAB0035"/>
    <w:multiLevelType w:val="singleLevel"/>
    <w:tmpl w:val="0405000F"/>
    <w:lvl w:ilvl="0">
      <w:start w:val="1"/>
      <w:numFmt w:val="decimal"/>
      <w:lvlText w:val="%1."/>
      <w:lvlJc w:val="left"/>
      <w:pPr>
        <w:tabs>
          <w:tab w:val="num" w:pos="360"/>
        </w:tabs>
        <w:ind w:left="360" w:hanging="360"/>
      </w:pPr>
    </w:lvl>
  </w:abstractNum>
  <w:abstractNum w:abstractNumId="830">
    <w:nsid w:val="7CC20182"/>
    <w:multiLevelType w:val="hybridMultilevel"/>
    <w:tmpl w:val="EAAEA00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1">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832">
    <w:nsid w:val="7D1010F9"/>
    <w:multiLevelType w:val="singleLevel"/>
    <w:tmpl w:val="C9F67EA8"/>
    <w:lvl w:ilvl="0">
      <w:start w:val="585"/>
      <w:numFmt w:val="decimal"/>
      <w:lvlText w:val="%1."/>
      <w:lvlJc w:val="left"/>
      <w:pPr>
        <w:tabs>
          <w:tab w:val="num" w:pos="454"/>
        </w:tabs>
        <w:ind w:left="454" w:hanging="454"/>
      </w:pPr>
    </w:lvl>
  </w:abstractNum>
  <w:abstractNum w:abstractNumId="833">
    <w:nsid w:val="7D1A1037"/>
    <w:multiLevelType w:val="singleLevel"/>
    <w:tmpl w:val="5F606054"/>
    <w:lvl w:ilvl="0">
      <w:start w:val="455"/>
      <w:numFmt w:val="decimal"/>
      <w:lvlText w:val="%1."/>
      <w:lvlJc w:val="left"/>
      <w:pPr>
        <w:tabs>
          <w:tab w:val="num" w:pos="454"/>
        </w:tabs>
        <w:ind w:left="454" w:hanging="454"/>
      </w:pPr>
    </w:lvl>
  </w:abstractNum>
  <w:abstractNum w:abstractNumId="834">
    <w:nsid w:val="7D237C72"/>
    <w:multiLevelType w:val="singleLevel"/>
    <w:tmpl w:val="04050017"/>
    <w:lvl w:ilvl="0">
      <w:start w:val="1"/>
      <w:numFmt w:val="lowerLetter"/>
      <w:lvlText w:val="%1)"/>
      <w:lvlJc w:val="left"/>
      <w:pPr>
        <w:tabs>
          <w:tab w:val="num" w:pos="360"/>
        </w:tabs>
        <w:ind w:left="360" w:hanging="360"/>
      </w:pPr>
    </w:lvl>
  </w:abstractNum>
  <w:abstractNum w:abstractNumId="835">
    <w:nsid w:val="7D242D4D"/>
    <w:multiLevelType w:val="singleLevel"/>
    <w:tmpl w:val="0D7C982A"/>
    <w:lvl w:ilvl="0">
      <w:start w:val="429"/>
      <w:numFmt w:val="decimal"/>
      <w:lvlText w:val="%1."/>
      <w:lvlJc w:val="left"/>
      <w:pPr>
        <w:tabs>
          <w:tab w:val="num" w:pos="454"/>
        </w:tabs>
        <w:ind w:left="454" w:hanging="454"/>
      </w:pPr>
    </w:lvl>
  </w:abstractNum>
  <w:abstractNum w:abstractNumId="836">
    <w:nsid w:val="7D450612"/>
    <w:multiLevelType w:val="singleLevel"/>
    <w:tmpl w:val="9FA4FA32"/>
    <w:lvl w:ilvl="0">
      <w:start w:val="461"/>
      <w:numFmt w:val="decimal"/>
      <w:lvlText w:val="%1."/>
      <w:lvlJc w:val="left"/>
      <w:pPr>
        <w:tabs>
          <w:tab w:val="num" w:pos="454"/>
        </w:tabs>
        <w:ind w:left="454" w:hanging="454"/>
      </w:pPr>
    </w:lvl>
  </w:abstractNum>
  <w:abstractNum w:abstractNumId="837">
    <w:nsid w:val="7D5C1865"/>
    <w:multiLevelType w:val="hybridMultilevel"/>
    <w:tmpl w:val="2D5228D2"/>
    <w:lvl w:ilvl="0" w:tplc="40926F7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8">
    <w:nsid w:val="7D69751A"/>
    <w:multiLevelType w:val="singleLevel"/>
    <w:tmpl w:val="7410EF4C"/>
    <w:lvl w:ilvl="0">
      <w:start w:val="524"/>
      <w:numFmt w:val="decimal"/>
      <w:lvlText w:val="%1."/>
      <w:lvlJc w:val="left"/>
      <w:pPr>
        <w:tabs>
          <w:tab w:val="num" w:pos="454"/>
        </w:tabs>
        <w:ind w:left="454" w:hanging="454"/>
      </w:pPr>
    </w:lvl>
  </w:abstractNum>
  <w:abstractNum w:abstractNumId="839">
    <w:nsid w:val="7D6F4ECD"/>
    <w:multiLevelType w:val="hybridMultilevel"/>
    <w:tmpl w:val="B4CA164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0">
    <w:nsid w:val="7D7E1F45"/>
    <w:multiLevelType w:val="singleLevel"/>
    <w:tmpl w:val="7EBA3EA8"/>
    <w:lvl w:ilvl="0">
      <w:start w:val="1"/>
      <w:numFmt w:val="lowerLetter"/>
      <w:lvlText w:val="%1)"/>
      <w:lvlJc w:val="left"/>
      <w:pPr>
        <w:tabs>
          <w:tab w:val="num" w:pos="786"/>
        </w:tabs>
        <w:ind w:left="786" w:hanging="360"/>
      </w:pPr>
      <w:rPr>
        <w:rFonts w:hint="default"/>
      </w:rPr>
    </w:lvl>
  </w:abstractNum>
  <w:abstractNum w:abstractNumId="841">
    <w:nsid w:val="7D9D37A1"/>
    <w:multiLevelType w:val="singleLevel"/>
    <w:tmpl w:val="0405000F"/>
    <w:lvl w:ilvl="0">
      <w:start w:val="1"/>
      <w:numFmt w:val="decimal"/>
      <w:lvlText w:val="%1."/>
      <w:lvlJc w:val="left"/>
      <w:pPr>
        <w:tabs>
          <w:tab w:val="num" w:pos="360"/>
        </w:tabs>
        <w:ind w:left="360" w:hanging="360"/>
      </w:pPr>
    </w:lvl>
  </w:abstractNum>
  <w:abstractNum w:abstractNumId="842">
    <w:nsid w:val="7DB01D86"/>
    <w:multiLevelType w:val="hybridMultilevel"/>
    <w:tmpl w:val="AC909AB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3">
    <w:nsid w:val="7DBF6B58"/>
    <w:multiLevelType w:val="singleLevel"/>
    <w:tmpl w:val="0409000F"/>
    <w:lvl w:ilvl="0">
      <w:start w:val="1"/>
      <w:numFmt w:val="decimal"/>
      <w:lvlText w:val="%1."/>
      <w:lvlJc w:val="left"/>
      <w:pPr>
        <w:tabs>
          <w:tab w:val="num" w:pos="360"/>
        </w:tabs>
        <w:ind w:left="360" w:hanging="360"/>
      </w:pPr>
    </w:lvl>
  </w:abstractNum>
  <w:abstractNum w:abstractNumId="844">
    <w:nsid w:val="7DC42D17"/>
    <w:multiLevelType w:val="singleLevel"/>
    <w:tmpl w:val="5DD4FB30"/>
    <w:lvl w:ilvl="0">
      <w:start w:val="436"/>
      <w:numFmt w:val="decimal"/>
      <w:lvlText w:val="%1."/>
      <w:lvlJc w:val="left"/>
      <w:pPr>
        <w:tabs>
          <w:tab w:val="num" w:pos="454"/>
        </w:tabs>
        <w:ind w:left="454" w:hanging="454"/>
      </w:pPr>
    </w:lvl>
  </w:abstractNum>
  <w:abstractNum w:abstractNumId="845">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7">
    <w:nsid w:val="7E060BFC"/>
    <w:multiLevelType w:val="singleLevel"/>
    <w:tmpl w:val="0BCAAD40"/>
    <w:lvl w:ilvl="0">
      <w:start w:val="263"/>
      <w:numFmt w:val="decimal"/>
      <w:lvlText w:val="%1."/>
      <w:lvlJc w:val="left"/>
      <w:pPr>
        <w:tabs>
          <w:tab w:val="num" w:pos="454"/>
        </w:tabs>
        <w:ind w:left="454" w:hanging="454"/>
      </w:pPr>
    </w:lvl>
  </w:abstractNum>
  <w:abstractNum w:abstractNumId="848">
    <w:nsid w:val="7E0B4957"/>
    <w:multiLevelType w:val="singleLevel"/>
    <w:tmpl w:val="DE5275E8"/>
    <w:lvl w:ilvl="0">
      <w:start w:val="515"/>
      <w:numFmt w:val="decimal"/>
      <w:lvlText w:val="%1."/>
      <w:lvlJc w:val="left"/>
      <w:pPr>
        <w:tabs>
          <w:tab w:val="num" w:pos="454"/>
        </w:tabs>
        <w:ind w:left="454" w:hanging="454"/>
      </w:pPr>
    </w:lvl>
  </w:abstractNum>
  <w:abstractNum w:abstractNumId="849">
    <w:nsid w:val="7E490244"/>
    <w:multiLevelType w:val="singleLevel"/>
    <w:tmpl w:val="5326511C"/>
    <w:lvl w:ilvl="0">
      <w:start w:val="239"/>
      <w:numFmt w:val="decimal"/>
      <w:lvlText w:val="%1."/>
      <w:lvlJc w:val="left"/>
      <w:pPr>
        <w:tabs>
          <w:tab w:val="num" w:pos="454"/>
        </w:tabs>
        <w:ind w:left="454" w:hanging="454"/>
      </w:pPr>
    </w:lvl>
  </w:abstractNum>
  <w:abstractNum w:abstractNumId="850">
    <w:nsid w:val="7E5A1610"/>
    <w:multiLevelType w:val="hybridMultilevel"/>
    <w:tmpl w:val="0E5AEA80"/>
    <w:lvl w:ilvl="0" w:tplc="B99412A8">
      <w:start w:val="1"/>
      <w:numFmt w:val="lowerLetter"/>
      <w:lvlRestart w:val="0"/>
      <w:lvlText w:val="(%1)"/>
      <w:lvlJc w:val="right"/>
      <w:pPr>
        <w:tabs>
          <w:tab w:val="num" w:pos="2041"/>
        </w:tabs>
        <w:ind w:left="2041" w:hanging="227"/>
      </w:pPr>
      <w:rPr>
        <w:rFonts w:ascii="Times New Roman" w:hAnsi="Times New Roman" w:hint="eastAsia"/>
        <w:b w:val="0"/>
        <w:i w:val="0"/>
        <w:sz w:val="24"/>
      </w:rPr>
    </w:lvl>
    <w:lvl w:ilvl="1" w:tplc="B99412A8">
      <w:start w:val="1"/>
      <w:numFmt w:val="lowerLetter"/>
      <w:lvlRestart w:val="0"/>
      <w:lvlText w:val="(%2)"/>
      <w:lvlJc w:val="right"/>
      <w:pPr>
        <w:tabs>
          <w:tab w:val="num" w:pos="1817"/>
        </w:tabs>
        <w:ind w:left="1817" w:hanging="227"/>
      </w:pPr>
      <w:rPr>
        <w:rFonts w:ascii="Times New Roman" w:hAnsi="Times New Roman" w:hint="eastAsia"/>
        <w:b w:val="0"/>
        <w:i w:val="0"/>
        <w:sz w:val="24"/>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851">
    <w:nsid w:val="7E6962DD"/>
    <w:multiLevelType w:val="singleLevel"/>
    <w:tmpl w:val="04050017"/>
    <w:lvl w:ilvl="0">
      <w:start w:val="1"/>
      <w:numFmt w:val="lowerLetter"/>
      <w:lvlText w:val="%1)"/>
      <w:lvlJc w:val="left"/>
      <w:pPr>
        <w:tabs>
          <w:tab w:val="num" w:pos="360"/>
        </w:tabs>
        <w:ind w:left="360" w:hanging="360"/>
      </w:pPr>
    </w:lvl>
  </w:abstractNum>
  <w:abstractNum w:abstractNumId="852">
    <w:nsid w:val="7E7F1D97"/>
    <w:multiLevelType w:val="hybridMultilevel"/>
    <w:tmpl w:val="705A8F92"/>
    <w:lvl w:ilvl="0" w:tplc="2ACAE3D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3">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854">
    <w:nsid w:val="7E990ABD"/>
    <w:multiLevelType w:val="hybridMultilevel"/>
    <w:tmpl w:val="504E4CA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5">
    <w:nsid w:val="7EAF4511"/>
    <w:multiLevelType w:val="singleLevel"/>
    <w:tmpl w:val="825210D4"/>
    <w:lvl w:ilvl="0">
      <w:start w:val="627"/>
      <w:numFmt w:val="decimal"/>
      <w:lvlText w:val="%1."/>
      <w:lvlJc w:val="left"/>
      <w:pPr>
        <w:tabs>
          <w:tab w:val="num" w:pos="454"/>
        </w:tabs>
        <w:ind w:left="454" w:hanging="454"/>
      </w:pPr>
    </w:lvl>
  </w:abstractNum>
  <w:abstractNum w:abstractNumId="856">
    <w:nsid w:val="7EEA3774"/>
    <w:multiLevelType w:val="singleLevel"/>
    <w:tmpl w:val="04050017"/>
    <w:lvl w:ilvl="0">
      <w:start w:val="1"/>
      <w:numFmt w:val="lowerLetter"/>
      <w:lvlText w:val="%1)"/>
      <w:lvlJc w:val="left"/>
      <w:pPr>
        <w:tabs>
          <w:tab w:val="num" w:pos="360"/>
        </w:tabs>
        <w:ind w:left="360" w:hanging="360"/>
      </w:pPr>
      <w:rPr>
        <w:rFonts w:hint="default"/>
      </w:rPr>
    </w:lvl>
  </w:abstractNum>
  <w:abstractNum w:abstractNumId="857">
    <w:nsid w:val="7F1354B0"/>
    <w:multiLevelType w:val="singleLevel"/>
    <w:tmpl w:val="BA6A18C0"/>
    <w:lvl w:ilvl="0">
      <w:start w:val="123"/>
      <w:numFmt w:val="decimal"/>
      <w:lvlText w:val="%1."/>
      <w:lvlJc w:val="left"/>
      <w:pPr>
        <w:tabs>
          <w:tab w:val="num" w:pos="454"/>
        </w:tabs>
        <w:ind w:left="454" w:hanging="454"/>
      </w:pPr>
    </w:lvl>
  </w:abstractNum>
  <w:abstractNum w:abstractNumId="858">
    <w:nsid w:val="7F75771B"/>
    <w:multiLevelType w:val="hybridMultilevel"/>
    <w:tmpl w:val="478E9586"/>
    <w:lvl w:ilvl="0" w:tplc="C5DAE68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9">
    <w:nsid w:val="7F8E3FC0"/>
    <w:multiLevelType w:val="hybridMultilevel"/>
    <w:tmpl w:val="BFA01736"/>
    <w:lvl w:ilvl="0" w:tplc="FB36FA54">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0">
    <w:nsid w:val="7F924A4C"/>
    <w:multiLevelType w:val="singleLevel"/>
    <w:tmpl w:val="20027312"/>
    <w:lvl w:ilvl="0">
      <w:start w:val="357"/>
      <w:numFmt w:val="decimal"/>
      <w:lvlText w:val="%1."/>
      <w:lvlJc w:val="left"/>
      <w:pPr>
        <w:tabs>
          <w:tab w:val="num" w:pos="454"/>
        </w:tabs>
        <w:ind w:left="454" w:hanging="454"/>
      </w:pPr>
    </w:lvl>
  </w:abstractNum>
  <w:abstractNum w:abstractNumId="861">
    <w:nsid w:val="7FA53CC6"/>
    <w:multiLevelType w:val="singleLevel"/>
    <w:tmpl w:val="4E187236"/>
    <w:lvl w:ilvl="0">
      <w:start w:val="378"/>
      <w:numFmt w:val="decimal"/>
      <w:lvlText w:val="%1."/>
      <w:lvlJc w:val="left"/>
      <w:pPr>
        <w:tabs>
          <w:tab w:val="num" w:pos="454"/>
        </w:tabs>
        <w:ind w:left="454" w:hanging="454"/>
      </w:pPr>
    </w:lvl>
  </w:abstractNum>
  <w:abstractNum w:abstractNumId="862">
    <w:nsid w:val="7FCA4879"/>
    <w:multiLevelType w:val="singleLevel"/>
    <w:tmpl w:val="075243E0"/>
    <w:lvl w:ilvl="0">
      <w:start w:val="1"/>
      <w:numFmt w:val="lowerLetter"/>
      <w:lvlText w:val="%1)"/>
      <w:lvlJc w:val="left"/>
      <w:pPr>
        <w:tabs>
          <w:tab w:val="num" w:pos="644"/>
        </w:tabs>
        <w:ind w:left="644" w:hanging="360"/>
      </w:pPr>
      <w:rPr>
        <w:rFonts w:hint="default"/>
      </w:rPr>
    </w:lvl>
  </w:abstractNum>
  <w:abstractNum w:abstractNumId="863">
    <w:nsid w:val="7FE95AEC"/>
    <w:multiLevelType w:val="singleLevel"/>
    <w:tmpl w:val="CE204518"/>
    <w:lvl w:ilvl="0">
      <w:start w:val="414"/>
      <w:numFmt w:val="decimal"/>
      <w:lvlText w:val="%1."/>
      <w:lvlJc w:val="left"/>
      <w:pPr>
        <w:tabs>
          <w:tab w:val="num" w:pos="454"/>
        </w:tabs>
        <w:ind w:left="454" w:hanging="454"/>
      </w:pPr>
    </w:lvl>
  </w:abstractNum>
  <w:abstractNum w:abstractNumId="864">
    <w:nsid w:val="7FFC48A3"/>
    <w:multiLevelType w:val="singleLevel"/>
    <w:tmpl w:val="C7E65C0E"/>
    <w:lvl w:ilvl="0">
      <w:start w:val="728"/>
      <w:numFmt w:val="decimal"/>
      <w:lvlText w:val="%1."/>
      <w:lvlJc w:val="left"/>
      <w:pPr>
        <w:tabs>
          <w:tab w:val="num" w:pos="454"/>
        </w:tabs>
        <w:ind w:left="454" w:hanging="454"/>
      </w:pPr>
    </w:lvl>
  </w:abstractNum>
  <w:num w:numId="1">
    <w:abstractNumId w:val="346"/>
  </w:num>
  <w:num w:numId="2">
    <w:abstractNumId w:val="513"/>
  </w:num>
  <w:num w:numId="3">
    <w:abstractNumId w:val="375"/>
  </w:num>
  <w:num w:numId="4">
    <w:abstractNumId w:val="342"/>
  </w:num>
  <w:num w:numId="5">
    <w:abstractNumId w:val="346"/>
  </w:num>
  <w:num w:numId="6">
    <w:abstractNumId w:val="513"/>
  </w:num>
  <w:num w:numId="7">
    <w:abstractNumId w:val="375"/>
  </w:num>
  <w:num w:numId="8">
    <w:abstractNumId w:val="342"/>
  </w:num>
  <w:num w:numId="9">
    <w:abstractNumId w:val="346"/>
  </w:num>
  <w:num w:numId="10">
    <w:abstractNumId w:val="513"/>
  </w:num>
  <w:num w:numId="11">
    <w:abstractNumId w:val="375"/>
  </w:num>
  <w:num w:numId="12">
    <w:abstractNumId w:val="342"/>
  </w:num>
  <w:num w:numId="13">
    <w:abstractNumId w:val="346"/>
  </w:num>
  <w:num w:numId="14">
    <w:abstractNumId w:val="513"/>
  </w:num>
  <w:num w:numId="15">
    <w:abstractNumId w:val="375"/>
  </w:num>
  <w:num w:numId="16">
    <w:abstractNumId w:val="513"/>
  </w:num>
  <w:num w:numId="17">
    <w:abstractNumId w:val="375"/>
  </w:num>
  <w:num w:numId="18">
    <w:abstractNumId w:val="68"/>
  </w:num>
  <w:num w:numId="19">
    <w:abstractNumId w:val="513"/>
  </w:num>
  <w:num w:numId="20">
    <w:abstractNumId w:val="375"/>
  </w:num>
  <w:num w:numId="21">
    <w:abstractNumId w:val="777"/>
  </w:num>
  <w:num w:numId="22">
    <w:abstractNumId w:val="240"/>
  </w:num>
  <w:num w:numId="23">
    <w:abstractNumId w:val="240"/>
  </w:num>
  <w:num w:numId="24">
    <w:abstractNumId w:val="513"/>
  </w:num>
  <w:num w:numId="25">
    <w:abstractNumId w:val="375"/>
  </w:num>
  <w:num w:numId="26">
    <w:abstractNumId w:val="665"/>
  </w:num>
  <w:num w:numId="27">
    <w:abstractNumId w:val="38"/>
  </w:num>
  <w:num w:numId="28">
    <w:abstractNumId w:val="716"/>
  </w:num>
  <w:num w:numId="29">
    <w:abstractNumId w:val="330"/>
  </w:num>
  <w:num w:numId="30">
    <w:abstractNumId w:val="525"/>
  </w:num>
  <w:num w:numId="31">
    <w:abstractNumId w:val="166"/>
  </w:num>
  <w:num w:numId="32">
    <w:abstractNumId w:val="845"/>
  </w:num>
  <w:num w:numId="33">
    <w:abstractNumId w:val="774"/>
  </w:num>
  <w:num w:numId="34">
    <w:abstractNumId w:val="451"/>
  </w:num>
  <w:num w:numId="35">
    <w:abstractNumId w:val="826"/>
  </w:num>
  <w:num w:numId="36">
    <w:abstractNumId w:val="390"/>
  </w:num>
  <w:num w:numId="37">
    <w:abstractNumId w:val="609"/>
  </w:num>
  <w:num w:numId="38">
    <w:abstractNumId w:val="171"/>
  </w:num>
  <w:num w:numId="39">
    <w:abstractNumId w:val="405"/>
  </w:num>
  <w:num w:numId="40">
    <w:abstractNumId w:val="163"/>
  </w:num>
  <w:num w:numId="41">
    <w:abstractNumId w:val="323"/>
  </w:num>
  <w:num w:numId="42">
    <w:abstractNumId w:val="88"/>
  </w:num>
  <w:num w:numId="43">
    <w:abstractNumId w:val="767"/>
  </w:num>
  <w:num w:numId="44">
    <w:abstractNumId w:val="148"/>
  </w:num>
  <w:num w:numId="45">
    <w:abstractNumId w:val="578"/>
  </w:num>
  <w:num w:numId="46">
    <w:abstractNumId w:val="551"/>
  </w:num>
  <w:num w:numId="47">
    <w:abstractNumId w:val="606"/>
  </w:num>
  <w:num w:numId="48">
    <w:abstractNumId w:val="150"/>
  </w:num>
  <w:num w:numId="49">
    <w:abstractNumId w:val="353"/>
  </w:num>
  <w:num w:numId="50">
    <w:abstractNumId w:val="731"/>
  </w:num>
  <w:num w:numId="51">
    <w:abstractNumId w:val="268"/>
  </w:num>
  <w:num w:numId="52">
    <w:abstractNumId w:val="656"/>
  </w:num>
  <w:num w:numId="53">
    <w:abstractNumId w:val="295"/>
  </w:num>
  <w:num w:numId="54">
    <w:abstractNumId w:val="812"/>
  </w:num>
  <w:num w:numId="55">
    <w:abstractNumId w:val="754"/>
  </w:num>
  <w:num w:numId="56">
    <w:abstractNumId w:val="685"/>
  </w:num>
  <w:num w:numId="57">
    <w:abstractNumId w:val="837"/>
  </w:num>
  <w:num w:numId="58">
    <w:abstractNumId w:val="772"/>
  </w:num>
  <w:num w:numId="59">
    <w:abstractNumId w:val="67"/>
  </w:num>
  <w:num w:numId="60">
    <w:abstractNumId w:val="237"/>
  </w:num>
  <w:num w:numId="61">
    <w:abstractNumId w:val="509"/>
  </w:num>
  <w:num w:numId="62">
    <w:abstractNumId w:val="287"/>
  </w:num>
  <w:num w:numId="63">
    <w:abstractNumId w:val="753"/>
  </w:num>
  <w:num w:numId="64">
    <w:abstractNumId w:val="850"/>
  </w:num>
  <w:num w:numId="65">
    <w:abstractNumId w:val="782"/>
  </w:num>
  <w:num w:numId="66">
    <w:abstractNumId w:val="16"/>
  </w:num>
  <w:num w:numId="67">
    <w:abstractNumId w:val="478"/>
  </w:num>
  <w:num w:numId="68">
    <w:abstractNumId w:val="255"/>
  </w:num>
  <w:num w:numId="69">
    <w:abstractNumId w:val="101"/>
  </w:num>
  <w:num w:numId="70">
    <w:abstractNumId w:val="152"/>
  </w:num>
  <w:num w:numId="71">
    <w:abstractNumId w:val="743"/>
  </w:num>
  <w:num w:numId="72">
    <w:abstractNumId w:val="200"/>
  </w:num>
  <w:num w:numId="73">
    <w:abstractNumId w:val="769"/>
  </w:num>
  <w:num w:numId="74">
    <w:abstractNumId w:val="494"/>
  </w:num>
  <w:num w:numId="75">
    <w:abstractNumId w:val="518"/>
  </w:num>
  <w:num w:numId="76">
    <w:abstractNumId w:val="70"/>
  </w:num>
  <w:num w:numId="77">
    <w:abstractNumId w:val="846"/>
  </w:num>
  <w:num w:numId="78">
    <w:abstractNumId w:val="720"/>
  </w:num>
  <w:num w:numId="79">
    <w:abstractNumId w:val="690"/>
  </w:num>
  <w:num w:numId="80">
    <w:abstractNumId w:val="81"/>
  </w:num>
  <w:num w:numId="81">
    <w:abstractNumId w:val="512"/>
  </w:num>
  <w:num w:numId="82">
    <w:abstractNumId w:val="535"/>
  </w:num>
  <w:num w:numId="83">
    <w:abstractNumId w:val="813"/>
  </w:num>
  <w:num w:numId="84">
    <w:abstractNumId w:val="624"/>
  </w:num>
  <w:num w:numId="85">
    <w:abstractNumId w:val="615"/>
  </w:num>
  <w:num w:numId="86">
    <w:abstractNumId w:val="468"/>
  </w:num>
  <w:num w:numId="87">
    <w:abstractNumId w:val="118"/>
  </w:num>
  <w:num w:numId="88">
    <w:abstractNumId w:val="96"/>
  </w:num>
  <w:num w:numId="89">
    <w:abstractNumId w:val="853"/>
  </w:num>
  <w:num w:numId="90">
    <w:abstractNumId w:val="27"/>
  </w:num>
  <w:num w:numId="91">
    <w:abstractNumId w:val="159"/>
  </w:num>
  <w:num w:numId="92">
    <w:abstractNumId w:val="762"/>
  </w:num>
  <w:num w:numId="93">
    <w:abstractNumId w:val="277"/>
  </w:num>
  <w:num w:numId="94">
    <w:abstractNumId w:val="687"/>
  </w:num>
  <w:num w:numId="95">
    <w:abstractNumId w:val="664"/>
  </w:num>
  <w:num w:numId="96">
    <w:abstractNumId w:val="378"/>
  </w:num>
  <w:num w:numId="97">
    <w:abstractNumId w:val="567"/>
  </w:num>
  <w:num w:numId="98">
    <w:abstractNumId w:val="608"/>
  </w:num>
  <w:num w:numId="99">
    <w:abstractNumId w:val="747"/>
  </w:num>
  <w:num w:numId="100">
    <w:abstractNumId w:val="72"/>
  </w:num>
  <w:num w:numId="101">
    <w:abstractNumId w:val="363"/>
  </w:num>
  <w:num w:numId="102">
    <w:abstractNumId w:val="816"/>
  </w:num>
  <w:num w:numId="103">
    <w:abstractNumId w:val="605"/>
  </w:num>
  <w:num w:numId="104">
    <w:abstractNumId w:val="693"/>
  </w:num>
  <w:num w:numId="105">
    <w:abstractNumId w:val="254"/>
  </w:num>
  <w:num w:numId="106">
    <w:abstractNumId w:val="374"/>
  </w:num>
  <w:num w:numId="107">
    <w:abstractNumId w:val="127"/>
  </w:num>
  <w:num w:numId="108">
    <w:abstractNumId w:val="629"/>
  </w:num>
  <w:num w:numId="109">
    <w:abstractNumId w:val="586"/>
  </w:num>
  <w:num w:numId="110">
    <w:abstractNumId w:val="399"/>
  </w:num>
  <w:num w:numId="111">
    <w:abstractNumId w:val="156"/>
  </w:num>
  <w:num w:numId="112">
    <w:abstractNumId w:val="592"/>
  </w:num>
  <w:num w:numId="113">
    <w:abstractNumId w:val="125"/>
  </w:num>
  <w:num w:numId="114">
    <w:abstractNumId w:val="394"/>
  </w:num>
  <w:num w:numId="115">
    <w:abstractNumId w:val="489"/>
  </w:num>
  <w:num w:numId="116">
    <w:abstractNumId w:val="787"/>
  </w:num>
  <w:num w:numId="117">
    <w:abstractNumId w:val="521"/>
  </w:num>
  <w:num w:numId="118">
    <w:abstractNumId w:val="415"/>
  </w:num>
  <w:num w:numId="119">
    <w:abstractNumId w:val="350"/>
  </w:num>
  <w:num w:numId="120">
    <w:abstractNumId w:val="492"/>
  </w:num>
  <w:num w:numId="121">
    <w:abstractNumId w:val="216"/>
  </w:num>
  <w:num w:numId="122">
    <w:abstractNumId w:val="650"/>
  </w:num>
  <w:num w:numId="123">
    <w:abstractNumId w:val="648"/>
  </w:num>
  <w:num w:numId="124">
    <w:abstractNumId w:val="28"/>
  </w:num>
  <w:num w:numId="125">
    <w:abstractNumId w:val="504"/>
  </w:num>
  <w:num w:numId="126">
    <w:abstractNumId w:val="203"/>
  </w:num>
  <w:num w:numId="127">
    <w:abstractNumId w:val="480"/>
  </w:num>
  <w:num w:numId="128">
    <w:abstractNumId w:val="110"/>
  </w:num>
  <w:num w:numId="129">
    <w:abstractNumId w:val="619"/>
  </w:num>
  <w:num w:numId="130">
    <w:abstractNumId w:val="463"/>
  </w:num>
  <w:num w:numId="131">
    <w:abstractNumId w:val="759"/>
  </w:num>
  <w:num w:numId="132">
    <w:abstractNumId w:val="707"/>
  </w:num>
  <w:num w:numId="133">
    <w:abstractNumId w:val="239"/>
  </w:num>
  <w:num w:numId="134">
    <w:abstractNumId w:val="435"/>
  </w:num>
  <w:num w:numId="135">
    <w:abstractNumId w:val="462"/>
  </w:num>
  <w:num w:numId="136">
    <w:abstractNumId w:val="144"/>
  </w:num>
  <w:num w:numId="137">
    <w:abstractNumId w:val="79"/>
  </w:num>
  <w:num w:numId="138">
    <w:abstractNumId w:val="763"/>
  </w:num>
  <w:num w:numId="139">
    <w:abstractNumId w:val="242"/>
  </w:num>
  <w:num w:numId="140">
    <w:abstractNumId w:val="704"/>
  </w:num>
  <w:num w:numId="141">
    <w:abstractNumId w:val="42"/>
  </w:num>
  <w:num w:numId="142">
    <w:abstractNumId w:val="697"/>
  </w:num>
  <w:num w:numId="143">
    <w:abstractNumId w:val="484"/>
  </w:num>
  <w:num w:numId="144">
    <w:abstractNumId w:val="562"/>
  </w:num>
  <w:num w:numId="145">
    <w:abstractNumId w:val="859"/>
  </w:num>
  <w:num w:numId="146">
    <w:abstractNumId w:val="822"/>
  </w:num>
  <w:num w:numId="147">
    <w:abstractNumId w:val="531"/>
  </w:num>
  <w:num w:numId="148">
    <w:abstractNumId w:val="706"/>
  </w:num>
  <w:num w:numId="149">
    <w:abstractNumId w:val="100"/>
  </w:num>
  <w:num w:numId="150">
    <w:abstractNumId w:val="241"/>
  </w:num>
  <w:num w:numId="151">
    <w:abstractNumId w:val="476"/>
  </w:num>
  <w:num w:numId="152">
    <w:abstractNumId w:val="577"/>
  </w:num>
  <w:num w:numId="153">
    <w:abstractNumId w:val="514"/>
  </w:num>
  <w:num w:numId="154">
    <w:abstractNumId w:val="661"/>
  </w:num>
  <w:num w:numId="155">
    <w:abstractNumId w:val="90"/>
  </w:num>
  <w:num w:numId="156">
    <w:abstractNumId w:val="103"/>
  </w:num>
  <w:num w:numId="157">
    <w:abstractNumId w:val="54"/>
  </w:num>
  <w:num w:numId="158">
    <w:abstractNumId w:val="739"/>
  </w:num>
  <w:num w:numId="159">
    <w:abstractNumId w:val="87"/>
  </w:num>
  <w:num w:numId="160">
    <w:abstractNumId w:val="172"/>
  </w:num>
  <w:num w:numId="161">
    <w:abstractNumId w:val="493"/>
  </w:num>
  <w:num w:numId="162">
    <w:abstractNumId w:val="464"/>
  </w:num>
  <w:num w:numId="163">
    <w:abstractNumId w:val="528"/>
  </w:num>
  <w:num w:numId="164">
    <w:abstractNumId w:val="317"/>
  </w:num>
  <w:num w:numId="165">
    <w:abstractNumId w:val="807"/>
  </w:num>
  <w:num w:numId="166">
    <w:abstractNumId w:val="831"/>
  </w:num>
  <w:num w:numId="167">
    <w:abstractNumId w:val="292"/>
  </w:num>
  <w:num w:numId="168">
    <w:abstractNumId w:val="63"/>
  </w:num>
  <w:num w:numId="169">
    <w:abstractNumId w:val="359"/>
  </w:num>
  <w:num w:numId="170">
    <w:abstractNumId w:val="414"/>
  </w:num>
  <w:num w:numId="171">
    <w:abstractNumId w:val="810"/>
  </w:num>
  <w:num w:numId="172">
    <w:abstractNumId w:val="502"/>
  </w:num>
  <w:num w:numId="173">
    <w:abstractNumId w:val="843"/>
  </w:num>
  <w:num w:numId="174">
    <w:abstractNumId w:val="470"/>
  </w:num>
  <w:num w:numId="175">
    <w:abstractNumId w:val="675"/>
  </w:num>
  <w:num w:numId="176">
    <w:abstractNumId w:val="392"/>
  </w:num>
  <w:num w:numId="177">
    <w:abstractNumId w:val="0"/>
  </w:num>
  <w:num w:numId="178">
    <w:abstractNumId w:val="64"/>
  </w:num>
  <w:num w:numId="179">
    <w:abstractNumId w:val="304"/>
  </w:num>
  <w:num w:numId="180">
    <w:abstractNumId w:val="829"/>
  </w:num>
  <w:num w:numId="181">
    <w:abstractNumId w:val="99"/>
  </w:num>
  <w:num w:numId="182">
    <w:abstractNumId w:val="362"/>
  </w:num>
  <w:num w:numId="183">
    <w:abstractNumId w:val="719"/>
  </w:num>
  <w:num w:numId="184">
    <w:abstractNumId w:val="328"/>
  </w:num>
  <w:num w:numId="185">
    <w:abstractNumId w:val="702"/>
  </w:num>
  <w:num w:numId="186">
    <w:abstractNumId w:val="245"/>
  </w:num>
  <w:num w:numId="187">
    <w:abstractNumId w:val="745"/>
  </w:num>
  <w:num w:numId="188">
    <w:abstractNumId w:val="717"/>
  </w:num>
  <w:num w:numId="189">
    <w:abstractNumId w:val="209"/>
  </w:num>
  <w:num w:numId="190">
    <w:abstractNumId w:val="305"/>
  </w:num>
  <w:num w:numId="191">
    <w:abstractNumId w:val="660"/>
  </w:num>
  <w:num w:numId="192">
    <w:abstractNumId w:val="841"/>
  </w:num>
  <w:num w:numId="193">
    <w:abstractNumId w:val="515"/>
  </w:num>
  <w:num w:numId="194">
    <w:abstractNumId w:val="642"/>
  </w:num>
  <w:num w:numId="195">
    <w:abstractNumId w:val="511"/>
  </w:num>
  <w:num w:numId="196">
    <w:abstractNumId w:val="780"/>
  </w:num>
  <w:num w:numId="197">
    <w:abstractNumId w:val="555"/>
  </w:num>
  <w:num w:numId="198">
    <w:abstractNumId w:val="856"/>
  </w:num>
  <w:num w:numId="199">
    <w:abstractNumId w:val="281"/>
  </w:num>
  <w:num w:numId="200">
    <w:abstractNumId w:val="257"/>
  </w:num>
  <w:num w:numId="201">
    <w:abstractNumId w:val="472"/>
  </w:num>
  <w:num w:numId="202">
    <w:abstractNumId w:val="333"/>
  </w:num>
  <w:num w:numId="203">
    <w:abstractNumId w:val="94"/>
  </w:num>
  <w:num w:numId="204">
    <w:abstractNumId w:val="590"/>
  </w:num>
  <w:num w:numId="205">
    <w:abstractNumId w:val="729"/>
  </w:num>
  <w:num w:numId="206">
    <w:abstractNumId w:val="327"/>
  </w:num>
  <w:num w:numId="207">
    <w:abstractNumId w:val="778"/>
  </w:num>
  <w:num w:numId="208">
    <w:abstractNumId w:val="634"/>
  </w:num>
  <w:num w:numId="209">
    <w:abstractNumId w:val="802"/>
  </w:num>
  <w:num w:numId="210">
    <w:abstractNumId w:val="398"/>
  </w:num>
  <w:num w:numId="211">
    <w:abstractNumId w:val="655"/>
  </w:num>
  <w:num w:numId="212">
    <w:abstractNumId w:val="819"/>
  </w:num>
  <w:num w:numId="213">
    <w:abstractNumId w:val="758"/>
  </w:num>
  <w:num w:numId="214">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215">
    <w:abstractNumId w:val="442"/>
  </w:num>
  <w:num w:numId="216">
    <w:abstractNumId w:val="189"/>
  </w:num>
  <w:num w:numId="217">
    <w:abstractNumId w:val="691"/>
  </w:num>
  <w:num w:numId="218">
    <w:abstractNumId w:val="140"/>
  </w:num>
  <w:num w:numId="219">
    <w:abstractNumId w:val="544"/>
  </w:num>
  <w:num w:numId="220">
    <w:abstractNumId w:val="161"/>
  </w:num>
  <w:num w:numId="221">
    <w:abstractNumId w:val="397"/>
  </w:num>
  <w:num w:numId="222">
    <w:abstractNumId w:val="294"/>
  </w:num>
  <w:num w:numId="223">
    <w:abstractNumId w:val="275"/>
  </w:num>
  <w:num w:numId="224">
    <w:abstractNumId w:val="481"/>
  </w:num>
  <w:num w:numId="225">
    <w:abstractNumId w:val="215"/>
  </w:num>
  <w:num w:numId="226">
    <w:abstractNumId w:val="804"/>
  </w:num>
  <w:num w:numId="227">
    <w:abstractNumId w:val="473"/>
  </w:num>
  <w:num w:numId="228">
    <w:abstractNumId w:val="272"/>
  </w:num>
  <w:num w:numId="229">
    <w:abstractNumId w:val="649"/>
  </w:num>
  <w:num w:numId="230">
    <w:abstractNumId w:val="520"/>
  </w:num>
  <w:num w:numId="231">
    <w:abstractNumId w:val="105"/>
  </w:num>
  <w:num w:numId="232">
    <w:abstractNumId w:val="199"/>
  </w:num>
  <w:num w:numId="233">
    <w:abstractNumId w:val="654"/>
  </w:num>
  <w:num w:numId="234">
    <w:abstractNumId w:val="227"/>
  </w:num>
  <w:num w:numId="235">
    <w:abstractNumId w:val="151"/>
  </w:num>
  <w:num w:numId="236">
    <w:abstractNumId w:val="474"/>
  </w:num>
  <w:num w:numId="237">
    <w:abstractNumId w:val="447"/>
  </w:num>
  <w:num w:numId="238">
    <w:abstractNumId w:val="102"/>
  </w:num>
  <w:num w:numId="239">
    <w:abstractNumId w:val="60"/>
  </w:num>
  <w:num w:numId="240">
    <w:abstractNumId w:val="672"/>
  </w:num>
  <w:num w:numId="241">
    <w:abstractNumId w:val="671"/>
  </w:num>
  <w:num w:numId="242">
    <w:abstractNumId w:val="420"/>
  </w:num>
  <w:num w:numId="243">
    <w:abstractNumId w:val="83"/>
  </w:num>
  <w:num w:numId="244">
    <w:abstractNumId w:val="170"/>
  </w:num>
  <w:num w:numId="245">
    <w:abstractNumId w:val="744"/>
  </w:num>
  <w:num w:numId="246">
    <w:abstractNumId w:val="668"/>
  </w:num>
  <w:num w:numId="247">
    <w:abstractNumId w:val="708"/>
  </w:num>
  <w:num w:numId="248">
    <w:abstractNumId w:val="57"/>
  </w:num>
  <w:num w:numId="249">
    <w:abstractNumId w:val="310"/>
  </w:num>
  <w:num w:numId="250">
    <w:abstractNumId w:val="771"/>
  </w:num>
  <w:num w:numId="251">
    <w:abstractNumId w:val="625"/>
  </w:num>
  <w:num w:numId="252">
    <w:abstractNumId w:val="142"/>
  </w:num>
  <w:num w:numId="253">
    <w:abstractNumId w:val="437"/>
  </w:num>
  <w:num w:numId="254">
    <w:abstractNumId w:val="62"/>
  </w:num>
  <w:num w:numId="255">
    <w:abstractNumId w:val="411"/>
  </w:num>
  <w:num w:numId="256">
    <w:abstractNumId w:val="563"/>
  </w:num>
  <w:num w:numId="257">
    <w:abstractNumId w:val="498"/>
  </w:num>
  <w:num w:numId="258">
    <w:abstractNumId w:val="21"/>
  </w:num>
  <w:num w:numId="259">
    <w:abstractNumId w:val="726"/>
  </w:num>
  <w:num w:numId="260">
    <w:abstractNumId w:val="684"/>
  </w:num>
  <w:num w:numId="261">
    <w:abstractNumId w:val="857"/>
  </w:num>
  <w:num w:numId="262">
    <w:abstractNumId w:val="431"/>
  </w:num>
  <w:num w:numId="263">
    <w:abstractNumId w:val="784"/>
  </w:num>
  <w:num w:numId="264">
    <w:abstractNumId w:val="383"/>
  </w:num>
  <w:num w:numId="265">
    <w:abstractNumId w:val="503"/>
  </w:num>
  <w:num w:numId="266">
    <w:abstractNumId w:val="326"/>
  </w:num>
  <w:num w:numId="267">
    <w:abstractNumId w:val="727"/>
  </w:num>
  <w:num w:numId="268">
    <w:abstractNumId w:val="663"/>
  </w:num>
  <w:num w:numId="269">
    <w:abstractNumId w:val="175"/>
  </w:num>
  <w:num w:numId="270">
    <w:abstractNumId w:val="366"/>
  </w:num>
  <w:num w:numId="271">
    <w:abstractNumId w:val="599"/>
  </w:num>
  <w:num w:numId="272">
    <w:abstractNumId w:val="212"/>
  </w:num>
  <w:num w:numId="273">
    <w:abstractNumId w:val="580"/>
  </w:num>
  <w:num w:numId="274">
    <w:abstractNumId w:val="69"/>
  </w:num>
  <w:num w:numId="275">
    <w:abstractNumId w:val="52"/>
  </w:num>
  <w:num w:numId="276">
    <w:abstractNumId w:val="568"/>
  </w:num>
  <w:num w:numId="277">
    <w:abstractNumId w:val="354"/>
  </w:num>
  <w:num w:numId="278">
    <w:abstractNumId w:val="97"/>
  </w:num>
  <w:num w:numId="279">
    <w:abstractNumId w:val="340"/>
  </w:num>
  <w:num w:numId="280">
    <w:abstractNumId w:val="132"/>
  </w:num>
  <w:num w:numId="281">
    <w:abstractNumId w:val="116"/>
  </w:num>
  <w:num w:numId="282">
    <w:abstractNumId w:val="248"/>
  </w:num>
  <w:num w:numId="283">
    <w:abstractNumId w:val="862"/>
  </w:num>
  <w:num w:numId="284">
    <w:abstractNumId w:val="283"/>
  </w:num>
  <w:num w:numId="285">
    <w:abstractNumId w:val="319"/>
  </w:num>
  <w:num w:numId="286">
    <w:abstractNumId w:val="164"/>
  </w:num>
  <w:num w:numId="287">
    <w:abstractNumId w:val="130"/>
  </w:num>
  <w:num w:numId="288">
    <w:abstractNumId w:val="548"/>
  </w:num>
  <w:num w:numId="289">
    <w:abstractNumId w:val="23"/>
  </w:num>
  <w:num w:numId="290">
    <w:abstractNumId w:val="788"/>
  </w:num>
  <w:num w:numId="291">
    <w:abstractNumId w:val="491"/>
  </w:num>
  <w:num w:numId="292">
    <w:abstractNumId w:val="58"/>
  </w:num>
  <w:num w:numId="293">
    <w:abstractNumId w:val="581"/>
  </w:num>
  <w:num w:numId="294">
    <w:abstractNumId w:val="91"/>
  </w:num>
  <w:num w:numId="295">
    <w:abstractNumId w:val="376"/>
  </w:num>
  <w:num w:numId="296">
    <w:abstractNumId w:val="395"/>
  </w:num>
  <w:num w:numId="297">
    <w:abstractNumId w:val="597"/>
  </w:num>
  <w:num w:numId="298">
    <w:abstractNumId w:val="341"/>
  </w:num>
  <w:num w:numId="299">
    <w:abstractNumId w:val="635"/>
  </w:num>
  <w:num w:numId="300">
    <w:abstractNumId w:val="235"/>
  </w:num>
  <w:num w:numId="301">
    <w:abstractNumId w:val="191"/>
  </w:num>
  <w:num w:numId="302">
    <w:abstractNumId w:val="25"/>
  </w:num>
  <w:num w:numId="303">
    <w:abstractNumId w:val="131"/>
  </w:num>
  <w:num w:numId="304">
    <w:abstractNumId w:val="184"/>
  </w:num>
  <w:num w:numId="305">
    <w:abstractNumId w:val="815"/>
  </w:num>
  <w:num w:numId="306">
    <w:abstractNumId w:val="646"/>
  </w:num>
  <w:num w:numId="307">
    <w:abstractNumId w:val="361"/>
  </w:num>
  <w:num w:numId="308">
    <w:abstractNumId w:val="358"/>
  </w:num>
  <w:num w:numId="309">
    <w:abstractNumId w:val="817"/>
  </w:num>
  <w:num w:numId="310">
    <w:abstractNumId w:val="715"/>
  </w:num>
  <w:num w:numId="311">
    <w:abstractNumId w:val="680"/>
  </w:num>
  <w:num w:numId="312">
    <w:abstractNumId w:val="808"/>
  </w:num>
  <w:num w:numId="313">
    <w:abstractNumId w:val="162"/>
  </w:num>
  <w:num w:numId="314">
    <w:abstractNumId w:val="795"/>
  </w:num>
  <w:num w:numId="315">
    <w:abstractNumId w:val="365"/>
  </w:num>
  <w:num w:numId="316">
    <w:abstractNumId w:val="483"/>
  </w:num>
  <w:num w:numId="317">
    <w:abstractNumId w:val="797"/>
  </w:num>
  <w:num w:numId="318">
    <w:abstractNumId w:val="37"/>
  </w:num>
  <w:num w:numId="319">
    <w:abstractNumId w:val="225"/>
  </w:num>
  <w:num w:numId="320">
    <w:abstractNumId w:val="29"/>
  </w:num>
  <w:num w:numId="321">
    <w:abstractNumId w:val="180"/>
  </w:num>
  <w:num w:numId="322">
    <w:abstractNumId w:val="460"/>
  </w:num>
  <w:num w:numId="323">
    <w:abstractNumId w:val="56"/>
  </w:num>
  <w:num w:numId="324">
    <w:abstractNumId w:val="775"/>
  </w:num>
  <w:num w:numId="325">
    <w:abstractNumId w:val="230"/>
  </w:num>
  <w:num w:numId="326">
    <w:abstractNumId w:val="446"/>
  </w:num>
  <w:num w:numId="327">
    <w:abstractNumId w:val="400"/>
  </w:num>
  <w:num w:numId="328">
    <w:abstractNumId w:val="639"/>
  </w:num>
  <w:num w:numId="329">
    <w:abstractNumId w:val="860"/>
  </w:num>
  <w:num w:numId="330">
    <w:abstractNumId w:val="192"/>
  </w:num>
  <w:num w:numId="331">
    <w:abstractNumId w:val="128"/>
  </w:num>
  <w:num w:numId="332">
    <w:abstractNumId w:val="149"/>
  </w:num>
  <w:num w:numId="333">
    <w:abstractNumId w:val="197"/>
  </w:num>
  <w:num w:numId="334">
    <w:abstractNumId w:val="262"/>
  </w:num>
  <w:num w:numId="335">
    <w:abstractNumId w:val="861"/>
  </w:num>
  <w:num w:numId="336">
    <w:abstractNumId w:val="173"/>
  </w:num>
  <w:num w:numId="337">
    <w:abstractNumId w:val="748"/>
  </w:num>
  <w:num w:numId="338">
    <w:abstractNumId w:val="507"/>
  </w:num>
  <w:num w:numId="339">
    <w:abstractNumId w:val="183"/>
  </w:num>
  <w:num w:numId="340">
    <w:abstractNumId w:val="141"/>
  </w:num>
  <w:num w:numId="341">
    <w:abstractNumId w:val="669"/>
  </w:num>
  <w:num w:numId="342">
    <w:abstractNumId w:val="136"/>
  </w:num>
  <w:num w:numId="343">
    <w:abstractNumId w:val="211"/>
  </w:num>
  <w:num w:numId="344">
    <w:abstractNumId w:val="229"/>
  </w:num>
  <w:num w:numId="345">
    <w:abstractNumId w:val="26"/>
  </w:num>
  <w:num w:numId="346">
    <w:abstractNumId w:val="790"/>
  </w:num>
  <w:num w:numId="347">
    <w:abstractNumId w:val="500"/>
  </w:num>
  <w:num w:numId="348">
    <w:abstractNumId w:val="265"/>
  </w:num>
  <w:num w:numId="349">
    <w:abstractNumId w:val="430"/>
  </w:num>
  <w:num w:numId="350">
    <w:abstractNumId w:val="497"/>
  </w:num>
  <w:num w:numId="351">
    <w:abstractNumId w:val="821"/>
  </w:num>
  <w:num w:numId="352">
    <w:abstractNumId w:val="61"/>
  </w:num>
  <w:num w:numId="353">
    <w:abstractNumId w:val="198"/>
  </w:num>
  <w:num w:numId="354">
    <w:abstractNumId w:val="607"/>
  </w:num>
  <w:num w:numId="355">
    <w:abstractNumId w:val="620"/>
  </w:num>
  <w:num w:numId="356">
    <w:abstractNumId w:val="19"/>
  </w:num>
  <w:num w:numId="357">
    <w:abstractNumId w:val="584"/>
  </w:num>
  <w:num w:numId="358">
    <w:abstractNumId w:val="250"/>
  </w:num>
  <w:num w:numId="359">
    <w:abstractNumId w:val="847"/>
  </w:num>
  <w:num w:numId="360">
    <w:abstractNumId w:val="733"/>
  </w:num>
  <w:num w:numId="361">
    <w:abstractNumId w:val="47"/>
  </w:num>
  <w:num w:numId="362">
    <w:abstractNumId w:val="793"/>
  </w:num>
  <w:num w:numId="363">
    <w:abstractNumId w:val="343"/>
  </w:num>
  <w:num w:numId="364">
    <w:abstractNumId w:val="768"/>
  </w:num>
  <w:num w:numId="365">
    <w:abstractNumId w:val="339"/>
  </w:num>
  <w:num w:numId="366">
    <w:abstractNumId w:val="419"/>
  </w:num>
  <w:num w:numId="367">
    <w:abstractNumId w:val="561"/>
  </w:num>
  <w:num w:numId="368">
    <w:abstractNumId w:val="728"/>
  </w:num>
  <w:num w:numId="369">
    <w:abstractNumId w:val="208"/>
  </w:num>
  <w:num w:numId="370">
    <w:abstractNumId w:val="465"/>
  </w:num>
  <w:num w:numId="371">
    <w:abstractNumId w:val="429"/>
  </w:num>
  <w:num w:numId="372">
    <w:abstractNumId w:val="220"/>
  </w:num>
  <w:num w:numId="373">
    <w:abstractNumId w:val="135"/>
  </w:num>
  <w:num w:numId="374">
    <w:abstractNumId w:val="705"/>
  </w:num>
  <w:num w:numId="375">
    <w:abstractNumId w:val="593"/>
  </w:num>
  <w:num w:numId="376">
    <w:abstractNumId w:val="89"/>
  </w:num>
  <w:num w:numId="377">
    <w:abstractNumId w:val="636"/>
  </w:num>
  <w:num w:numId="378">
    <w:abstractNumId w:val="803"/>
  </w:num>
  <w:num w:numId="379">
    <w:abstractNumId w:val="315"/>
  </w:num>
  <w:num w:numId="380">
    <w:abstractNumId w:val="505"/>
  </w:num>
  <w:num w:numId="381">
    <w:abstractNumId w:val="311"/>
  </w:num>
  <w:num w:numId="382">
    <w:abstractNumId w:val="290"/>
  </w:num>
  <w:num w:numId="383">
    <w:abstractNumId w:val="602"/>
  </w:num>
  <w:num w:numId="384">
    <w:abstractNumId w:val="403"/>
  </w:num>
  <w:num w:numId="385">
    <w:abstractNumId w:val="467"/>
  </w:num>
  <w:num w:numId="386">
    <w:abstractNumId w:val="210"/>
  </w:num>
  <w:num w:numId="387">
    <w:abstractNumId w:val="377"/>
  </w:num>
  <w:num w:numId="388">
    <w:abstractNumId w:val="11"/>
  </w:num>
  <w:num w:numId="389">
    <w:abstractNumId w:val="12"/>
  </w:num>
  <w:num w:numId="390">
    <w:abstractNumId w:val="273"/>
  </w:num>
  <w:num w:numId="391">
    <w:abstractNumId w:val="566"/>
  </w:num>
  <w:num w:numId="392">
    <w:abstractNumId w:val="425"/>
  </w:num>
  <w:num w:numId="393">
    <w:abstractNumId w:val="488"/>
  </w:num>
  <w:num w:numId="394">
    <w:abstractNumId w:val="30"/>
  </w:num>
  <w:num w:numId="395">
    <w:abstractNumId w:val="168"/>
  </w:num>
  <w:num w:numId="396">
    <w:abstractNumId w:val="490"/>
  </w:num>
  <w:num w:numId="397">
    <w:abstractNumId w:val="43"/>
  </w:num>
  <w:num w:numId="398">
    <w:abstractNumId w:val="724"/>
  </w:num>
  <w:num w:numId="399">
    <w:abstractNumId w:val="186"/>
  </w:num>
  <w:num w:numId="400">
    <w:abstractNumId w:val="755"/>
  </w:num>
  <w:num w:numId="401">
    <w:abstractNumId w:val="676"/>
  </w:num>
  <w:num w:numId="402">
    <w:abstractNumId w:val="683"/>
  </w:num>
  <w:num w:numId="403">
    <w:abstractNumId w:val="623"/>
  </w:num>
  <w:num w:numId="404">
    <w:abstractNumId w:val="538"/>
  </w:num>
  <w:num w:numId="405">
    <w:abstractNumId w:val="601"/>
  </w:num>
  <w:num w:numId="406">
    <w:abstractNumId w:val="533"/>
  </w:num>
  <w:num w:numId="407">
    <w:abstractNumId w:val="695"/>
  </w:num>
  <w:num w:numId="408">
    <w:abstractNumId w:val="558"/>
  </w:num>
  <w:num w:numId="409">
    <w:abstractNumId w:val="348"/>
  </w:num>
  <w:num w:numId="410">
    <w:abstractNumId w:val="849"/>
  </w:num>
  <w:num w:numId="411">
    <w:abstractNumId w:val="75"/>
  </w:num>
  <w:num w:numId="412">
    <w:abstractNumId w:val="779"/>
  </w:num>
  <w:num w:numId="413">
    <w:abstractNumId w:val="673"/>
  </w:num>
  <w:num w:numId="414">
    <w:abstractNumId w:val="486"/>
  </w:num>
  <w:num w:numId="415">
    <w:abstractNumId w:val="834"/>
  </w:num>
  <w:num w:numId="416">
    <w:abstractNumId w:val="863"/>
  </w:num>
  <w:num w:numId="417">
    <w:abstractNumId w:val="98"/>
  </w:num>
  <w:num w:numId="418">
    <w:abstractNumId w:val="219"/>
  </w:num>
  <w:num w:numId="419">
    <w:abstractNumId w:val="622"/>
  </w:num>
  <w:num w:numId="420">
    <w:abstractNumId w:val="410"/>
  </w:num>
  <w:num w:numId="421">
    <w:abstractNumId w:val="630"/>
  </w:num>
  <w:num w:numId="422">
    <w:abstractNumId w:val="610"/>
  </w:num>
  <w:num w:numId="423">
    <w:abstractNumId w:val="335"/>
  </w:num>
  <w:num w:numId="424">
    <w:abstractNumId w:val="325"/>
  </w:num>
  <w:num w:numId="425">
    <w:abstractNumId w:val="119"/>
  </w:num>
  <w:num w:numId="426">
    <w:abstractNumId w:val="10"/>
    <w:lvlOverride w:ilvl="0">
      <w:lvl w:ilvl="0">
        <w:start w:val="1"/>
        <w:numFmt w:val="bullet"/>
        <w:lvlText w:val=""/>
        <w:legacy w:legacy="1" w:legacySpace="0" w:legacyIndent="360"/>
        <w:lvlJc w:val="left"/>
        <w:pPr>
          <w:ind w:left="786" w:hanging="360"/>
        </w:pPr>
        <w:rPr>
          <w:rFonts w:ascii="Symbol" w:hAnsi="Symbol" w:cs="Times New Roman" w:hint="default"/>
        </w:rPr>
      </w:lvl>
    </w:lvlOverride>
  </w:num>
  <w:num w:numId="427">
    <w:abstractNumId w:val="76"/>
  </w:num>
  <w:num w:numId="428">
    <w:abstractNumId w:val="188"/>
  </w:num>
  <w:num w:numId="429">
    <w:abstractNumId w:val="631"/>
  </w:num>
  <w:num w:numId="430">
    <w:abstractNumId w:val="329"/>
  </w:num>
  <w:num w:numId="431">
    <w:abstractNumId w:val="177"/>
  </w:num>
  <w:num w:numId="432">
    <w:abstractNumId w:val="603"/>
  </w:num>
  <w:num w:numId="433">
    <w:abstractNumId w:val="588"/>
  </w:num>
  <w:num w:numId="434">
    <w:abstractNumId w:val="416"/>
  </w:num>
  <w:num w:numId="435">
    <w:abstractNumId w:val="389"/>
  </w:num>
  <w:num w:numId="436">
    <w:abstractNumId w:val="178"/>
  </w:num>
  <w:num w:numId="437">
    <w:abstractNumId w:val="569"/>
  </w:num>
  <w:num w:numId="438">
    <w:abstractNumId w:val="206"/>
  </w:num>
  <w:num w:numId="439">
    <w:abstractNumId w:val="576"/>
  </w:num>
  <w:num w:numId="440">
    <w:abstractNumId w:val="765"/>
  </w:num>
  <w:num w:numId="441">
    <w:abstractNumId w:val="336"/>
  </w:num>
  <w:num w:numId="442">
    <w:abstractNumId w:val="51"/>
  </w:num>
  <w:num w:numId="443">
    <w:abstractNumId w:val="740"/>
  </w:num>
  <w:num w:numId="444">
    <w:abstractNumId w:val="613"/>
  </w:num>
  <w:num w:numId="445">
    <w:abstractNumId w:val="107"/>
  </w:num>
  <w:num w:numId="446">
    <w:abstractNumId w:val="418"/>
  </w:num>
  <w:num w:numId="447">
    <w:abstractNumId w:val="312"/>
  </w:num>
  <w:num w:numId="448">
    <w:abstractNumId w:val="10"/>
    <w:lvlOverride w:ilvl="0">
      <w:lvl w:ilvl="0">
        <w:start w:val="1"/>
        <w:numFmt w:val="bullet"/>
        <w:lvlText w:val=""/>
        <w:legacy w:legacy="1" w:legacySpace="0" w:legacyIndent="283"/>
        <w:lvlJc w:val="left"/>
        <w:pPr>
          <w:ind w:left="283" w:hanging="283"/>
        </w:pPr>
        <w:rPr>
          <w:rFonts w:ascii="Symbol" w:hAnsi="Symbol" w:cs="Times New Roman" w:hint="default"/>
        </w:rPr>
      </w:lvl>
    </w:lvlOverride>
  </w:num>
  <w:num w:numId="449">
    <w:abstractNumId w:val="20"/>
  </w:num>
  <w:num w:numId="450">
    <w:abstractNumId w:val="574"/>
  </w:num>
  <w:num w:numId="451">
    <w:abstractNumId w:val="621"/>
  </w:num>
  <w:num w:numId="452">
    <w:abstractNumId w:val="93"/>
  </w:num>
  <w:num w:numId="453">
    <w:abstractNumId w:val="393"/>
  </w:num>
  <w:num w:numId="454">
    <w:abstractNumId w:val="703"/>
  </w:num>
  <w:num w:numId="455">
    <w:abstractNumId w:val="104"/>
  </w:num>
  <w:num w:numId="456">
    <w:abstractNumId w:val="104"/>
    <w:lvlOverride w:ilvl="0">
      <w:lvl w:ilvl="0">
        <w:start w:val="6"/>
        <w:numFmt w:val="lowerLetter"/>
        <w:lvlText w:val="%1) "/>
        <w:legacy w:legacy="1" w:legacySpace="0" w:legacyIndent="283"/>
        <w:lvlJc w:val="left"/>
        <w:pPr>
          <w:ind w:left="283" w:hanging="283"/>
        </w:pPr>
        <w:rPr>
          <w:rFonts w:ascii="Times New Roman" w:hAnsi="Times New Roman" w:cs="Times New Roman" w:hint="default"/>
          <w:b w:val="0"/>
          <w:i w:val="0"/>
          <w:sz w:val="24"/>
          <w:szCs w:val="24"/>
          <w:u w:val="none"/>
        </w:rPr>
      </w:lvl>
    </w:lvlOverride>
  </w:num>
  <w:num w:numId="457">
    <w:abstractNumId w:val="213"/>
  </w:num>
  <w:num w:numId="458">
    <w:abstractNumId w:val="459"/>
  </w:num>
  <w:num w:numId="459">
    <w:abstractNumId w:val="811"/>
  </w:num>
  <w:num w:numId="460">
    <w:abstractNumId w:val="456"/>
  </w:num>
  <w:num w:numId="461">
    <w:abstractNumId w:val="700"/>
  </w:num>
  <w:num w:numId="462">
    <w:abstractNumId w:val="713"/>
  </w:num>
  <w:num w:numId="463">
    <w:abstractNumId w:val="143"/>
  </w:num>
  <w:num w:numId="464">
    <w:abstractNumId w:val="721"/>
  </w:num>
  <w:num w:numId="465">
    <w:abstractNumId w:val="396"/>
  </w:num>
  <w:num w:numId="466">
    <w:abstractNumId w:val="385"/>
  </w:num>
  <w:num w:numId="467">
    <w:abstractNumId w:val="65"/>
  </w:num>
  <w:num w:numId="468">
    <w:abstractNumId w:val="818"/>
  </w:num>
  <w:num w:numId="469">
    <w:abstractNumId w:val="604"/>
  </w:num>
  <w:num w:numId="470">
    <w:abstractNumId w:val="552"/>
  </w:num>
  <w:num w:numId="471">
    <w:abstractNumId w:val="452"/>
  </w:num>
  <w:num w:numId="472">
    <w:abstractNumId w:val="553"/>
  </w:num>
  <w:num w:numId="473">
    <w:abstractNumId w:val="112"/>
  </w:num>
  <w:num w:numId="474">
    <w:abstractNumId w:val="794"/>
  </w:num>
  <w:num w:numId="475">
    <w:abstractNumId w:val="527"/>
  </w:num>
  <w:num w:numId="476">
    <w:abstractNumId w:val="510"/>
  </w:num>
  <w:num w:numId="477">
    <w:abstractNumId w:val="760"/>
  </w:num>
  <w:num w:numId="478">
    <w:abstractNumId w:val="202"/>
  </w:num>
  <w:num w:numId="479">
    <w:abstractNumId w:val="371"/>
  </w:num>
  <w:num w:numId="480">
    <w:abstractNumId w:val="540"/>
  </w:num>
  <w:num w:numId="481">
    <w:abstractNumId w:val="582"/>
  </w:num>
  <w:num w:numId="482">
    <w:abstractNumId w:val="84"/>
  </w:num>
  <w:num w:numId="483">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484">
    <w:abstractNumId w:val="688"/>
  </w:num>
  <w:num w:numId="485">
    <w:abstractNumId w:val="117"/>
  </w:num>
  <w:num w:numId="486">
    <w:abstractNumId w:val="761"/>
  </w:num>
  <w:num w:numId="487">
    <w:abstractNumId w:val="40"/>
  </w:num>
  <w:num w:numId="488">
    <w:abstractNumId w:val="157"/>
  </w:num>
  <w:num w:numId="489">
    <w:abstractNumId w:val="80"/>
  </w:num>
  <w:num w:numId="490">
    <w:abstractNumId w:val="196"/>
  </w:num>
  <w:num w:numId="491">
    <w:abstractNumId w:val="738"/>
  </w:num>
  <w:num w:numId="492">
    <w:abstractNumId w:val="799"/>
  </w:num>
  <w:num w:numId="493">
    <w:abstractNumId w:val="692"/>
  </w:num>
  <w:num w:numId="494">
    <w:abstractNumId w:val="557"/>
  </w:num>
  <w:num w:numId="495">
    <w:abstractNumId w:val="632"/>
  </w:num>
  <w:num w:numId="496">
    <w:abstractNumId w:val="445"/>
  </w:num>
  <w:num w:numId="497">
    <w:abstractNumId w:val="556"/>
  </w:num>
  <w:num w:numId="498">
    <w:abstractNumId w:val="516"/>
  </w:num>
  <w:num w:numId="499">
    <w:abstractNumId w:val="291"/>
  </w:num>
  <w:num w:numId="500">
    <w:abstractNumId w:val="732"/>
  </w:num>
  <w:num w:numId="501">
    <w:abstractNumId w:val="217"/>
  </w:num>
  <w:num w:numId="502">
    <w:abstractNumId w:val="422"/>
  </w:num>
  <w:num w:numId="503">
    <w:abstractNumId w:val="266"/>
  </w:num>
  <w:num w:numId="504">
    <w:abstractNumId w:val="388"/>
  </w:num>
  <w:num w:numId="505">
    <w:abstractNumId w:val="499"/>
  </w:num>
  <w:num w:numId="506">
    <w:abstractNumId w:val="801"/>
  </w:num>
  <w:num w:numId="507">
    <w:abstractNumId w:val="524"/>
  </w:num>
  <w:num w:numId="508">
    <w:abstractNumId w:val="444"/>
  </w:num>
  <w:num w:numId="509">
    <w:abstractNumId w:val="321"/>
  </w:num>
  <w:num w:numId="510">
    <w:abstractNumId w:val="169"/>
  </w:num>
  <w:num w:numId="511">
    <w:abstractNumId w:val="519"/>
  </w:num>
  <w:num w:numId="512">
    <w:abstractNumId w:val="471"/>
  </w:num>
  <w:num w:numId="513">
    <w:abstractNumId w:val="293"/>
  </w:num>
  <w:num w:numId="514">
    <w:abstractNumId w:val="270"/>
  </w:num>
  <w:num w:numId="515">
    <w:abstractNumId w:val="331"/>
  </w:num>
  <w:num w:numId="516">
    <w:abstractNumId w:val="182"/>
  </w:num>
  <w:num w:numId="517">
    <w:abstractNumId w:val="36"/>
  </w:num>
  <w:num w:numId="518">
    <w:abstractNumId w:val="73"/>
  </w:num>
  <w:num w:numId="519">
    <w:abstractNumId w:val="766"/>
  </w:num>
  <w:num w:numId="520">
    <w:abstractNumId w:val="123"/>
  </w:num>
  <w:num w:numId="521">
    <w:abstractNumId w:val="432"/>
  </w:num>
  <w:num w:numId="522">
    <w:abstractNumId w:val="252"/>
  </w:num>
  <w:num w:numId="523">
    <w:abstractNumId w:val="109"/>
  </w:num>
  <w:num w:numId="524">
    <w:abstractNumId w:val="381"/>
  </w:num>
  <w:num w:numId="525">
    <w:abstractNumId w:val="833"/>
  </w:num>
  <w:num w:numId="526">
    <w:abstractNumId w:val="836"/>
  </w:num>
  <w:num w:numId="527">
    <w:abstractNumId w:val="179"/>
  </w:num>
  <w:num w:numId="528">
    <w:abstractNumId w:val="534"/>
  </w:num>
  <w:num w:numId="529">
    <w:abstractNumId w:val="570"/>
  </w:num>
  <w:num w:numId="530">
    <w:abstractNumId w:val="332"/>
  </w:num>
  <w:num w:numId="531">
    <w:abstractNumId w:val="466"/>
  </w:num>
  <w:num w:numId="532">
    <w:abstractNumId w:val="545"/>
  </w:num>
  <w:num w:numId="533">
    <w:abstractNumId w:val="111"/>
  </w:num>
  <w:num w:numId="534">
    <w:abstractNumId w:val="303"/>
  </w:num>
  <w:num w:numId="535">
    <w:abstractNumId w:val="698"/>
  </w:num>
  <w:num w:numId="536">
    <w:abstractNumId w:val="805"/>
  </w:num>
  <w:num w:numId="537">
    <w:abstractNumId w:val="838"/>
  </w:num>
  <w:num w:numId="538">
    <w:abstractNumId w:val="66"/>
  </w:num>
  <w:num w:numId="539">
    <w:abstractNumId w:val="662"/>
  </w:num>
  <w:num w:numId="540">
    <w:abstractNumId w:val="427"/>
  </w:num>
  <w:num w:numId="541">
    <w:abstractNumId w:val="549"/>
  </w:num>
  <w:num w:numId="542">
    <w:abstractNumId w:val="696"/>
  </w:num>
  <w:num w:numId="543">
    <w:abstractNumId w:val="651"/>
  </w:num>
  <w:num w:numId="544">
    <w:abstractNumId w:val="138"/>
  </w:num>
  <w:num w:numId="545">
    <w:abstractNumId w:val="796"/>
  </w:num>
  <w:num w:numId="546">
    <w:abstractNumId w:val="591"/>
  </w:num>
  <w:num w:numId="547">
    <w:abstractNumId w:val="764"/>
  </w:num>
  <w:num w:numId="548">
    <w:abstractNumId w:val="160"/>
  </w:num>
  <w:num w:numId="549">
    <w:abstractNumId w:val="126"/>
  </w:num>
  <w:num w:numId="550">
    <w:abstractNumId w:val="71"/>
  </w:num>
  <w:num w:numId="551">
    <w:abstractNumId w:val="791"/>
  </w:num>
  <w:num w:numId="552">
    <w:abstractNumId w:val="641"/>
  </w:num>
  <w:num w:numId="553">
    <w:abstractNumId w:val="259"/>
  </w:num>
  <w:num w:numId="554">
    <w:abstractNumId w:val="384"/>
  </w:num>
  <w:num w:numId="555">
    <w:abstractNumId w:val="286"/>
  </w:num>
  <w:num w:numId="556">
    <w:abstractNumId w:val="31"/>
  </w:num>
  <w:num w:numId="557">
    <w:abstractNumId w:val="682"/>
  </w:num>
  <w:num w:numId="558">
    <w:abstractNumId w:val="547"/>
  </w:num>
  <w:num w:numId="559">
    <w:abstractNumId w:val="824"/>
  </w:num>
  <w:num w:numId="560">
    <w:abstractNumId w:val="529"/>
  </w:num>
  <w:num w:numId="561">
    <w:abstractNumId w:val="95"/>
  </w:num>
  <w:num w:numId="562">
    <w:abstractNumId w:val="627"/>
  </w:num>
  <w:num w:numId="563">
    <w:abstractNumId w:val="644"/>
  </w:num>
  <w:num w:numId="564">
    <w:abstractNumId w:val="338"/>
  </w:num>
  <w:num w:numId="565">
    <w:abstractNumId w:val="828"/>
  </w:num>
  <w:num w:numId="566">
    <w:abstractNumId w:val="835"/>
  </w:num>
  <w:num w:numId="567">
    <w:abstractNumId w:val="844"/>
  </w:num>
  <w:num w:numId="568">
    <w:abstractNumId w:val="637"/>
  </w:num>
  <w:num w:numId="569">
    <w:abstractNumId w:val="207"/>
  </w:num>
  <w:num w:numId="570">
    <w:abstractNumId w:val="436"/>
  </w:num>
  <w:num w:numId="571">
    <w:abstractNumId w:val="482"/>
  </w:num>
  <w:num w:numId="572">
    <w:abstractNumId w:val="145"/>
  </w:num>
  <w:num w:numId="573">
    <w:abstractNumId w:val="113"/>
  </w:num>
  <w:num w:numId="574">
    <w:abstractNumId w:val="324"/>
  </w:num>
  <w:num w:numId="575">
    <w:abstractNumId w:val="133"/>
  </w:num>
  <w:num w:numId="576">
    <w:abstractNumId w:val="334"/>
  </w:num>
  <w:num w:numId="577">
    <w:abstractNumId w:val="714"/>
  </w:num>
  <w:num w:numId="578">
    <w:abstractNumId w:val="730"/>
  </w:num>
  <w:num w:numId="579">
    <w:abstractNumId w:val="594"/>
  </w:num>
  <w:num w:numId="580">
    <w:abstractNumId w:val="658"/>
  </w:num>
  <w:num w:numId="581">
    <w:abstractNumId w:val="572"/>
  </w:num>
  <w:num w:numId="582">
    <w:abstractNumId w:val="221"/>
  </w:num>
  <w:num w:numId="583">
    <w:abstractNumId w:val="17"/>
  </w:num>
  <w:num w:numId="584">
    <w:abstractNumId w:val="618"/>
  </w:num>
  <w:num w:numId="585">
    <w:abstractNumId w:val="800"/>
  </w:num>
  <w:num w:numId="586">
    <w:abstractNumId w:val="158"/>
  </w:num>
  <w:num w:numId="587">
    <w:abstractNumId w:val="306"/>
  </w:num>
  <w:num w:numId="588">
    <w:abstractNumId w:val="337"/>
  </w:num>
  <w:num w:numId="589">
    <w:abstractNumId w:val="485"/>
  </w:num>
  <w:num w:numId="590">
    <w:abstractNumId w:val="501"/>
  </w:num>
  <w:num w:numId="591">
    <w:abstractNumId w:val="694"/>
  </w:num>
  <w:num w:numId="592">
    <w:abstractNumId w:val="86"/>
  </w:num>
  <w:num w:numId="593">
    <w:abstractNumId w:val="185"/>
  </w:num>
  <w:num w:numId="594">
    <w:abstractNumId w:val="546"/>
  </w:num>
  <w:num w:numId="595">
    <w:abstractNumId w:val="115"/>
  </w:num>
  <w:num w:numId="596">
    <w:abstractNumId w:val="367"/>
  </w:num>
  <w:num w:numId="597">
    <w:abstractNumId w:val="585"/>
  </w:num>
  <w:num w:numId="598">
    <w:abstractNumId w:val="190"/>
  </w:num>
  <w:num w:numId="599">
    <w:abstractNumId w:val="832"/>
  </w:num>
  <w:num w:numId="600">
    <w:abstractNumId w:val="106"/>
  </w:num>
  <w:num w:numId="601">
    <w:abstractNumId w:val="369"/>
  </w:num>
  <w:num w:numId="602">
    <w:abstractNumId w:val="458"/>
  </w:num>
  <w:num w:numId="603">
    <w:abstractNumId w:val="737"/>
  </w:num>
  <w:num w:numId="604">
    <w:abstractNumId w:val="299"/>
  </w:num>
  <w:num w:numId="605">
    <w:abstractNumId w:val="33"/>
  </w:num>
  <w:num w:numId="606">
    <w:abstractNumId w:val="322"/>
  </w:num>
  <w:num w:numId="607">
    <w:abstractNumId w:val="234"/>
  </w:num>
  <w:num w:numId="608">
    <w:abstractNumId w:val="495"/>
  </w:num>
  <w:num w:numId="609">
    <w:abstractNumId w:val="522"/>
  </w:num>
  <w:num w:numId="610">
    <w:abstractNumId w:val="22"/>
  </w:num>
  <w:num w:numId="611">
    <w:abstractNumId w:val="249"/>
  </w:num>
  <w:num w:numId="612">
    <w:abstractNumId w:val="781"/>
  </w:num>
  <w:num w:numId="613">
    <w:abstractNumId w:val="469"/>
  </w:num>
  <w:num w:numId="614">
    <w:abstractNumId w:val="382"/>
  </w:num>
  <w:num w:numId="615">
    <w:abstractNumId w:val="49"/>
  </w:num>
  <w:num w:numId="616">
    <w:abstractNumId w:val="387"/>
  </w:num>
  <w:num w:numId="617">
    <w:abstractNumId w:val="441"/>
  </w:num>
  <w:num w:numId="618">
    <w:abstractNumId w:val="448"/>
  </w:num>
  <w:num w:numId="619">
    <w:abstractNumId w:val="848"/>
  </w:num>
  <w:num w:numId="620">
    <w:abstractNumId w:val="114"/>
  </w:num>
  <w:num w:numId="621">
    <w:abstractNumId w:val="827"/>
  </w:num>
  <w:num w:numId="622">
    <w:abstractNumId w:val="600"/>
  </w:num>
  <w:num w:numId="623">
    <w:abstractNumId w:val="583"/>
  </w:num>
  <w:num w:numId="624">
    <w:abstractNumId w:val="347"/>
  </w:num>
  <w:num w:numId="625">
    <w:abstractNumId w:val="517"/>
  </w:num>
  <w:num w:numId="626">
    <w:abstractNumId w:val="679"/>
  </w:num>
  <w:num w:numId="627">
    <w:abstractNumId w:val="77"/>
  </w:num>
  <w:num w:numId="628">
    <w:abstractNumId w:val="45"/>
  </w:num>
  <w:num w:numId="629">
    <w:abstractNumId w:val="855"/>
  </w:num>
  <w:num w:numId="630">
    <w:abstractNumId w:val="368"/>
  </w:num>
  <w:num w:numId="631">
    <w:abstractNumId w:val="536"/>
  </w:num>
  <w:num w:numId="632">
    <w:abstractNumId w:val="360"/>
  </w:num>
  <w:num w:numId="633">
    <w:abstractNumId w:val="379"/>
  </w:num>
  <w:num w:numId="634">
    <w:abstractNumId w:val="406"/>
  </w:num>
  <w:num w:numId="635">
    <w:abstractNumId w:val="426"/>
  </w:num>
  <w:num w:numId="636">
    <w:abstractNumId w:val="612"/>
  </w:num>
  <w:num w:numId="637">
    <w:abstractNumId w:val="24"/>
  </w:num>
  <w:num w:numId="638">
    <w:abstractNumId w:val="187"/>
  </w:num>
  <w:num w:numId="639">
    <w:abstractNumId w:val="401"/>
  </w:num>
  <w:num w:numId="640">
    <w:abstractNumId w:val="643"/>
  </w:num>
  <w:num w:numId="641">
    <w:abstractNumId w:val="35"/>
  </w:num>
  <w:num w:numId="642">
    <w:abstractNumId w:val="267"/>
  </w:num>
  <w:num w:numId="643">
    <w:abstractNumId w:val="741"/>
  </w:num>
  <w:num w:numId="644">
    <w:abstractNumId w:val="355"/>
  </w:num>
  <w:num w:numId="645">
    <w:abstractNumId w:val="253"/>
  </w:num>
  <w:num w:numId="646">
    <w:abstractNumId w:val="300"/>
  </w:num>
  <w:num w:numId="647">
    <w:abstractNumId w:val="722"/>
  </w:num>
  <w:num w:numId="648">
    <w:abstractNumId w:val="571"/>
  </w:num>
  <w:num w:numId="649">
    <w:abstractNumId w:val="48"/>
  </w:num>
  <w:num w:numId="650">
    <w:abstractNumId w:val="735"/>
  </w:num>
  <w:num w:numId="651">
    <w:abstractNumId w:val="550"/>
  </w:num>
  <w:num w:numId="652">
    <w:abstractNumId w:val="575"/>
  </w:num>
  <w:num w:numId="653">
    <w:abstractNumId w:val="129"/>
  </w:num>
  <w:num w:numId="654">
    <w:abstractNumId w:val="450"/>
  </w:num>
  <w:num w:numId="655">
    <w:abstractNumId w:val="653"/>
  </w:num>
  <w:num w:numId="656">
    <w:abstractNumId w:val="364"/>
  </w:num>
  <w:num w:numId="657">
    <w:abstractNumId w:val="457"/>
  </w:num>
  <w:num w:numId="658">
    <w:abstractNumId w:val="301"/>
  </w:num>
  <w:num w:numId="659">
    <w:abstractNumId w:val="659"/>
  </w:num>
  <w:num w:numId="660">
    <w:abstractNumId w:val="222"/>
  </w:num>
  <w:num w:numId="661">
    <w:abstractNumId w:val="508"/>
  </w:num>
  <w:num w:numId="662">
    <w:abstractNumId w:val="785"/>
  </w:num>
  <w:num w:numId="663">
    <w:abstractNumId w:val="282"/>
  </w:num>
  <w:num w:numId="664">
    <w:abstractNumId w:val="770"/>
  </w:num>
  <w:num w:numId="665">
    <w:abstractNumId w:val="386"/>
  </w:num>
  <w:num w:numId="666">
    <w:abstractNumId w:val="579"/>
  </w:num>
  <w:num w:numId="667">
    <w:abstractNumId w:val="439"/>
  </w:num>
  <w:num w:numId="668">
    <w:abstractNumId w:val="246"/>
  </w:num>
  <w:num w:numId="669">
    <w:abstractNumId w:val="477"/>
  </w:num>
  <w:num w:numId="670">
    <w:abstractNumId w:val="537"/>
  </w:num>
  <w:num w:numId="671">
    <w:abstractNumId w:val="278"/>
  </w:num>
  <w:num w:numId="672">
    <w:abstractNumId w:val="734"/>
  </w:num>
  <w:num w:numId="673">
    <w:abstractNumId w:val="864"/>
  </w:num>
  <w:num w:numId="674">
    <w:abstractNumId w:val="167"/>
  </w:num>
  <w:num w:numId="675">
    <w:abstractNumId w:val="55"/>
  </w:num>
  <w:num w:numId="676">
    <w:abstractNumId w:val="34"/>
  </w:num>
  <w:num w:numId="677">
    <w:abstractNumId w:val="757"/>
  </w:num>
  <w:num w:numId="678">
    <w:abstractNumId w:val="433"/>
  </w:num>
  <w:num w:numId="679">
    <w:abstractNumId w:val="776"/>
  </w:num>
  <w:num w:numId="680">
    <w:abstractNumId w:val="674"/>
  </w:num>
  <w:num w:numId="681">
    <w:abstractNumId w:val="289"/>
  </w:num>
  <w:num w:numId="682">
    <w:abstractNumId w:val="628"/>
  </w:num>
  <w:num w:numId="683">
    <w:abstractNumId w:val="352"/>
  </w:num>
  <w:num w:numId="684">
    <w:abstractNumId w:val="496"/>
  </w:num>
  <w:num w:numId="685">
    <w:abstractNumId w:val="285"/>
  </w:num>
  <w:num w:numId="686">
    <w:abstractNumId w:val="686"/>
  </w:num>
  <w:num w:numId="687">
    <w:abstractNumId w:val="147"/>
  </w:num>
  <w:num w:numId="688">
    <w:abstractNumId w:val="370"/>
  </w:num>
  <w:num w:numId="689">
    <w:abstractNumId w:val="261"/>
  </w:num>
  <w:num w:numId="690">
    <w:abstractNumId w:val="506"/>
  </w:num>
  <w:num w:numId="691">
    <w:abstractNumId w:val="681"/>
  </w:num>
  <w:num w:numId="692">
    <w:abstractNumId w:val="223"/>
  </w:num>
  <w:num w:numId="693">
    <w:abstractNumId w:val="825"/>
  </w:num>
  <w:num w:numId="694">
    <w:abstractNumId w:val="786"/>
  </w:num>
  <w:num w:numId="695">
    <w:abstractNumId w:val="264"/>
  </w:num>
  <w:num w:numId="696">
    <w:abstractNumId w:val="218"/>
  </w:num>
  <w:num w:numId="697">
    <w:abstractNumId w:val="412"/>
  </w:num>
  <w:num w:numId="698">
    <w:abstractNumId w:val="851"/>
  </w:num>
  <w:num w:numId="699">
    <w:abstractNumId w:val="53"/>
  </w:num>
  <w:num w:numId="700">
    <w:abstractNumId w:val="840"/>
  </w:num>
  <w:num w:numId="701">
    <w:abstractNumId w:val="440"/>
  </w:num>
  <w:num w:numId="702">
    <w:abstractNumId w:val="194"/>
  </w:num>
  <w:num w:numId="703">
    <w:abstractNumId w:val="454"/>
  </w:num>
  <w:num w:numId="704">
    <w:abstractNumId w:val="611"/>
  </w:num>
  <w:num w:numId="705">
    <w:abstractNumId w:val="798"/>
  </w:num>
  <w:num w:numId="706">
    <w:abstractNumId w:val="44"/>
  </w:num>
  <w:num w:numId="707">
    <w:abstractNumId w:val="677"/>
  </w:num>
  <w:num w:numId="708">
    <w:abstractNumId w:val="417"/>
  </w:num>
  <w:num w:numId="709">
    <w:abstractNumId w:val="789"/>
  </w:num>
  <w:num w:numId="710">
    <w:abstractNumId w:val="598"/>
  </w:num>
  <w:num w:numId="711">
    <w:abstractNumId w:val="165"/>
  </w:num>
  <w:num w:numId="712">
    <w:abstractNumId w:val="709"/>
  </w:num>
  <w:num w:numId="713">
    <w:abstractNumId w:val="402"/>
  </w:num>
  <w:num w:numId="714">
    <w:abstractNumId w:val="421"/>
  </w:num>
  <w:num w:numId="715">
    <w:abstractNumId w:val="756"/>
  </w:num>
  <w:num w:numId="716">
    <w:abstractNumId w:val="633"/>
  </w:num>
  <w:num w:numId="717">
    <w:abstractNumId w:val="657"/>
  </w:num>
  <w:num w:numId="718">
    <w:abstractNumId w:val="276"/>
  </w:num>
  <w:num w:numId="719">
    <w:abstractNumId w:val="59"/>
  </w:num>
  <w:num w:numId="720">
    <w:abstractNumId w:val="596"/>
  </w:num>
  <w:num w:numId="721">
    <w:abstractNumId w:val="274"/>
  </w:num>
  <w:num w:numId="722">
    <w:abstractNumId w:val="256"/>
  </w:num>
  <w:num w:numId="723">
    <w:abstractNumId w:val="461"/>
  </w:num>
  <w:num w:numId="724">
    <w:abstractNumId w:val="263"/>
  </w:num>
  <w:num w:numId="725">
    <w:abstractNumId w:val="751"/>
  </w:num>
  <w:num w:numId="726">
    <w:abstractNumId w:val="15"/>
  </w:num>
  <w:num w:numId="727">
    <w:abstractNumId w:val="792"/>
  </w:num>
  <w:num w:numId="728">
    <w:abstractNumId w:val="541"/>
  </w:num>
  <w:num w:numId="729">
    <w:abstractNumId w:val="750"/>
  </w:num>
  <w:num w:numId="730">
    <w:abstractNumId w:val="269"/>
  </w:num>
  <w:num w:numId="731">
    <w:abstractNumId w:val="573"/>
  </w:num>
  <w:num w:numId="732">
    <w:abstractNumId w:val="279"/>
  </w:num>
  <w:num w:numId="733">
    <w:abstractNumId w:val="120"/>
  </w:num>
  <w:num w:numId="734">
    <w:abstractNumId w:val="232"/>
  </w:num>
  <w:num w:numId="735">
    <w:abstractNumId w:val="316"/>
  </w:num>
  <w:num w:numId="736">
    <w:abstractNumId w:val="1"/>
  </w:num>
  <w:num w:numId="737">
    <w:abstractNumId w:val="320"/>
  </w:num>
  <w:num w:numId="738">
    <w:abstractNumId w:val="18"/>
  </w:num>
  <w:num w:numId="739">
    <w:abstractNumId w:val="154"/>
  </w:num>
  <w:num w:numId="740">
    <w:abstractNumId w:val="85"/>
  </w:num>
  <w:num w:numId="741">
    <w:abstractNumId w:val="449"/>
  </w:num>
  <w:num w:numId="742">
    <w:abstractNumId w:val="595"/>
  </w:num>
  <w:num w:numId="743">
    <w:abstractNumId w:val="2"/>
  </w:num>
  <w:num w:numId="744">
    <w:abstractNumId w:val="3"/>
  </w:num>
  <w:num w:numId="745">
    <w:abstractNumId w:val="8"/>
  </w:num>
  <w:num w:numId="746">
    <w:abstractNumId w:val="9"/>
  </w:num>
  <w:num w:numId="747">
    <w:abstractNumId w:val="7"/>
  </w:num>
  <w:num w:numId="748">
    <w:abstractNumId w:val="6"/>
  </w:num>
  <w:num w:numId="749">
    <w:abstractNumId w:val="5"/>
  </w:num>
  <w:num w:numId="750">
    <w:abstractNumId w:val="4"/>
  </w:num>
  <w:num w:numId="751">
    <w:abstractNumId w:val="92"/>
  </w:num>
  <w:num w:numId="752">
    <w:abstractNumId w:val="137"/>
  </w:num>
  <w:num w:numId="753">
    <w:abstractNumId w:val="684"/>
    <w:lvlOverride w:ilvl="0">
      <w:startOverride w:val="120"/>
    </w:lvlOverride>
  </w:num>
  <w:num w:numId="754">
    <w:abstractNumId w:val="649"/>
    <w:lvlOverride w:ilvl="0">
      <w:startOverride w:val="1"/>
    </w:lvlOverride>
  </w:num>
  <w:num w:numId="755">
    <w:abstractNumId w:val="857"/>
    <w:lvlOverride w:ilvl="0">
      <w:startOverride w:val="123"/>
    </w:lvlOverride>
  </w:num>
  <w:num w:numId="756">
    <w:abstractNumId w:val="431"/>
    <w:lvlOverride w:ilvl="0">
      <w:startOverride w:val="139"/>
    </w:lvlOverride>
  </w:num>
  <w:num w:numId="757">
    <w:abstractNumId w:val="442"/>
    <w:lvlOverride w:ilvl="0">
      <w:startOverride w:val="1"/>
    </w:lvlOverride>
  </w:num>
  <w:num w:numId="758">
    <w:abstractNumId w:val="189"/>
    <w:lvlOverride w:ilvl="0"/>
  </w:num>
  <w:num w:numId="759">
    <w:abstractNumId w:val="691"/>
    <w:lvlOverride w:ilvl="0"/>
  </w:num>
  <w:num w:numId="760">
    <w:abstractNumId w:val="784"/>
    <w:lvlOverride w:ilvl="0">
      <w:startOverride w:val="145"/>
    </w:lvlOverride>
  </w:num>
  <w:num w:numId="761">
    <w:abstractNumId w:val="383"/>
    <w:lvlOverride w:ilvl="0">
      <w:startOverride w:val="149"/>
    </w:lvlOverride>
  </w:num>
  <w:num w:numId="762">
    <w:abstractNumId w:val="161"/>
    <w:lvlOverride w:ilvl="0"/>
  </w:num>
  <w:num w:numId="763">
    <w:abstractNumId w:val="503"/>
    <w:lvlOverride w:ilvl="0">
      <w:startOverride w:val="153"/>
    </w:lvlOverride>
  </w:num>
  <w:num w:numId="764">
    <w:abstractNumId w:val="616"/>
  </w:num>
  <w:num w:numId="765">
    <w:abstractNumId w:val="587"/>
  </w:num>
  <w:num w:numId="766">
    <w:abstractNumId w:val="307"/>
  </w:num>
  <w:num w:numId="767">
    <w:abstractNumId w:val="146"/>
  </w:num>
  <w:num w:numId="768">
    <w:abstractNumId w:val="852"/>
  </w:num>
  <w:num w:numId="769">
    <w:abstractNumId w:val="356"/>
  </w:num>
  <w:num w:numId="770">
    <w:abstractNumId w:val="214"/>
  </w:num>
  <w:num w:numId="771">
    <w:abstractNumId w:val="626"/>
  </w:num>
  <w:num w:numId="772">
    <w:abstractNumId w:val="243"/>
  </w:num>
  <w:num w:numId="773">
    <w:abstractNumId w:val="139"/>
  </w:num>
  <w:num w:numId="774">
    <w:abstractNumId w:val="532"/>
  </w:num>
  <w:num w:numId="775">
    <w:abstractNumId w:val="302"/>
  </w:num>
  <w:num w:numId="776">
    <w:abstractNumId w:val="806"/>
  </w:num>
  <w:num w:numId="777">
    <w:abstractNumId w:val="773"/>
  </w:num>
  <w:num w:numId="778">
    <w:abstractNumId w:val="124"/>
  </w:num>
  <w:num w:numId="779">
    <w:abstractNumId w:val="699"/>
  </w:num>
  <w:num w:numId="780">
    <w:abstractNumId w:val="689"/>
  </w:num>
  <w:num w:numId="781">
    <w:abstractNumId w:val="640"/>
  </w:num>
  <w:num w:numId="782">
    <w:abstractNumId w:val="174"/>
  </w:num>
  <w:num w:numId="783">
    <w:abstractNumId w:val="201"/>
  </w:num>
  <w:num w:numId="784">
    <w:abstractNumId w:val="839"/>
  </w:num>
  <w:num w:numId="785">
    <w:abstractNumId w:val="565"/>
  </w:num>
  <w:num w:numId="786">
    <w:abstractNumId w:val="308"/>
  </w:num>
  <w:num w:numId="787">
    <w:abstractNumId w:val="526"/>
  </w:num>
  <w:num w:numId="788">
    <w:abstractNumId w:val="108"/>
  </w:num>
  <w:num w:numId="789">
    <w:abstractNumId w:val="542"/>
  </w:num>
  <w:num w:numId="790">
    <w:abstractNumId w:val="195"/>
  </w:num>
  <w:num w:numId="791">
    <w:abstractNumId w:val="854"/>
  </w:num>
  <w:num w:numId="792">
    <w:abstractNumId w:val="121"/>
  </w:num>
  <w:num w:numId="793">
    <w:abstractNumId w:val="228"/>
  </w:num>
  <w:num w:numId="794">
    <w:abstractNumId w:val="559"/>
  </w:num>
  <w:num w:numId="795">
    <w:abstractNumId w:val="247"/>
  </w:num>
  <w:num w:numId="796">
    <w:abstractNumId w:val="176"/>
  </w:num>
  <w:num w:numId="797">
    <w:abstractNumId w:val="589"/>
  </w:num>
  <w:num w:numId="798">
    <w:abstractNumId w:val="344"/>
  </w:num>
  <w:num w:numId="799">
    <w:abstractNumId w:val="638"/>
  </w:num>
  <w:num w:numId="800">
    <w:abstractNumId w:val="407"/>
  </w:num>
  <w:num w:numId="801">
    <w:abstractNumId w:val="742"/>
  </w:num>
  <w:num w:numId="802">
    <w:abstractNumId w:val="318"/>
  </w:num>
  <w:num w:numId="803">
    <w:abstractNumId w:val="783"/>
  </w:num>
  <w:num w:numId="804">
    <w:abstractNumId w:val="617"/>
  </w:num>
  <w:num w:numId="805">
    <w:abstractNumId w:val="280"/>
  </w:num>
  <w:num w:numId="806">
    <w:abstractNumId w:val="408"/>
  </w:num>
  <w:num w:numId="807">
    <w:abstractNumId w:val="666"/>
  </w:num>
  <w:num w:numId="808">
    <w:abstractNumId w:val="809"/>
  </w:num>
  <w:num w:numId="809">
    <w:abstractNumId w:val="357"/>
  </w:num>
  <w:num w:numId="810">
    <w:abstractNumId w:val="260"/>
  </w:num>
  <w:num w:numId="811">
    <w:abstractNumId w:val="749"/>
  </w:num>
  <w:num w:numId="812">
    <w:abstractNumId w:val="224"/>
  </w:num>
  <w:num w:numId="813">
    <w:abstractNumId w:val="233"/>
  </w:num>
  <w:num w:numId="814">
    <w:abstractNumId w:val="404"/>
  </w:num>
  <w:num w:numId="815">
    <w:abstractNumId w:val="82"/>
  </w:num>
  <w:num w:numId="816">
    <w:abstractNumId w:val="409"/>
  </w:num>
  <w:num w:numId="817">
    <w:abstractNumId w:val="122"/>
  </w:num>
  <w:num w:numId="818">
    <w:abstractNumId w:val="752"/>
  </w:num>
  <w:num w:numId="819">
    <w:abstractNumId w:val="78"/>
  </w:num>
  <w:num w:numId="820">
    <w:abstractNumId w:val="155"/>
  </w:num>
  <w:num w:numId="821">
    <w:abstractNumId w:val="554"/>
  </w:num>
  <w:num w:numId="822">
    <w:abstractNumId w:val="347"/>
    <w:lvlOverride w:ilvl="0">
      <w:startOverride w:val="600"/>
    </w:lvlOverride>
  </w:num>
  <w:num w:numId="823">
    <w:abstractNumId w:val="517"/>
    <w:lvlOverride w:ilvl="0">
      <w:startOverride w:val="604"/>
    </w:lvlOverride>
  </w:num>
  <w:num w:numId="824">
    <w:abstractNumId w:val="679"/>
    <w:lvlOverride w:ilvl="0">
      <w:startOverride w:val="614"/>
    </w:lvlOverride>
  </w:num>
  <w:num w:numId="825">
    <w:abstractNumId w:val="77"/>
    <w:lvlOverride w:ilvl="0">
      <w:startOverride w:val="619"/>
    </w:lvlOverride>
  </w:num>
  <w:num w:numId="826">
    <w:abstractNumId w:val="45"/>
    <w:lvlOverride w:ilvl="0">
      <w:startOverride w:val="623"/>
    </w:lvlOverride>
  </w:num>
  <w:num w:numId="827">
    <w:abstractNumId w:val="267"/>
    <w:lvlOverride w:ilvl="0">
      <w:startOverride w:val="624"/>
    </w:lvlOverride>
  </w:num>
  <w:num w:numId="828">
    <w:abstractNumId w:val="187"/>
    <w:lvlOverride w:ilvl="0">
      <w:startOverride w:val="627"/>
    </w:lvlOverride>
  </w:num>
  <w:num w:numId="829">
    <w:abstractNumId w:val="401"/>
    <w:lvlOverride w:ilvl="0">
      <w:startOverride w:val="630"/>
    </w:lvlOverride>
  </w:num>
  <w:num w:numId="830">
    <w:abstractNumId w:val="351"/>
  </w:num>
  <w:num w:numId="831">
    <w:abstractNumId w:val="271"/>
  </w:num>
  <w:num w:numId="832">
    <w:abstractNumId w:val="204"/>
  </w:num>
  <w:num w:numId="833">
    <w:abstractNumId w:val="530"/>
  </w:num>
  <w:num w:numId="834">
    <w:abstractNumId w:val="193"/>
  </w:num>
  <w:num w:numId="835">
    <w:abstractNumId w:val="564"/>
  </w:num>
  <w:num w:numId="836">
    <w:abstractNumId w:val="244"/>
  </w:num>
  <w:num w:numId="837">
    <w:abstractNumId w:val="424"/>
  </w:num>
  <w:num w:numId="838">
    <w:abstractNumId w:val="413"/>
  </w:num>
  <w:num w:numId="839">
    <w:abstractNumId w:val="711"/>
  </w:num>
  <w:num w:numId="840">
    <w:abstractNumId w:val="226"/>
  </w:num>
  <w:num w:numId="841">
    <w:abstractNumId w:val="181"/>
  </w:num>
  <w:num w:numId="842">
    <w:abstractNumId w:val="560"/>
  </w:num>
  <w:num w:numId="843">
    <w:abstractNumId w:val="842"/>
  </w:num>
  <w:num w:numId="844">
    <w:abstractNumId w:val="723"/>
  </w:num>
  <w:num w:numId="845">
    <w:abstractNumId w:val="614"/>
  </w:num>
  <w:num w:numId="846">
    <w:abstractNumId w:val="443"/>
  </w:num>
  <w:num w:numId="847">
    <w:abstractNumId w:val="830"/>
  </w:num>
  <w:num w:numId="848">
    <w:abstractNumId w:val="455"/>
  </w:num>
  <w:num w:numId="849">
    <w:abstractNumId w:val="314"/>
  </w:num>
  <w:num w:numId="850">
    <w:abstractNumId w:val="238"/>
  </w:num>
  <w:num w:numId="851">
    <w:abstractNumId w:val="345"/>
  </w:num>
  <w:num w:numId="852">
    <w:abstractNumId w:val="438"/>
  </w:num>
  <w:num w:numId="853">
    <w:abstractNumId w:val="543"/>
  </w:num>
  <w:num w:numId="854">
    <w:abstractNumId w:val="41"/>
  </w:num>
  <w:num w:numId="855">
    <w:abstractNumId w:val="647"/>
  </w:num>
  <w:num w:numId="856">
    <w:abstractNumId w:val="46"/>
  </w:num>
  <w:num w:numId="857">
    <w:abstractNumId w:val="645"/>
  </w:num>
  <w:num w:numId="858">
    <w:abstractNumId w:val="231"/>
  </w:num>
  <w:num w:numId="859">
    <w:abstractNumId w:val="814"/>
  </w:num>
  <w:num w:numId="860">
    <w:abstractNumId w:val="284"/>
  </w:num>
  <w:num w:numId="861">
    <w:abstractNumId w:val="670"/>
  </w:num>
  <w:num w:numId="862">
    <w:abstractNumId w:val="297"/>
  </w:num>
  <w:num w:numId="863">
    <w:abstractNumId w:val="13"/>
  </w:num>
  <w:num w:numId="864">
    <w:abstractNumId w:val="74"/>
  </w:num>
  <w:num w:numId="865">
    <w:abstractNumId w:val="434"/>
  </w:num>
  <w:num w:numId="866">
    <w:abstractNumId w:val="453"/>
  </w:num>
  <w:num w:numId="867">
    <w:abstractNumId w:val="236"/>
  </w:num>
  <w:num w:numId="868">
    <w:abstractNumId w:val="667"/>
  </w:num>
  <w:num w:numId="869">
    <w:abstractNumId w:val="678"/>
  </w:num>
  <w:num w:numId="870">
    <w:abstractNumId w:val="313"/>
  </w:num>
  <w:num w:numId="871">
    <w:abstractNumId w:val="475"/>
  </w:num>
  <w:num w:numId="872">
    <w:abstractNumId w:val="746"/>
  </w:num>
  <w:num w:numId="873">
    <w:abstractNumId w:val="50"/>
  </w:num>
  <w:num w:numId="874">
    <w:abstractNumId w:val="539"/>
  </w:num>
  <w:num w:numId="875">
    <w:abstractNumId w:val="652"/>
  </w:num>
  <w:num w:numId="876">
    <w:abstractNumId w:val="349"/>
  </w:num>
  <w:num w:numId="877">
    <w:abstractNumId w:val="309"/>
  </w:num>
  <w:num w:numId="878">
    <w:abstractNumId w:val="523"/>
  </w:num>
  <w:num w:numId="879">
    <w:abstractNumId w:val="718"/>
  </w:num>
  <w:num w:numId="880">
    <w:abstractNumId w:val="258"/>
  </w:num>
  <w:num w:numId="881">
    <w:abstractNumId w:val="391"/>
  </w:num>
  <w:num w:numId="882">
    <w:abstractNumId w:val="823"/>
  </w:num>
  <w:num w:numId="883">
    <w:abstractNumId w:val="298"/>
  </w:num>
  <w:num w:numId="884">
    <w:abstractNumId w:val="487"/>
  </w:num>
  <w:num w:numId="885">
    <w:abstractNumId w:val="153"/>
  </w:num>
  <w:num w:numId="886">
    <w:abstractNumId w:val="32"/>
  </w:num>
  <w:num w:numId="887">
    <w:abstractNumId w:val="205"/>
  </w:num>
  <w:num w:numId="888">
    <w:abstractNumId w:val="373"/>
  </w:num>
  <w:num w:numId="889">
    <w:abstractNumId w:val="736"/>
  </w:num>
  <w:num w:numId="890">
    <w:abstractNumId w:val="701"/>
  </w:num>
  <w:num w:numId="891">
    <w:abstractNumId w:val="428"/>
  </w:num>
  <w:num w:numId="892">
    <w:abstractNumId w:val="710"/>
  </w:num>
  <w:num w:numId="893">
    <w:abstractNumId w:val="296"/>
  </w:num>
  <w:num w:numId="894">
    <w:abstractNumId w:val="712"/>
  </w:num>
  <w:num w:numId="895">
    <w:abstractNumId w:val="380"/>
  </w:num>
  <w:num w:numId="896">
    <w:abstractNumId w:val="725"/>
  </w:num>
  <w:num w:numId="897">
    <w:abstractNumId w:val="820"/>
  </w:num>
  <w:num w:numId="898">
    <w:abstractNumId w:val="39"/>
  </w:num>
  <w:num w:numId="899">
    <w:abstractNumId w:val="372"/>
  </w:num>
  <w:num w:numId="900">
    <w:abstractNumId w:val="251"/>
  </w:num>
  <w:num w:numId="901">
    <w:abstractNumId w:val="479"/>
  </w:num>
  <w:num w:numId="902">
    <w:abstractNumId w:val="423"/>
  </w:num>
  <w:num w:numId="903">
    <w:abstractNumId w:val="858"/>
  </w:num>
  <w:num w:numId="904">
    <w:abstractNumId w:val="134"/>
  </w:num>
  <w:num w:numId="905">
    <w:abstractNumId w:val="288"/>
  </w:num>
  <w:num w:numId="9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4098"/>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1">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6">
    <w:name w:val="悬挂符号－"/>
    <w:basedOn w:val="a5"/>
    <w:pPr>
      <w:numPr>
        <w:numId w:val="24"/>
      </w:numPr>
      <w:tabs>
        <w:tab w:val="clear" w:pos="510"/>
      </w:tabs>
    </w:pPr>
  </w:style>
  <w:style w:type="paragraph" w:customStyle="1" w:styleId="a">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 w:type="paragraph" w:customStyle="1" w:styleId="ParaNo">
    <w:name w:val="ParaNo."/>
    <w:basedOn w:val="Normal"/>
    <w:pPr>
      <w:numPr>
        <w:numId w:val="176"/>
      </w:numPr>
      <w:tabs>
        <w:tab w:val="left" w:pos="737"/>
      </w:tabs>
      <w:overflowPunct/>
      <w:adjustRightInd/>
      <w:snapToGrid/>
      <w:spacing w:line="240" w:lineRule="auto"/>
      <w:jc w:val="left"/>
    </w:pPr>
    <w:rPr>
      <w:rFonts w:eastAsia="Times New Roman"/>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wmf"/></Relationships>
</file>

<file path=word/_rels/header3.xml.rels><?xml version="1.0" encoding="UTF-8" standalone="yes"?>
<Relationships xmlns="http://schemas.openxmlformats.org/package/2006/relationships"><Relationship Id="rId1" Type="http://schemas.openxmlformats.org/officeDocument/2006/relationships/image" Target="media/image8.wmf"/></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0</Words>
  <Characters>0</Characters>
  <Application>Microsoft Office Word</Application>
  <DocSecurity>4</DocSecurity>
  <Lines>1</Lines>
  <Paragraphs>1</Paragraphs>
  <ScaleCrop>false</ScaleCrop>
  <HeadingPairs>
    <vt:vector size="4" baseType="variant">
      <vt:variant>
        <vt:lpstr>题目</vt:lpstr>
      </vt:variant>
      <vt:variant>
        <vt:i4>1</vt:i4>
      </vt:variant>
      <vt:variant>
        <vt:lpstr>标题</vt:lpstr>
      </vt:variant>
      <vt:variant>
        <vt:i4>58</vt:i4>
      </vt:variant>
    </vt:vector>
  </HeadingPairs>
  <TitlesOfParts>
    <vt:vector size="59" baseType="lpstr">
      <vt:lpstr>E.dot</vt:lpstr>
      <vt:lpstr>    《经济、社会、文化权利国际公约》执行情况</vt:lpstr>
      <vt:lpstr>        缔约国根据《公约》第16条和第17条提交的初次报告</vt:lpstr>
      <vt:lpstr>        增  编</vt:lpstr>
      <vt:lpstr>        捷克共和国 *</vt:lpstr>
      <vt:lpstr>    导  言</vt:lpstr>
      <vt:lpstr>    一、一般资料</vt:lpstr>
      <vt:lpstr>        A.  国家和人民</vt:lpstr>
      <vt:lpstr>        按主要年龄组划分的人口(截止到每年12月31日)</vt:lpstr>
      <vt:lpstr>        1993年至1998年人口和生命统计</vt:lpstr>
      <vt:lpstr>        B.  经济状况</vt:lpstr>
      <vt:lpstr>        捷克共和国国民经济主要指标增长情况</vt:lpstr>
      <vt:lpstr>        C.  国家管理与地方自治</vt:lpstr>
      <vt:lpstr>        D.  政治制度</vt:lpstr>
      <vt:lpstr>        E.  司法制度</vt:lpstr>
      <vt:lpstr>        F.  人权保护</vt:lpstr>
      <vt:lpstr>        分配给非政府的非营利性组织的国家补贴金额</vt:lpstr>
      <vt:lpstr>        按(部门间)主要活动领域分列的国家补贴</vt:lpstr>
      <vt:lpstr>        (包括教会活动和开办私立学校的费用和未来基金)</vt:lpstr>
      <vt:lpstr>        G.  国际合作</vt:lpstr>
      <vt:lpstr>        捷克共和国在一些政府间国际组织中的成员国地位</vt:lpstr>
      <vt:lpstr>    二、《公约》具体条款的执行</vt:lpstr>
      <vt:lpstr>        第 1 条</vt:lpstr>
      <vt:lpstr>        第 2 条</vt:lpstr>
      <vt:lpstr>        第 3 条</vt:lpstr>
      <vt:lpstr>        雇员月平均工资总额</vt:lpstr>
      <vt:lpstr>        按教育程度和年龄划分妇女平均工资占男子平均工资的比例 (以百分比计算)</vt:lpstr>
      <vt:lpstr>        第 4 条</vt:lpstr>
      <vt:lpstr>        第 5 条</vt:lpstr>
      <vt:lpstr>        第 6 条</vt:lpstr>
      <vt:lpstr>        个人交通：乘客人数(百万人)</vt:lpstr>
      <vt:lpstr>        劳动力市场的发展</vt:lpstr>
      <vt:lpstr>        登记的脆弱群体求职者(千人)</vt:lpstr>
      <vt:lpstr>        就业政策的开支</vt:lpstr>
      <vt:lpstr>        1998年民用部门拥有第二份工作的人数</vt:lpstr>
      <vt:lpstr>        第 7 条</vt:lpstr>
      <vt:lpstr>        国民经济民用部门平均月毛工资(捷克克朗)</vt:lpstr>
      <vt:lpstr>        捷克共和国的工伤情况</vt:lpstr>
      <vt:lpstr>        第 8 条</vt:lpstr>
      <vt:lpstr>        第 9 条</vt:lpstr>
      <vt:lpstr>        社会保障支出</vt:lpstr>
      <vt:lpstr>        社会保障支出在国内生产总值中所占的比例(%)</vt:lpstr>
      <vt:lpstr>        养恤金付款(截至每年12月31日)</vt:lpstr>
      <vt:lpstr>        国家社会扶助津贴(百万捷克克朗)</vt:lpstr>
      <vt:lpstr>        家庭维持生计水平占平均工资(名义工资)的比例</vt:lpstr>
      <vt:lpstr>        社会照顾服务支出(单位：百万克朗)</vt:lpstr>
      <vt:lpstr>        第 10 条</vt:lpstr>
      <vt:lpstr>        离  婚</vt:lpstr>
      <vt:lpstr>        第 11 条</vt:lpstr>
      <vt:lpstr>        货物和服务消费者价格指数增长情况 （1990年平均＝100）</vt:lpstr>
      <vt:lpstr>        1998年最低收入家庭货币收入和支出结构(每个家庭成员)</vt:lpstr>
      <vt:lpstr>        家庭耐用消费品</vt:lpstr>
      <vt:lpstr>        若干种类食品的消费</vt:lpstr>
      <vt:lpstr>        公寓设施概述</vt:lpstr>
      <vt:lpstr>        房源结构――基本部门</vt:lpstr>
      <vt:lpstr>        住宅和非住宅建筑中已竣工的住房数目</vt:lpstr>
      <vt:lpstr>        国家预算中对住房的援助（百万克朗）</vt:lpstr>
      <vt:lpstr>        1998年第4季度家庭财务支出在净财务收入中的 比例，百分比(家庭预算统计答复抽样)</vt:lpstr>
      <vt:lpstr>        生态农业</vt:lpstr>
    </vt:vector>
  </TitlesOfParts>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Niu</dc:creator>
  <cp:keywords/>
  <cp:lastModifiedBy>linl</cp:lastModifiedBy>
  <cp:revision>2</cp:revision>
  <cp:lastPrinted>2002-02-28T09:16:00Z</cp:lastPrinted>
  <dcterms:created xsi:type="dcterms:W3CDTF">2002-02-28T09:22:00Z</dcterms:created>
  <dcterms:modified xsi:type="dcterms:W3CDTF">2002-02-28T09:22:00Z</dcterms:modified>
</cp:coreProperties>
</file>