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BCF" w:rsidRDefault="00564BCF" w:rsidP="00564BCF">
      <w:pPr>
        <w:spacing w:line="60" w:lineRule="exact"/>
        <w:rPr>
          <w:sz w:val="6"/>
        </w:rPr>
        <w:sectPr w:rsidR="00564BCF" w:rsidSect="00564BC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64BCF" w:rsidRDefault="00564BCF" w:rsidP="00564BCF">
      <w:pPr>
        <w:spacing w:line="60" w:lineRule="exact"/>
        <w:rPr>
          <w:sz w:val="6"/>
        </w:rPr>
      </w:pPr>
    </w:p>
    <w:p w:rsidR="00D50094" w:rsidRDefault="00D50094" w:rsidP="00D50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D50094" w:rsidRPr="00D50094" w:rsidRDefault="00D50094" w:rsidP="00D50094">
      <w:pPr>
        <w:pStyle w:val="SingleTxt"/>
        <w:spacing w:after="60"/>
        <w:ind w:left="0"/>
        <w:rPr>
          <w:rFonts w:ascii="SimHei" w:eastAsia="SimHei" w:hint="eastAsia"/>
          <w:color w:val="FF0000"/>
        </w:rPr>
      </w:pPr>
      <w:r w:rsidRPr="00D50094">
        <w:rPr>
          <w:rFonts w:ascii="SimHei" w:eastAsia="SimHei" w:hint="eastAsia"/>
          <w:color w:val="FF0000"/>
        </w:rPr>
        <w:t>会前工作组</w:t>
      </w:r>
    </w:p>
    <w:p w:rsidR="00D50094" w:rsidRPr="00D50094" w:rsidRDefault="00D50094" w:rsidP="00D50094">
      <w:pPr>
        <w:pStyle w:val="SingleTxt"/>
        <w:spacing w:after="60"/>
        <w:ind w:left="0"/>
        <w:rPr>
          <w:rFonts w:ascii="SimHei" w:eastAsia="SimHei"/>
          <w:color w:val="FF0000"/>
        </w:rPr>
      </w:pPr>
      <w:r w:rsidRPr="00D50094">
        <w:rPr>
          <w:rFonts w:ascii="SimHei" w:eastAsia="SimHei" w:hint="eastAsia"/>
          <w:color w:val="FF0000"/>
        </w:rPr>
        <w:t>第四十和第四十一届会议</w:t>
      </w:r>
    </w:p>
    <w:p w:rsidR="00D50094" w:rsidRDefault="00D50094" w:rsidP="00D50094">
      <w:pPr>
        <w:pStyle w:val="SingleTxt"/>
        <w:ind w:left="0"/>
        <w:rPr>
          <w:rFonts w:hint="eastAsia"/>
        </w:rPr>
      </w:pPr>
      <w:r>
        <w:rPr>
          <w:rFonts w:hint="eastAsia"/>
        </w:rPr>
        <w:t>2007年7月16日至20日</w:t>
      </w:r>
    </w:p>
    <w:p w:rsidR="00D50094" w:rsidRPr="00D50094" w:rsidRDefault="00D50094" w:rsidP="00D5009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50094" w:rsidRPr="00D50094" w:rsidRDefault="00D50094" w:rsidP="00D5009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50094" w:rsidRPr="00D50094" w:rsidRDefault="00D50094" w:rsidP="00D5009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50094" w:rsidRDefault="00D50094" w:rsidP="00D5009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与审议定期报告有关的议题和问题清单</w:t>
      </w:r>
    </w:p>
    <w:p w:rsidR="00D50094" w:rsidRPr="00D50094" w:rsidRDefault="00D50094" w:rsidP="00D50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50094" w:rsidRPr="00D50094" w:rsidRDefault="00D50094" w:rsidP="00D50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50094" w:rsidRDefault="00D50094" w:rsidP="00D500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也门</w:t>
      </w:r>
    </w:p>
    <w:p w:rsidR="00D50094" w:rsidRPr="00D50094" w:rsidRDefault="00D50094" w:rsidP="00D50094">
      <w:pPr>
        <w:pStyle w:val="SingleTxt"/>
        <w:spacing w:after="0" w:line="120" w:lineRule="exact"/>
        <w:rPr>
          <w:rFonts w:hint="eastAsia"/>
          <w:sz w:val="10"/>
        </w:rPr>
      </w:pPr>
    </w:p>
    <w:p w:rsidR="00D50094" w:rsidRPr="00D50094" w:rsidRDefault="00D50094" w:rsidP="00D50094">
      <w:pPr>
        <w:pStyle w:val="SingleTxt"/>
        <w:spacing w:after="0" w:line="120" w:lineRule="exact"/>
        <w:rPr>
          <w:rFonts w:hint="eastAsia"/>
          <w:sz w:val="10"/>
        </w:rPr>
      </w:pPr>
    </w:p>
    <w:p w:rsidR="00D50094" w:rsidRPr="00D50094" w:rsidRDefault="00D50094" w:rsidP="00D50094">
      <w:pPr>
        <w:pStyle w:val="SingleTxt"/>
        <w:spacing w:after="160" w:line="340" w:lineRule="exact"/>
        <w:rPr>
          <w:rFonts w:ascii="SimHei" w:eastAsia="SimHei" w:hint="eastAsia"/>
          <w:color w:val="FF0000"/>
        </w:rPr>
      </w:pPr>
      <w:r w:rsidRPr="00D50094">
        <w:rPr>
          <w:rFonts w:ascii="SimHei" w:eastAsia="SimHei" w:hint="eastAsia"/>
          <w:color w:val="FF0000"/>
        </w:rPr>
        <w:t>导言</w:t>
      </w:r>
    </w:p>
    <w:p w:rsidR="00D50094" w:rsidRDefault="00D50094" w:rsidP="00D50094">
      <w:pPr>
        <w:pStyle w:val="SingleTxt"/>
        <w:spacing w:after="160" w:line="340" w:lineRule="exact"/>
        <w:rPr>
          <w:rFonts w:hint="eastAsia"/>
        </w:rPr>
      </w:pPr>
      <w:r>
        <w:tab/>
      </w:r>
      <w:r>
        <w:rPr>
          <w:rFonts w:hint="eastAsia"/>
        </w:rPr>
        <w:t>会前工作组审查了也门的第六次定期报告（CEDAW/C/YEM/6）。</w:t>
      </w:r>
    </w:p>
    <w:p w:rsidR="00D50094" w:rsidRPr="00D50094" w:rsidRDefault="00D50094" w:rsidP="00D50094">
      <w:pPr>
        <w:pStyle w:val="SingleTxt"/>
        <w:spacing w:after="160" w:line="340" w:lineRule="exact"/>
        <w:rPr>
          <w:rFonts w:ascii="SimHei" w:eastAsia="SimHei" w:hint="eastAsia"/>
          <w:color w:val="FF0000"/>
        </w:rPr>
      </w:pPr>
      <w:r w:rsidRPr="00D50094">
        <w:rPr>
          <w:rFonts w:ascii="SimHei" w:eastAsia="SimHei" w:hint="eastAsia"/>
          <w:color w:val="FF0000"/>
        </w:rPr>
        <w:t>概述</w:t>
      </w:r>
    </w:p>
    <w:p w:rsidR="00D50094" w:rsidRDefault="00D50094" w:rsidP="00D50094">
      <w:pPr>
        <w:pStyle w:val="SingleTxt"/>
        <w:spacing w:after="160" w:line="340" w:lineRule="exact"/>
      </w:pPr>
      <w:r>
        <w:rPr>
          <w:rFonts w:hint="eastAsia"/>
        </w:rPr>
        <w:t>1.</w:t>
      </w:r>
      <w:r>
        <w:rPr>
          <w:rFonts w:hint="eastAsia"/>
        </w:rPr>
        <w:tab/>
        <w:t>请提供资料说明也门第六次定期报告的编写过程。这些资料应该说明哪些政府和非政府机构参与了编写过程，参与的性质和范围，以及报告是否经部长会议通过并递交众议院。</w:t>
      </w:r>
    </w:p>
    <w:p w:rsidR="00D50094" w:rsidRPr="00D50094" w:rsidRDefault="00D50094" w:rsidP="00D50094">
      <w:pPr>
        <w:pStyle w:val="SingleTxt"/>
        <w:spacing w:after="160" w:line="340" w:lineRule="exact"/>
        <w:rPr>
          <w:rFonts w:ascii="SimHei" w:eastAsia="SimHei" w:hint="eastAsia"/>
          <w:color w:val="FF0000"/>
        </w:rPr>
      </w:pPr>
      <w:r w:rsidRPr="00D50094">
        <w:rPr>
          <w:rFonts w:ascii="SimHei" w:eastAsia="SimHei" w:hint="eastAsia"/>
          <w:color w:val="FF0000"/>
        </w:rPr>
        <w:t>宪法、法律和机构框架</w:t>
      </w:r>
    </w:p>
    <w:p w:rsidR="00D50094" w:rsidRDefault="00D50094" w:rsidP="00D50094">
      <w:pPr>
        <w:pStyle w:val="SingleTxt"/>
        <w:spacing w:after="160" w:line="340" w:lineRule="exact"/>
        <w:rPr>
          <w:rFonts w:hint="eastAsia"/>
        </w:rPr>
      </w:pPr>
      <w:r>
        <w:rPr>
          <w:rFonts w:hint="eastAsia"/>
        </w:rPr>
        <w:t>2.</w:t>
      </w:r>
      <w:r>
        <w:rPr>
          <w:rFonts w:hint="eastAsia"/>
        </w:rPr>
        <w:tab/>
        <w:t>请提供资料说明全国妇女委员会的作用和职能，并提供资料说明委员会与其任务和责任相关的预算和人力资源。</w:t>
      </w:r>
    </w:p>
    <w:p w:rsidR="00D50094" w:rsidRDefault="00D50094" w:rsidP="00D50094">
      <w:pPr>
        <w:pStyle w:val="SingleTxt"/>
        <w:spacing w:after="160" w:line="340" w:lineRule="exact"/>
      </w:pPr>
      <w:r>
        <w:rPr>
          <w:rFonts w:hint="eastAsia"/>
        </w:rPr>
        <w:t>3.</w:t>
      </w:r>
      <w:r>
        <w:rPr>
          <w:rFonts w:hint="eastAsia"/>
        </w:rPr>
        <w:tab/>
        <w:t>请说明全国妇女委员会与妇女最高理事会之间的关系如何增进全国妇女机制的有效性。</w:t>
      </w:r>
    </w:p>
    <w:p w:rsidR="00D50094" w:rsidRDefault="00D50094" w:rsidP="00D50094">
      <w:pPr>
        <w:pStyle w:val="SingleTxt"/>
        <w:spacing w:after="160" w:line="340" w:lineRule="exact"/>
      </w:pPr>
      <w:r>
        <w:rPr>
          <w:rFonts w:hint="eastAsia"/>
        </w:rPr>
        <w:t>4.</w:t>
      </w:r>
      <w:r>
        <w:rPr>
          <w:rFonts w:hint="eastAsia"/>
        </w:rPr>
        <w:tab/>
        <w:t>报告表示，一个由法律事务部长、人权部长和全国妇女委员会主席组成的委员会承担了审查多种歧视性法律的任务（见报告第1.2和第1.3段）。请提供资料说明所审查的相关规定，以及该委员会预期完成工作的时间安排。</w:t>
      </w:r>
    </w:p>
    <w:p w:rsidR="00D50094" w:rsidRDefault="00D50094" w:rsidP="00D50094">
      <w:pPr>
        <w:pStyle w:val="SingleTxt"/>
        <w:spacing w:line="326" w:lineRule="exact"/>
      </w:pPr>
      <w:r>
        <w:rPr>
          <w:rFonts w:hint="eastAsia"/>
        </w:rPr>
        <w:t>5.</w:t>
      </w:r>
      <w:r>
        <w:rPr>
          <w:rFonts w:hint="eastAsia"/>
        </w:rPr>
        <w:tab/>
        <w:t>报告指出，内阁已向法律事务部转交27项拟议立法修正案（见报告第1.5段）。请说明这些修正案有多少直接涉及政府根据《公约》应尽的义务，并说明这些相关修正案的内容。</w:t>
      </w:r>
    </w:p>
    <w:p w:rsidR="00D50094" w:rsidRDefault="00D50094" w:rsidP="00D50094">
      <w:pPr>
        <w:pStyle w:val="SingleTxt"/>
        <w:spacing w:line="326" w:lineRule="exact"/>
        <w:rPr>
          <w:rFonts w:hint="eastAsia"/>
        </w:rPr>
      </w:pPr>
      <w:r>
        <w:rPr>
          <w:rFonts w:hint="eastAsia"/>
        </w:rPr>
        <w:t>6.</w:t>
      </w:r>
      <w:r>
        <w:rPr>
          <w:rFonts w:hint="eastAsia"/>
        </w:rPr>
        <w:tab/>
        <w:t>报告提到（第1.4段），妇女可以直接或间接地诉求司法。根据《宪法》第五十一和第一百五十三条，请说明妇女间接诉求司法的概念，并提供关于受性别歧视的妇女递交申诉的数据和资料，同时说明是否有任何引用了《公约》的法庭裁决。</w:t>
      </w:r>
    </w:p>
    <w:p w:rsidR="00D50094" w:rsidRPr="00D50094" w:rsidRDefault="00D50094" w:rsidP="00D50094">
      <w:pPr>
        <w:pStyle w:val="SingleTxt"/>
        <w:rPr>
          <w:rFonts w:ascii="SimHei" w:eastAsia="SimHei" w:hint="eastAsia"/>
          <w:color w:val="FF0000"/>
        </w:rPr>
      </w:pPr>
      <w:r w:rsidRPr="00D50094">
        <w:rPr>
          <w:rFonts w:ascii="SimHei" w:eastAsia="SimHei" w:hint="eastAsia"/>
          <w:color w:val="FF0000"/>
        </w:rPr>
        <w:t>暴力侵害妇女行为</w:t>
      </w:r>
    </w:p>
    <w:p w:rsidR="00D50094" w:rsidRDefault="00D50094" w:rsidP="00D50094">
      <w:pPr>
        <w:pStyle w:val="SingleTxt"/>
        <w:spacing w:line="326" w:lineRule="exact"/>
        <w:rPr>
          <w:rFonts w:hint="eastAsia"/>
        </w:rPr>
      </w:pPr>
      <w:r>
        <w:rPr>
          <w:rFonts w:hint="eastAsia"/>
        </w:rPr>
        <w:t>7.</w:t>
      </w:r>
      <w:r>
        <w:rPr>
          <w:rFonts w:hint="eastAsia"/>
        </w:rPr>
        <w:tab/>
        <w:t>委员会在先前的结论意见中</w:t>
      </w:r>
      <w:r>
        <w:rPr>
          <w:rStyle w:val="FootnoteReference"/>
        </w:rPr>
        <w:footnoteReference w:id="1"/>
      </w:r>
      <w:r>
        <w:rPr>
          <w:rFonts w:hint="eastAsia"/>
        </w:rPr>
        <w:t xml:space="preserve"> 关切地注意到，缺乏关于各种形式暴力侵害妇女行为的资料和系统数据。请说明任何收集常规和专门数据的努力，并说明是否进行过基于人口的暴力侵害妇女行为调查，同时提供各种形式的暴力侵害妇女行为的现有数据并说明长期趋势。</w:t>
      </w:r>
    </w:p>
    <w:p w:rsidR="00D50094" w:rsidRDefault="00D50094" w:rsidP="00D50094">
      <w:pPr>
        <w:pStyle w:val="SingleTxt"/>
        <w:spacing w:line="326" w:lineRule="exact"/>
      </w:pPr>
      <w:r>
        <w:rPr>
          <w:rFonts w:hint="eastAsia"/>
        </w:rPr>
        <w:t>8.</w:t>
      </w:r>
      <w:r>
        <w:rPr>
          <w:rFonts w:hint="eastAsia"/>
        </w:rPr>
        <w:tab/>
        <w:t>暴力侵害妇女行为及其因果问题特别报告员指出（E/CN.4/2003/75/Add.1，第858、第870和第871段），《个人地位法》对一些形式的家庭暴力，包括婚内强奸予以迁就，也没有制定关于家庭暴力的具体立法。政府有哪些计划处理这一问题，包括妇女诉求司法和寻求服务的问题，以履行《公约》规定的义务及执行委员会一般性建议19？</w:t>
      </w:r>
    </w:p>
    <w:p w:rsidR="00D50094" w:rsidRPr="00D50094" w:rsidRDefault="00D50094" w:rsidP="00D50094">
      <w:pPr>
        <w:pStyle w:val="SingleTxt"/>
        <w:rPr>
          <w:rFonts w:ascii="SimHei" w:eastAsia="SimHei"/>
          <w:color w:val="FF0000"/>
        </w:rPr>
      </w:pPr>
      <w:r w:rsidRPr="00D50094">
        <w:rPr>
          <w:rFonts w:ascii="SimHei" w:eastAsia="SimHei" w:hint="eastAsia"/>
          <w:color w:val="FF0000"/>
        </w:rPr>
        <w:t>贩运妇女和女孩</w:t>
      </w:r>
    </w:p>
    <w:p w:rsidR="00D50094" w:rsidRDefault="00D50094" w:rsidP="00D50094">
      <w:pPr>
        <w:pStyle w:val="SingleTxt"/>
      </w:pPr>
      <w:r>
        <w:rPr>
          <w:rFonts w:hint="eastAsia"/>
        </w:rPr>
        <w:t>9.</w:t>
      </w:r>
      <w:r>
        <w:rPr>
          <w:rFonts w:hint="eastAsia"/>
        </w:rPr>
        <w:tab/>
        <w:t>报告没有提供关于贩运妇女和女孩问题的资料。请提供这方面资料，包括被贩运出入也门和经也门转手贩运的女孩和妇女的人数，以及起诉贩运者的案件数量和定罪、判刑情况等数据。</w:t>
      </w:r>
    </w:p>
    <w:p w:rsidR="00D50094" w:rsidRDefault="00D50094" w:rsidP="00D50094">
      <w:pPr>
        <w:pStyle w:val="SingleTxt"/>
        <w:spacing w:line="326" w:lineRule="exact"/>
        <w:rPr>
          <w:rFonts w:hint="eastAsia"/>
        </w:rPr>
      </w:pPr>
      <w:r>
        <w:rPr>
          <w:rFonts w:hint="eastAsia"/>
        </w:rPr>
        <w:t>10.</w:t>
      </w:r>
      <w:r>
        <w:rPr>
          <w:rFonts w:hint="eastAsia"/>
        </w:rPr>
        <w:tab/>
        <w:t>贩运人口特别是妇女和儿童问题特别报告员</w:t>
      </w:r>
      <w:r w:rsidR="00D47E81">
        <w:rPr>
          <w:rFonts w:hint="eastAsia"/>
        </w:rPr>
        <w:t>（</w:t>
      </w:r>
      <w:r>
        <w:rPr>
          <w:rFonts w:hint="eastAsia"/>
        </w:rPr>
        <w:t>E</w:t>
      </w:r>
      <w:r w:rsidR="00D47E81">
        <w:rPr>
          <w:rFonts w:hint="eastAsia"/>
        </w:rPr>
        <w:t>/CN.4/2006/62/Add.1）</w:t>
      </w:r>
      <w:r>
        <w:rPr>
          <w:rFonts w:hint="eastAsia"/>
        </w:rPr>
        <w:t>与买卖儿童、儿童卖淫和儿童色情制品问题特别报告员</w:t>
      </w:r>
      <w:r w:rsidR="00D47E81">
        <w:rPr>
          <w:rFonts w:hint="eastAsia"/>
        </w:rPr>
        <w:t>（</w:t>
      </w:r>
      <w:r>
        <w:rPr>
          <w:rFonts w:hint="eastAsia"/>
        </w:rPr>
        <w:t>E/CN.4/2005/78/Add.2</w:t>
      </w:r>
      <w:r w:rsidR="00D47E81">
        <w:rPr>
          <w:rFonts w:hint="eastAsia"/>
        </w:rPr>
        <w:t>）</w:t>
      </w:r>
      <w:r>
        <w:rPr>
          <w:rFonts w:hint="eastAsia"/>
        </w:rPr>
        <w:t>联合递交了一封指控信，以及所收到的有关大批从也门被贩运至沙特阿拉伯的儿童（几乎全为男童）状况的资料，以此提请政府注意。请提供资料说明目前的状况，以及任何为防止贩运儿童特别是女孩而制定的方案。</w:t>
      </w:r>
    </w:p>
    <w:p w:rsidR="00D50094" w:rsidRPr="00D50094" w:rsidRDefault="00D50094" w:rsidP="00D50094">
      <w:pPr>
        <w:pStyle w:val="SingleTxt"/>
        <w:rPr>
          <w:rFonts w:ascii="SimHei" w:eastAsia="SimHei" w:hint="eastAsia"/>
          <w:color w:val="FF0000"/>
        </w:rPr>
      </w:pPr>
      <w:r w:rsidRPr="00D50094">
        <w:rPr>
          <w:rFonts w:ascii="SimHei" w:eastAsia="SimHei" w:hint="eastAsia"/>
          <w:color w:val="FF0000"/>
        </w:rPr>
        <w:t>陈规定型观念和教育</w:t>
      </w:r>
    </w:p>
    <w:p w:rsidR="00D50094" w:rsidRDefault="00D50094" w:rsidP="00D50094">
      <w:pPr>
        <w:pStyle w:val="SingleTxt"/>
        <w:rPr>
          <w:rFonts w:hint="eastAsia"/>
        </w:rPr>
      </w:pPr>
      <w:r>
        <w:rPr>
          <w:rFonts w:hint="eastAsia"/>
        </w:rPr>
        <w:t>11.</w:t>
      </w:r>
      <w:r>
        <w:rPr>
          <w:rFonts w:hint="eastAsia"/>
        </w:rPr>
        <w:tab/>
        <w:t>委员会在先前的结论意见中敦促缔约国采取措施，包括开展提高认识活动，改变关于男女责任和作用的陈规定型态度和消极文化规范。</w:t>
      </w:r>
      <w:r>
        <w:rPr>
          <w:rStyle w:val="FootnoteReference"/>
        </w:rPr>
        <w:footnoteReference w:id="2"/>
      </w:r>
      <w:r>
        <w:rPr>
          <w:rFonts w:hint="eastAsia"/>
        </w:rPr>
        <w:t xml:space="preserve"> 请提供资料，说明为改变性别陈规定型观念开展了哪些提高认识活动，包括修改学校教科书和课程（见报告第5.7和第10.5段）以及为改变阻碍农村妇女诉求司法的“消极传统和文化遗产”而采取的措施（见报告第15.7段）。</w:t>
      </w:r>
    </w:p>
    <w:p w:rsidR="00D50094" w:rsidRDefault="00D50094" w:rsidP="00756A1C">
      <w:pPr>
        <w:pStyle w:val="SingleTxt"/>
        <w:spacing w:after="160" w:line="332" w:lineRule="exact"/>
      </w:pPr>
      <w:r>
        <w:rPr>
          <w:rFonts w:hint="eastAsia"/>
        </w:rPr>
        <w:t>12.</w:t>
      </w:r>
      <w:r>
        <w:rPr>
          <w:rFonts w:hint="eastAsia"/>
        </w:rPr>
        <w:tab/>
        <w:t>请提供详细资料，说明报告第2.2和第10.1段提到的基础教育战略（2003至2015年），包括为降低妇女文盲率而制定和实施的方案和计划，以及关于消除文盲原则草案状况的资料。消除文盲和成人教育组织起到什么作用（见报告第10.11段）？</w:t>
      </w:r>
    </w:p>
    <w:p w:rsidR="00D50094" w:rsidRDefault="00D50094" w:rsidP="00756A1C">
      <w:pPr>
        <w:pStyle w:val="SingleTxt"/>
        <w:spacing w:after="160" w:line="332" w:lineRule="exact"/>
      </w:pPr>
      <w:r>
        <w:rPr>
          <w:rFonts w:hint="eastAsia"/>
        </w:rPr>
        <w:t>13.</w:t>
      </w:r>
      <w:r>
        <w:rPr>
          <w:rFonts w:hint="eastAsia"/>
        </w:rPr>
        <w:tab/>
        <w:t>在提高小学女生入学率和消除教育差距方面，特别是在农村地区，取得了哪些成就？世界粮食计划署资助的营养项目以及取消一至六年级女生学费（见第10.3段）取得了哪些效果？</w:t>
      </w:r>
    </w:p>
    <w:p w:rsidR="00D50094" w:rsidRPr="00D50094" w:rsidRDefault="00D50094" w:rsidP="00756A1C">
      <w:pPr>
        <w:pStyle w:val="SingleTxt"/>
        <w:spacing w:after="160" w:line="332" w:lineRule="exact"/>
        <w:rPr>
          <w:rFonts w:ascii="SimHei" w:eastAsia="SimHei" w:hint="eastAsia"/>
          <w:color w:val="FF0000"/>
        </w:rPr>
      </w:pPr>
      <w:r w:rsidRPr="00D50094">
        <w:rPr>
          <w:rFonts w:ascii="SimHei" w:eastAsia="SimHei" w:hint="eastAsia"/>
          <w:color w:val="FF0000"/>
        </w:rPr>
        <w:t>参与政治和公共生活以及在国际上的代表性</w:t>
      </w:r>
    </w:p>
    <w:p w:rsidR="00D50094" w:rsidRDefault="00D50094" w:rsidP="00756A1C">
      <w:pPr>
        <w:pStyle w:val="SingleTxt"/>
        <w:spacing w:after="160" w:line="332" w:lineRule="exact"/>
      </w:pPr>
      <w:r>
        <w:rPr>
          <w:rFonts w:hint="eastAsia"/>
        </w:rPr>
        <w:t>14.</w:t>
      </w:r>
      <w:r>
        <w:rPr>
          <w:rFonts w:hint="eastAsia"/>
        </w:rPr>
        <w:tab/>
        <w:t>委员会在先前的结论意见中，对候选名单和政治决策机构中妇女人数较少表示关切。</w:t>
      </w:r>
      <w:r>
        <w:rPr>
          <w:rStyle w:val="FootnoteReference"/>
        </w:rPr>
        <w:footnoteReference w:id="3"/>
      </w:r>
      <w:r>
        <w:rPr>
          <w:rFonts w:hint="eastAsia"/>
        </w:rPr>
        <w:t xml:space="preserve"> 报告在表7中显示，妇女候选人和当选众议员人数有所减少。报告还指出（见第4.1段），各政党暂时响应了妇女运动提出的增加高级和中级领导层妇女人数，并在2006年9月的选举中为妇女提供更多机会的提议。请说明，指责妇女道德败坏是否对她们有效参与并达到建议的配额起了阻碍作用。</w:t>
      </w:r>
    </w:p>
    <w:p w:rsidR="00D50094" w:rsidRDefault="00D50094" w:rsidP="00756A1C">
      <w:pPr>
        <w:pStyle w:val="SingleTxt"/>
        <w:spacing w:after="160" w:line="332" w:lineRule="exact"/>
      </w:pPr>
      <w:r>
        <w:rPr>
          <w:rFonts w:hint="eastAsia"/>
        </w:rPr>
        <w:t>15.</w:t>
      </w:r>
      <w:r>
        <w:rPr>
          <w:rFonts w:hint="eastAsia"/>
        </w:rPr>
        <w:tab/>
        <w:t>请说明协调委员会（见第七条章节导言段落）以及2005年设立的妇女事务总局的作用和职能。</w:t>
      </w:r>
    </w:p>
    <w:p w:rsidR="00D50094" w:rsidRDefault="00D50094" w:rsidP="00756A1C">
      <w:pPr>
        <w:pStyle w:val="SingleTxt"/>
        <w:spacing w:after="160" w:line="332" w:lineRule="exact"/>
        <w:rPr>
          <w:rFonts w:hint="eastAsia"/>
        </w:rPr>
      </w:pPr>
      <w:r>
        <w:rPr>
          <w:rFonts w:hint="eastAsia"/>
        </w:rPr>
        <w:t>16.</w:t>
      </w:r>
      <w:r>
        <w:rPr>
          <w:rFonts w:hint="eastAsia"/>
        </w:rPr>
        <w:tab/>
        <w:t>全国妇女委员会提出的修改涉及外交事务的立法的提议（见报告第8.2段）处于何种状态？请根据委员会一般性建议23，提供受命担任公共行政责任职务的妇女与男性相比的人数。</w:t>
      </w:r>
    </w:p>
    <w:p w:rsidR="00D50094" w:rsidRPr="00D50094" w:rsidRDefault="00D50094" w:rsidP="00756A1C">
      <w:pPr>
        <w:pStyle w:val="SingleTxt"/>
        <w:spacing w:after="160" w:line="332" w:lineRule="exact"/>
        <w:rPr>
          <w:rFonts w:ascii="SimHei" w:eastAsia="SimHei" w:hint="eastAsia"/>
          <w:color w:val="FF0000"/>
        </w:rPr>
      </w:pPr>
      <w:r w:rsidRPr="00D50094">
        <w:rPr>
          <w:rFonts w:ascii="SimHei" w:eastAsia="SimHei" w:hint="eastAsia"/>
          <w:color w:val="FF0000"/>
        </w:rPr>
        <w:t>国籍和居留权</w:t>
      </w:r>
    </w:p>
    <w:p w:rsidR="00D50094" w:rsidRDefault="00D50094" w:rsidP="00756A1C">
      <w:pPr>
        <w:pStyle w:val="SingleTxt"/>
        <w:spacing w:after="160" w:line="332" w:lineRule="exact"/>
      </w:pPr>
      <w:r>
        <w:rPr>
          <w:rFonts w:hint="eastAsia"/>
        </w:rPr>
        <w:t>17.</w:t>
      </w:r>
      <w:r>
        <w:rPr>
          <w:rFonts w:hint="eastAsia"/>
        </w:rPr>
        <w:tab/>
        <w:t>政府是否考虑进一步修改有关国籍的立法，允许与非也门男子结婚的也门妇女将其国籍传给子女（见报告第9.1至9.3段）？</w:t>
      </w:r>
    </w:p>
    <w:p w:rsidR="00D50094" w:rsidRDefault="00D50094" w:rsidP="00756A1C">
      <w:pPr>
        <w:pStyle w:val="SingleTxt"/>
        <w:spacing w:after="160" w:line="332" w:lineRule="exact"/>
        <w:rPr>
          <w:rFonts w:hint="eastAsia"/>
        </w:rPr>
      </w:pPr>
      <w:r>
        <w:rPr>
          <w:rFonts w:hint="eastAsia"/>
        </w:rPr>
        <w:t>18.</w:t>
      </w:r>
      <w:r>
        <w:rPr>
          <w:rFonts w:hint="eastAsia"/>
        </w:rPr>
        <w:tab/>
        <w:t>针对1991年《第47号执行宪法》第十四条关于也门妇女的非也门配偶的居留证规定提出的修改提案（见报告第9.4段），处于何种状态？</w:t>
      </w:r>
    </w:p>
    <w:p w:rsidR="00D50094" w:rsidRPr="00D50094" w:rsidRDefault="00D50094" w:rsidP="00756A1C">
      <w:pPr>
        <w:pStyle w:val="SingleTxt"/>
        <w:spacing w:after="160" w:line="332" w:lineRule="exact"/>
        <w:rPr>
          <w:rFonts w:ascii="SimHei" w:eastAsia="SimHei" w:hint="eastAsia"/>
          <w:color w:val="FF0000"/>
        </w:rPr>
      </w:pPr>
      <w:r w:rsidRPr="00D50094">
        <w:rPr>
          <w:rFonts w:ascii="SimHei" w:eastAsia="SimHei" w:hint="eastAsia"/>
          <w:color w:val="FF0000"/>
        </w:rPr>
        <w:t>就业</w:t>
      </w:r>
    </w:p>
    <w:p w:rsidR="00D50094" w:rsidRDefault="00D50094" w:rsidP="00756A1C">
      <w:pPr>
        <w:pStyle w:val="SingleTxt"/>
        <w:spacing w:after="160" w:line="332" w:lineRule="exact"/>
      </w:pPr>
      <w:r>
        <w:rPr>
          <w:rFonts w:hint="eastAsia"/>
        </w:rPr>
        <w:t>19.</w:t>
      </w:r>
      <w:r>
        <w:rPr>
          <w:rFonts w:hint="eastAsia"/>
        </w:rPr>
        <w:tab/>
        <w:t>报告第10.2段指出，经修正的2003年《劳动法》规定了在工作场所设立托儿所或者承付儿童学前费用的义务，但是，“几乎无人关注这一问题”。正在采取或考虑采取哪些措施，以确保充分执行劳动法有关规定？</w:t>
      </w:r>
    </w:p>
    <w:p w:rsidR="00D50094" w:rsidRDefault="00D50094" w:rsidP="00D50094">
      <w:pPr>
        <w:pStyle w:val="SingleTxt"/>
      </w:pPr>
      <w:r>
        <w:rPr>
          <w:rFonts w:hint="eastAsia"/>
        </w:rPr>
        <w:t>20.</w:t>
      </w:r>
      <w:r>
        <w:rPr>
          <w:rFonts w:hint="eastAsia"/>
        </w:rPr>
        <w:tab/>
        <w:t>报告列举了就业妇女面临的许多挑战，以及已经采取或正在采取的解决措施（见报告第11.5和第11.6段）。这些措施取得了哪些成效？</w:t>
      </w:r>
    </w:p>
    <w:p w:rsidR="00D50094" w:rsidRPr="00D50094" w:rsidRDefault="00D50094" w:rsidP="00D50094">
      <w:pPr>
        <w:pStyle w:val="SingleTxt"/>
        <w:rPr>
          <w:rFonts w:ascii="SimHei" w:eastAsia="SimHei" w:hint="eastAsia"/>
          <w:color w:val="FF0000"/>
        </w:rPr>
      </w:pPr>
      <w:r w:rsidRPr="00D50094">
        <w:rPr>
          <w:rFonts w:ascii="SimHei" w:eastAsia="SimHei" w:hint="eastAsia"/>
          <w:color w:val="FF0000"/>
        </w:rPr>
        <w:t>卫生</w:t>
      </w:r>
    </w:p>
    <w:p w:rsidR="00D50094" w:rsidRDefault="00D50094" w:rsidP="00D50094">
      <w:pPr>
        <w:pStyle w:val="SingleTxt"/>
        <w:rPr>
          <w:rFonts w:hint="eastAsia"/>
        </w:rPr>
      </w:pPr>
      <w:r>
        <w:rPr>
          <w:rFonts w:hint="eastAsia"/>
        </w:rPr>
        <w:t>21.</w:t>
      </w:r>
      <w:r>
        <w:rPr>
          <w:rFonts w:hint="eastAsia"/>
        </w:rPr>
        <w:tab/>
        <w:t>请提供进一步资料，说明采取了哪些措施降低孕产妇和婴儿死亡率，包括人口工作方案（2001</w:t>
      </w:r>
      <w:r>
        <w:t>-</w:t>
      </w:r>
      <w:r>
        <w:rPr>
          <w:rFonts w:hint="eastAsia"/>
        </w:rPr>
        <w:t>2005年）和卫生部向众议院提议的安全孕产项目，以及这些措施的长期效果。</w:t>
      </w:r>
    </w:p>
    <w:p w:rsidR="00D50094" w:rsidRDefault="00D50094" w:rsidP="00D50094">
      <w:pPr>
        <w:pStyle w:val="SingleTxt"/>
      </w:pPr>
      <w:r>
        <w:rPr>
          <w:rFonts w:hint="eastAsia"/>
        </w:rPr>
        <w:t>22.</w:t>
      </w:r>
      <w:r>
        <w:rPr>
          <w:rFonts w:hint="eastAsia"/>
        </w:rPr>
        <w:tab/>
        <w:t>关于切割女性生殖器的拟议立法（见报告第</w:t>
      </w:r>
      <w:r w:rsidR="00D47E81">
        <w:rPr>
          <w:rFonts w:hint="eastAsia"/>
        </w:rPr>
        <w:t>12.14</w:t>
      </w:r>
      <w:r>
        <w:rPr>
          <w:rFonts w:hint="eastAsia"/>
        </w:rPr>
        <w:t>段）有哪些内容，目前状态如何？请说明这一提案是否会将切割女性生殖器官定为非法，是否有通过该项立法的时间安排？</w:t>
      </w:r>
    </w:p>
    <w:p w:rsidR="00D50094" w:rsidRPr="00D50094" w:rsidRDefault="00D50094" w:rsidP="00D50094">
      <w:pPr>
        <w:pStyle w:val="SingleTxt"/>
        <w:rPr>
          <w:rFonts w:ascii="SimHei" w:eastAsia="SimHei" w:hint="eastAsia"/>
          <w:color w:val="FF0000"/>
        </w:rPr>
      </w:pPr>
      <w:r w:rsidRPr="00D50094">
        <w:rPr>
          <w:rFonts w:ascii="SimHei" w:eastAsia="SimHei" w:hint="eastAsia"/>
          <w:color w:val="FF0000"/>
        </w:rPr>
        <w:t>残疾妇女</w:t>
      </w:r>
    </w:p>
    <w:p w:rsidR="00D50094" w:rsidRDefault="00D50094" w:rsidP="00756A1C">
      <w:pPr>
        <w:pStyle w:val="SingleTxt"/>
        <w:spacing w:line="324" w:lineRule="exact"/>
        <w:rPr>
          <w:rFonts w:hint="eastAsia"/>
        </w:rPr>
      </w:pPr>
      <w:r>
        <w:rPr>
          <w:rFonts w:hint="eastAsia"/>
        </w:rPr>
        <w:t>23.</w:t>
      </w:r>
      <w:r>
        <w:rPr>
          <w:rFonts w:hint="eastAsia"/>
        </w:rPr>
        <w:tab/>
        <w:t>报告第3.1和第3.2段指出，政府缺乏关于残疾妇女的充足数据和准确统计，现有的资金也无法帮助到这一目标群体。正在采取或考虑采取哪些措施，以改进这方面的数据收集，并提高残疾人关怀基金和社会发展基金的能力，使其同时帮助到农村和城市地区的残疾妇女？</w:t>
      </w:r>
    </w:p>
    <w:p w:rsidR="00D50094" w:rsidRPr="00D50094" w:rsidRDefault="00D50094" w:rsidP="00D50094">
      <w:pPr>
        <w:pStyle w:val="SingleTxt"/>
        <w:rPr>
          <w:rFonts w:ascii="SimHei" w:eastAsia="SimHei" w:hint="eastAsia"/>
          <w:color w:val="FF0000"/>
        </w:rPr>
      </w:pPr>
      <w:r w:rsidRPr="00D50094">
        <w:rPr>
          <w:rFonts w:ascii="SimHei" w:eastAsia="SimHei" w:hint="eastAsia"/>
          <w:color w:val="FF0000"/>
        </w:rPr>
        <w:t>婚姻和家庭关系</w:t>
      </w:r>
    </w:p>
    <w:p w:rsidR="00D50094" w:rsidRDefault="00D50094" w:rsidP="00D50094">
      <w:pPr>
        <w:pStyle w:val="SingleTxt"/>
        <w:rPr>
          <w:rFonts w:hint="eastAsia"/>
        </w:rPr>
      </w:pPr>
      <w:r>
        <w:rPr>
          <w:rFonts w:hint="eastAsia"/>
        </w:rPr>
        <w:t>24.</w:t>
      </w:r>
      <w:r>
        <w:rPr>
          <w:rFonts w:hint="eastAsia"/>
        </w:rPr>
        <w:tab/>
        <w:t>委员会在前次结论意见</w:t>
      </w:r>
      <w:r>
        <w:rPr>
          <w:rStyle w:val="FootnoteReference"/>
        </w:rPr>
        <w:footnoteReference w:id="4"/>
      </w:r>
      <w:r>
        <w:rPr>
          <w:rFonts w:hint="eastAsia"/>
        </w:rPr>
        <w:t xml:space="preserve"> 中督促政府废除任何歧视性刑法条款，尤其是《刑法》第232条，其中规定，杀死有通奸行为妻子的丈夫或其他男性亲属不受谋杀指控。请提供明确的资料，说明刑事事项法律改革努力的状态，特别是有关《刑法》第232条的改革。</w:t>
      </w:r>
    </w:p>
    <w:p w:rsidR="00D50094" w:rsidRDefault="00D50094" w:rsidP="00756A1C">
      <w:pPr>
        <w:pStyle w:val="SingleTxt"/>
        <w:spacing w:line="324" w:lineRule="exact"/>
        <w:rPr>
          <w:rFonts w:hint="eastAsia"/>
        </w:rPr>
      </w:pPr>
      <w:r>
        <w:rPr>
          <w:rFonts w:hint="eastAsia"/>
        </w:rPr>
        <w:t>25.</w:t>
      </w:r>
      <w:r>
        <w:rPr>
          <w:rFonts w:hint="eastAsia"/>
        </w:rPr>
        <w:tab/>
        <w:t>委员会在前次结论意见</w:t>
      </w:r>
      <w:r>
        <w:rPr>
          <w:rStyle w:val="FootnoteReference"/>
        </w:rPr>
        <w:footnoteReference w:id="5"/>
      </w:r>
      <w:r>
        <w:t xml:space="preserve"> </w:t>
      </w:r>
      <w:r>
        <w:rPr>
          <w:rFonts w:hint="eastAsia"/>
        </w:rPr>
        <w:t>中对《个人地位法》中的歧视性条款表示关切，这些条款允许一夫多妻制，而且在婚姻和家庭生活中设立男女不同的标准。人权事务委员会也在对也门第四次定期报告的结论意见（CCPR/CO/84/YEM，第9段）中，对一夫多妻制持续存在，以及现存法规在婚姻、离婚、作证和继承问题上歧视妇女表示关切。根据《公约》规定的义务，政府正在采取哪些措施处理这些问题？</w:t>
      </w:r>
    </w:p>
    <w:p w:rsidR="00D50094" w:rsidRDefault="00D50094" w:rsidP="00756A1C">
      <w:pPr>
        <w:pStyle w:val="SingleTxt"/>
        <w:spacing w:line="324" w:lineRule="exact"/>
        <w:rPr>
          <w:rFonts w:hint="eastAsia"/>
        </w:rPr>
      </w:pPr>
      <w:r>
        <w:rPr>
          <w:rFonts w:hint="eastAsia"/>
        </w:rPr>
        <w:t>26.</w:t>
      </w:r>
      <w:r>
        <w:rPr>
          <w:rFonts w:hint="eastAsia"/>
        </w:rPr>
        <w:tab/>
        <w:t>请提供资料，说明过去三年来已很普遍的所谓“游客婚姻”或“临时婚姻”（见报告第6.2段）。这些资料应该包括这类结合的法律地位，这类婚姻的女方和子女被赋予的权利，以及根据伊斯兰法学家/议员委员会所提建议对《个人地位法》提出的任何修改。</w:t>
      </w:r>
    </w:p>
    <w:p w:rsidR="00D50094" w:rsidRDefault="00D50094" w:rsidP="00756A1C">
      <w:pPr>
        <w:pStyle w:val="SingleTxt"/>
        <w:spacing w:line="324" w:lineRule="exact"/>
        <w:rPr>
          <w:rFonts w:hint="eastAsia"/>
        </w:rPr>
      </w:pPr>
      <w:r>
        <w:rPr>
          <w:rFonts w:hint="eastAsia"/>
        </w:rPr>
        <w:t>27.</w:t>
      </w:r>
      <w:r>
        <w:rPr>
          <w:rFonts w:hint="eastAsia"/>
        </w:rPr>
        <w:tab/>
        <w:t>报告指出，早婚是促成高得令人难以接受的孕产妇死亡率及妇女和女孩低识字率的一个因素。请说明政府是否考虑将女性最低婚龄定为18岁，以符合《儿童权利公约》第一条、《消除对妇女一切形式歧视公约》第十六条以及委员会一般性建议21，如果考虑这样做，是否已制定颁布这一法律的时间表。</w:t>
      </w:r>
    </w:p>
    <w:p w:rsidR="00D50094" w:rsidRPr="00534443" w:rsidRDefault="00D50094" w:rsidP="00D50094">
      <w:pPr>
        <w:pStyle w:val="SingleTxt"/>
        <w:rPr>
          <w:rFonts w:ascii="SimHei" w:eastAsia="SimHei" w:hint="eastAsia"/>
          <w:color w:val="FF0000"/>
        </w:rPr>
      </w:pPr>
      <w:r w:rsidRPr="00534443">
        <w:rPr>
          <w:rFonts w:ascii="SimHei" w:eastAsia="SimHei" w:hint="eastAsia"/>
          <w:color w:val="FF0000"/>
        </w:rPr>
        <w:t>任择议定书</w:t>
      </w:r>
    </w:p>
    <w:p w:rsidR="00EA31C3" w:rsidRDefault="00D50094" w:rsidP="00D50094">
      <w:pPr>
        <w:pStyle w:val="SingleTxt"/>
        <w:rPr>
          <w:rFonts w:hint="eastAsia"/>
        </w:rPr>
      </w:pPr>
      <w:r>
        <w:rPr>
          <w:rFonts w:hint="eastAsia"/>
        </w:rPr>
        <w:t>28.</w:t>
      </w:r>
      <w:r>
        <w:rPr>
          <w:rFonts w:hint="eastAsia"/>
        </w:rPr>
        <w:tab/>
        <w:t>请说明是否为批准《任择议定书》采取了任何措施或行动。</w:t>
      </w:r>
    </w:p>
    <w:p w:rsidR="00D50094" w:rsidRPr="00D50094" w:rsidRDefault="00D50094" w:rsidP="00D50094">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D50094" w:rsidRPr="00D50094" w:rsidSect="00564BC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6T09:30:00Z" w:initials="Start">
    <w:p w:rsidR="00000380" w:rsidRDefault="0000038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NO&gt;&gt;N0752032C&lt;&lt;ODS JOB NO&gt;&gt;</w:t>
      </w:r>
    </w:p>
    <w:p w:rsidR="00000380" w:rsidRDefault="00000380">
      <w:pPr>
        <w:pStyle w:val="CommentText"/>
      </w:pPr>
      <w:r>
        <w:t>&lt;&lt;ODS DOC SYMBOL1&gt;&gt;CEDAW/C/YEM/Q/6&lt;&lt;ODS DOC SYMBOL1&gt;&gt;</w:t>
      </w:r>
    </w:p>
    <w:p w:rsidR="00000380" w:rsidRDefault="000003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E32" w:rsidRDefault="007B1E32" w:rsidP="00564BCF">
      <w:pPr>
        <w:pStyle w:val="Footer"/>
      </w:pPr>
      <w:r>
        <w:separator/>
      </w:r>
    </w:p>
  </w:endnote>
  <w:endnote w:type="continuationSeparator" w:id="0">
    <w:p w:rsidR="007B1E32" w:rsidRDefault="007B1E32" w:rsidP="00564BC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380" w:rsidTr="00564BCF">
      <w:tblPrEx>
        <w:tblCellMar>
          <w:top w:w="0" w:type="dxa"/>
          <w:bottom w:w="0" w:type="dxa"/>
        </w:tblCellMar>
      </w:tblPrEx>
      <w:tc>
        <w:tcPr>
          <w:tcW w:w="5033" w:type="dxa"/>
          <w:shd w:val="clear" w:color="auto" w:fill="auto"/>
        </w:tcPr>
        <w:p w:rsidR="00000380" w:rsidRPr="00564BCF" w:rsidRDefault="00000380" w:rsidP="00564BCF">
          <w:pPr>
            <w:pStyle w:val="Footer"/>
            <w:jc w:val="right"/>
            <w:rPr>
              <w:b w:val="0"/>
              <w:w w:val="103"/>
              <w:sz w:val="14"/>
            </w:rPr>
          </w:pPr>
          <w:r>
            <w:rPr>
              <w:b w:val="0"/>
              <w:w w:val="103"/>
              <w:sz w:val="14"/>
            </w:rPr>
            <w:t>07-53451/1 (C)</w:t>
          </w:r>
        </w:p>
      </w:tc>
      <w:tc>
        <w:tcPr>
          <w:tcW w:w="5033" w:type="dxa"/>
          <w:shd w:val="clear" w:color="auto" w:fill="auto"/>
        </w:tcPr>
        <w:p w:rsidR="00000380" w:rsidRPr="00564BCF" w:rsidRDefault="00000380" w:rsidP="00564BC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CB119C">
            <w:rPr>
              <w:w w:val="103"/>
              <w:sz w:val="17"/>
            </w:rPr>
            <w:t>2</w:t>
          </w:r>
          <w:r>
            <w:rPr>
              <w:w w:val="103"/>
              <w:sz w:val="17"/>
            </w:rPr>
            <w:fldChar w:fldCharType="end"/>
          </w:r>
        </w:p>
      </w:tc>
    </w:tr>
  </w:tbl>
  <w:p w:rsidR="00000380" w:rsidRPr="00564BCF" w:rsidRDefault="00000380" w:rsidP="00564B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380" w:rsidTr="00564BCF">
      <w:tblPrEx>
        <w:tblCellMar>
          <w:top w:w="0" w:type="dxa"/>
          <w:bottom w:w="0" w:type="dxa"/>
        </w:tblCellMar>
      </w:tblPrEx>
      <w:tc>
        <w:tcPr>
          <w:tcW w:w="5033" w:type="dxa"/>
          <w:shd w:val="clear" w:color="auto" w:fill="auto"/>
        </w:tcPr>
        <w:p w:rsidR="00000380" w:rsidRPr="00564BCF" w:rsidRDefault="00000380" w:rsidP="00564BCF">
          <w:pPr>
            <w:pStyle w:val="Footer"/>
            <w:jc w:val="right"/>
          </w:pPr>
          <w:r>
            <w:fldChar w:fldCharType="begin"/>
          </w:r>
          <w:r>
            <w:instrText xml:space="preserve"> PAGE  \* MERGEFORMAT </w:instrText>
          </w:r>
          <w:r>
            <w:fldChar w:fldCharType="separate"/>
          </w:r>
          <w:r w:rsidR="00CB119C">
            <w:t>5</w:t>
          </w:r>
          <w:r>
            <w:fldChar w:fldCharType="end"/>
          </w:r>
        </w:p>
      </w:tc>
      <w:tc>
        <w:tcPr>
          <w:tcW w:w="5033" w:type="dxa"/>
          <w:shd w:val="clear" w:color="auto" w:fill="auto"/>
        </w:tcPr>
        <w:p w:rsidR="00000380" w:rsidRPr="00564BCF" w:rsidRDefault="00000380" w:rsidP="00564BCF">
          <w:pPr>
            <w:pStyle w:val="Footer"/>
            <w:jc w:val="left"/>
            <w:rPr>
              <w:b w:val="0"/>
              <w:w w:val="103"/>
              <w:sz w:val="14"/>
            </w:rPr>
          </w:pPr>
          <w:r>
            <w:rPr>
              <w:b w:val="0"/>
              <w:w w:val="103"/>
              <w:sz w:val="14"/>
            </w:rPr>
            <w:t>07-53451/1 (C)</w:t>
          </w:r>
        </w:p>
      </w:tc>
    </w:tr>
  </w:tbl>
  <w:p w:rsidR="00000380" w:rsidRPr="00564BCF" w:rsidRDefault="00000380" w:rsidP="00564B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0" w:rsidRDefault="00000380" w:rsidP="00564BC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07-52032 (C)</w:t>
    </w:r>
    <w:r>
      <w:rPr>
        <w:b w:val="0"/>
        <w:sz w:val="21"/>
      </w:rPr>
      <w:fldChar w:fldCharType="end"/>
    </w:r>
    <w:r>
      <w:rPr>
        <w:b w:val="0"/>
        <w:sz w:val="21"/>
      </w:rPr>
      <w:t xml:space="preserve">    1</w:t>
    </w:r>
    <w:r>
      <w:rPr>
        <w:rFonts w:hint="eastAsia"/>
        <w:b w:val="0"/>
        <w:sz w:val="21"/>
      </w:rPr>
      <w:t>5</w:t>
    </w:r>
    <w:r>
      <w:rPr>
        <w:b w:val="0"/>
        <w:sz w:val="21"/>
      </w:rPr>
      <w:t>1007    161007</w:t>
    </w:r>
  </w:p>
  <w:p w:rsidR="00000380" w:rsidRPr="00564BCF" w:rsidRDefault="00000380" w:rsidP="00564BC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*0752032*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E32" w:rsidRPr="00D50094" w:rsidRDefault="007B1E32" w:rsidP="00D50094">
      <w:pPr>
        <w:pStyle w:val="Footer"/>
        <w:spacing w:after="80"/>
        <w:ind w:left="792"/>
        <w:rPr>
          <w:sz w:val="16"/>
        </w:rPr>
      </w:pPr>
      <w:r w:rsidRPr="00D50094">
        <w:rPr>
          <w:sz w:val="16"/>
        </w:rPr>
        <w:t>__________________</w:t>
      </w:r>
    </w:p>
  </w:footnote>
  <w:footnote w:type="continuationSeparator" w:id="0">
    <w:p w:rsidR="007B1E32" w:rsidRPr="00D50094" w:rsidRDefault="007B1E32" w:rsidP="00D50094">
      <w:pPr>
        <w:pStyle w:val="Footer"/>
        <w:spacing w:after="80"/>
        <w:ind w:left="792"/>
        <w:rPr>
          <w:sz w:val="16"/>
        </w:rPr>
      </w:pPr>
      <w:r w:rsidRPr="00D50094">
        <w:rPr>
          <w:sz w:val="16"/>
        </w:rPr>
        <w:t>__________________</w:t>
      </w:r>
    </w:p>
  </w:footnote>
  <w:footnote w:id="1">
    <w:p w:rsidR="00000380" w:rsidRPr="00D50094" w:rsidRDefault="00000380" w:rsidP="00D500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50094">
        <w:rPr>
          <w:rFonts w:hint="eastAsia"/>
        </w:rPr>
        <w:t>见《大会正式记录，第五十七届会议，补编第38号》(A/57/38)，第三部分，第398段。</w:t>
      </w:r>
    </w:p>
  </w:footnote>
  <w:footnote w:id="2">
    <w:p w:rsidR="00000380" w:rsidRPr="00D50094" w:rsidRDefault="00000380" w:rsidP="00D500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50094">
        <w:rPr>
          <w:rFonts w:hint="eastAsia"/>
        </w:rPr>
        <w:t>同上，第389段。</w:t>
      </w:r>
    </w:p>
  </w:footnote>
  <w:footnote w:id="3">
    <w:p w:rsidR="00000380" w:rsidRPr="00D50094" w:rsidRDefault="00000380" w:rsidP="00D500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50094">
        <w:rPr>
          <w:rFonts w:hint="eastAsia"/>
        </w:rPr>
        <w:t>同上，第402段。</w:t>
      </w:r>
    </w:p>
  </w:footnote>
  <w:footnote w:id="4">
    <w:p w:rsidR="00000380" w:rsidRPr="00D50094" w:rsidRDefault="00000380" w:rsidP="00D500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50094">
        <w:rPr>
          <w:rFonts w:hint="eastAsia"/>
        </w:rPr>
        <w:t>同上，第391段。</w:t>
      </w:r>
    </w:p>
  </w:footnote>
  <w:footnote w:id="5">
    <w:p w:rsidR="00000380" w:rsidRDefault="00000380" w:rsidP="00D500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同上，第392段。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380" w:rsidTr="00564BCF">
      <w:tblPrEx>
        <w:tblCellMar>
          <w:top w:w="0" w:type="dxa"/>
          <w:bottom w:w="0" w:type="dxa"/>
        </w:tblCellMar>
      </w:tblPrEx>
      <w:trPr>
        <w:trHeight w:hRule="exact" w:val="864"/>
      </w:trPr>
      <w:tc>
        <w:tcPr>
          <w:tcW w:w="4838" w:type="dxa"/>
          <w:shd w:val="clear" w:color="auto" w:fill="auto"/>
          <w:vAlign w:val="bottom"/>
        </w:tcPr>
        <w:p w:rsidR="00000380" w:rsidRPr="00564BCF" w:rsidRDefault="00000380" w:rsidP="00564BC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CEDAW/C/YEM/Q/6</w:t>
          </w:r>
          <w:r>
            <w:rPr>
              <w:b/>
              <w:sz w:val="17"/>
            </w:rPr>
            <w:fldChar w:fldCharType="end"/>
          </w:r>
        </w:p>
      </w:tc>
      <w:tc>
        <w:tcPr>
          <w:tcW w:w="5033" w:type="dxa"/>
          <w:shd w:val="clear" w:color="auto" w:fill="auto"/>
          <w:vAlign w:val="bottom"/>
        </w:tcPr>
        <w:p w:rsidR="00000380" w:rsidRDefault="00000380" w:rsidP="00564BCF">
          <w:pPr>
            <w:pStyle w:val="Header"/>
          </w:pPr>
        </w:p>
      </w:tc>
    </w:tr>
  </w:tbl>
  <w:p w:rsidR="00000380" w:rsidRPr="00564BCF" w:rsidRDefault="00000380" w:rsidP="00564B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380" w:rsidTr="00564BCF">
      <w:tblPrEx>
        <w:tblCellMar>
          <w:top w:w="0" w:type="dxa"/>
          <w:bottom w:w="0" w:type="dxa"/>
        </w:tblCellMar>
      </w:tblPrEx>
      <w:trPr>
        <w:trHeight w:hRule="exact" w:val="864"/>
      </w:trPr>
      <w:tc>
        <w:tcPr>
          <w:tcW w:w="4838" w:type="dxa"/>
          <w:shd w:val="clear" w:color="auto" w:fill="auto"/>
          <w:vAlign w:val="bottom"/>
        </w:tcPr>
        <w:p w:rsidR="00000380" w:rsidRDefault="00000380" w:rsidP="00564BCF">
          <w:pPr>
            <w:pStyle w:val="Header"/>
          </w:pPr>
        </w:p>
      </w:tc>
      <w:tc>
        <w:tcPr>
          <w:tcW w:w="5033" w:type="dxa"/>
          <w:shd w:val="clear" w:color="auto" w:fill="auto"/>
          <w:vAlign w:val="bottom"/>
        </w:tcPr>
        <w:p w:rsidR="00000380" w:rsidRPr="00564BCF" w:rsidRDefault="00000380" w:rsidP="00564BC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CEDAW/C/YEM/Q/6</w:t>
          </w:r>
          <w:r>
            <w:rPr>
              <w:b/>
              <w:sz w:val="17"/>
            </w:rPr>
            <w:fldChar w:fldCharType="end"/>
          </w:r>
        </w:p>
      </w:tc>
    </w:tr>
  </w:tbl>
  <w:p w:rsidR="00000380" w:rsidRPr="00564BCF" w:rsidRDefault="00000380" w:rsidP="00564B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380" w:rsidTr="00564BC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380" w:rsidRDefault="00000380" w:rsidP="00564BCF">
          <w:pPr>
            <w:pStyle w:val="Header"/>
            <w:spacing w:after="120"/>
          </w:pPr>
        </w:p>
      </w:tc>
      <w:tc>
        <w:tcPr>
          <w:tcW w:w="1872" w:type="dxa"/>
          <w:tcBorders>
            <w:bottom w:val="single" w:sz="4" w:space="0" w:color="auto"/>
          </w:tcBorders>
          <w:shd w:val="clear" w:color="auto" w:fill="auto"/>
          <w:vAlign w:val="bottom"/>
        </w:tcPr>
        <w:p w:rsidR="00000380" w:rsidRPr="00564BCF" w:rsidRDefault="00000380" w:rsidP="00564BC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00380" w:rsidRDefault="00000380" w:rsidP="00564BCF">
          <w:pPr>
            <w:pStyle w:val="Header"/>
            <w:spacing w:after="120"/>
          </w:pPr>
        </w:p>
      </w:tc>
      <w:tc>
        <w:tcPr>
          <w:tcW w:w="6523" w:type="dxa"/>
          <w:gridSpan w:val="3"/>
          <w:tcBorders>
            <w:bottom w:val="single" w:sz="4" w:space="0" w:color="auto"/>
          </w:tcBorders>
          <w:shd w:val="clear" w:color="auto" w:fill="auto"/>
          <w:vAlign w:val="bottom"/>
        </w:tcPr>
        <w:p w:rsidR="00000380" w:rsidRPr="00564BCF" w:rsidRDefault="00000380" w:rsidP="00564BCF">
          <w:pPr>
            <w:spacing w:after="80" w:line="240" w:lineRule="auto"/>
            <w:jc w:val="right"/>
            <w:rPr>
              <w:rFonts w:ascii="Times New Roman"/>
              <w:position w:val="-4"/>
            </w:rPr>
          </w:pPr>
          <w:r>
            <w:rPr>
              <w:rFonts w:ascii="Times New Roman"/>
              <w:position w:val="-4"/>
              <w:sz w:val="40"/>
            </w:rPr>
            <w:t>CEDAW</w:t>
          </w:r>
          <w:r>
            <w:rPr>
              <w:rFonts w:ascii="Times New Roman"/>
              <w:position w:val="-4"/>
            </w:rPr>
            <w:t>/C/YEM/Q/6</w:t>
          </w:r>
        </w:p>
      </w:tc>
    </w:tr>
    <w:tr w:rsidR="00000380" w:rsidRPr="00564BCF" w:rsidTr="00564BC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380" w:rsidRDefault="00000380" w:rsidP="00564BC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380" w:rsidRPr="00564BCF" w:rsidRDefault="00000380" w:rsidP="00564BCF">
          <w:pPr>
            <w:pStyle w:val="Header"/>
            <w:spacing w:before="109"/>
            <w:ind w:left="-72"/>
          </w:pPr>
        </w:p>
      </w:tc>
      <w:tc>
        <w:tcPr>
          <w:tcW w:w="5227" w:type="dxa"/>
          <w:gridSpan w:val="3"/>
          <w:tcBorders>
            <w:top w:val="single" w:sz="4" w:space="0" w:color="auto"/>
            <w:bottom w:val="single" w:sz="12" w:space="0" w:color="auto"/>
          </w:tcBorders>
          <w:shd w:val="clear" w:color="auto" w:fill="auto"/>
        </w:tcPr>
        <w:p w:rsidR="00000380" w:rsidRPr="00564BCF" w:rsidRDefault="00000380" w:rsidP="00564BC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00380" w:rsidRPr="00564BCF" w:rsidRDefault="00000380" w:rsidP="00564BCF">
          <w:pPr>
            <w:pStyle w:val="Header"/>
            <w:spacing w:before="109"/>
          </w:pPr>
        </w:p>
      </w:tc>
      <w:tc>
        <w:tcPr>
          <w:tcW w:w="3180" w:type="dxa"/>
          <w:gridSpan w:val="2"/>
          <w:tcBorders>
            <w:top w:val="single" w:sz="4" w:space="0" w:color="auto"/>
            <w:bottom w:val="single" w:sz="12" w:space="0" w:color="auto"/>
          </w:tcBorders>
          <w:shd w:val="clear" w:color="auto" w:fill="auto"/>
        </w:tcPr>
        <w:p w:rsidR="00000380" w:rsidRDefault="00000380" w:rsidP="00564BCF">
          <w:pPr>
            <w:spacing w:before="240" w:line="240" w:lineRule="exact"/>
            <w:rPr>
              <w:rFonts w:ascii="Times New Roman"/>
            </w:rPr>
          </w:pPr>
          <w:r>
            <w:rPr>
              <w:rFonts w:ascii="Times New Roman"/>
            </w:rPr>
            <w:t>Distr.: General</w:t>
          </w:r>
        </w:p>
        <w:p w:rsidR="00000380" w:rsidRDefault="00000380" w:rsidP="00564BCF">
          <w:pPr>
            <w:spacing w:line="240" w:lineRule="exact"/>
            <w:rPr>
              <w:rFonts w:ascii="Times New Roman"/>
            </w:rPr>
          </w:pPr>
          <w:r>
            <w:rPr>
              <w:rFonts w:ascii="Times New Roman"/>
            </w:rPr>
            <w:t>27 September 2007</w:t>
          </w:r>
        </w:p>
        <w:p w:rsidR="00000380" w:rsidRDefault="00000380" w:rsidP="00564BCF">
          <w:pPr>
            <w:spacing w:line="240" w:lineRule="exact"/>
            <w:rPr>
              <w:rFonts w:ascii="Times New Roman"/>
            </w:rPr>
          </w:pPr>
          <w:r>
            <w:rPr>
              <w:rFonts w:ascii="Times New Roman"/>
            </w:rPr>
            <w:t>Chinese</w:t>
          </w:r>
        </w:p>
        <w:p w:rsidR="00000380" w:rsidRPr="00564BCF" w:rsidRDefault="00000380" w:rsidP="00564BCF">
          <w:pPr>
            <w:spacing w:line="240" w:lineRule="exact"/>
            <w:rPr>
              <w:rFonts w:ascii="Times New Roman"/>
            </w:rPr>
          </w:pPr>
          <w:r>
            <w:rPr>
              <w:rFonts w:ascii="Times New Roman"/>
            </w:rPr>
            <w:t>Original: English</w:t>
          </w:r>
        </w:p>
      </w:tc>
    </w:tr>
  </w:tbl>
  <w:p w:rsidR="00000380" w:rsidRPr="00564BCF" w:rsidRDefault="00000380" w:rsidP="00564BC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32*"/>
    <w:docVar w:name="CreationDt" w:val="16/10/2007 09:00:58"/>
    <w:docVar w:name="DocCategory" w:val="Doc"/>
    <w:docVar w:name="DocType" w:val="Final"/>
    <w:docVar w:name="FooterJN" w:val="07-52032"/>
    <w:docVar w:name="jobn" w:val="07-52032 (C)"/>
    <w:docVar w:name="jobnDT" w:val="07-52032 (C)   161007"/>
    <w:docVar w:name="jobnDTDT" w:val="07-52032 (C)   161007   161007"/>
    <w:docVar w:name="JobNo" w:val="0752032C"/>
    <w:docVar w:name="OandT" w:val="duan"/>
    <w:docVar w:name="sss1" w:val="CEDAW/C/YEM/Q/6"/>
    <w:docVar w:name="sss2" w:val="-"/>
    <w:docVar w:name="Symbol1" w:val="CEDAW/C/YEM/Q/6"/>
    <w:docVar w:name="Symbol2" w:val="-"/>
  </w:docVars>
  <w:rsids>
    <w:rsidRoot w:val="006C3C68"/>
    <w:rsid w:val="00000380"/>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1F7DB4"/>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3F00D0"/>
    <w:rsid w:val="003F7B4F"/>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4443"/>
    <w:rsid w:val="00536CCE"/>
    <w:rsid w:val="005541E4"/>
    <w:rsid w:val="00564BCF"/>
    <w:rsid w:val="0058302A"/>
    <w:rsid w:val="005B7338"/>
    <w:rsid w:val="005C02AB"/>
    <w:rsid w:val="005D0F04"/>
    <w:rsid w:val="005F12F0"/>
    <w:rsid w:val="005F3273"/>
    <w:rsid w:val="005F34A3"/>
    <w:rsid w:val="00610CF2"/>
    <w:rsid w:val="00633D83"/>
    <w:rsid w:val="006479F1"/>
    <w:rsid w:val="00650BEE"/>
    <w:rsid w:val="006520FA"/>
    <w:rsid w:val="0065377D"/>
    <w:rsid w:val="00666F57"/>
    <w:rsid w:val="006740A7"/>
    <w:rsid w:val="00691524"/>
    <w:rsid w:val="006A0835"/>
    <w:rsid w:val="006A654B"/>
    <w:rsid w:val="006C3C68"/>
    <w:rsid w:val="006E2924"/>
    <w:rsid w:val="006E7A26"/>
    <w:rsid w:val="006F2B3D"/>
    <w:rsid w:val="007319E0"/>
    <w:rsid w:val="00737B00"/>
    <w:rsid w:val="0075155C"/>
    <w:rsid w:val="00753A05"/>
    <w:rsid w:val="00756A1C"/>
    <w:rsid w:val="00757193"/>
    <w:rsid w:val="00761190"/>
    <w:rsid w:val="00776537"/>
    <w:rsid w:val="00783A25"/>
    <w:rsid w:val="007877F4"/>
    <w:rsid w:val="007B1E32"/>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499E"/>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74A1F"/>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119C"/>
    <w:rsid w:val="00CB2B1E"/>
    <w:rsid w:val="00CC3E8B"/>
    <w:rsid w:val="00CC4E84"/>
    <w:rsid w:val="00CD5641"/>
    <w:rsid w:val="00CE64AC"/>
    <w:rsid w:val="00CF7718"/>
    <w:rsid w:val="00D177F1"/>
    <w:rsid w:val="00D323B5"/>
    <w:rsid w:val="00D42ACC"/>
    <w:rsid w:val="00D47E81"/>
    <w:rsid w:val="00D50094"/>
    <w:rsid w:val="00D51DC5"/>
    <w:rsid w:val="00D61EFD"/>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B5531"/>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467</Words>
  <Characters>2663</Characters>
  <Application>Microsoft Office Word</Application>
  <DocSecurity>4</DocSecurity>
  <Lines>22</Lines>
  <Paragraphs>6</Paragraphs>
  <ScaleCrop>false</ScaleCrop>
  <Company>United Nations</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Qingquan.Hua</dc:creator>
  <cp:keywords/>
  <dc:description/>
  <cp:lastModifiedBy>Lanping.Fu</cp:lastModifiedBy>
  <cp:revision>14</cp:revision>
  <cp:lastPrinted>2007-10-16T07:35:00Z</cp:lastPrinted>
  <dcterms:created xsi:type="dcterms:W3CDTF">2007-10-16T06:58:00Z</dcterms:created>
  <dcterms:modified xsi:type="dcterms:W3CDTF">2007-10-16T10:13:00Z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0752032</vt:lpwstr>
  </property>
  <property fmtid="{D5CDD505-2E9C-101B-9397-08002B2CF9AE}" pid="3" name="Symbol1">
    <vt:lpwstr>CEDAW/C/YEM/Q/6</vt:lpwstr>
  </property>
  <property fmtid="{D5CDD505-2E9C-101B-9397-08002B2CF9AE}" pid="4" name="Symbol2">
    <vt:lpwstr/>
  </property>
  <property fmtid="{D5CDD505-2E9C-101B-9397-08002B2CF9AE}" pid="5" name="Translator">
    <vt:lpwstr/>
  </property>
  <property fmtid="{D5CDD505-2E9C-101B-9397-08002B2CF9AE}" pid="6" name="Operator">
    <vt:lpwstr>duan</vt:lpwstr>
  </property>
  <property fmtid="{D5CDD505-2E9C-101B-9397-08002B2CF9AE}" pid="7" name="DraftPages">
    <vt:lpwstr> </vt:lpwstr>
  </property>
  <property fmtid="{D5CDD505-2E9C-101B-9397-08002B2CF9AE}" pid="8" name="Comment">
    <vt:lpwstr/>
  </property>
</Properties>
</file>