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spacing w:line="240" w:lineRule="auto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213"/>
        </w:trPr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548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jc w:val="center"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4"/>
              <w:rPr>
                <w:i/>
                <w:lang w:val="ru-RU"/>
              </w:rPr>
            </w:pPr>
            <w:r>
              <w:rPr>
                <w:i/>
                <w:sz w:val="40"/>
                <w:lang w:val="ru-RU"/>
              </w:rPr>
              <w:t>М</w:t>
            </w:r>
            <w:r>
              <w:rPr>
                <w:i/>
                <w:lang w:val="ru-RU"/>
              </w:rPr>
              <w:t xml:space="preserve">ЕЖДУНАРОДНАЯ </w:t>
            </w:r>
            <w:r>
              <w:rPr>
                <w:i/>
                <w:lang w:val="ru-RU"/>
              </w:rPr>
              <w:br/>
              <w:t xml:space="preserve">КОНВЕНЦИЯ </w:t>
            </w:r>
            <w:r>
              <w:rPr>
                <w:i/>
                <w:lang w:val="ru-RU"/>
              </w:rPr>
              <w:br/>
              <w:t xml:space="preserve">О ЛИКВИДАЦИИ </w:t>
            </w:r>
            <w:r>
              <w:rPr>
                <w:i/>
                <w:lang w:val="ru-RU"/>
              </w:rPr>
              <w:br/>
              <w:t xml:space="preserve">ВСЕХ ФОРМ </w:t>
            </w:r>
            <w:r>
              <w:rPr>
                <w:i/>
                <w:lang w:val="ru-RU"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spacing w:after="0"/>
              <w:rPr>
                <w:lang w:val="ru-RU"/>
              </w:rPr>
            </w:pPr>
          </w:p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GENERAL</w:t>
            </w:r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after="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CERD/C/DEN/CO/17</w:t>
            </w:r>
          </w:p>
          <w:p w:rsidR="00000000" w:rsidRDefault="00000000">
            <w:pPr>
              <w:spacing w:after="0"/>
            </w:pPr>
            <w:r>
              <w:t>19 October 2006</w:t>
            </w:r>
          </w:p>
          <w:p w:rsidR="00000000" w:rsidRDefault="00000000">
            <w:pPr>
              <w:spacing w:after="0"/>
              <w:rPr>
                <w:sz w:val="22"/>
                <w:lang w:val="en-US"/>
              </w:rPr>
            </w:pPr>
          </w:p>
          <w:p w:rsidR="00000000" w:rsidRDefault="00000000">
            <w:pPr>
              <w:spacing w:after="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after="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ENGLISH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lang w:val="en-US"/>
        </w:rPr>
      </w:pP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КОМИТЕТ ПО ЛИКВИДАЦИИ</w:t>
      </w: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РАСОВОЙ ДИСКРИМИНАЦИИ</w:t>
      </w:r>
    </w:p>
    <w:p w:rsidR="00000000" w:rsidRDefault="00000000">
      <w:pPr>
        <w:spacing w:after="0"/>
        <w:rPr>
          <w:szCs w:val="24"/>
        </w:rPr>
      </w:pPr>
      <w:r>
        <w:rPr>
          <w:szCs w:val="24"/>
          <w:lang w:val="ru-RU"/>
        </w:rPr>
        <w:t xml:space="preserve">Шестьдесят девятая сессия </w:t>
      </w:r>
    </w:p>
    <w:p w:rsidR="00000000" w:rsidRDefault="00000000">
      <w:pPr>
        <w:spacing w:after="0"/>
        <w:rPr>
          <w:szCs w:val="24"/>
        </w:rPr>
      </w:pPr>
      <w:r>
        <w:rPr>
          <w:szCs w:val="24"/>
          <w:lang w:val="ru-RU"/>
        </w:rPr>
        <w:t>31 июля - 18 августа 2006</w:t>
      </w:r>
      <w:r>
        <w:rPr>
          <w:szCs w:val="24"/>
        </w:rPr>
        <w:t> </w:t>
      </w:r>
      <w:r>
        <w:rPr>
          <w:szCs w:val="24"/>
          <w:lang w:val="ru-RU"/>
        </w:rPr>
        <w:t>года</w:t>
      </w:r>
    </w:p>
    <w:p w:rsidR="00000000" w:rsidRDefault="00000000">
      <w:pPr>
        <w:rPr>
          <w:lang w:val="ru-RU"/>
        </w:rPr>
      </w:pP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Заключительные замечания Комитета по ликвидации</w:t>
      </w:r>
    </w:p>
    <w:p w:rsidR="00000000" w:rsidRDefault="00000000">
      <w:pPr>
        <w:autoSpaceDE w:val="0"/>
        <w:autoSpaceDN w:val="0"/>
        <w:adjustRightInd w:val="0"/>
        <w:jc w:val="center"/>
        <w:rPr>
          <w:b/>
          <w:szCs w:val="24"/>
        </w:rPr>
      </w:pPr>
      <w:r>
        <w:rPr>
          <w:b/>
          <w:bCs/>
          <w:lang w:val="ru-RU"/>
        </w:rPr>
        <w:t>расовой дискриминации</w:t>
      </w:r>
      <w:r>
        <w:rPr>
          <w:b/>
          <w:szCs w:val="24"/>
        </w:rPr>
        <w:t xml:space="preserve"> </w:t>
      </w:r>
    </w:p>
    <w:p w:rsidR="00000000" w:rsidRDefault="00000000">
      <w:pPr>
        <w:rPr>
          <w:lang w:val="ru-RU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ДАНИЯ</w:t>
      </w:r>
      <w:r>
        <w:rPr>
          <w:lang w:val="ru-RU"/>
        </w:rPr>
        <w:t xml:space="preserve"> 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рассмотрел шестнадцатый и семнадцатый периодические доклады Дании, представленные в одном документе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/496/</w:t>
      </w:r>
      <w:r>
        <w:rPr>
          <w:lang w:val="en-US"/>
        </w:rPr>
        <w:t>Add</w:t>
      </w:r>
      <w:r>
        <w:rPr>
          <w:lang w:val="ru-RU"/>
        </w:rPr>
        <w:t>.1), на своих 1772-м и 1773</w:t>
      </w:r>
      <w:r>
        <w:rPr>
          <w:lang w:val="ru-RU"/>
        </w:rPr>
        <w:noBreakHyphen/>
        <w:t>м</w:t>
      </w:r>
      <w:r>
        <w:t> </w:t>
      </w:r>
      <w:r>
        <w:rPr>
          <w:lang w:val="ru-RU"/>
        </w:rPr>
        <w:t>заседаниях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.1772 и 1773), состоявшихся 9 и 10 августа 2006</w:t>
      </w:r>
      <w:r>
        <w:t> </w:t>
      </w:r>
      <w:r>
        <w:rPr>
          <w:lang w:val="ru-RU"/>
        </w:rPr>
        <w:t>года.  На своем 1785-м заседании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.1785), состоявшемся 18 августа 2006</w:t>
      </w:r>
      <w:r>
        <w:t> </w:t>
      </w:r>
      <w:r>
        <w:rPr>
          <w:lang w:val="ru-RU"/>
        </w:rPr>
        <w:t>года, Комитет принял следующие заключительные замечания.</w:t>
      </w: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А.</w:t>
      </w:r>
      <w:r>
        <w:rPr>
          <w:b/>
          <w:bCs/>
          <w:lang w:val="ru-RU"/>
        </w:rPr>
        <w:tab/>
        <w:t>Введение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своевременное представление доклада и с удовлетворением отмечает, что в нем даются ответы на озабоченности, изложенные в ранее принятых заключительных замечаниях Комитета.  Комитет также с удовлетворением отмечает откровенный диалог с делегацией, а также всеобъемлющие и полные устные ответы на вопросы, указанные в перечне, а также на самые разнообразные вопросы, заданные членами Комитета.  Он высоко оценивает предоставленную таким образом возможность проведения конструктивного диалога с государством-участником.</w:t>
      </w: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В.</w:t>
      </w:r>
      <w:r>
        <w:rPr>
          <w:b/>
          <w:bCs/>
          <w:lang w:val="ru-RU"/>
        </w:rPr>
        <w:tab/>
        <w:t>Позитивные аспекты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принятие в ноябре 2003</w:t>
      </w:r>
      <w:r>
        <w:t> </w:t>
      </w:r>
      <w:r>
        <w:rPr>
          <w:lang w:val="ru-RU"/>
        </w:rPr>
        <w:t>года Национального плана действий по поощрению равного обращения и многообразия и по борьбе против расизма в рамках последующих мер по реализации Дурбанской декларации и Программы действий.</w:t>
      </w:r>
    </w:p>
    <w:p w:rsidR="00000000" w:rsidRDefault="00000000">
      <w:pPr>
        <w:rPr>
          <w:lang w:val="ru-RU"/>
        </w:rPr>
      </w:pP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принятие в мае 2003</w:t>
      </w:r>
      <w:r>
        <w:t> </w:t>
      </w:r>
      <w:r>
        <w:rPr>
          <w:lang w:val="ru-RU"/>
        </w:rPr>
        <w:t>года Закона о равном обращении с лицами различного этнического происхождения, который запрещает дискриминацию по признакам расового и этнического происхождения в плане доступа к социальной защите, доступа к товарам и услугам и их предложения, включая также запрет на притеснения по признакам расы и этнического происхождения.</w:t>
      </w:r>
    </w:p>
    <w:p w:rsidR="00000000" w:rsidRDefault="00000000">
      <w:pPr>
        <w:numPr>
          <w:ilvl w:val="0"/>
          <w:numId w:val="1"/>
        </w:numPr>
        <w:spacing w:after="0"/>
        <w:rPr>
          <w:lang w:val="ru-RU"/>
        </w:rPr>
      </w:pPr>
      <w:r>
        <w:rPr>
          <w:lang w:val="ru-RU"/>
        </w:rPr>
        <w:t>Комитет с одобрением отмечает деятельность, проводимую Датским институтом по правам человека в области борьбы с расовой дискриминацией, а также его полезное участие в диалоге с государством-участником.</w:t>
      </w:r>
    </w:p>
    <w:p w:rsidR="00000000" w:rsidRDefault="00000000">
      <w:pPr>
        <w:spacing w:after="0"/>
        <w:rPr>
          <w:lang w:val="ru-RU"/>
        </w:rPr>
      </w:pP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удовлетворением отмечает, что статья 81 Уголовного кодекса, вступившая в силу 2 апреля 2004</w:t>
      </w:r>
      <w:r>
        <w:t> </w:t>
      </w:r>
      <w:r>
        <w:rPr>
          <w:lang w:val="ru-RU"/>
        </w:rPr>
        <w:t>года, устанавливает, что совершение правонарушения на основании этнического происхождения, верований, сексуальной ориентации и подобных признаков других лиц считается отягчающим вину обстоятельством.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решение государства-участника учредить две новые системы отчетности о решениях по уголовным делам в тех случаях, когда правонарушение было совершено по причине расы, национальности, этнического происхождения, религиозных верований или сексуальной ориентации жертвы или же когда дело касается осуществления Датского закона о запрещении дискриминации по признаку расы.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удовлетворением отмечает, что дети народности рома в Дании более не обязаны посещать занятия, организуемые исключительно на основании их этнического происхождения.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информационно-пропагандистские кампании, которые проводятся в государстве-участнике в рамках борьбы с расовой дискриминацией, в частности кампанию "Расизму - красную карточку", в проведении которой принимают участие профессиональные футболисты.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ru-RU"/>
        </w:rPr>
        <w:t>С.</w:t>
      </w:r>
      <w:r>
        <w:rPr>
          <w:b/>
          <w:bCs/>
          <w:lang w:val="ru-RU"/>
        </w:rPr>
        <w:tab/>
        <w:t>Вопросы, вызывающие озабоченность, и рекомендации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Признавая практику прямого применения положений Конвенции, которой придерживаются национальные суды, Комитет в то же время выражает сожаление в отношении принятого государством-участником решения не инкорпорировать Конвенцию во внутреннюю правовую систему, особенно с учетом того, что государство-участник инкорпорировало другие международно-правовые документы в свое внутригосударственное законодательство (статья</w:t>
      </w:r>
      <w:r>
        <w:t> </w:t>
      </w:r>
      <w:r>
        <w:rPr>
          <w:lang w:val="ru-RU"/>
        </w:rPr>
        <w:t>2).</w:t>
      </w:r>
    </w:p>
    <w:p w:rsidR="00000000" w:rsidRDefault="00000000">
      <w:pPr>
        <w:ind w:left="561"/>
        <w:rPr>
          <w:b/>
          <w:bCs/>
        </w:rPr>
      </w:pPr>
      <w:r>
        <w:rPr>
          <w:b/>
          <w:bCs/>
          <w:lang w:val="ru-RU"/>
        </w:rPr>
        <w:t>Комитет призывает государство-участник в целях полного осуществления положений Конвенции пересмотреть свое решение не включать Конвенцию во внутреннюю правовую систему.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Принимая к сведению усилия государства-участника по борьбе с преступлениями на почве ненависти, Комитет в то же время выражает обеспокоенность в связи с ростом числа правонарушений, совершаемых по расовым мотивам, а также числа жалоб на заявления, ведущие к разжиганию ненависти.  Комитет также выражает озабоченность в отношении заявлений некоторых политических деятелей Дании, ведущих к разжиганию ненависти.  Принимая к сведению представленные статистические данные в отношении жалоб и случаев возбуждения судебного преследования в соответствии со статьей</w:t>
      </w:r>
      <w:r>
        <w:t> </w:t>
      </w:r>
      <w:r>
        <w:rPr>
          <w:lang w:val="ru-RU"/>
        </w:rPr>
        <w:t>266</w:t>
      </w:r>
      <w:r>
        <w:t> </w:t>
      </w:r>
      <w:r>
        <w:rPr>
          <w:lang w:val="en-US"/>
        </w:rPr>
        <w:t>b</w:t>
      </w:r>
      <w:r>
        <w:rPr>
          <w:lang w:val="ru-RU"/>
        </w:rPr>
        <w:t xml:space="preserve"> Уголовного кодекса, Комитет отмечает, что в некоторых случаях Государственный прокурор отказывался возбуждать судебное преследование, в том числе по делу о публикации ряда карикатур, проводящих параллели между исламом и терроризмом (статьи</w:t>
      </w:r>
      <w:r>
        <w:t> </w:t>
      </w:r>
      <w:r>
        <w:rPr>
          <w:lang w:val="ru-RU"/>
        </w:rPr>
        <w:t>4</w:t>
      </w:r>
      <w:r>
        <w:t> </w:t>
      </w:r>
      <w:r>
        <w:rPr>
          <w:lang w:val="ru-RU"/>
        </w:rPr>
        <w:t>а) и 6).</w:t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ru-RU"/>
        </w:rPr>
        <w:t>Государству-участнику следует активизировать свои усилия по предотвращению правонарушений, совершаемых по расовым мотивам, и высказываний, ведущих к разжиганию ненависти, а также по обеспечению эффективного осуществления соответствующих положений уголовного законодательства.  Комитет напоминает о том, что осуществление права на свободу выражения мнения предполагает особые обязанности и особую ответственность, в частности обязательство не распространять расистские идеи, и рекомендует государству-участнику принимать решительные меры по противодействию любой тенденции, особенно среди политиков, преследовать, клеймить, позорить или членить людей по причине их расы, цвета кожи, родового, а также национального или этнического происхождения.  Учитывая свою общую рекомендацию</w:t>
      </w:r>
      <w:r>
        <w:rPr>
          <w:b/>
          <w:bCs/>
        </w:rPr>
        <w:t> </w:t>
      </w:r>
      <w:r>
        <w:rPr>
          <w:b/>
          <w:bCs/>
          <w:lang w:val="ru-RU"/>
        </w:rPr>
        <w:t>ХХХ</w:t>
      </w:r>
      <w:r>
        <w:rPr>
          <w:b/>
          <w:bCs/>
        </w:rPr>
        <w:t>I</w:t>
      </w:r>
      <w:r>
        <w:rPr>
          <w:b/>
          <w:bCs/>
          <w:lang w:val="ru-RU"/>
        </w:rPr>
        <w:t xml:space="preserve"> (2005) о предупреждении расовой дискриминации в процессе отправления и функционирования системы уголовной юстиции, Комитет также просит государство-участник напомнить государственным прокурорам и сотрудникам прокуратуры о важном значении преследования за расистские действия, включая незначительные правонарушения, совершенные по расистским мотивам, поскольку любые правонарушения, совершенные по расовым мотивам, подрывают социальную сплоченность и общество в целом.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выражает сожаление в связи с тем, что государство-участник не представило достаточной информации в отношении лиц, относящихся к народности рома в Дании, и об осуществлении ими своих прав по Конвенции (статьи</w:t>
      </w:r>
      <w:r>
        <w:t> </w:t>
      </w:r>
      <w:r>
        <w:rPr>
          <w:lang w:val="ru-RU"/>
        </w:rPr>
        <w:t>2 и 5).</w:t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ru-RU"/>
        </w:rPr>
        <w:t>Комитет рекомендует государству-участнику представить соответствующую информацию по этим вопросам.  Комитет хотел бы знать причины, по которым народность рома не пользуется статусом национального меньшинства согласно Рамочной конвенции о защите национальных меньшинств со всеми вытекающими из этого статуса правами.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Комитет с озабоченность отмечает, что принимаемые Советом по беженцам решения по просьбам о предоставлении убежища являются окончательными и не могут быть обжалованы в суд.  Комитет также обеспокоен информацией, согласно которой лица, просящие убежища, могут жить с детьми в специальных центрах на протяжении ряда лет, имеют право лишь в ограниченной степени заниматься социальной, профессиональной, образовательной и культурной деятельностью вне этих центров и могут многократно переводиться из одного центра в другой, что ведет к разрушению сложившихся связей (статья</w:t>
      </w:r>
      <w:r>
        <w:t> </w:t>
      </w:r>
      <w:r>
        <w:rPr>
          <w:lang w:val="ru-RU"/>
        </w:rPr>
        <w:t>5).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предоставить просителям убежища право обжаловать решения Совета по беженцам.  Он также рекомендует государству-участнику пересмотреть свою политику в отношении центров для лиц, просящих убежища, в целях обеспечения того, чтобы их права по Конвенции соблюдались в полной мере.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Отмечая, что государство-участник в настоящее время изучает данный вопрос, Комитет выражает обеспокоенность в отношении того, что иностранки, ставшие жертвами насилия в семье, не могут, опасаясь высылки, просить помощи или требовать развода или  раздельного проживания, хотя могут получить разрешение на пребывание на территории Дании в течение двух лет 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en-US"/>
        </w:rPr>
        <w:t>b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ru-RU"/>
        </w:rPr>
        <w:t>Комитет, обращая внимание государства-участника на свою общую рекомендацию №</w:t>
      </w:r>
      <w:r>
        <w:rPr>
          <w:b/>
          <w:bCs/>
        </w:rPr>
        <w:t> </w:t>
      </w:r>
      <w:r>
        <w:rPr>
          <w:b/>
          <w:bCs/>
          <w:lang w:val="ru-RU"/>
        </w:rPr>
        <w:t>25 (2000</w:t>
      </w:r>
      <w:r>
        <w:rPr>
          <w:b/>
          <w:bCs/>
        </w:rPr>
        <w:t> </w:t>
      </w:r>
      <w:r>
        <w:rPr>
          <w:b/>
          <w:bCs/>
          <w:lang w:val="ru-RU"/>
        </w:rPr>
        <w:t>года) о гендерных аспектах расовой дискриминации, рекомендует государству-участнику учитывать особую уязвимость иностранок, ставших жертвами насилия в семье, и принимать все необходимые меры к устранению факторов, мешающих им обращаться за помощью или принимать меры к получению развода или возможности раздельного проживания.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Комитет подтверждает свою обеспокоенность в отношении существующих в датском законодательстве ограничительных положений, касающихся воссоединения семей.  В</w:t>
      </w:r>
      <w:r>
        <w:t> </w:t>
      </w:r>
      <w:r>
        <w:rPr>
          <w:lang w:val="ru-RU"/>
        </w:rPr>
        <w:t>частности, условия, согласно которым оба супруга должны достичь 24</w:t>
      </w:r>
      <w:r>
        <w:rPr>
          <w:lang w:val="ru-RU"/>
        </w:rPr>
        <w:noBreakHyphen/>
        <w:t>летнего возраста для получения права на воссоединение семьи и их общие связи с Данией должны быть более прочными, чем с какой-либо другой страной, за исключением случая, когда проживающий в Дании супруг (супруга) является гражданином Дании или проживает в Дании на протяжении более 28</w:t>
      </w:r>
      <w:r>
        <w:t> </w:t>
      </w:r>
      <w:r>
        <w:rPr>
          <w:lang w:val="ru-RU"/>
        </w:rPr>
        <w:t>лет, могут вести в некоторых случаях к дискриминации в отношении лиц, относящихся к этническим или национальным меньшинствам, в том что касается осуществления их права на семейную жизнь, вступление в брак и выбор супруга (супруги).  Комитет также выражает сожаление в отношении того, что право на воссоединение семьи распространяется только на детей в возрасте моложе 15</w:t>
      </w:r>
      <w:r>
        <w:t> </w:t>
      </w:r>
      <w:r>
        <w:rPr>
          <w:lang w:val="ru-RU"/>
        </w:rPr>
        <w:t>лет 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en-US"/>
        </w:rPr>
        <w:t>d</w:t>
      </w:r>
      <w:r>
        <w:rPr>
          <w:lang w:val="ru-RU"/>
        </w:rPr>
        <w:t xml:space="preserve">) </w:t>
      </w:r>
      <w:r>
        <w:rPr>
          <w:lang w:val="en-US"/>
        </w:rPr>
        <w:t>iv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ru-RU"/>
        </w:rPr>
        <w:t>Комитет рекомендует государству-участнику пересмотреть свое законодательство для обеспечения того, чтобы право на семейную жизнь, вступление в брак и выбор супруга (супруги) было гарантировано каждому лицу, без какой-либо дискриминации по признаку национального или этнического происхождения.  Он также рекомендует, чтобы право на воссоединение семьи распространялось на детей в возрасте моложе 18</w:t>
      </w:r>
      <w:r>
        <w:rPr>
          <w:b/>
          <w:bCs/>
        </w:rPr>
        <w:t> </w:t>
      </w:r>
      <w:r>
        <w:rPr>
          <w:b/>
          <w:bCs/>
          <w:lang w:val="ru-RU"/>
        </w:rPr>
        <w:t>лет.  Государству-участнику следует обеспечивать, чтобы принимаемые им меры по предотвращению недобровольного вступления в брак не оказывали непропорционального влияния на права лиц, относящихся к этническим или национальным меньшинствам.  Государству следует проанализировать вопрос о том, в какой мере условие для воссоединения супругов, согласно которому супруг(а) проживающий в Дании, должен представить банковскую гарантию и не должен получать какой-либо государственной помощи для обеспечения средств к существованию на протяжении года, предшествующего воссоединению, можно считать равнозначным косвенной дискриминации в отношении групп меньшинств, которые часто подвергаются социально-экономической маргинализации.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также выражает обеспокоенность в связи с тем, что уровень безработицы среди "иммигрантов" и "выходцев" из стран, не относящихся к странам Европейского союза, странам Северной Америки и Северным странам, по</w:t>
      </w:r>
      <w:r>
        <w:rPr>
          <w:lang w:val="ru-RU"/>
        </w:rPr>
        <w:noBreakHyphen/>
        <w:t>прежнему значительно выше по сравнению с соответствующим показателем для лиц датского происхождения, что признается и самим государством-участником 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ru-RU"/>
        </w:rPr>
        <w:t xml:space="preserve">е) </w:t>
      </w:r>
      <w:r>
        <w:rPr>
          <w:lang w:val="en-US"/>
        </w:rPr>
        <w:t>i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проанализировать вопрос о том, в какой мере непропорционально высокий уровень безработицы среди лиц, являющихся выходцами или приезжающих из стран, не относящихся к странам Евросоюза, Северной Америки и группы Северных стран, можно отнести на счет дискриминации, которой они подвергаются в поисках работы, и принять меры по борьбе с этим явлением.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Приветствуя стремление государства-участника предотвращать процессы, ведущие к "геттоизации", Комитет в то же время выражает сожаление в связи с тем, что ему не было представлено информации по вопросу о последствиях такой политики для права людей, принадлежащих к этническим или национальным меньшинствам, свободно выбирать место жительства, а также для практического осуществления их культурных прав (статья</w:t>
      </w:r>
      <w:r>
        <w:t> </w:t>
      </w:r>
      <w:r>
        <w:rPr>
          <w:lang w:val="ru-RU"/>
        </w:rPr>
        <w:t xml:space="preserve">5 </w:t>
      </w:r>
      <w:r>
        <w:t>d</w:t>
      </w:r>
      <w:r>
        <w:rPr>
          <w:lang w:val="ru-RU"/>
        </w:rPr>
        <w:t xml:space="preserve">) </w:t>
      </w:r>
      <w:r>
        <w:t>i</w:t>
      </w:r>
      <w:r>
        <w:rPr>
          <w:lang w:val="ru-RU"/>
        </w:rPr>
        <w:t xml:space="preserve">) и е) </w:t>
      </w:r>
      <w:r>
        <w:t>iii</w:t>
      </w:r>
      <w:r>
        <w:rPr>
          <w:lang w:val="ru-RU"/>
        </w:rPr>
        <w:t xml:space="preserve">) и </w:t>
      </w:r>
      <w:r>
        <w:t>vi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 xml:space="preserve">Комитет хотел бы получить более подробную информацию по данному вопросу, в частности о мерах, принимаемых государством-участником для обеспечения надлежащего баланса между необходимостью недопущения "геттоизации" и необходимостью обеспечения права на свободный выбор места жительства и культурных прав лиц, относящихся к этническим или национальным 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меньшинствам.  Комитет просит представить ему информацию в отношении того, в какой мере соответствующие лица принимают участие в процессе принятия решений, затрагивающих их интересы.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обеспокоен тем, что согласно закону № 361 от июня 2006</w:t>
      </w:r>
      <w:r>
        <w:t> </w:t>
      </w:r>
      <w:r>
        <w:rPr>
          <w:lang w:val="ru-RU"/>
        </w:rPr>
        <w:t>года социальные пособия лицам, приезжающим в Данию, были снижены, с тем чтобы побудить их искать работу;  согласно сообщениям, такая политика ведет к социальной маргинализации, росту нищеты и усилению зависимости лиц, которые не могут сами обеспечивать себя, от системы социального обеспечения.  Сознавая, что эта новая норма касается как граждан, так и неграждан, Комитет с озабоченностью отмечает, что в первую очередь такая политика затрагивает иностранцев (статья 5).</w:t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ru-RU"/>
        </w:rPr>
        <w:t>Комитет рекомендует государству-участнику пересмотреть свою политику в целях обеспечения того, чтобы приезжающие в Данию иностранцы не скатывались к нищете и не подвергались социальной маргинализации.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Приветствуя тот факт, что муниципалитеты обязаны обеспечивать обучение на родном языке учащихся, владеющих в равной степени двумя языками, которые приезжают или являются выходцами из стран Европейского союза и европейской экономической зоны, а также с Фарерских Островов и из Гренландии, Комитет выражает сожаление в связи с тем, что в 2002 году было отменено аналогичное обязательство муниципалитета в отношении владеющих двумя языками учащихся из других стран и что муниципалитеты более не получают финансовой поддержки на эти цели (статьи 5 е) </w:t>
      </w:r>
      <w:r>
        <w:t>v</w:t>
      </w:r>
      <w:r>
        <w:rPr>
          <w:lang w:val="ru-RU"/>
        </w:rPr>
        <w:t>) и</w:t>
      </w:r>
      <w:r>
        <w:t> vi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пересмотреть свою политику, принимая во внимание его обязательство по Конвенции не проводить дискриминацию в отношении лиц по признаку их национального или этнического происхождения или же дискриминацию в отношении лиц какой-либо конкретной национальности.  Комитет напоминает о том, что различное обращение с людьми в зависимости от их национальности или национального или этнического происхождения представляет собой дискриминацию, если критерии для проведения таких различий, оцениваемые с учетом целей и задач Конвенции, применяются не в соответствии с какой-либо законной целью и не являются соразмерными задаче по достижению этой цели.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обеспокоенностью отмечает, что в решении Верховного суда от 28</w:t>
      </w:r>
      <w:r>
        <w:t> </w:t>
      </w:r>
      <w:r>
        <w:rPr>
          <w:lang w:val="ru-RU"/>
        </w:rPr>
        <w:t>ноября 2003</w:t>
      </w:r>
      <w:r>
        <w:t> </w:t>
      </w:r>
      <w:r>
        <w:rPr>
          <w:lang w:val="ru-RU"/>
        </w:rPr>
        <w:t>года по делу о племени туле в Гренландии данное племя не рассматривается в качестве отдельной коренной народности, – несмотря на то, что само оно воспринимает себя именно в качестве таковой – на том основании, что в настоящее время уроженцы этого племени проживают в тех же условиях, что и прочие жители Гренландии.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 xml:space="preserve">Комитет, обращая внимание государства-участника на свои общие рекомендации </w:t>
      </w:r>
      <w:r>
        <w:rPr>
          <w:b/>
          <w:bCs/>
        </w:rPr>
        <w:t>VIII</w:t>
      </w:r>
      <w:r>
        <w:rPr>
          <w:b/>
          <w:bCs/>
          <w:lang w:val="ru-RU"/>
        </w:rPr>
        <w:t xml:space="preserve"> (1990 год) по вопросу о причислении индивидуумов к той или иной расовой или этнической группе и ХХ</w:t>
      </w:r>
      <w:r>
        <w:rPr>
          <w:b/>
          <w:bCs/>
        </w:rPr>
        <w:t>III</w:t>
      </w:r>
      <w:r>
        <w:rPr>
          <w:b/>
          <w:bCs/>
          <w:lang w:val="ru-RU"/>
        </w:rPr>
        <w:t xml:space="preserve"> (1997 год) по вопросу о коренных народах, рекомендует государству-участнику уделять особое внимание тому, каким образом коренные народы идентифицируют себя.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Комитет, приветствуя тот факт, что Комитету по рассмотрению жалоб в целях обеспечения равного обращения с лицами различного этнического происхождения были предоставлены полномочия по рассмотрению жалоб частных лиц на дискриминацию по признаку расового и этнического происхождения, с озабоченностью отмечает, что Комитет по рассмотрению жалоб не может рекомендовать предоставление бесплатной юридической помощи предполагаемым жертвам, когда он считает, что этот вопрос требует рассмотрения в суде, и что этот Комитет на основе собственного расследования не может констатировать факты дискриминации (статья 6).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предоставить Комитету по рассмотрению жалоб надлежащие полномочия для выполнения своих функций по борьбе с расовой дискриминацией, в частности путем предоставления ему полномочий рекомендовать оказание бесплатной юридической помощи предполагаемым жертвам в случаях, когда он считает это целесообразным.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Приветствуя усилия государства-участника по расширению участия лиц, относящихся к национальным и этническим меньшинствам, в экономической и социальной жизни, Комитет отмечает, что, как представляется, интеграционная политика и программы не поощряют этих лиц выражать и развивать свои культурные традиции.  Он с озабоченностью отмечает, что школьная программа на всех уровнях образования, как представляется, не обеспечивает достаточной информации по вопросам, касающимся культуры этих меньшинств, и что, согласно сообщениям, культурное многообразие в Дании недостаточно проявляется в области культуры и информации (статьи 5 и 7).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Государству-участнику следует принять незамедлительные и эффективные меры, с тем чтобы отразить культурное многообразие Дании в областях образования, культуры и информации.  Комитет также рекомендует государству-участнику обеспечить, чтобы осуществляемые им интеграционная политика и программы не имели своей целью или следствием непропорциональное ограничение культурных прав лиц, относящихся к национальным или этническим меньшинствам.  Комитет далее призывает государство-участник обеспечивать участие этих групп в разработке и реализации интеграционной политики и программ как на общенациональном уровне, так и на местах.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широко публиковать свои доклады с момента их представления, также публиковать замечания Комитета по этим докладам.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Государству-участнику следует в годичный срок представить информацию в отношении того, каким образом оно выполняет рекомендации Комитета, изложенные в пунктах 11, 13 и 15</w:t>
      </w:r>
      <w:r>
        <w:rPr>
          <w:color w:val="000000"/>
          <w:lang w:val="ru-RU"/>
        </w:rPr>
        <w:t xml:space="preserve"> </w:t>
      </w:r>
      <w:r>
        <w:rPr>
          <w:lang w:val="ru-RU"/>
        </w:rPr>
        <w:t>выше, в соответствии с пунктом 1 правила 65 правил процедуры Комитета.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представить свой восемнадцатый периодический доклад вместе с девятнадцатым периодическим докладом в одном документе не позднее 8 января 2009</w:t>
      </w:r>
      <w:r>
        <w:t> </w:t>
      </w:r>
      <w:r>
        <w:rPr>
          <w:lang w:val="ru-RU"/>
        </w:rPr>
        <w:t>года и отразить в нем все моменты, затронутые в настоящих заключительных замечаниях.</w:t>
      </w:r>
    </w:p>
    <w:p w:rsidR="00000000" w:rsidRDefault="00000000">
      <w:pPr>
        <w:jc w:val="center"/>
      </w:pPr>
      <w:r>
        <w:t>- - -</w:t>
      </w:r>
    </w:p>
    <w:sectPr w:rsidR="00000000">
      <w:headerReference w:type="even" r:id="rId9"/>
      <w:headerReference w:type="default" r:id="rId10"/>
      <w:footerReference w:type="first" r:id="rId11"/>
      <w:pgSz w:w="11906" w:h="16838" w:code="9"/>
      <w:pgMar w:top="975" w:right="1440" w:bottom="1440" w:left="1440" w:header="1021" w:footer="679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fr-CH"/>
      </w:rPr>
    </w:pPr>
    <w:r>
      <w:rPr>
        <w:lang w:val="fr-CH"/>
      </w:rPr>
      <w:t>GE.06-44742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after="0"/>
    </w:pPr>
    <w:fldSimple w:instr=" FILLIN &quot;Symbol&quot; \* MERGEFORMAT ">
      <w:r>
        <w:t>CERD/C/DEN/CO/</w:t>
      </w:r>
    </w:fldSimple>
    <w:r>
      <w:t>17</w:t>
    </w:r>
  </w:p>
  <w:p w:rsidR="00000000" w:rsidRDefault="00000000">
    <w:pPr>
      <w:pStyle w:val="Header"/>
      <w:spacing w:after="0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640"/>
        <w:tab w:val="right" w:pos="9000"/>
      </w:tabs>
      <w:spacing w:after="0"/>
    </w:pPr>
    <w:r>
      <w:tab/>
    </w:r>
    <w:r>
      <w:tab/>
      <w:t xml:space="preserve">   </w:t>
    </w:r>
    <w:fldSimple w:instr=" FILLIN &quot;Symbol&quot; \* MERGEFORMAT ">
      <w:r>
        <w:t>CERD/C/DEN/CO/</w:t>
      </w:r>
    </w:fldSimple>
    <w:r>
      <w:t>17</w:t>
    </w:r>
  </w:p>
  <w:p w:rsidR="00000000" w:rsidRDefault="00000000">
    <w:pPr>
      <w:pStyle w:val="Header"/>
      <w:spacing w:after="0"/>
      <w:rPr>
        <w:rStyle w:val="PageNumber"/>
      </w:rPr>
    </w:pPr>
    <w:r>
      <w:tab/>
      <w:t xml:space="preserve">                                                                                               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640"/>
        <w:tab w:val="right" w:pos="9120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7D81"/>
    <w:multiLevelType w:val="hybridMultilevel"/>
    <w:tmpl w:val="FCDC3E08"/>
    <w:lvl w:ilvl="0" w:tplc="47C8114C">
      <w:start w:val="25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6EB5"/>
    <w:multiLevelType w:val="hybridMultilevel"/>
    <w:tmpl w:val="C682F800"/>
    <w:lvl w:ilvl="0" w:tplc="68BEBA48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A2051C"/>
    <w:multiLevelType w:val="hybridMultilevel"/>
    <w:tmpl w:val="9E9AF0B2"/>
    <w:lvl w:ilvl="0" w:tplc="A9942408">
      <w:start w:val="25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DF1F34"/>
    <w:multiLevelType w:val="hybridMultilevel"/>
    <w:tmpl w:val="D5DABB4C"/>
    <w:lvl w:ilvl="0" w:tplc="8200DD8C">
      <w:start w:val="25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560A08"/>
    <w:multiLevelType w:val="hybridMultilevel"/>
    <w:tmpl w:val="95E88C80"/>
    <w:lvl w:ilvl="0" w:tplc="F6129FB0">
      <w:start w:val="24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FF1204"/>
    <w:multiLevelType w:val="hybridMultilevel"/>
    <w:tmpl w:val="8C52B6EA"/>
    <w:lvl w:ilvl="0" w:tplc="6DCC9BF4">
      <w:start w:val="24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0319AD"/>
    <w:multiLevelType w:val="hybridMultilevel"/>
    <w:tmpl w:val="54EE8C44"/>
    <w:lvl w:ilvl="0" w:tplc="A694E554">
      <w:start w:val="24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DB1B4A"/>
    <w:multiLevelType w:val="hybridMultilevel"/>
    <w:tmpl w:val="449EAFC6"/>
    <w:lvl w:ilvl="0" w:tplc="F31ADBD6">
      <w:start w:val="24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C3075B"/>
    <w:multiLevelType w:val="hybridMultilevel"/>
    <w:tmpl w:val="38021674"/>
    <w:lvl w:ilvl="0" w:tplc="FA5680E4">
      <w:start w:val="25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F87CE7"/>
    <w:multiLevelType w:val="hybridMultilevel"/>
    <w:tmpl w:val="EF425EF8"/>
    <w:lvl w:ilvl="0" w:tplc="0FC40FA0">
      <w:start w:val="24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28609B"/>
    <w:multiLevelType w:val="hybridMultilevel"/>
    <w:tmpl w:val="0C6ABBD4"/>
    <w:lvl w:ilvl="0" w:tplc="E794ABD2">
      <w:start w:val="23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4A7857"/>
    <w:multiLevelType w:val="hybridMultilevel"/>
    <w:tmpl w:val="E146D5FA"/>
    <w:lvl w:ilvl="0" w:tplc="8C5076D2">
      <w:start w:val="25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62280C"/>
    <w:multiLevelType w:val="hybridMultilevel"/>
    <w:tmpl w:val="2F30A2A4"/>
    <w:lvl w:ilvl="0" w:tplc="0664ABEC">
      <w:start w:val="24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272BA8"/>
    <w:multiLevelType w:val="hybridMultilevel"/>
    <w:tmpl w:val="FD6472CA"/>
    <w:lvl w:ilvl="0" w:tplc="49584650">
      <w:start w:val="26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5D0351"/>
    <w:multiLevelType w:val="hybridMultilevel"/>
    <w:tmpl w:val="C26C4820"/>
    <w:lvl w:ilvl="0" w:tplc="99E42B4E">
      <w:start w:val="24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FF5E25"/>
    <w:multiLevelType w:val="hybridMultilevel"/>
    <w:tmpl w:val="A52295BA"/>
    <w:lvl w:ilvl="0" w:tplc="FCF02436">
      <w:start w:val="25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00361A"/>
    <w:multiLevelType w:val="hybridMultilevel"/>
    <w:tmpl w:val="1B145860"/>
    <w:lvl w:ilvl="0" w:tplc="19F06034">
      <w:start w:val="26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F02102"/>
    <w:multiLevelType w:val="hybridMultilevel"/>
    <w:tmpl w:val="A8A2F438"/>
    <w:lvl w:ilvl="0" w:tplc="4C0861B4">
      <w:start w:val="25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8B028E"/>
    <w:multiLevelType w:val="hybridMultilevel"/>
    <w:tmpl w:val="FE2EBD0C"/>
    <w:lvl w:ilvl="0" w:tplc="10CCD5BA">
      <w:start w:val="24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5F26B9"/>
    <w:multiLevelType w:val="hybridMultilevel"/>
    <w:tmpl w:val="51B02778"/>
    <w:lvl w:ilvl="0" w:tplc="94808D76">
      <w:start w:val="25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2C90E41"/>
    <w:multiLevelType w:val="hybridMultilevel"/>
    <w:tmpl w:val="0A42E0F8"/>
    <w:lvl w:ilvl="0" w:tplc="C292E446">
      <w:start w:val="24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5A0F89"/>
    <w:multiLevelType w:val="hybridMultilevel"/>
    <w:tmpl w:val="DF962838"/>
    <w:lvl w:ilvl="0" w:tplc="900C885E">
      <w:start w:val="26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B91746"/>
    <w:multiLevelType w:val="hybridMultilevel"/>
    <w:tmpl w:val="1D083038"/>
    <w:lvl w:ilvl="0" w:tplc="25048FAC">
      <w:start w:val="25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78B1"/>
    <w:multiLevelType w:val="hybridMultilevel"/>
    <w:tmpl w:val="F4FAA26E"/>
    <w:lvl w:ilvl="0" w:tplc="B816C0EE">
      <w:start w:val="24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588313F"/>
    <w:multiLevelType w:val="hybridMultilevel"/>
    <w:tmpl w:val="5EB006A8"/>
    <w:lvl w:ilvl="0" w:tplc="5538A76C">
      <w:start w:val="25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617068"/>
    <w:multiLevelType w:val="hybridMultilevel"/>
    <w:tmpl w:val="8F368C8E"/>
    <w:lvl w:ilvl="0" w:tplc="5F000BB6">
      <w:start w:val="23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5"/>
  </w:num>
  <w:num w:numId="4">
    <w:abstractNumId w:val="7"/>
  </w:num>
  <w:num w:numId="5">
    <w:abstractNumId w:val="5"/>
  </w:num>
  <w:num w:numId="6">
    <w:abstractNumId w:val="20"/>
  </w:num>
  <w:num w:numId="7">
    <w:abstractNumId w:val="4"/>
  </w:num>
  <w:num w:numId="8">
    <w:abstractNumId w:val="12"/>
  </w:num>
  <w:num w:numId="9">
    <w:abstractNumId w:val="18"/>
  </w:num>
  <w:num w:numId="10">
    <w:abstractNumId w:val="14"/>
  </w:num>
  <w:num w:numId="11">
    <w:abstractNumId w:val="9"/>
  </w:num>
  <w:num w:numId="12">
    <w:abstractNumId w:val="23"/>
  </w:num>
  <w:num w:numId="13">
    <w:abstractNumId w:val="6"/>
  </w:num>
  <w:num w:numId="14">
    <w:abstractNumId w:val="3"/>
  </w:num>
  <w:num w:numId="15">
    <w:abstractNumId w:val="15"/>
  </w:num>
  <w:num w:numId="16">
    <w:abstractNumId w:val="17"/>
  </w:num>
  <w:num w:numId="17">
    <w:abstractNumId w:val="24"/>
  </w:num>
  <w:num w:numId="18">
    <w:abstractNumId w:val="19"/>
  </w:num>
  <w:num w:numId="19">
    <w:abstractNumId w:val="22"/>
  </w:num>
  <w:num w:numId="20">
    <w:abstractNumId w:val="8"/>
  </w:num>
  <w:num w:numId="21">
    <w:abstractNumId w:val="2"/>
  </w:num>
  <w:num w:numId="22">
    <w:abstractNumId w:val="0"/>
  </w:num>
  <w:num w:numId="23">
    <w:abstractNumId w:val="11"/>
  </w:num>
  <w:num w:numId="24">
    <w:abstractNumId w:val="13"/>
  </w:num>
  <w:num w:numId="25">
    <w:abstractNumId w:val="16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eastAsia="Times New Roman"/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5">
    <w:name w:val="heading 5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4"/>
    </w:pPr>
    <w:rPr>
      <w:rFonts w:eastAsia="SimSun"/>
      <w:i/>
      <w:u w:val="single"/>
      <w:lang w:val="ru-RU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a">
    <w:name w:val="название"/>
    <w:basedOn w:val="Normal"/>
    <w:pPr>
      <w:widowControl w:val="0"/>
      <w:spacing w:after="0"/>
    </w:pPr>
    <w:rPr>
      <w:rFonts w:ascii="Courier" w:hAnsi="Courier"/>
      <w:snapToGrid w:val="0"/>
      <w:lang w:val="ru-RU" w:eastAsia="ru-RU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2556</Words>
  <Characters>14571</Characters>
  <Application>Microsoft Office Word</Application>
  <DocSecurity>4</DocSecurity>
  <Lines>121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International Computing Centre</Company>
  <LinksUpToDate>false</LinksUpToDate>
  <CharactersWithSpaces>17894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OHCHR</dc:creator>
  <cp:keywords/>
  <dc:description/>
  <cp:lastModifiedBy>csd</cp:lastModifiedBy>
  <cp:revision>4</cp:revision>
  <cp:lastPrinted>2006-10-23T07:59:00Z</cp:lastPrinted>
  <dcterms:created xsi:type="dcterms:W3CDTF">2006-10-23T07:24:00Z</dcterms:created>
  <dcterms:modified xsi:type="dcterms:W3CDTF">2006-10-23T07:59:00Z</dcterms:modified>
</cp:coreProperties>
</file>