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FEFAD" w14:textId="77777777" w:rsidR="00E06A3C" w:rsidRDefault="00E06A3C" w:rsidP="00E06A3C">
      <w:pPr>
        <w:spacing w:line="240" w:lineRule="auto"/>
        <w:rPr>
          <w:sz w:val="2"/>
        </w:rPr>
        <w:sectPr w:rsidR="00E06A3C" w:rsidSect="00D678D9">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p>
    <w:p w14:paraId="2CFB660A" w14:textId="77777777" w:rsidR="00D678D9" w:rsidRPr="00D678D9" w:rsidRDefault="00D678D9" w:rsidP="00D678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D678D9">
        <w:rPr>
          <w:lang w:val="fr-FR"/>
        </w:rPr>
        <w:t>Comité pour l’élimination de la discrimination à l’égard des femmes</w:t>
      </w:r>
    </w:p>
    <w:p w14:paraId="09E17F0F" w14:textId="77777777" w:rsidR="00D678D9" w:rsidRPr="00D678D9" w:rsidRDefault="00D678D9" w:rsidP="00D678D9">
      <w:pPr>
        <w:pStyle w:val="SingleTxt"/>
        <w:spacing w:after="0" w:line="120" w:lineRule="exact"/>
        <w:rPr>
          <w:sz w:val="10"/>
          <w:lang w:val="fr-FR"/>
        </w:rPr>
      </w:pPr>
    </w:p>
    <w:p w14:paraId="260C2EC1" w14:textId="77777777" w:rsidR="00D678D9" w:rsidRPr="00D678D9" w:rsidRDefault="00D678D9" w:rsidP="00D678D9">
      <w:pPr>
        <w:pStyle w:val="SingleTxt"/>
        <w:spacing w:after="0" w:line="120" w:lineRule="exact"/>
        <w:rPr>
          <w:sz w:val="10"/>
          <w:lang w:val="fr-FR"/>
        </w:rPr>
      </w:pPr>
    </w:p>
    <w:p w14:paraId="58453DCD" w14:textId="77777777" w:rsidR="00D678D9" w:rsidRPr="00D678D9" w:rsidRDefault="00D678D9" w:rsidP="00D678D9">
      <w:pPr>
        <w:pStyle w:val="SingleTxt"/>
        <w:spacing w:after="0" w:line="120" w:lineRule="exact"/>
        <w:rPr>
          <w:sz w:val="10"/>
          <w:lang w:val="fr-FR"/>
        </w:rPr>
      </w:pPr>
    </w:p>
    <w:p w14:paraId="154DB00A" w14:textId="56D98F77" w:rsidR="007243D4" w:rsidRPr="007243D4" w:rsidRDefault="007243D4" w:rsidP="00D46C56">
      <w:pPr>
        <w:framePr w:w="9792" w:h="432" w:hSpace="180" w:wrap="around" w:vAnchor="page" w:hAnchor="page" w:x="1253" w:y="139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1394509C" wp14:editId="62F2FD18">
                <wp:simplePos x="0" y="0"/>
                <wp:positionH relativeFrom="column">
                  <wp:posOffset>548640</wp:posOffset>
                </wp:positionH>
                <wp:positionV relativeFrom="paragraph">
                  <wp:posOffset>-12700</wp:posOffset>
                </wp:positionV>
                <wp:extent cx="914400" cy="0"/>
                <wp:effectExtent l="0" t="0" r="0" b="0"/>
                <wp:wrapNone/>
                <wp:docPr id="200752461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D9CA7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7243D4">
        <w:rPr>
          <w:spacing w:val="5"/>
          <w:w w:val="104"/>
          <w:kern w:val="14"/>
          <w:sz w:val="17"/>
          <w:szCs w:val="20"/>
          <w:lang w:val="fr-FR"/>
          <w14:ligatures w14:val="none"/>
        </w:rPr>
        <w:t>La version originale du présent document n’a pas été revue par les services d’édition.</w:t>
      </w:r>
    </w:p>
    <w:p w14:paraId="43865D95" w14:textId="015ED4AF" w:rsidR="00D678D9" w:rsidRDefault="00D678D9" w:rsidP="00D678D9">
      <w:pPr>
        <w:pStyle w:val="TitleHCH"/>
        <w:ind w:right="1260"/>
        <w:rPr>
          <w:lang w:val="fr-FR"/>
        </w:rPr>
      </w:pPr>
      <w:r w:rsidRPr="00D678D9">
        <w:rPr>
          <w:lang w:val="fr-FR"/>
        </w:rPr>
        <w:tab/>
      </w:r>
      <w:r w:rsidRPr="00D678D9">
        <w:rPr>
          <w:lang w:val="fr-FR"/>
        </w:rPr>
        <w:tab/>
        <w:t>Renseignements reçus de l’Islande au sujet de la suite donnée aux observations finales concernant son neuvième rapport périodique</w:t>
      </w:r>
      <w:r w:rsidRPr="00D678D9">
        <w:rPr>
          <w:b w:val="0"/>
          <w:bCs/>
          <w:sz w:val="20"/>
          <w:szCs w:val="20"/>
          <w:lang w:val="fr-FR"/>
        </w:rPr>
        <w:t>*</w:t>
      </w:r>
    </w:p>
    <w:p w14:paraId="4499D009" w14:textId="77777777" w:rsidR="00D678D9" w:rsidRPr="00D678D9" w:rsidRDefault="00D678D9" w:rsidP="00D678D9">
      <w:pPr>
        <w:pStyle w:val="SingleTxt"/>
        <w:spacing w:after="0" w:line="120" w:lineRule="exact"/>
        <w:rPr>
          <w:sz w:val="10"/>
          <w:lang w:val="fr-FR"/>
        </w:rPr>
      </w:pPr>
    </w:p>
    <w:p w14:paraId="24B2CB45" w14:textId="77777777" w:rsidR="00D678D9" w:rsidRPr="00D678D9" w:rsidRDefault="00D678D9" w:rsidP="00D678D9">
      <w:pPr>
        <w:pStyle w:val="SingleTxt"/>
        <w:spacing w:after="0" w:line="120" w:lineRule="exact"/>
        <w:rPr>
          <w:sz w:val="10"/>
          <w:lang w:val="fr-FR"/>
        </w:rPr>
      </w:pPr>
    </w:p>
    <w:p w14:paraId="14C0EFB4" w14:textId="24E20319" w:rsidR="00D678D9" w:rsidRPr="00D678D9" w:rsidRDefault="00D678D9" w:rsidP="00D678D9">
      <w:pPr>
        <w:pStyle w:val="SingleTxt"/>
        <w:jc w:val="right"/>
        <w:rPr>
          <w:lang w:val="fr-FR"/>
        </w:rPr>
      </w:pPr>
      <w:r w:rsidRPr="00D678D9">
        <w:rPr>
          <w:lang w:val="fr-FR"/>
        </w:rPr>
        <w:t>[Date de réception : 27</w:t>
      </w:r>
      <w:r>
        <w:rPr>
          <w:lang w:val="fr-FR"/>
        </w:rPr>
        <w:t xml:space="preserve"> </w:t>
      </w:r>
      <w:r w:rsidRPr="00D678D9">
        <w:rPr>
          <w:lang w:val="fr-FR"/>
        </w:rPr>
        <w:t>mars 2026]</w:t>
      </w:r>
    </w:p>
    <w:p w14:paraId="48B8864F" w14:textId="77777777" w:rsidR="00D678D9" w:rsidRPr="00D678D9" w:rsidRDefault="00D678D9" w:rsidP="00D678D9">
      <w:pPr>
        <w:pStyle w:val="SingleTxt"/>
        <w:rPr>
          <w:lang w:val="fr-FR"/>
        </w:rPr>
      </w:pPr>
      <w:r w:rsidRPr="00D678D9">
        <w:rPr>
          <w:lang w:val="fr-FR"/>
        </w:rPr>
        <w:br w:type="page"/>
      </w:r>
    </w:p>
    <w:p w14:paraId="6A056E32" w14:textId="2D79F78C" w:rsidR="00D678D9" w:rsidRDefault="00D678D9" w:rsidP="007243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7243D4">
        <w:rPr>
          <w:sz w:val="20"/>
          <w:lang w:val="fr-FR"/>
        </w:rPr>
        <w:lastRenderedPageBreak/>
        <w:tab/>
      </w:r>
      <w:r w:rsidRPr="00D678D9">
        <w:rPr>
          <w:lang w:val="fr-FR"/>
        </w:rPr>
        <w:tab/>
        <w:t>Renseignements sur la suite donnée aux observations finales (</w:t>
      </w:r>
      <w:hyperlink r:id="rId16" w:history="1">
        <w:r w:rsidRPr="00D678D9">
          <w:rPr>
            <w:rStyle w:val="Hyperlink"/>
            <w:lang w:val="fr-FR"/>
          </w:rPr>
          <w:t>CEDAW/C/ISL/CO/9</w:t>
        </w:r>
      </w:hyperlink>
      <w:r w:rsidRPr="00D678D9">
        <w:rPr>
          <w:lang w:val="fr-FR"/>
        </w:rPr>
        <w:t>)</w:t>
      </w:r>
    </w:p>
    <w:p w14:paraId="4C2B678E" w14:textId="77777777" w:rsidR="00D678D9" w:rsidRPr="00D678D9" w:rsidRDefault="00D678D9" w:rsidP="00AF6512">
      <w:pPr>
        <w:pStyle w:val="SingleTxt"/>
        <w:spacing w:after="0" w:line="100" w:lineRule="exact"/>
        <w:rPr>
          <w:sz w:val="10"/>
          <w:lang w:val="fr-FR"/>
        </w:rPr>
      </w:pPr>
    </w:p>
    <w:p w14:paraId="37DBB68A" w14:textId="77777777" w:rsidR="00D678D9" w:rsidRPr="00D678D9" w:rsidRDefault="00D678D9" w:rsidP="00AF6512">
      <w:pPr>
        <w:pStyle w:val="SingleTxt"/>
        <w:spacing w:after="0" w:line="100" w:lineRule="exact"/>
        <w:rPr>
          <w:sz w:val="10"/>
          <w:lang w:val="fr-FR"/>
        </w:rPr>
      </w:pPr>
    </w:p>
    <w:p w14:paraId="6D616AC6" w14:textId="28F974B6" w:rsidR="00D678D9" w:rsidRDefault="00D678D9" w:rsidP="00D678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D678D9">
        <w:rPr>
          <w:lang w:val="fr-FR"/>
        </w:rPr>
        <w:t>A.</w:t>
      </w:r>
      <w:r w:rsidRPr="00D678D9">
        <w:rPr>
          <w:lang w:val="fr-FR"/>
        </w:rPr>
        <w:tab/>
        <w:t>Renseignements concernant le paragraphe 10</w:t>
      </w:r>
    </w:p>
    <w:p w14:paraId="791BE840" w14:textId="77777777" w:rsidR="00D678D9" w:rsidRPr="00D678D9" w:rsidRDefault="00D678D9" w:rsidP="005D16A7">
      <w:pPr>
        <w:pStyle w:val="SingleTxt"/>
        <w:spacing w:after="0" w:line="100" w:lineRule="exact"/>
        <w:rPr>
          <w:sz w:val="10"/>
          <w:lang w:val="fr-FR"/>
        </w:rPr>
      </w:pPr>
    </w:p>
    <w:p w14:paraId="12C95B1A" w14:textId="77777777" w:rsidR="00D678D9" w:rsidRPr="00D678D9" w:rsidRDefault="00D678D9" w:rsidP="005D16A7">
      <w:pPr>
        <w:pStyle w:val="SingleTxt"/>
        <w:spacing w:after="0" w:line="100" w:lineRule="exact"/>
        <w:rPr>
          <w:sz w:val="10"/>
          <w:lang w:val="fr-FR"/>
        </w:rPr>
      </w:pPr>
    </w:p>
    <w:p w14:paraId="4D4A1C60" w14:textId="68F0F0FC" w:rsidR="00D678D9" w:rsidRPr="00D678D9" w:rsidRDefault="00D678D9" w:rsidP="00D678D9">
      <w:pPr>
        <w:pStyle w:val="SingleTxt"/>
        <w:numPr>
          <w:ilvl w:val="0"/>
          <w:numId w:val="27"/>
        </w:numPr>
        <w:tabs>
          <w:tab w:val="num" w:pos="2804"/>
        </w:tabs>
        <w:ind w:left="1267"/>
        <w:rPr>
          <w:lang w:val="fr-FR"/>
        </w:rPr>
      </w:pPr>
      <w:r w:rsidRPr="00D678D9">
        <w:rPr>
          <w:spacing w:val="0"/>
          <w:lang w:val="fr-FR"/>
        </w:rPr>
        <w:t>En ce qui concerne la recommandation formulée par le Comité au paragraphe</w:t>
      </w:r>
      <w:r>
        <w:rPr>
          <w:spacing w:val="0"/>
          <w:lang w:val="fr-FR"/>
        </w:rPr>
        <w:t xml:space="preserve"> </w:t>
      </w:r>
      <w:r w:rsidRPr="00D678D9">
        <w:rPr>
          <w:spacing w:val="0"/>
          <w:lang w:val="fr-FR"/>
        </w:rPr>
        <w:t>10,</w:t>
      </w:r>
      <w:r w:rsidRPr="00D678D9">
        <w:rPr>
          <w:lang w:val="fr-FR"/>
        </w:rPr>
        <w:t xml:space="preserve"> le Gouvernement convient qu’il importe de faire mieux connaître le CEDAW auprès des avocats, juges, fonctionnaires publics, policiers et autres représentants de la loi et de l’ordre. On s’interroge actuellement sur la meilleure façon de doter les institutions en question d’une expertise sur les sujets relevant du CEDAW et des autres traités relatifs aux droits humains conclus sous les auspices de l’ONU. Le Gouvernement est déterminé à faire avancer ces travaux et en tiendra le Comité informé.</w:t>
      </w:r>
    </w:p>
    <w:p w14:paraId="03DBEF2A" w14:textId="77777777" w:rsidR="00D678D9" w:rsidRPr="00D678D9" w:rsidRDefault="00D678D9" w:rsidP="005D16A7">
      <w:pPr>
        <w:pStyle w:val="SingleTxt"/>
        <w:spacing w:after="0" w:line="100" w:lineRule="exact"/>
        <w:rPr>
          <w:b/>
          <w:bCs/>
          <w:sz w:val="10"/>
          <w:lang w:val="fr-FR"/>
        </w:rPr>
      </w:pPr>
    </w:p>
    <w:p w14:paraId="7C8B77F4" w14:textId="77777777" w:rsidR="00D678D9" w:rsidRPr="00D678D9" w:rsidRDefault="00D678D9" w:rsidP="005D16A7">
      <w:pPr>
        <w:pStyle w:val="SingleTxt"/>
        <w:spacing w:after="0" w:line="100" w:lineRule="exact"/>
        <w:rPr>
          <w:b/>
          <w:bCs/>
          <w:sz w:val="10"/>
          <w:lang w:val="fr-FR"/>
        </w:rPr>
      </w:pPr>
    </w:p>
    <w:p w14:paraId="2F2F5ED3" w14:textId="7E59D374" w:rsidR="00D678D9" w:rsidRDefault="00D678D9" w:rsidP="00D678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D678D9">
        <w:rPr>
          <w:lang w:val="fr-FR"/>
        </w:rPr>
        <w:t>B.</w:t>
      </w:r>
      <w:r w:rsidRPr="00D678D9">
        <w:rPr>
          <w:lang w:val="fr-FR"/>
        </w:rPr>
        <w:tab/>
        <w:t>Renseignements concernant le paragraphe</w:t>
      </w:r>
      <w:r>
        <w:rPr>
          <w:lang w:val="fr-FR"/>
        </w:rPr>
        <w:t xml:space="preserve"> </w:t>
      </w:r>
      <w:r w:rsidRPr="00D678D9">
        <w:rPr>
          <w:lang w:val="fr-FR"/>
        </w:rPr>
        <w:t>12</w:t>
      </w:r>
    </w:p>
    <w:p w14:paraId="53456BDA" w14:textId="77777777" w:rsidR="00D678D9" w:rsidRPr="00D678D9" w:rsidRDefault="00D678D9" w:rsidP="005D16A7">
      <w:pPr>
        <w:pStyle w:val="SingleTxt"/>
        <w:spacing w:after="0" w:line="100" w:lineRule="exact"/>
        <w:rPr>
          <w:sz w:val="10"/>
          <w:lang w:val="fr-FR"/>
        </w:rPr>
      </w:pPr>
    </w:p>
    <w:p w14:paraId="35E63BA3" w14:textId="77777777" w:rsidR="00D678D9" w:rsidRPr="00D678D9" w:rsidRDefault="00D678D9" w:rsidP="005D16A7">
      <w:pPr>
        <w:pStyle w:val="SingleTxt"/>
        <w:spacing w:after="0" w:line="100" w:lineRule="exact"/>
        <w:rPr>
          <w:sz w:val="10"/>
          <w:lang w:val="fr-FR"/>
        </w:rPr>
      </w:pPr>
    </w:p>
    <w:p w14:paraId="47559739" w14:textId="77777777" w:rsidR="00D678D9" w:rsidRPr="00D678D9" w:rsidRDefault="00D678D9" w:rsidP="00D678D9">
      <w:pPr>
        <w:pStyle w:val="SingleTxt"/>
        <w:numPr>
          <w:ilvl w:val="0"/>
          <w:numId w:val="27"/>
        </w:numPr>
        <w:tabs>
          <w:tab w:val="num" w:pos="2804"/>
        </w:tabs>
        <w:ind w:left="1267"/>
        <w:rPr>
          <w:lang w:val="fr-FR"/>
        </w:rPr>
      </w:pPr>
      <w:r w:rsidRPr="00D678D9">
        <w:rPr>
          <w:lang w:val="fr-FR"/>
        </w:rPr>
        <w:t>Dans le droit fil de la résolution parlementaire sur le programme d’action en faveur de l’égalité des genres (2026-2029), des travaux seront menés au cours de l’année à venir afin de mieux faire connaître aux femmes la Convention sur l’élimination de toutes les formes de discrimination à l’égard des femmes, ce qui permettra de répondre à l’observation finale formulée par le Comité au paragraphe 12. Des documents d’information sur la Convention seront rédigés à l’attention du public en islandais, en anglais et dans un langage facile à lire et à comprendre. Lors de l’élaboration de ces documents, une attention particulière portera sur la Convention, le Protocole facultatif et les recommandations générales du Comité. Les documents seront présentés en détail lors d’une réunion d’information avec les organisations de défense des droits humains des femmes.</w:t>
      </w:r>
    </w:p>
    <w:p w14:paraId="7AB6579D" w14:textId="77777777" w:rsidR="00D678D9" w:rsidRPr="00D678D9" w:rsidRDefault="00D678D9" w:rsidP="005D16A7">
      <w:pPr>
        <w:pStyle w:val="SingleTxt"/>
        <w:spacing w:after="0" w:line="100" w:lineRule="exact"/>
        <w:rPr>
          <w:b/>
          <w:bCs/>
          <w:sz w:val="10"/>
          <w:lang w:val="fr-FR"/>
        </w:rPr>
      </w:pPr>
    </w:p>
    <w:p w14:paraId="4022A9F7" w14:textId="77777777" w:rsidR="00D678D9" w:rsidRPr="00D678D9" w:rsidRDefault="00D678D9" w:rsidP="005D16A7">
      <w:pPr>
        <w:pStyle w:val="SingleTxt"/>
        <w:spacing w:after="0" w:line="100" w:lineRule="exact"/>
        <w:rPr>
          <w:b/>
          <w:bCs/>
          <w:sz w:val="10"/>
          <w:lang w:val="fr-FR"/>
        </w:rPr>
      </w:pPr>
    </w:p>
    <w:p w14:paraId="399745FE" w14:textId="5711F629" w:rsidR="00D678D9" w:rsidRDefault="00D678D9" w:rsidP="00D678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D678D9">
        <w:rPr>
          <w:lang w:val="fr-FR"/>
        </w:rPr>
        <w:t>C.</w:t>
      </w:r>
      <w:r w:rsidRPr="00D678D9">
        <w:rPr>
          <w:lang w:val="fr-FR"/>
        </w:rPr>
        <w:tab/>
        <w:t>Renseignements concernant le paragraphe</w:t>
      </w:r>
      <w:r>
        <w:rPr>
          <w:lang w:val="fr-FR"/>
        </w:rPr>
        <w:t xml:space="preserve"> </w:t>
      </w:r>
      <w:r w:rsidRPr="00D678D9">
        <w:rPr>
          <w:lang w:val="fr-FR"/>
        </w:rPr>
        <w:t>16</w:t>
      </w:r>
    </w:p>
    <w:p w14:paraId="1F01C937" w14:textId="77777777" w:rsidR="00D678D9" w:rsidRPr="00D678D9" w:rsidRDefault="00D678D9" w:rsidP="005D16A7">
      <w:pPr>
        <w:pStyle w:val="SingleTxt"/>
        <w:spacing w:after="0" w:line="100" w:lineRule="exact"/>
        <w:rPr>
          <w:sz w:val="10"/>
          <w:lang w:val="fr-FR"/>
        </w:rPr>
      </w:pPr>
    </w:p>
    <w:p w14:paraId="2EB8F343" w14:textId="77777777" w:rsidR="00D678D9" w:rsidRPr="00D678D9" w:rsidRDefault="00D678D9" w:rsidP="005D16A7">
      <w:pPr>
        <w:pStyle w:val="SingleTxt"/>
        <w:spacing w:after="0" w:line="100" w:lineRule="exact"/>
        <w:rPr>
          <w:sz w:val="10"/>
          <w:lang w:val="fr-FR"/>
        </w:rPr>
      </w:pPr>
    </w:p>
    <w:p w14:paraId="7B64E468" w14:textId="77777777" w:rsidR="00D678D9" w:rsidRPr="00D678D9" w:rsidRDefault="00D678D9" w:rsidP="00D678D9">
      <w:pPr>
        <w:pStyle w:val="SingleTxt"/>
        <w:numPr>
          <w:ilvl w:val="0"/>
          <w:numId w:val="27"/>
        </w:numPr>
        <w:tabs>
          <w:tab w:val="num" w:pos="2804"/>
        </w:tabs>
        <w:ind w:left="1267"/>
        <w:rPr>
          <w:lang w:val="fr-FR"/>
        </w:rPr>
      </w:pPr>
      <w:r w:rsidRPr="00D678D9">
        <w:rPr>
          <w:lang w:val="fr-FR"/>
        </w:rPr>
        <w:t xml:space="preserve">La création d’un Département de l’égalité au sein du Gouvernement en 2019 a permis de renforcer la coordination des politiques et stratégies publiques en faveur de l’égalité de genre. Bien que des progrès notables aient été réalisés, il reste difficile d’intégrer systématiquement le genre dans tous les domaines de l’action publique et au niveau local. Tout en étant sensible aux orientations formulées par le Comité, le Gouvernement ne pense pas que faire du Département de l’égalité un ministère soit </w:t>
      </w:r>
      <w:r w:rsidRPr="005D16A7">
        <w:rPr>
          <w:spacing w:val="0"/>
          <w:lang w:val="fr-FR"/>
        </w:rPr>
        <w:t xml:space="preserve">la solution structurelle la plus appropriée. Le Département relève désormais du Ministère </w:t>
      </w:r>
      <w:r w:rsidRPr="005D16A7">
        <w:rPr>
          <w:spacing w:val="-4"/>
          <w:lang w:val="fr-FR"/>
        </w:rPr>
        <w:t>de la justice. Pleinement conscient qu’il importe de disposer d’un solide mécanisme national de promotion des femmes, le Gouvernement s’emploie à améliorer en permanence ce cadre, en tenant compte de l’évolution des besoins et des meilleures pratiques.</w:t>
      </w:r>
    </w:p>
    <w:p w14:paraId="689B6064" w14:textId="77777777" w:rsidR="00D678D9" w:rsidRPr="00D678D9" w:rsidRDefault="00D678D9" w:rsidP="00D678D9">
      <w:pPr>
        <w:pStyle w:val="SingleTxt"/>
        <w:numPr>
          <w:ilvl w:val="0"/>
          <w:numId w:val="27"/>
        </w:numPr>
        <w:tabs>
          <w:tab w:val="num" w:pos="2804"/>
        </w:tabs>
        <w:ind w:left="1267"/>
        <w:rPr>
          <w:lang w:val="fr-FR"/>
        </w:rPr>
      </w:pPr>
      <w:r w:rsidRPr="000E170F">
        <w:rPr>
          <w:spacing w:val="0"/>
          <w:lang w:val="fr-FR"/>
        </w:rPr>
        <w:t>La Direction de l’égalité mène actuellement une campagne visant à faire connaître son rôle et son mandat,</w:t>
      </w:r>
      <w:r w:rsidRPr="00D678D9">
        <w:rPr>
          <w:lang w:val="fr-FR"/>
        </w:rPr>
        <w:t xml:space="preserve"> ainsi que le rôle et le mandat du Comité des plaintes en matière d’égalité. Intitulée « Mettons fin à la discrimination » et conduite en islandais et en anglais, cette campagne entend rappeler que la loi interdit toute discrimination, tant sur le lieu de travail que dans la vie quotidienne.</w:t>
      </w:r>
    </w:p>
    <w:p w14:paraId="09132597" w14:textId="77777777" w:rsidR="00D678D9" w:rsidRPr="00D678D9" w:rsidRDefault="00D678D9" w:rsidP="005D16A7">
      <w:pPr>
        <w:pStyle w:val="SingleTxt"/>
        <w:spacing w:after="0" w:line="100" w:lineRule="exact"/>
        <w:rPr>
          <w:b/>
          <w:bCs/>
          <w:sz w:val="10"/>
          <w:lang w:val="fr-FR"/>
        </w:rPr>
      </w:pPr>
    </w:p>
    <w:p w14:paraId="13289AE5" w14:textId="77777777" w:rsidR="00D678D9" w:rsidRPr="00D678D9" w:rsidRDefault="00D678D9" w:rsidP="005D16A7">
      <w:pPr>
        <w:pStyle w:val="SingleTxt"/>
        <w:spacing w:after="0" w:line="100" w:lineRule="exact"/>
        <w:rPr>
          <w:b/>
          <w:bCs/>
          <w:sz w:val="10"/>
          <w:lang w:val="fr-FR"/>
        </w:rPr>
      </w:pPr>
    </w:p>
    <w:p w14:paraId="2BCDCAD9" w14:textId="443A46ED" w:rsidR="00D678D9" w:rsidRDefault="00D678D9" w:rsidP="00D678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D678D9">
        <w:rPr>
          <w:lang w:val="fr-FR"/>
        </w:rPr>
        <w:t>D.</w:t>
      </w:r>
      <w:r w:rsidRPr="00D678D9">
        <w:rPr>
          <w:lang w:val="fr-FR"/>
        </w:rPr>
        <w:tab/>
        <w:t>Renseignements concernant le paragraphe 18</w:t>
      </w:r>
    </w:p>
    <w:p w14:paraId="6270F841" w14:textId="77777777" w:rsidR="00D678D9" w:rsidRPr="00D678D9" w:rsidRDefault="00D678D9" w:rsidP="005D16A7">
      <w:pPr>
        <w:pStyle w:val="SingleTxt"/>
        <w:spacing w:after="0" w:line="100" w:lineRule="exact"/>
        <w:rPr>
          <w:sz w:val="10"/>
          <w:lang w:val="fr-FR"/>
        </w:rPr>
      </w:pPr>
    </w:p>
    <w:p w14:paraId="090BA9D9" w14:textId="77777777" w:rsidR="00D678D9" w:rsidRPr="00D678D9" w:rsidRDefault="00D678D9" w:rsidP="005D16A7">
      <w:pPr>
        <w:pStyle w:val="SingleTxt"/>
        <w:spacing w:after="0" w:line="100" w:lineRule="exact"/>
        <w:rPr>
          <w:sz w:val="10"/>
          <w:lang w:val="fr-FR"/>
        </w:rPr>
      </w:pPr>
    </w:p>
    <w:p w14:paraId="51AB0609" w14:textId="671D67D2" w:rsidR="00D678D9" w:rsidRPr="00D678D9" w:rsidRDefault="00D678D9" w:rsidP="00D46C56">
      <w:pPr>
        <w:pStyle w:val="SingleTxt"/>
        <w:numPr>
          <w:ilvl w:val="0"/>
          <w:numId w:val="27"/>
        </w:numPr>
        <w:tabs>
          <w:tab w:val="num" w:pos="2804"/>
        </w:tabs>
        <w:spacing w:after="0"/>
        <w:ind w:left="1267"/>
      </w:pPr>
      <w:r w:rsidRPr="00D678D9">
        <w:rPr>
          <w:lang w:val="fr-FR"/>
        </w:rPr>
        <w:t>Nous avons l’immense plaisir d’annoncer qu’a été adoptée en 2024 la loi n</w:t>
      </w:r>
      <w:r w:rsidRPr="00D678D9">
        <w:rPr>
          <w:vertAlign w:val="superscript"/>
          <w:lang w:val="fr-FR"/>
        </w:rPr>
        <w:t>o</w:t>
      </w:r>
      <w:r w:rsidRPr="00D678D9">
        <w:rPr>
          <w:lang w:val="fr-FR"/>
        </w:rPr>
        <w:t xml:space="preserve"> 88/2024 portant création de l’Institution islandaise des droits humains, chargée </w:t>
      </w:r>
      <w:r w:rsidRPr="00D46C56">
        <w:rPr>
          <w:spacing w:val="0"/>
          <w:lang w:val="fr-FR"/>
        </w:rPr>
        <w:t>notamment de veiller au bon respect des Principes de Paris. L’Institution a débuté ses travaux le 1</w:t>
      </w:r>
      <w:r w:rsidRPr="00D46C56">
        <w:rPr>
          <w:spacing w:val="0"/>
          <w:vertAlign w:val="superscript"/>
          <w:lang w:val="fr-FR"/>
        </w:rPr>
        <w:t>er</w:t>
      </w:r>
      <w:r w:rsidRPr="00D46C56">
        <w:rPr>
          <w:spacing w:val="0"/>
          <w:lang w:val="fr-FR"/>
        </w:rPr>
        <w:t> mai</w:t>
      </w:r>
      <w:r w:rsidR="00BE1730" w:rsidRPr="00D46C56">
        <w:rPr>
          <w:spacing w:val="0"/>
          <w:lang w:val="fr-FR"/>
        </w:rPr>
        <w:t xml:space="preserve"> </w:t>
      </w:r>
      <w:r w:rsidRPr="00D46C56">
        <w:rPr>
          <w:spacing w:val="0"/>
          <w:lang w:val="fr-FR"/>
        </w:rPr>
        <w:t>2025</w:t>
      </w:r>
      <w:r w:rsidRPr="00D678D9">
        <w:rPr>
          <w:lang w:val="fr-FR"/>
        </w:rPr>
        <w:t xml:space="preserve"> et demandera dès que possible son accréditation auprès de l’Alliance mondiale des institutions nationales des droits de l’homme.</w:t>
      </w:r>
    </w:p>
    <w:p w14:paraId="17B1EDCB" w14:textId="1EDADEBE" w:rsidR="00D678D9" w:rsidRPr="00D678D9" w:rsidRDefault="00D678D9" w:rsidP="00D678D9">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4D9FE887" wp14:editId="412E7851">
                <wp:simplePos x="0" y="0"/>
                <wp:positionH relativeFrom="page">
                  <wp:posOffset>3429000</wp:posOffset>
                </wp:positionH>
                <wp:positionV relativeFrom="paragraph">
                  <wp:posOffset>304800</wp:posOffset>
                </wp:positionV>
                <wp:extent cx="914400" cy="0"/>
                <wp:effectExtent l="0" t="0" r="0" b="0"/>
                <wp:wrapNone/>
                <wp:docPr id="19021243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4955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commentRangeStart w:id="0"/>
      <w:commentRangeEnd w:id="0"/>
      <w:r w:rsidR="00E06A3C" w:rsidRPr="00D678D9">
        <w:rPr>
          <w:rStyle w:val="CommentReference"/>
          <w:sz w:val="20"/>
        </w:rPr>
        <w:commentReference w:id="0"/>
      </w:r>
    </w:p>
    <w:sectPr w:rsidR="00D678D9" w:rsidRPr="00D678D9" w:rsidSect="00D678D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8T15:49:00Z" w:initials="Start">
    <w:p w14:paraId="7BE735FD" w14:textId="77777777" w:rsidR="00E06A3C" w:rsidRPr="00761E18" w:rsidRDefault="00E06A3C">
      <w:pPr>
        <w:pStyle w:val="CommentText"/>
        <w:rPr>
          <w:lang w:val="en-US"/>
        </w:rPr>
      </w:pPr>
      <w:r>
        <w:rPr>
          <w:rStyle w:val="CommentReference"/>
        </w:rPr>
        <w:annotationRef/>
      </w:r>
      <w:r w:rsidRPr="00761E18">
        <w:rPr>
          <w:lang w:val="en-US"/>
        </w:rPr>
        <w:t>&lt;&lt;ODS JOB NO&gt;&gt;N2610644F&lt;&lt;ODS JOB NO&gt;&gt;</w:t>
      </w:r>
    </w:p>
    <w:p w14:paraId="0EDF2157" w14:textId="77777777" w:rsidR="00E06A3C" w:rsidRDefault="00E06A3C">
      <w:pPr>
        <w:pStyle w:val="CommentText"/>
      </w:pPr>
      <w:r>
        <w:t>&lt;&lt;ODS DOC SYMBOL1&gt;&gt;CEDAW/C/ISL/FCO/9&lt;&lt;ODS DOC SYMBOL1&gt;&gt;</w:t>
      </w:r>
    </w:p>
    <w:p w14:paraId="18E253D9" w14:textId="210EBFEE" w:rsidR="00E06A3C" w:rsidRDefault="00E06A3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8E253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18C984" w16cex:dateUtc="2026-05-18T19: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E253D9" w16cid:durableId="4C18C9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2AD92" w14:textId="77777777" w:rsidR="007E50CC" w:rsidRDefault="007E50CC" w:rsidP="00331D20">
      <w:r>
        <w:separator/>
      </w:r>
    </w:p>
  </w:endnote>
  <w:endnote w:type="continuationSeparator" w:id="0">
    <w:p w14:paraId="4095983E" w14:textId="77777777" w:rsidR="007E50CC" w:rsidRDefault="007E50C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6A3C" w14:paraId="382965E6" w14:textId="77777777" w:rsidTr="00E06A3C">
      <w:tblPrEx>
        <w:tblCellMar>
          <w:top w:w="0" w:type="dxa"/>
          <w:bottom w:w="0" w:type="dxa"/>
        </w:tblCellMar>
      </w:tblPrEx>
      <w:tc>
        <w:tcPr>
          <w:tcW w:w="4920" w:type="dxa"/>
        </w:tcPr>
        <w:p w14:paraId="44475561" w14:textId="61D59267" w:rsidR="00E06A3C" w:rsidRPr="00E06A3C" w:rsidRDefault="00E06A3C" w:rsidP="00E06A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26-06424</w:t>
          </w:r>
          <w:r>
            <w:rPr>
              <w:b w:val="0"/>
              <w:w w:val="103"/>
              <w:sz w:val="14"/>
            </w:rPr>
            <w:fldChar w:fldCharType="end"/>
          </w:r>
        </w:p>
      </w:tc>
      <w:tc>
        <w:tcPr>
          <w:tcW w:w="4920" w:type="dxa"/>
        </w:tcPr>
        <w:p w14:paraId="7FA3560E" w14:textId="0C3226FC" w:rsidR="00E06A3C" w:rsidRPr="00E06A3C" w:rsidRDefault="00E06A3C" w:rsidP="00E06A3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C554519" w14:textId="77777777" w:rsidR="00E06A3C" w:rsidRPr="00E06A3C" w:rsidRDefault="00E06A3C" w:rsidP="00E06A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06A3C" w14:paraId="297E6688" w14:textId="77777777" w:rsidTr="00E06A3C">
      <w:tblPrEx>
        <w:tblCellMar>
          <w:top w:w="0" w:type="dxa"/>
          <w:bottom w:w="0" w:type="dxa"/>
        </w:tblCellMar>
      </w:tblPrEx>
      <w:tc>
        <w:tcPr>
          <w:tcW w:w="4920" w:type="dxa"/>
        </w:tcPr>
        <w:p w14:paraId="26F10C95" w14:textId="130EBDD3" w:rsidR="00E06A3C" w:rsidRPr="00E06A3C" w:rsidRDefault="00E06A3C" w:rsidP="00E06A3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087C7418" w14:textId="6F107911" w:rsidR="00E06A3C" w:rsidRPr="00E06A3C" w:rsidRDefault="00E06A3C" w:rsidP="00E06A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26-06424</w:t>
          </w:r>
          <w:r>
            <w:rPr>
              <w:b w:val="0"/>
              <w:w w:val="103"/>
              <w:sz w:val="14"/>
            </w:rPr>
            <w:fldChar w:fldCharType="end"/>
          </w:r>
        </w:p>
      </w:tc>
    </w:tr>
  </w:tbl>
  <w:p w14:paraId="774E4749" w14:textId="77777777" w:rsidR="00E06A3C" w:rsidRPr="00E06A3C" w:rsidRDefault="00E06A3C" w:rsidP="00E06A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10EEF" w14:textId="474E5B30" w:rsidR="00E06A3C" w:rsidRDefault="00E06A3C">
    <w:pPr>
      <w:pStyle w:val="Footer"/>
    </w:pPr>
    <w:r>
      <w:drawing>
        <wp:anchor distT="0" distB="0" distL="114300" distR="114300" simplePos="0" relativeHeight="251658240" behindDoc="0" locked="0" layoutInCell="1" allowOverlap="1" wp14:anchorId="2657F7A6" wp14:editId="16AD7EB3">
          <wp:simplePos x="0" y="0"/>
          <wp:positionH relativeFrom="column">
            <wp:posOffset>5532120</wp:posOffset>
          </wp:positionH>
          <wp:positionV relativeFrom="paragraph">
            <wp:posOffset>-228600</wp:posOffset>
          </wp:positionV>
          <wp:extent cx="694690" cy="694690"/>
          <wp:effectExtent l="0" t="0" r="0" b="0"/>
          <wp:wrapNone/>
          <wp:docPr id="2119281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06A3C" w14:paraId="1F4D070F" w14:textId="77777777" w:rsidTr="00E06A3C">
      <w:tblPrEx>
        <w:tblCellMar>
          <w:top w:w="0" w:type="dxa"/>
          <w:bottom w:w="0" w:type="dxa"/>
        </w:tblCellMar>
      </w:tblPrEx>
      <w:tc>
        <w:tcPr>
          <w:tcW w:w="3758" w:type="dxa"/>
        </w:tcPr>
        <w:p w14:paraId="24C914A9" w14:textId="747A8C6B" w:rsidR="00E06A3C" w:rsidRDefault="00E06A3C" w:rsidP="00E06A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26-06424 (F)</w:t>
          </w:r>
          <w:r>
            <w:rPr>
              <w:b w:val="0"/>
              <w:sz w:val="20"/>
            </w:rPr>
            <w:fldChar w:fldCharType="end"/>
          </w:r>
          <w:r>
            <w:rPr>
              <w:b w:val="0"/>
              <w:sz w:val="20"/>
            </w:rPr>
            <w:t xml:space="preserve">    </w:t>
          </w:r>
          <w:r w:rsidR="00D678D9">
            <w:rPr>
              <w:b w:val="0"/>
              <w:sz w:val="20"/>
            </w:rPr>
            <w:t>05</w:t>
          </w:r>
          <w:r>
            <w:rPr>
              <w:b w:val="0"/>
              <w:sz w:val="20"/>
            </w:rPr>
            <w:t xml:space="preserve">0526    </w:t>
          </w:r>
          <w:r w:rsidR="00D678D9">
            <w:rPr>
              <w:b w:val="0"/>
              <w:sz w:val="20"/>
            </w:rPr>
            <w:t>22</w:t>
          </w:r>
          <w:r>
            <w:rPr>
              <w:b w:val="0"/>
              <w:sz w:val="20"/>
            </w:rPr>
            <w:t>0526</w:t>
          </w:r>
        </w:p>
        <w:p w14:paraId="2FE96570" w14:textId="147B343D" w:rsidR="00E06A3C" w:rsidRPr="00E06A3C" w:rsidRDefault="00E06A3C" w:rsidP="00E06A3C">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*2606424*</w:t>
          </w:r>
          <w:r>
            <w:rPr>
              <w:rFonts w:ascii="Barcode 3 of 9 by request" w:hAnsi="Barcode 3 of 9 by request"/>
              <w:sz w:val="24"/>
            </w:rPr>
            <w:fldChar w:fldCharType="end"/>
          </w:r>
        </w:p>
      </w:tc>
      <w:tc>
        <w:tcPr>
          <w:tcW w:w="4920" w:type="dxa"/>
        </w:tcPr>
        <w:p w14:paraId="27E535C8" w14:textId="095A08A5" w:rsidR="00E06A3C" w:rsidRDefault="00E06A3C" w:rsidP="00E06A3C">
          <w:pPr>
            <w:pStyle w:val="Footer"/>
            <w:spacing w:line="240" w:lineRule="atLeast"/>
            <w:jc w:val="right"/>
            <w:rPr>
              <w:b w:val="0"/>
              <w:sz w:val="20"/>
            </w:rPr>
          </w:pPr>
          <w:r>
            <w:rPr>
              <w:b w:val="0"/>
              <w:sz w:val="20"/>
            </w:rPr>
            <w:drawing>
              <wp:inline distT="0" distB="0" distL="0" distR="0" wp14:anchorId="5E0A575D" wp14:editId="51FD5E0B">
                <wp:extent cx="1109474" cy="231648"/>
                <wp:effectExtent l="0" t="0" r="0" b="0"/>
                <wp:docPr id="191114353" name="Picture 2"/>
                <wp:cNvGraphicFramePr/>
                <a:graphic xmlns:a="http://schemas.openxmlformats.org/drawingml/2006/main">
                  <a:graphicData uri="http://schemas.openxmlformats.org/drawingml/2006/picture">
                    <pic:pic xmlns:pic="http://schemas.openxmlformats.org/drawingml/2006/picture">
                      <pic:nvPicPr>
                        <pic:cNvPr id="19111435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3A27F89" w14:textId="77777777" w:rsidR="00E06A3C" w:rsidRPr="00E06A3C" w:rsidRDefault="00E06A3C" w:rsidP="00E06A3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2685C" w14:textId="77777777" w:rsidR="007E50CC" w:rsidRDefault="007E50CC" w:rsidP="00331D20">
      <w:r>
        <w:separator/>
      </w:r>
    </w:p>
  </w:footnote>
  <w:footnote w:type="continuationSeparator" w:id="0">
    <w:p w14:paraId="0F8EE58C" w14:textId="77777777" w:rsidR="007E50CC" w:rsidRDefault="007E50CC"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06A3C" w14:paraId="3FD65240" w14:textId="77777777" w:rsidTr="00E06A3C">
      <w:tblPrEx>
        <w:tblCellMar>
          <w:top w:w="0" w:type="dxa"/>
          <w:bottom w:w="0" w:type="dxa"/>
        </w:tblCellMar>
      </w:tblPrEx>
      <w:trPr>
        <w:trHeight w:hRule="exact" w:val="864"/>
      </w:trPr>
      <w:tc>
        <w:tcPr>
          <w:tcW w:w="4920" w:type="dxa"/>
          <w:vAlign w:val="bottom"/>
        </w:tcPr>
        <w:p w14:paraId="144348CE" w14:textId="7162532B" w:rsidR="00E06A3C" w:rsidRPr="00E06A3C" w:rsidRDefault="00E06A3C" w:rsidP="00E06A3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CEDAW/C/ISL/FCO/9</w:t>
          </w:r>
          <w:r>
            <w:rPr>
              <w:b/>
              <w:color w:val="000000"/>
            </w:rPr>
            <w:fldChar w:fldCharType="end"/>
          </w:r>
        </w:p>
      </w:tc>
      <w:tc>
        <w:tcPr>
          <w:tcW w:w="4920" w:type="dxa"/>
          <w:vAlign w:val="bottom"/>
        </w:tcPr>
        <w:p w14:paraId="744CC2B3" w14:textId="77777777" w:rsidR="00E06A3C" w:rsidRDefault="00E06A3C" w:rsidP="00E06A3C">
          <w:pPr>
            <w:pStyle w:val="Header"/>
          </w:pPr>
        </w:p>
      </w:tc>
    </w:tr>
  </w:tbl>
  <w:p w14:paraId="3BA2B70A" w14:textId="77777777" w:rsidR="00E06A3C" w:rsidRPr="00E06A3C" w:rsidRDefault="00E06A3C" w:rsidP="00E06A3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06A3C" w14:paraId="3D38CB94" w14:textId="77777777" w:rsidTr="00E06A3C">
      <w:tblPrEx>
        <w:tblCellMar>
          <w:top w:w="0" w:type="dxa"/>
          <w:bottom w:w="0" w:type="dxa"/>
        </w:tblCellMar>
      </w:tblPrEx>
      <w:trPr>
        <w:trHeight w:hRule="exact" w:val="864"/>
      </w:trPr>
      <w:tc>
        <w:tcPr>
          <w:tcW w:w="4920" w:type="dxa"/>
          <w:vAlign w:val="bottom"/>
        </w:tcPr>
        <w:p w14:paraId="185B3512" w14:textId="77777777" w:rsidR="00E06A3C" w:rsidRDefault="00E06A3C" w:rsidP="00E06A3C">
          <w:pPr>
            <w:pStyle w:val="Header"/>
          </w:pPr>
        </w:p>
      </w:tc>
      <w:tc>
        <w:tcPr>
          <w:tcW w:w="4920" w:type="dxa"/>
          <w:vAlign w:val="bottom"/>
        </w:tcPr>
        <w:p w14:paraId="7E0FBFAA" w14:textId="6B4E9B57" w:rsidR="00E06A3C" w:rsidRPr="00E06A3C" w:rsidRDefault="00E06A3C" w:rsidP="00E06A3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CEDAW/C/ISL/FCO/9</w:t>
          </w:r>
          <w:r>
            <w:rPr>
              <w:b/>
              <w:color w:val="000000"/>
            </w:rPr>
            <w:fldChar w:fldCharType="end"/>
          </w:r>
        </w:p>
      </w:tc>
    </w:tr>
  </w:tbl>
  <w:p w14:paraId="68E4B223" w14:textId="77777777" w:rsidR="00E06A3C" w:rsidRPr="00E06A3C" w:rsidRDefault="00E06A3C" w:rsidP="00E06A3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06A3C" w14:paraId="22F34D34" w14:textId="77777777" w:rsidTr="00E06A3C">
      <w:tblPrEx>
        <w:tblCellMar>
          <w:top w:w="0" w:type="dxa"/>
          <w:bottom w:w="0" w:type="dxa"/>
        </w:tblCellMar>
      </w:tblPrEx>
      <w:trPr>
        <w:trHeight w:hRule="exact" w:val="864"/>
      </w:trPr>
      <w:tc>
        <w:tcPr>
          <w:tcW w:w="1267" w:type="dxa"/>
          <w:tcBorders>
            <w:bottom w:val="single" w:sz="4" w:space="0" w:color="auto"/>
          </w:tcBorders>
          <w:vAlign w:val="bottom"/>
        </w:tcPr>
        <w:p w14:paraId="7E461349" w14:textId="77777777" w:rsidR="00E06A3C" w:rsidRDefault="00E06A3C" w:rsidP="00E06A3C">
          <w:pPr>
            <w:pStyle w:val="Header"/>
            <w:spacing w:after="120"/>
          </w:pPr>
        </w:p>
      </w:tc>
      <w:tc>
        <w:tcPr>
          <w:tcW w:w="2059" w:type="dxa"/>
          <w:tcBorders>
            <w:bottom w:val="single" w:sz="4" w:space="0" w:color="auto"/>
          </w:tcBorders>
          <w:vAlign w:val="bottom"/>
        </w:tcPr>
        <w:p w14:paraId="615EDD57" w14:textId="7FA18575" w:rsidR="00E06A3C" w:rsidRPr="00E06A3C" w:rsidRDefault="00E06A3C" w:rsidP="00E06A3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0F5E3C55" w14:textId="77777777" w:rsidR="00E06A3C" w:rsidRDefault="00E06A3C" w:rsidP="00E06A3C">
          <w:pPr>
            <w:pStyle w:val="Header"/>
            <w:spacing w:after="120"/>
          </w:pPr>
        </w:p>
      </w:tc>
      <w:tc>
        <w:tcPr>
          <w:tcW w:w="6466" w:type="dxa"/>
          <w:gridSpan w:val="3"/>
          <w:tcBorders>
            <w:bottom w:val="single" w:sz="4" w:space="0" w:color="auto"/>
          </w:tcBorders>
          <w:vAlign w:val="bottom"/>
        </w:tcPr>
        <w:p w14:paraId="2D3D47AC" w14:textId="2F0FB3E1" w:rsidR="00E06A3C" w:rsidRPr="00E06A3C" w:rsidRDefault="00E06A3C" w:rsidP="00E06A3C">
          <w:pPr>
            <w:spacing w:after="80" w:line="240" w:lineRule="auto"/>
            <w:jc w:val="right"/>
            <w:rPr>
              <w:position w:val="-4"/>
            </w:rPr>
          </w:pPr>
          <w:r>
            <w:rPr>
              <w:position w:val="-4"/>
              <w:sz w:val="40"/>
            </w:rPr>
            <w:t>CEDAW</w:t>
          </w:r>
          <w:r>
            <w:rPr>
              <w:position w:val="-4"/>
            </w:rPr>
            <w:t>/C/ISL/FCO/9</w:t>
          </w:r>
        </w:p>
      </w:tc>
    </w:tr>
    <w:tr w:rsidR="00E06A3C" w:rsidRPr="00E06A3C" w14:paraId="3EA29E59" w14:textId="77777777" w:rsidTr="00E06A3C">
      <w:tblPrEx>
        <w:tblCellMar>
          <w:top w:w="0" w:type="dxa"/>
          <w:bottom w:w="0" w:type="dxa"/>
        </w:tblCellMar>
      </w:tblPrEx>
      <w:trPr>
        <w:trHeight w:hRule="exact" w:val="2880"/>
      </w:trPr>
      <w:tc>
        <w:tcPr>
          <w:tcW w:w="1267" w:type="dxa"/>
          <w:tcBorders>
            <w:top w:val="single" w:sz="4" w:space="0" w:color="auto"/>
            <w:bottom w:val="single" w:sz="12" w:space="0" w:color="auto"/>
          </w:tcBorders>
        </w:tcPr>
        <w:p w14:paraId="6AE594D0" w14:textId="545437BF" w:rsidR="00E06A3C" w:rsidRPr="00E06A3C" w:rsidRDefault="00E06A3C" w:rsidP="00E06A3C">
          <w:pPr>
            <w:pStyle w:val="Header"/>
            <w:spacing w:before="120"/>
            <w:ind w:left="-72"/>
            <w:jc w:val="center"/>
          </w:pPr>
          <w:r>
            <w:t xml:space="preserve">  </w:t>
          </w:r>
          <w:r>
            <w:drawing>
              <wp:inline distT="0" distB="0" distL="0" distR="0" wp14:anchorId="3DEB6B4F" wp14:editId="1FEA786D">
                <wp:extent cx="713232" cy="594360"/>
                <wp:effectExtent l="0" t="0" r="0" b="0"/>
                <wp:docPr id="1869382253" name="Picture 1"/>
                <wp:cNvGraphicFramePr/>
                <a:graphic xmlns:a="http://schemas.openxmlformats.org/drawingml/2006/main">
                  <a:graphicData uri="http://schemas.openxmlformats.org/drawingml/2006/picture">
                    <pic:pic xmlns:pic="http://schemas.openxmlformats.org/drawingml/2006/picture">
                      <pic:nvPicPr>
                        <pic:cNvPr id="186938225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48AD000" w14:textId="011AA4E6" w:rsidR="00E06A3C" w:rsidRPr="00E06A3C" w:rsidRDefault="00E06A3C" w:rsidP="00E06A3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5C5A3AC8" w14:textId="77777777" w:rsidR="00E06A3C" w:rsidRPr="00D678D9" w:rsidRDefault="00E06A3C" w:rsidP="00E06A3C">
          <w:pPr>
            <w:pStyle w:val="Header"/>
            <w:spacing w:before="109"/>
            <w:rPr>
              <w:lang w:val="fr-FR"/>
            </w:rPr>
          </w:pPr>
        </w:p>
      </w:tc>
      <w:tc>
        <w:tcPr>
          <w:tcW w:w="3110" w:type="dxa"/>
          <w:tcBorders>
            <w:top w:val="single" w:sz="4" w:space="0" w:color="auto"/>
            <w:bottom w:val="single" w:sz="12" w:space="0" w:color="auto"/>
          </w:tcBorders>
        </w:tcPr>
        <w:p w14:paraId="0586081E" w14:textId="77777777" w:rsidR="00E06A3C" w:rsidRPr="00D678D9" w:rsidRDefault="00E06A3C" w:rsidP="00E06A3C">
          <w:pPr>
            <w:pStyle w:val="Distribution"/>
            <w:spacing w:before="240"/>
            <w:rPr>
              <w:color w:val="000000"/>
              <w:lang w:val="fr-FR"/>
            </w:rPr>
          </w:pPr>
          <w:r w:rsidRPr="00D678D9">
            <w:rPr>
              <w:color w:val="000000"/>
              <w:lang w:val="fr-FR"/>
            </w:rPr>
            <w:t>Distr. générale</w:t>
          </w:r>
        </w:p>
        <w:p w14:paraId="2E3542DF" w14:textId="77777777" w:rsidR="00E06A3C" w:rsidRPr="00D678D9" w:rsidRDefault="00E06A3C" w:rsidP="00E06A3C">
          <w:pPr>
            <w:pStyle w:val="Publication"/>
            <w:rPr>
              <w:color w:val="000000"/>
              <w:lang w:val="fr-FR"/>
            </w:rPr>
          </w:pPr>
          <w:r w:rsidRPr="00D678D9">
            <w:rPr>
              <w:color w:val="000000"/>
              <w:lang w:val="fr-FR"/>
            </w:rPr>
            <w:t>5 mai 2026</w:t>
          </w:r>
        </w:p>
        <w:p w14:paraId="04D6228A" w14:textId="77777777" w:rsidR="00E06A3C" w:rsidRPr="00D678D9" w:rsidRDefault="00E06A3C" w:rsidP="00E06A3C">
          <w:pPr>
            <w:rPr>
              <w:lang w:val="fr-FR"/>
            </w:rPr>
          </w:pPr>
          <w:r w:rsidRPr="00D678D9">
            <w:rPr>
              <w:lang w:val="fr-FR"/>
            </w:rPr>
            <w:t>Français</w:t>
          </w:r>
        </w:p>
        <w:p w14:paraId="76F3B811" w14:textId="3F238BA2" w:rsidR="00D678D9" w:rsidRDefault="00E06A3C" w:rsidP="00E06A3C">
          <w:pPr>
            <w:pStyle w:val="Original"/>
            <w:rPr>
              <w:color w:val="000000"/>
              <w:lang w:val="fr-FR"/>
            </w:rPr>
          </w:pPr>
          <w:r w:rsidRPr="00D678D9">
            <w:rPr>
              <w:color w:val="000000"/>
              <w:lang w:val="fr-FR"/>
            </w:rPr>
            <w:t xml:space="preserve">Original : </w:t>
          </w:r>
          <w:r w:rsidR="00D678D9" w:rsidRPr="00D678D9">
            <w:rPr>
              <w:color w:val="000000"/>
              <w:lang w:val="fr-FR"/>
            </w:rPr>
            <w:t>anglais</w:t>
          </w:r>
        </w:p>
        <w:p w14:paraId="0C8DFFFF" w14:textId="4FD43477" w:rsidR="00E06A3C" w:rsidRPr="00D678D9" w:rsidRDefault="00D678D9" w:rsidP="00D678D9">
          <w:pPr>
            <w:pStyle w:val="Original"/>
            <w:rPr>
              <w:color w:val="000000"/>
              <w:lang w:val="fr-FR"/>
            </w:rPr>
          </w:pPr>
          <w:r>
            <w:rPr>
              <w:color w:val="000000"/>
              <w:lang w:val="fr-FR"/>
            </w:rPr>
            <w:t>A</w:t>
          </w:r>
          <w:r w:rsidR="00E06A3C" w:rsidRPr="00D678D9">
            <w:rPr>
              <w:color w:val="000000"/>
              <w:lang w:val="fr-FR"/>
            </w:rPr>
            <w:t>nglais</w:t>
          </w:r>
          <w:r>
            <w:rPr>
              <w:color w:val="000000"/>
              <w:lang w:val="fr-FR"/>
            </w:rPr>
            <w:t xml:space="preserve">, </w:t>
          </w:r>
          <w:r w:rsidR="00E06A3C" w:rsidRPr="00D678D9">
            <w:rPr>
              <w:color w:val="000000"/>
              <w:lang w:val="fr-FR"/>
            </w:rPr>
            <w:t>espagnol</w:t>
          </w:r>
          <w:r>
            <w:rPr>
              <w:color w:val="000000"/>
              <w:lang w:val="fr-FR"/>
            </w:rPr>
            <w:t xml:space="preserve"> et </w:t>
          </w:r>
          <w:r w:rsidR="00E06A3C" w:rsidRPr="00D678D9">
            <w:rPr>
              <w:color w:val="000000"/>
              <w:lang w:val="fr-FR"/>
            </w:rPr>
            <w:t>français</w:t>
          </w:r>
          <w:r>
            <w:rPr>
              <w:color w:val="000000"/>
              <w:lang w:val="fr-FR"/>
            </w:rPr>
            <w:t xml:space="preserve"> </w:t>
          </w:r>
          <w:r w:rsidRPr="00D678D9">
            <w:rPr>
              <w:color w:val="000000"/>
              <w:lang w:val="fr-FR"/>
            </w:rPr>
            <w:t>seulement</w:t>
          </w:r>
        </w:p>
      </w:tc>
    </w:tr>
  </w:tbl>
  <w:p w14:paraId="388241C9" w14:textId="77777777" w:rsidR="00E06A3C" w:rsidRPr="00D678D9" w:rsidRDefault="00E06A3C" w:rsidP="00E06A3C">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3CA1735"/>
    <w:multiLevelType w:val="hybridMultilevel"/>
    <w:tmpl w:val="2762669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C0F2EB0"/>
    <w:multiLevelType w:val="singleLevel"/>
    <w:tmpl w:val="1F9625A6"/>
    <w:lvl w:ilvl="0">
      <w:start w:val="1"/>
      <w:numFmt w:val="decimal"/>
      <w:lvlRestart w:val="0"/>
      <w:lvlText w:val="%1."/>
      <w:lvlJc w:val="left"/>
      <w:pPr>
        <w:tabs>
          <w:tab w:val="num" w:pos="475"/>
        </w:tabs>
        <w:ind w:left="0" w:firstLine="0"/>
      </w:pPr>
      <w:rPr>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869882065">
    <w:abstractNumId w:val="5"/>
  </w:num>
  <w:num w:numId="27" w16cid:durableId="316611047">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4*"/>
    <w:docVar w:name="CreationDt" w:val="18/05/2026 3:48: PM"/>
    <w:docVar w:name="DocCategory" w:val="Doc"/>
    <w:docVar w:name="DocType" w:val="Final"/>
    <w:docVar w:name="DutyStation" w:val="New York"/>
    <w:docVar w:name="FooterJN" w:val="26-06424"/>
    <w:docVar w:name="jobn" w:val="26-06424 (F)"/>
    <w:docVar w:name="jobnDT" w:val="26-06424 (F)   180526"/>
    <w:docVar w:name="jobnDTDT" w:val="26-06424 (F)   180526   180526"/>
    <w:docVar w:name="JobNo" w:val="2606424F"/>
    <w:docVar w:name="JobNo2" w:val="2610644F"/>
    <w:docVar w:name="LocalDrive" w:val="-1"/>
    <w:docVar w:name="OandT" w:val="Ago"/>
    <w:docVar w:name="sss1" w:val="CEDAW/C/ISL/FCO/9"/>
    <w:docVar w:name="sss2" w:val="-"/>
    <w:docVar w:name="Symbol1" w:val="CEDAW/C/ISL/FCO/9"/>
    <w:docVar w:name="Symbol2" w:val="-"/>
    <w:docVar w:name="Title1" w:val="_x0009__x0009_Renseignements reçus de l’Islande au sujet de la suite donnée aux observations finales concernant son neuvième rapport périodique*_x000d_"/>
  </w:docVars>
  <w:rsids>
    <w:rsidRoot w:val="003219B1"/>
    <w:rsid w:val="00001169"/>
    <w:rsid w:val="00001967"/>
    <w:rsid w:val="000202C9"/>
    <w:rsid w:val="00045B4E"/>
    <w:rsid w:val="00065FC5"/>
    <w:rsid w:val="000D59B1"/>
    <w:rsid w:val="000E170F"/>
    <w:rsid w:val="000E18D6"/>
    <w:rsid w:val="00104DBF"/>
    <w:rsid w:val="00105618"/>
    <w:rsid w:val="001325B0"/>
    <w:rsid w:val="00142021"/>
    <w:rsid w:val="00151F81"/>
    <w:rsid w:val="00157E3A"/>
    <w:rsid w:val="00171CDD"/>
    <w:rsid w:val="00194664"/>
    <w:rsid w:val="001978D5"/>
    <w:rsid w:val="001B5130"/>
    <w:rsid w:val="001C5216"/>
    <w:rsid w:val="0024624B"/>
    <w:rsid w:val="00247400"/>
    <w:rsid w:val="0027492E"/>
    <w:rsid w:val="002B0604"/>
    <w:rsid w:val="002E304D"/>
    <w:rsid w:val="002E5447"/>
    <w:rsid w:val="002E6B7E"/>
    <w:rsid w:val="003219B1"/>
    <w:rsid w:val="00326100"/>
    <w:rsid w:val="00331D20"/>
    <w:rsid w:val="00365FD7"/>
    <w:rsid w:val="00373732"/>
    <w:rsid w:val="00380D6A"/>
    <w:rsid w:val="003852E4"/>
    <w:rsid w:val="0039570F"/>
    <w:rsid w:val="003B1D1B"/>
    <w:rsid w:val="003B2112"/>
    <w:rsid w:val="003D7086"/>
    <w:rsid w:val="003E5E54"/>
    <w:rsid w:val="003F75F8"/>
    <w:rsid w:val="004200C7"/>
    <w:rsid w:val="00443AE6"/>
    <w:rsid w:val="004535A4"/>
    <w:rsid w:val="004536CE"/>
    <w:rsid w:val="0047638E"/>
    <w:rsid w:val="00477B68"/>
    <w:rsid w:val="00492A32"/>
    <w:rsid w:val="00495E7B"/>
    <w:rsid w:val="0049669D"/>
    <w:rsid w:val="004B29CD"/>
    <w:rsid w:val="004C520B"/>
    <w:rsid w:val="004F5722"/>
    <w:rsid w:val="005051C4"/>
    <w:rsid w:val="005258BD"/>
    <w:rsid w:val="0054211F"/>
    <w:rsid w:val="005610B1"/>
    <w:rsid w:val="00563ADA"/>
    <w:rsid w:val="00597B36"/>
    <w:rsid w:val="005C3C3A"/>
    <w:rsid w:val="005D16A7"/>
    <w:rsid w:val="005D4F00"/>
    <w:rsid w:val="005E67A9"/>
    <w:rsid w:val="006308BF"/>
    <w:rsid w:val="0063094D"/>
    <w:rsid w:val="00665001"/>
    <w:rsid w:val="00684C11"/>
    <w:rsid w:val="006A1127"/>
    <w:rsid w:val="006A31AA"/>
    <w:rsid w:val="006A3C28"/>
    <w:rsid w:val="006A67B7"/>
    <w:rsid w:val="006B474D"/>
    <w:rsid w:val="006C7738"/>
    <w:rsid w:val="006F1F84"/>
    <w:rsid w:val="006F6C15"/>
    <w:rsid w:val="00704CC6"/>
    <w:rsid w:val="0071149A"/>
    <w:rsid w:val="007243D4"/>
    <w:rsid w:val="00727155"/>
    <w:rsid w:val="00761E18"/>
    <w:rsid w:val="007633C9"/>
    <w:rsid w:val="0078108F"/>
    <w:rsid w:val="00783D43"/>
    <w:rsid w:val="007B304F"/>
    <w:rsid w:val="007B4CD6"/>
    <w:rsid w:val="007C3668"/>
    <w:rsid w:val="007E1808"/>
    <w:rsid w:val="007E42EC"/>
    <w:rsid w:val="007E475E"/>
    <w:rsid w:val="007E50CC"/>
    <w:rsid w:val="0080338E"/>
    <w:rsid w:val="008138CB"/>
    <w:rsid w:val="0083434C"/>
    <w:rsid w:val="00863195"/>
    <w:rsid w:val="00871053"/>
    <w:rsid w:val="00872F86"/>
    <w:rsid w:val="00877270"/>
    <w:rsid w:val="0088056D"/>
    <w:rsid w:val="008A2590"/>
    <w:rsid w:val="008F11CA"/>
    <w:rsid w:val="008F2E55"/>
    <w:rsid w:val="00911D71"/>
    <w:rsid w:val="00927E6A"/>
    <w:rsid w:val="00944514"/>
    <w:rsid w:val="00954207"/>
    <w:rsid w:val="00976519"/>
    <w:rsid w:val="009A405F"/>
    <w:rsid w:val="009A7E7A"/>
    <w:rsid w:val="009B00E9"/>
    <w:rsid w:val="009B58EC"/>
    <w:rsid w:val="009B6168"/>
    <w:rsid w:val="009C034E"/>
    <w:rsid w:val="009D56BA"/>
    <w:rsid w:val="009F73C7"/>
    <w:rsid w:val="00A2668B"/>
    <w:rsid w:val="00A412C8"/>
    <w:rsid w:val="00A72797"/>
    <w:rsid w:val="00A84EFD"/>
    <w:rsid w:val="00AA29EE"/>
    <w:rsid w:val="00AB7235"/>
    <w:rsid w:val="00AC7755"/>
    <w:rsid w:val="00AE305E"/>
    <w:rsid w:val="00AE454F"/>
    <w:rsid w:val="00AF3F1B"/>
    <w:rsid w:val="00AF6512"/>
    <w:rsid w:val="00B125A0"/>
    <w:rsid w:val="00B272FA"/>
    <w:rsid w:val="00B27698"/>
    <w:rsid w:val="00B30A24"/>
    <w:rsid w:val="00B43769"/>
    <w:rsid w:val="00B7299C"/>
    <w:rsid w:val="00B901FD"/>
    <w:rsid w:val="00BC2C8A"/>
    <w:rsid w:val="00BE1730"/>
    <w:rsid w:val="00BE7E3C"/>
    <w:rsid w:val="00BF5ECC"/>
    <w:rsid w:val="00C16A02"/>
    <w:rsid w:val="00C16D72"/>
    <w:rsid w:val="00C174A0"/>
    <w:rsid w:val="00C60123"/>
    <w:rsid w:val="00C6119A"/>
    <w:rsid w:val="00C64247"/>
    <w:rsid w:val="00C75CAB"/>
    <w:rsid w:val="00C83A4F"/>
    <w:rsid w:val="00CC2D86"/>
    <w:rsid w:val="00CE047E"/>
    <w:rsid w:val="00CE35F9"/>
    <w:rsid w:val="00D23FFB"/>
    <w:rsid w:val="00D409D0"/>
    <w:rsid w:val="00D4413A"/>
    <w:rsid w:val="00D46C56"/>
    <w:rsid w:val="00D678D9"/>
    <w:rsid w:val="00D72D37"/>
    <w:rsid w:val="00DB0712"/>
    <w:rsid w:val="00DB652C"/>
    <w:rsid w:val="00DC5B69"/>
    <w:rsid w:val="00DE254A"/>
    <w:rsid w:val="00E06A3C"/>
    <w:rsid w:val="00E12B1C"/>
    <w:rsid w:val="00E16CEC"/>
    <w:rsid w:val="00E53294"/>
    <w:rsid w:val="00E548DF"/>
    <w:rsid w:val="00E56A0F"/>
    <w:rsid w:val="00E8036E"/>
    <w:rsid w:val="00E9043A"/>
    <w:rsid w:val="00EA1709"/>
    <w:rsid w:val="00EF0E3B"/>
    <w:rsid w:val="00F003B9"/>
    <w:rsid w:val="00F05AC4"/>
    <w:rsid w:val="00F53CB4"/>
    <w:rsid w:val="00F65F4F"/>
    <w:rsid w:val="00F95E56"/>
    <w:rsid w:val="00FB0BBE"/>
    <w:rsid w:val="00FB0FD3"/>
    <w:rsid w:val="00FC5DD8"/>
    <w:rsid w:val="00FD1B9D"/>
    <w:rsid w:val="00FE3DBB"/>
    <w:rsid w:val="00FF4B2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42CD0"/>
  <w15:chartTrackingRefBased/>
  <w15:docId w15:val="{C842E808-C6FC-47CC-A13A-DF101650D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3219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9B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3219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9B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3219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19B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3219B1"/>
    <w:pPr>
      <w:ind w:left="720"/>
      <w:contextualSpacing/>
    </w:pPr>
  </w:style>
  <w:style w:type="character" w:styleId="IntenseEmphasis">
    <w:name w:val="Intense Emphasis"/>
    <w:basedOn w:val="DefaultParagraphFont"/>
    <w:uiPriority w:val="21"/>
    <w:qFormat/>
    <w:rsid w:val="003219B1"/>
    <w:rPr>
      <w:i/>
      <w:iCs/>
      <w:color w:val="2F5496" w:themeColor="accent1" w:themeShade="BF"/>
    </w:rPr>
  </w:style>
  <w:style w:type="paragraph" w:styleId="IntenseQuote">
    <w:name w:val="Intense Quote"/>
    <w:basedOn w:val="Normal"/>
    <w:next w:val="Normal"/>
    <w:link w:val="IntenseQuoteChar"/>
    <w:uiPriority w:val="30"/>
    <w:qFormat/>
    <w:rsid w:val="003219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19B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3219B1"/>
    <w:rPr>
      <w:b/>
      <w:bCs/>
      <w:smallCaps/>
      <w:color w:val="2F5496" w:themeColor="accent1" w:themeShade="BF"/>
      <w:spacing w:val="5"/>
    </w:rPr>
  </w:style>
  <w:style w:type="paragraph" w:styleId="CommentText">
    <w:name w:val="annotation text"/>
    <w:basedOn w:val="Normal"/>
    <w:link w:val="CommentTextChar"/>
    <w:uiPriority w:val="99"/>
    <w:semiHidden/>
    <w:unhideWhenUsed/>
    <w:rsid w:val="00E06A3C"/>
    <w:pPr>
      <w:spacing w:line="240" w:lineRule="auto"/>
    </w:pPr>
    <w:rPr>
      <w:szCs w:val="20"/>
    </w:rPr>
  </w:style>
  <w:style w:type="character" w:customStyle="1" w:styleId="CommentTextChar">
    <w:name w:val="Comment Text Char"/>
    <w:basedOn w:val="DefaultParagraphFont"/>
    <w:link w:val="CommentText"/>
    <w:uiPriority w:val="99"/>
    <w:semiHidden/>
    <w:rsid w:val="00E06A3C"/>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06A3C"/>
    <w:rPr>
      <w:b/>
      <w:bCs/>
    </w:rPr>
  </w:style>
  <w:style w:type="character" w:customStyle="1" w:styleId="CommentSubjectChar">
    <w:name w:val="Comment Subject Char"/>
    <w:basedOn w:val="CommentTextChar"/>
    <w:link w:val="CommentSubject"/>
    <w:uiPriority w:val="99"/>
    <w:semiHidden/>
    <w:rsid w:val="00E06A3C"/>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D678D9"/>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hyperlink" Target="https://docs.un.org/fr/CEDAW/C/ISL/CO/9"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85D7D8EC-3ABB-4B1B-99D0-04F97AF79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560</Words>
  <Characters>3198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2</cp:revision>
  <dcterms:created xsi:type="dcterms:W3CDTF">2026-05-18T20:25:00Z</dcterms:created>
  <dcterms:modified xsi:type="dcterms:W3CDTF">2026-05-18T20:25:00Z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2606424F</vt:lpwstr>
  </property>
  <property fmtid="{D5CDD505-2E9C-101B-9397-08002B2CF9AE}" pid="3" name="ODSRefJobNo">
    <vt:lpwstr>2610644F</vt:lpwstr>
  </property>
  <property fmtid="{D5CDD505-2E9C-101B-9397-08002B2CF9AE}" pid="4" name="Symbol1">
    <vt:lpwstr>CEDAW/C/ISL/FCO/9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Renseignements reçus de l’Islande au sujet de la suite donnée aux observations finales concernant son neuvième rapport périodique</vt:lpwstr>
  </property>
</Properties>
</file>