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E8FCF7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2CB516C" w14:textId="77777777" w:rsidR="002D5AAC" w:rsidRDefault="002D5AAC" w:rsidP="007B12E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CFF5E66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BD53CF2" w14:textId="2EC82779" w:rsidR="002D5AAC" w:rsidRDefault="007B12E5" w:rsidP="007B12E5">
            <w:pPr>
              <w:jc w:val="right"/>
            </w:pPr>
            <w:r w:rsidRPr="007B12E5">
              <w:rPr>
                <w:sz w:val="40"/>
              </w:rPr>
              <w:t>CCPR</w:t>
            </w:r>
            <w:r>
              <w:t>/C/138/2/Add.1</w:t>
            </w:r>
          </w:p>
        </w:tc>
      </w:tr>
      <w:tr w:rsidR="002D5AAC" w:rsidRPr="008D5B13" w14:paraId="08495D5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17E01D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0D29DEF" wp14:editId="2B017D4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FD97BC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04DCBAC" w14:textId="77777777" w:rsidR="002D5AAC" w:rsidRPr="008D5B13" w:rsidRDefault="007B12E5" w:rsidP="00BC3629">
            <w:pPr>
              <w:spacing w:before="240"/>
              <w:rPr>
                <w:lang w:val="en-US"/>
              </w:rPr>
            </w:pPr>
            <w:r w:rsidRPr="008D5B13">
              <w:rPr>
                <w:lang w:val="en-US"/>
              </w:rPr>
              <w:t>Distr.: General</w:t>
            </w:r>
          </w:p>
          <w:p w14:paraId="3D2053C4" w14:textId="77777777" w:rsidR="007B12E5" w:rsidRPr="008D5B13" w:rsidRDefault="007B12E5" w:rsidP="007B12E5">
            <w:pPr>
              <w:spacing w:line="240" w:lineRule="exact"/>
              <w:rPr>
                <w:lang w:val="en-US"/>
              </w:rPr>
            </w:pPr>
            <w:r w:rsidRPr="008D5B13">
              <w:rPr>
                <w:lang w:val="en-US"/>
              </w:rPr>
              <w:t>28 August 2023</w:t>
            </w:r>
          </w:p>
          <w:p w14:paraId="26C2B639" w14:textId="77777777" w:rsidR="007B12E5" w:rsidRPr="008D5B13" w:rsidRDefault="007B12E5" w:rsidP="007B12E5">
            <w:pPr>
              <w:spacing w:line="240" w:lineRule="exact"/>
              <w:rPr>
                <w:lang w:val="en-US"/>
              </w:rPr>
            </w:pPr>
            <w:r w:rsidRPr="008D5B13">
              <w:rPr>
                <w:lang w:val="en-US"/>
              </w:rPr>
              <w:t>Russian</w:t>
            </w:r>
          </w:p>
          <w:p w14:paraId="7FB2C555" w14:textId="131E7EA9" w:rsidR="007B12E5" w:rsidRPr="008D5B13" w:rsidRDefault="007B12E5" w:rsidP="007B12E5">
            <w:pPr>
              <w:spacing w:line="240" w:lineRule="exact"/>
              <w:rPr>
                <w:lang w:val="en-US"/>
              </w:rPr>
            </w:pPr>
            <w:r w:rsidRPr="008D5B13">
              <w:rPr>
                <w:lang w:val="en-US"/>
              </w:rPr>
              <w:t>Original: English</w:t>
            </w:r>
          </w:p>
        </w:tc>
      </w:tr>
    </w:tbl>
    <w:p w14:paraId="3A3CAF4B" w14:textId="77777777" w:rsidR="007B12E5" w:rsidRPr="007B12E5" w:rsidRDefault="007B12E5" w:rsidP="007B12E5">
      <w:pPr>
        <w:spacing w:before="120"/>
        <w:rPr>
          <w:rFonts w:eastAsiaTheme="minorEastAsia"/>
          <w:b/>
          <w:bCs/>
          <w:sz w:val="24"/>
          <w:szCs w:val="24"/>
        </w:rPr>
      </w:pPr>
      <w:r w:rsidRPr="007B12E5">
        <w:rPr>
          <w:b/>
          <w:bCs/>
          <w:sz w:val="24"/>
          <w:szCs w:val="24"/>
        </w:rPr>
        <w:t>Комитет по правам человека</w:t>
      </w:r>
    </w:p>
    <w:p w14:paraId="451DB194" w14:textId="0BD1004E" w:rsidR="007B12E5" w:rsidRPr="005E2CEE" w:rsidRDefault="007B12E5" w:rsidP="007B12E5">
      <w:pPr>
        <w:pStyle w:val="HChG"/>
        <w:rPr>
          <w:rFonts w:eastAsiaTheme="minorEastAsia"/>
        </w:rPr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>заключительными замечаниями Комитета по правам человека</w:t>
      </w:r>
      <w:r w:rsidRPr="00FE4882">
        <w:rPr>
          <w:rFonts w:eastAsiaTheme="minorEastAsia"/>
          <w:b w:val="0"/>
          <w:sz w:val="20"/>
        </w:rPr>
        <w:footnoteReference w:customMarkFollows="1" w:id="1"/>
        <w:t>*</w:t>
      </w:r>
      <w:bookmarkStart w:id="0" w:name="_Toc506807534"/>
      <w:bookmarkEnd w:id="0"/>
    </w:p>
    <w:p w14:paraId="1F3252BC" w14:textId="77777777" w:rsidR="007B12E5" w:rsidRPr="005E2CEE" w:rsidRDefault="007B12E5" w:rsidP="007B12E5">
      <w:pPr>
        <w:pStyle w:val="H23G"/>
        <w:rPr>
          <w:rFonts w:eastAsiaTheme="minorEastAsia"/>
        </w:rPr>
      </w:pPr>
      <w:r>
        <w:tab/>
      </w:r>
      <w:r>
        <w:tab/>
        <w:t>Добавление</w:t>
      </w:r>
    </w:p>
    <w:p w14:paraId="61ABA419" w14:textId="267F51D9" w:rsidR="007B12E5" w:rsidRDefault="007B12E5" w:rsidP="007B12E5">
      <w:pPr>
        <w:pStyle w:val="HChG"/>
      </w:pPr>
      <w:r>
        <w:tab/>
      </w:r>
      <w:r>
        <w:tab/>
        <w:t>Оценка информации о последующей деятельности в</w:t>
      </w:r>
      <w:r>
        <w:rPr>
          <w:lang w:val="en-US"/>
        </w:rPr>
        <w:t> </w:t>
      </w:r>
      <w:r>
        <w:t>связи с заключительными замечаниями по Мексике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3684"/>
      </w:tblGrid>
      <w:tr w:rsidR="007B12E5" w:rsidRPr="007B12E5" w14:paraId="141FDDA6" w14:textId="77777777" w:rsidTr="008D5B13">
        <w:tc>
          <w:tcPr>
            <w:tcW w:w="3686" w:type="dxa"/>
            <w:shd w:val="clear" w:color="auto" w:fill="auto"/>
            <w:tcMar>
              <w:right w:w="0" w:type="dxa"/>
            </w:tcMar>
          </w:tcPr>
          <w:p w14:paraId="562CFE0F" w14:textId="067ECBE2" w:rsidR="007B12E5" w:rsidRPr="004F1DA2" w:rsidRDefault="007B12E5" w:rsidP="002B3DCC">
            <w:pPr>
              <w:pStyle w:val="SingleTxtG"/>
              <w:spacing w:before="40"/>
              <w:ind w:left="0" w:right="0"/>
              <w:jc w:val="left"/>
            </w:pPr>
            <w:r>
              <w:rPr>
                <w:i/>
                <w:iCs/>
              </w:rPr>
              <w:t xml:space="preserve">Заключительные замечания </w:t>
            </w:r>
            <w:r w:rsidR="004F1DA2">
              <w:rPr>
                <w:i/>
                <w:iCs/>
              </w:rPr>
              <w:br/>
            </w:r>
            <w:r>
              <w:rPr>
                <w:i/>
                <w:iCs/>
              </w:rPr>
              <w:t>(</w:t>
            </w:r>
            <w:r w:rsidR="004F1DA2">
              <w:rPr>
                <w:i/>
                <w:iCs/>
              </w:rPr>
              <w:t>сто двадцать седьмая</w:t>
            </w:r>
            <w:r>
              <w:rPr>
                <w:i/>
                <w:iCs/>
              </w:rPr>
              <w:t xml:space="preserve"> сессия):</w:t>
            </w:r>
          </w:p>
        </w:tc>
        <w:tc>
          <w:tcPr>
            <w:tcW w:w="3684" w:type="dxa"/>
            <w:shd w:val="clear" w:color="auto" w:fill="auto"/>
            <w:tcMar>
              <w:right w:w="0" w:type="dxa"/>
            </w:tcMar>
          </w:tcPr>
          <w:p w14:paraId="171B79E4" w14:textId="54071A8A" w:rsidR="007B12E5" w:rsidRPr="007B12E5" w:rsidRDefault="00D35AE8" w:rsidP="002B3DCC">
            <w:pPr>
              <w:pStyle w:val="SingleTxtG"/>
              <w:spacing w:before="40"/>
              <w:ind w:left="0" w:right="0"/>
              <w:jc w:val="left"/>
            </w:pPr>
            <w:hyperlink r:id="rId8" w:history="1">
              <w:r w:rsidR="007B12E5" w:rsidRPr="00970DBC">
                <w:rPr>
                  <w:rStyle w:val="af1"/>
                  <w:lang w:val="fr-CH"/>
                </w:rPr>
                <w:t>CCPR</w:t>
              </w:r>
              <w:r w:rsidR="007B12E5" w:rsidRPr="00970DBC">
                <w:rPr>
                  <w:rStyle w:val="af1"/>
                </w:rPr>
                <w:t>/</w:t>
              </w:r>
              <w:r w:rsidR="007B12E5" w:rsidRPr="00970DBC">
                <w:rPr>
                  <w:rStyle w:val="af1"/>
                  <w:lang w:val="fr-CH"/>
                </w:rPr>
                <w:t>C</w:t>
              </w:r>
              <w:r w:rsidR="007B12E5" w:rsidRPr="00970DBC">
                <w:rPr>
                  <w:rStyle w:val="af1"/>
                </w:rPr>
                <w:t>/</w:t>
              </w:r>
              <w:r w:rsidR="007B12E5" w:rsidRPr="00970DBC">
                <w:rPr>
                  <w:rStyle w:val="af1"/>
                  <w:lang w:val="fr-CH"/>
                </w:rPr>
                <w:t>MEX</w:t>
              </w:r>
              <w:r w:rsidR="007B12E5" w:rsidRPr="00970DBC">
                <w:rPr>
                  <w:rStyle w:val="af1"/>
                </w:rPr>
                <w:t>/</w:t>
              </w:r>
              <w:r w:rsidR="007B12E5" w:rsidRPr="00970DBC">
                <w:rPr>
                  <w:rStyle w:val="af1"/>
                  <w:lang w:val="fr-CH"/>
                </w:rPr>
                <w:t>CO</w:t>
              </w:r>
              <w:r w:rsidR="007B12E5" w:rsidRPr="00970DBC">
                <w:rPr>
                  <w:rStyle w:val="af1"/>
                </w:rPr>
                <w:t>/6</w:t>
              </w:r>
            </w:hyperlink>
            <w:r w:rsidR="007B12E5" w:rsidRPr="007B12E5">
              <w:t>, 1 ноября 2019</w:t>
            </w:r>
            <w:r w:rsidR="007B12E5">
              <w:rPr>
                <w:lang w:val="fr-CH"/>
              </w:rPr>
              <w:t> </w:t>
            </w:r>
            <w:r w:rsidR="007B12E5" w:rsidRPr="007B12E5">
              <w:t xml:space="preserve">года </w:t>
            </w:r>
          </w:p>
        </w:tc>
      </w:tr>
      <w:tr w:rsidR="007B12E5" w:rsidRPr="007B12E5" w14:paraId="02A7D877" w14:textId="77777777" w:rsidTr="008D5B13">
        <w:tc>
          <w:tcPr>
            <w:tcW w:w="3686" w:type="dxa"/>
            <w:shd w:val="clear" w:color="auto" w:fill="auto"/>
            <w:tcMar>
              <w:right w:w="0" w:type="dxa"/>
            </w:tcMar>
          </w:tcPr>
          <w:p w14:paraId="6D8260D6" w14:textId="14FA6C3B" w:rsidR="007B12E5" w:rsidRDefault="007B12E5" w:rsidP="002B3DCC">
            <w:pPr>
              <w:pStyle w:val="SingleTxtG"/>
              <w:spacing w:before="40"/>
              <w:ind w:left="0" w:right="0"/>
              <w:jc w:val="left"/>
              <w:rPr>
                <w:i/>
                <w:iCs/>
              </w:rPr>
            </w:pPr>
            <w:r w:rsidRPr="007B12E5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684" w:type="dxa"/>
            <w:shd w:val="clear" w:color="auto" w:fill="auto"/>
            <w:tcMar>
              <w:right w:w="0" w:type="dxa"/>
            </w:tcMar>
          </w:tcPr>
          <w:p w14:paraId="3DC9D2C6" w14:textId="59BB983D" w:rsidR="007B12E5" w:rsidRPr="007B12E5" w:rsidRDefault="007B12E5" w:rsidP="002B3DCC">
            <w:pPr>
              <w:pStyle w:val="SingleTxtG"/>
              <w:spacing w:before="40"/>
              <w:ind w:left="0" w:right="0"/>
              <w:jc w:val="left"/>
              <w:rPr>
                <w:lang w:val="fr-CH"/>
              </w:rPr>
            </w:pPr>
            <w:r w:rsidRPr="007B12E5">
              <w:rPr>
                <w:lang w:val="fr-CH"/>
              </w:rPr>
              <w:t>19, 23 и 43</w:t>
            </w:r>
          </w:p>
        </w:tc>
      </w:tr>
      <w:tr w:rsidR="007B12E5" w:rsidRPr="007B12E5" w14:paraId="0E4C1070" w14:textId="77777777" w:rsidTr="008D5B13">
        <w:tc>
          <w:tcPr>
            <w:tcW w:w="3686" w:type="dxa"/>
            <w:shd w:val="clear" w:color="auto" w:fill="auto"/>
            <w:tcMar>
              <w:right w:w="0" w:type="dxa"/>
            </w:tcMar>
          </w:tcPr>
          <w:p w14:paraId="091FDF07" w14:textId="0A81C65D" w:rsidR="007B12E5" w:rsidRPr="007B12E5" w:rsidRDefault="007B12E5" w:rsidP="002B3DCC">
            <w:pPr>
              <w:pStyle w:val="SingleTxtG"/>
              <w:spacing w:before="40"/>
              <w:ind w:left="0" w:right="0"/>
              <w:jc w:val="left"/>
              <w:rPr>
                <w:i/>
                <w:iCs/>
              </w:rPr>
            </w:pPr>
            <w:r w:rsidRPr="007B12E5">
              <w:rPr>
                <w:i/>
                <w:iCs/>
              </w:rPr>
              <w:t xml:space="preserve">Информация, полученная </w:t>
            </w:r>
            <w:r w:rsidR="008D5B13">
              <w:rPr>
                <w:i/>
                <w:iCs/>
              </w:rPr>
              <w:br/>
            </w:r>
            <w:r w:rsidRPr="007B12E5">
              <w:rPr>
                <w:i/>
                <w:iCs/>
              </w:rPr>
              <w:t>от государства-участника:</w:t>
            </w:r>
          </w:p>
        </w:tc>
        <w:tc>
          <w:tcPr>
            <w:tcW w:w="3684" w:type="dxa"/>
            <w:shd w:val="clear" w:color="auto" w:fill="auto"/>
            <w:tcMar>
              <w:right w:w="0" w:type="dxa"/>
            </w:tcMar>
          </w:tcPr>
          <w:p w14:paraId="26BBD0F5" w14:textId="4AD196E9" w:rsidR="007B12E5" w:rsidRPr="007B12E5" w:rsidRDefault="00D35AE8" w:rsidP="002B3DCC">
            <w:pPr>
              <w:pStyle w:val="SingleTxtG"/>
              <w:spacing w:before="40"/>
              <w:ind w:left="0" w:right="0"/>
              <w:jc w:val="left"/>
            </w:pPr>
            <w:hyperlink r:id="rId9" w:history="1">
              <w:r w:rsidR="007B12E5" w:rsidRPr="00970DBC">
                <w:rPr>
                  <w:rStyle w:val="af1"/>
                </w:rPr>
                <w:t>CCPR/C/MEX/FCO/6</w:t>
              </w:r>
            </w:hyperlink>
            <w:r w:rsidR="007B12E5" w:rsidRPr="007B12E5">
              <w:t>, 5 ноября 2021</w:t>
            </w:r>
            <w:r w:rsidR="007B12E5">
              <w:rPr>
                <w:lang w:val="en-US"/>
              </w:rPr>
              <w:t> </w:t>
            </w:r>
            <w:r w:rsidR="007B12E5" w:rsidRPr="007B12E5">
              <w:t xml:space="preserve">года </w:t>
            </w:r>
            <w:hyperlink r:id="rId10" w:history="1">
              <w:r w:rsidR="007B12E5" w:rsidRPr="008D5B13">
                <w:rPr>
                  <w:rStyle w:val="af1"/>
                </w:rPr>
                <w:t>Приложение</w:t>
              </w:r>
              <w:r w:rsidR="00970DBC" w:rsidRPr="008D5B13">
                <w:rPr>
                  <w:rStyle w:val="af1"/>
                </w:rPr>
                <w:t xml:space="preserve"> 1</w:t>
              </w:r>
            </w:hyperlink>
            <w:r w:rsidR="007B12E5" w:rsidRPr="007B12E5">
              <w:t xml:space="preserve">, 5 ноября 2021 года </w:t>
            </w:r>
            <w:hyperlink r:id="rId11" w:history="1">
              <w:r w:rsidR="007B12E5" w:rsidRPr="008D5B13">
                <w:rPr>
                  <w:rStyle w:val="af1"/>
                </w:rPr>
                <w:t>Приложение</w:t>
              </w:r>
              <w:r w:rsidR="00970DBC" w:rsidRPr="008D5B13">
                <w:rPr>
                  <w:rStyle w:val="af1"/>
                </w:rPr>
                <w:t xml:space="preserve"> 2</w:t>
              </w:r>
            </w:hyperlink>
            <w:r w:rsidR="007B12E5" w:rsidRPr="007B12E5">
              <w:t>, 5 ноября 2021 года</w:t>
            </w:r>
          </w:p>
        </w:tc>
      </w:tr>
      <w:tr w:rsidR="007B12E5" w:rsidRPr="007B12E5" w14:paraId="4411CBC6" w14:textId="77777777" w:rsidTr="008D5B13">
        <w:tc>
          <w:tcPr>
            <w:tcW w:w="3686" w:type="dxa"/>
            <w:shd w:val="clear" w:color="auto" w:fill="auto"/>
            <w:tcMar>
              <w:right w:w="0" w:type="dxa"/>
            </w:tcMar>
          </w:tcPr>
          <w:p w14:paraId="44AE34CD" w14:textId="1367A668" w:rsidR="007B12E5" w:rsidRPr="007B12E5" w:rsidRDefault="007B12E5" w:rsidP="002B3DCC">
            <w:pPr>
              <w:pStyle w:val="SingleTxtG"/>
              <w:spacing w:before="40"/>
              <w:ind w:left="0" w:right="0"/>
              <w:jc w:val="left"/>
              <w:rPr>
                <w:i/>
                <w:iCs/>
              </w:rPr>
            </w:pPr>
            <w:r w:rsidRPr="007B12E5">
              <w:rPr>
                <w:i/>
                <w:iCs/>
              </w:rPr>
              <w:t xml:space="preserve">Информация, полученная от </w:t>
            </w:r>
            <w:r>
              <w:rPr>
                <w:i/>
                <w:iCs/>
              </w:rPr>
              <w:br/>
            </w:r>
            <w:r w:rsidRPr="007B12E5">
              <w:rPr>
                <w:i/>
                <w:iCs/>
              </w:rPr>
              <w:t>заинтересованных сторон:</w:t>
            </w:r>
          </w:p>
        </w:tc>
        <w:bookmarkStart w:id="1" w:name="_Hlk151725480"/>
        <w:bookmarkStart w:id="2" w:name="_Hlk151727135"/>
        <w:tc>
          <w:tcPr>
            <w:tcW w:w="3684" w:type="dxa"/>
            <w:shd w:val="clear" w:color="auto" w:fill="auto"/>
            <w:tcMar>
              <w:right w:w="0" w:type="dxa"/>
            </w:tcMar>
          </w:tcPr>
          <w:p w14:paraId="6A2C6454" w14:textId="5DA854A1" w:rsidR="007B12E5" w:rsidRPr="004F1DA2" w:rsidRDefault="004F1DA2" w:rsidP="002B3DCC">
            <w:pPr>
              <w:pStyle w:val="SingleTxtG"/>
              <w:spacing w:before="40"/>
              <w:ind w:left="0" w:right="0"/>
              <w:jc w:val="left"/>
            </w:pPr>
            <w:r>
              <w:fldChar w:fldCharType="begin"/>
            </w:r>
            <w:r>
              <w:instrText>HYPERLINK "https://tbinternet.ohchr.org/_layouts/15/treatybodyexternal/Download.aspx?symbolno=INT%2FCCPR%2FAFS%2FMEX%2F46357&amp;Lang=en"</w:instrText>
            </w:r>
            <w:r>
              <w:fldChar w:fldCharType="separate"/>
            </w:r>
            <w:r>
              <w:rPr>
                <w:rStyle w:val="af1"/>
              </w:rPr>
              <w:t>Ф</w:t>
            </w:r>
            <w:r w:rsidRPr="00FE4882">
              <w:rPr>
                <w:rStyle w:val="af1"/>
              </w:rPr>
              <w:t>o</w:t>
            </w:r>
            <w:r>
              <w:rPr>
                <w:rStyle w:val="af1"/>
              </w:rPr>
              <w:t>нд за справедливость и</w:t>
            </w:r>
            <w:r w:rsidR="008D5B13">
              <w:rPr>
                <w:rStyle w:val="af1"/>
                <w:lang w:val="en-US"/>
              </w:rPr>
              <w:t> </w:t>
            </w:r>
            <w:r>
              <w:rPr>
                <w:rStyle w:val="af1"/>
              </w:rPr>
              <w:t>д</w:t>
            </w:r>
            <w:r w:rsidRPr="00FE4882">
              <w:rPr>
                <w:rStyle w:val="af1"/>
              </w:rPr>
              <w:t>e</w:t>
            </w:r>
            <w:r>
              <w:rPr>
                <w:rStyle w:val="af1"/>
              </w:rPr>
              <w:t>м</w:t>
            </w:r>
            <w:r w:rsidRPr="00FE4882">
              <w:rPr>
                <w:rStyle w:val="af1"/>
              </w:rPr>
              <w:t>o</w:t>
            </w:r>
            <w:r>
              <w:rPr>
                <w:rStyle w:val="af1"/>
              </w:rPr>
              <w:t>кратическое государство и</w:t>
            </w:r>
            <w:r w:rsidR="008D5B13">
              <w:rPr>
                <w:rStyle w:val="af1"/>
                <w:lang w:val="en-US"/>
              </w:rPr>
              <w:t> </w:t>
            </w:r>
            <w:r w:rsidRPr="00FE4882">
              <w:rPr>
                <w:rStyle w:val="af1"/>
              </w:rPr>
              <w:t>o</w:t>
            </w:r>
            <w:r>
              <w:rPr>
                <w:rStyle w:val="af1"/>
              </w:rPr>
              <w:t>рганизация «ТРИАЛ интернэшнл»</w:t>
            </w:r>
            <w:r>
              <w:rPr>
                <w:rStyle w:val="af1"/>
              </w:rPr>
              <w:fldChar w:fldCharType="end"/>
            </w:r>
            <w:bookmarkEnd w:id="1"/>
            <w:r w:rsidR="007B12E5" w:rsidRPr="007B12E5">
              <w:t>, 30</w:t>
            </w:r>
            <w:r w:rsidR="007B12E5">
              <w:rPr>
                <w:lang w:val="en-US"/>
              </w:rPr>
              <w:t> </w:t>
            </w:r>
            <w:r w:rsidR="007B12E5" w:rsidRPr="007B12E5">
              <w:t xml:space="preserve">июля 2021 года; организация </w:t>
            </w:r>
            <w:hyperlink r:id="rId12" w:history="1">
              <w:r>
                <w:rPr>
                  <w:rStyle w:val="af1"/>
                </w:rPr>
                <w:t>«Пр</w:t>
              </w:r>
              <w:r w:rsidRPr="00FE4882">
                <w:rPr>
                  <w:rStyle w:val="af1"/>
                </w:rPr>
                <w:t>o</w:t>
              </w:r>
              <w:r>
                <w:rPr>
                  <w:rStyle w:val="af1"/>
                </w:rPr>
                <w:t>пуэст</w:t>
              </w:r>
              <w:r w:rsidRPr="00FE4882">
                <w:rPr>
                  <w:rStyle w:val="af1"/>
                </w:rPr>
                <w:t xml:space="preserve">a </w:t>
              </w:r>
              <w:r>
                <w:rPr>
                  <w:rStyle w:val="af1"/>
                </w:rPr>
                <w:t>сивик</w:t>
              </w:r>
              <w:r w:rsidRPr="00FE4882">
                <w:rPr>
                  <w:rStyle w:val="af1"/>
                </w:rPr>
                <w:t>a</w:t>
              </w:r>
            </w:hyperlink>
            <w:r>
              <w:rPr>
                <w:rStyle w:val="af1"/>
              </w:rPr>
              <w:t>»</w:t>
            </w:r>
            <w:r w:rsidR="007B12E5" w:rsidRPr="007B12E5">
              <w:t xml:space="preserve">, </w:t>
            </w:r>
            <w:bookmarkEnd w:id="2"/>
            <w:r w:rsidR="007B12E5" w:rsidRPr="007B12E5">
              <w:t>3 апреля 2023</w:t>
            </w:r>
            <w:r w:rsidR="007B12E5">
              <w:rPr>
                <w:lang w:val="en-US"/>
              </w:rPr>
              <w:t> </w:t>
            </w:r>
            <w:r w:rsidR="007B12E5" w:rsidRPr="007B12E5">
              <w:t>года</w:t>
            </w:r>
          </w:p>
        </w:tc>
      </w:tr>
      <w:tr w:rsidR="007B12E5" w:rsidRPr="007B12E5" w14:paraId="1D1E37BF" w14:textId="77777777" w:rsidTr="008D5B13">
        <w:tc>
          <w:tcPr>
            <w:tcW w:w="3686" w:type="dxa"/>
            <w:shd w:val="clear" w:color="auto" w:fill="auto"/>
            <w:tcMar>
              <w:right w:w="0" w:type="dxa"/>
            </w:tcMar>
          </w:tcPr>
          <w:p w14:paraId="1C0C6164" w14:textId="4837D430" w:rsidR="007B12E5" w:rsidRPr="007B12E5" w:rsidRDefault="007B12E5" w:rsidP="002B3DCC">
            <w:pPr>
              <w:pStyle w:val="SingleTxtG"/>
              <w:spacing w:before="40"/>
              <w:ind w:left="0" w:right="0"/>
              <w:jc w:val="left"/>
              <w:rPr>
                <w:i/>
                <w:iCs/>
              </w:rPr>
            </w:pPr>
            <w:r w:rsidRPr="007B12E5">
              <w:rPr>
                <w:i/>
                <w:iCs/>
              </w:rPr>
              <w:t>Оценка Комитета:</w:t>
            </w:r>
          </w:p>
        </w:tc>
        <w:tc>
          <w:tcPr>
            <w:tcW w:w="3684" w:type="dxa"/>
            <w:shd w:val="clear" w:color="auto" w:fill="auto"/>
            <w:tcMar>
              <w:right w:w="0" w:type="dxa"/>
            </w:tcMar>
          </w:tcPr>
          <w:p w14:paraId="22010B60" w14:textId="3D1B6854" w:rsidR="007B12E5" w:rsidRPr="007B12E5" w:rsidRDefault="007B12E5" w:rsidP="002B3DCC">
            <w:pPr>
              <w:pStyle w:val="SingleTxtG"/>
              <w:spacing w:before="40"/>
              <w:ind w:left="0" w:right="0"/>
              <w:jc w:val="left"/>
            </w:pPr>
            <w:r w:rsidRPr="007B12E5">
              <w:t>19 [B], 23 [B] и 43 [C]</w:t>
            </w:r>
          </w:p>
        </w:tc>
      </w:tr>
    </w:tbl>
    <w:p w14:paraId="19B1E3FA" w14:textId="1548382B" w:rsidR="007B12E5" w:rsidRPr="005E2CEE" w:rsidRDefault="007B12E5" w:rsidP="00774CAF">
      <w:pPr>
        <w:pStyle w:val="H1G"/>
        <w:rPr>
          <w:rFonts w:eastAsiaTheme="minorEastAsia"/>
        </w:rPr>
      </w:pPr>
      <w:r>
        <w:tab/>
      </w:r>
      <w:r>
        <w:tab/>
        <w:t>Пункт 19: Право на жизнь и личную неприкосновенность</w:t>
      </w:r>
    </w:p>
    <w:p w14:paraId="5883B11B" w14:textId="369B5D45" w:rsidR="007B12E5" w:rsidRPr="005E2CEE" w:rsidRDefault="00774CAF" w:rsidP="007B12E5">
      <w:pPr>
        <w:pStyle w:val="SingleTxtG"/>
        <w:rPr>
          <w:b/>
          <w:bCs/>
        </w:rPr>
      </w:pPr>
      <w:r>
        <w:rPr>
          <w:b/>
          <w:bCs/>
        </w:rPr>
        <w:tab/>
      </w:r>
      <w:r w:rsidR="007B12E5">
        <w:rPr>
          <w:b/>
          <w:bCs/>
        </w:rPr>
        <w:t xml:space="preserve">Государству-участнику следует отказаться от подхода, направленного </w:t>
      </w:r>
      <w:r>
        <w:rPr>
          <w:b/>
          <w:bCs/>
        </w:rPr>
        <w:t>на</w:t>
      </w:r>
      <w:r>
        <w:rPr>
          <w:b/>
          <w:bCs/>
          <w:lang w:val="en-US"/>
        </w:rPr>
        <w:t> </w:t>
      </w:r>
      <w:r>
        <w:rPr>
          <w:b/>
          <w:bCs/>
        </w:rPr>
        <w:t>милитаризацию</w:t>
      </w:r>
      <w:r w:rsidR="007B12E5">
        <w:rPr>
          <w:b/>
          <w:bCs/>
        </w:rPr>
        <w:t xml:space="preserve"> сил правопорядка, и продвигаться в процессе формирования</w:t>
      </w:r>
      <w:r w:rsidRPr="00774CAF">
        <w:rPr>
          <w:b/>
          <w:bCs/>
        </w:rPr>
        <w:t xml:space="preserve"> </w:t>
      </w:r>
      <w:r w:rsidR="007B12E5">
        <w:rPr>
          <w:b/>
          <w:bCs/>
        </w:rPr>
        <w:t>Национальной гвардии в качестве гражданского института, а также разработать план постепенного и упорядоченного прекращения выполнения вооруженными силами функций по обеспечению общественной безопасности.</w:t>
      </w:r>
      <w:r w:rsidR="007B12E5">
        <w:t xml:space="preserve"> </w:t>
      </w:r>
      <w:r w:rsidR="007B12E5">
        <w:rPr>
          <w:b/>
          <w:bCs/>
        </w:rPr>
        <w:t>В этой связи государству-участнику следует обеспечить, чтобы вмешательство вооруженных сил допускалось лишь в исключительных случаях, было ограничено по времени, осуществлялось в соответствии с четкими и предварительно установленными протоколам</w:t>
      </w:r>
      <w:r>
        <w:rPr>
          <w:b/>
          <w:bCs/>
        </w:rPr>
        <w:t>и</w:t>
      </w:r>
      <w:r w:rsidR="007B12E5">
        <w:rPr>
          <w:b/>
          <w:bCs/>
        </w:rPr>
        <w:t xml:space="preserve"> и подлежало надзору со стороны механизмов гражданского контроля и отчетности.</w:t>
      </w:r>
      <w:r w:rsidR="007B12E5">
        <w:t xml:space="preserve"> </w:t>
      </w:r>
      <w:r w:rsidR="007B12E5">
        <w:rPr>
          <w:b/>
          <w:bCs/>
        </w:rPr>
        <w:t xml:space="preserve">Ему необходимо также продолжать свои усилия по организации для </w:t>
      </w:r>
      <w:r>
        <w:rPr>
          <w:b/>
          <w:bCs/>
        </w:rPr>
        <w:t>всех офицеров</w:t>
      </w:r>
      <w:r w:rsidR="007B12E5">
        <w:rPr>
          <w:b/>
          <w:bCs/>
        </w:rPr>
        <w:t xml:space="preserve"> Национальной гвардии </w:t>
      </w:r>
      <w:r>
        <w:rPr>
          <w:b/>
          <w:bCs/>
        </w:rPr>
        <w:t>интенсивной подготовки</w:t>
      </w:r>
      <w:r w:rsidR="007B12E5">
        <w:rPr>
          <w:b/>
          <w:bCs/>
        </w:rPr>
        <w:t xml:space="preserve"> по международным стандартам в области прав человека и рассмотреть вопрос о </w:t>
      </w:r>
      <w:r w:rsidR="007B12E5">
        <w:rPr>
          <w:b/>
          <w:bCs/>
        </w:rPr>
        <w:lastRenderedPageBreak/>
        <w:t>введении отпусков</w:t>
      </w:r>
      <w:r>
        <w:rPr>
          <w:b/>
          <w:bCs/>
        </w:rPr>
        <w:t xml:space="preserve"> </w:t>
      </w:r>
      <w:r w:rsidR="007B12E5">
        <w:rPr>
          <w:b/>
          <w:bCs/>
        </w:rPr>
        <w:t>при переходе со службы в вооруженных силах на службу в Национальной гвардии.</w:t>
      </w:r>
      <w:r w:rsidR="007B12E5">
        <w:t xml:space="preserve"> </w:t>
      </w:r>
      <w:r w:rsidR="007B12E5">
        <w:rPr>
          <w:b/>
          <w:bCs/>
        </w:rPr>
        <w:t>Аналогичным образом, ему следует обеспечить оперативное, тщательное и беспристрастное расследование всех случаев предполагаемых внесудебных казней и нарушений прав человека, привлечение виновных к уголовной ответственности и их наказание и предоставление жертвам полного возмещения.</w:t>
      </w:r>
      <w:r w:rsidR="007B12E5">
        <w:t xml:space="preserve"> </w:t>
      </w:r>
      <w:r w:rsidR="007B12E5">
        <w:rPr>
          <w:b/>
          <w:bCs/>
        </w:rPr>
        <w:t>Государству-участнику следует в срочном порядке принять политику, направленную на эффективное сокращение числа убийств и внесудебных казней.</w:t>
      </w:r>
      <w:bookmarkStart w:id="3" w:name="_Hlk133590553"/>
      <w:bookmarkStart w:id="4" w:name="_Hlk133586501"/>
      <w:bookmarkEnd w:id="3"/>
      <w:bookmarkEnd w:id="4"/>
    </w:p>
    <w:p w14:paraId="4F2E36FE" w14:textId="77777777" w:rsidR="007B12E5" w:rsidRPr="009F59D3" w:rsidRDefault="007B12E5" w:rsidP="00774CAF">
      <w:pPr>
        <w:pStyle w:val="H23G"/>
        <w:rPr>
          <w:rFonts w:eastAsiaTheme="minorEastAsia"/>
        </w:rPr>
      </w:pPr>
      <w:r>
        <w:tab/>
      </w:r>
      <w:r>
        <w:tab/>
        <w:t>Резюме информации, полученной от государства-участника</w:t>
      </w:r>
    </w:p>
    <w:p w14:paraId="3B00947A" w14:textId="445C4FCF" w:rsidR="007B12E5" w:rsidRPr="005E2CEE" w:rsidRDefault="00774CAF" w:rsidP="007B12E5">
      <w:pPr>
        <w:pStyle w:val="SingleTxtG"/>
      </w:pPr>
      <w:bookmarkStart w:id="5" w:name="_Hlk131584952"/>
      <w:r>
        <w:tab/>
      </w:r>
      <w:r w:rsidR="007B12E5">
        <w:t>В феврале 2021 года в Сенат был внесен законопроект, регламентирующий временное участие постоянных вооруженных сил в выполнении задач по обеспечению общественной безопасности. Законопроект направлен в совместные комитеты по внутренним делам, общественной безопасности и законодательным исследованиям.</w:t>
      </w:r>
    </w:p>
    <w:p w14:paraId="204CDCDF" w14:textId="363DEDB5" w:rsidR="007B12E5" w:rsidRPr="005E2CEE" w:rsidRDefault="00774CAF" w:rsidP="007B12E5">
      <w:pPr>
        <w:pStyle w:val="SingleTxtG"/>
      </w:pPr>
      <w:r>
        <w:tab/>
      </w:r>
      <w:r w:rsidR="007B12E5">
        <w:t>Между Министерством обороны и Национальной комиссией по правам человека действует общее соглашение о сотрудничестве, в соответствии с которым Комиссия организует курсы по правам человека для генералов, начальников, офицеров и военнослужащих в рамках ежегодных программ по поощрению и укреплению прав человека и международного гуманитарного права. Эти программы ежегодно обновляются. В координации с Международным комитетом Красного Креста в отчетный период была проведена подготовка военнослужащих по вопросам международного гуманитарного права.</w:t>
      </w:r>
      <w:bookmarkEnd w:id="5"/>
    </w:p>
    <w:p w14:paraId="3FC2149A" w14:textId="00D4FA05" w:rsidR="007B12E5" w:rsidRPr="005E2CEE" w:rsidRDefault="00774CAF" w:rsidP="007B12E5">
      <w:pPr>
        <w:pStyle w:val="SingleTxtG"/>
      </w:pPr>
      <w:r>
        <w:tab/>
      </w:r>
      <w:r w:rsidR="007B12E5">
        <w:t>В период с ноября 2019 года по июль 2021 года Исполнительная комиссия по поддержке жертв издала 130 распоряжений о полном возмещении ущерба жертвам нарушений прав человека, причем все они были приняты своевременно и с учетом процедур, мероприятий и основополагающих принципов, установленных в Комплексной модели поддержки жертв. В соответствии с рекомендациями Национальной комиссии по правам человека различные управления Исполнительной комиссии предоставляли жертвам разъяснения, консультации, услуги по представлению их интересов и юридическую помощь.</w:t>
      </w:r>
    </w:p>
    <w:p w14:paraId="139D3DA0" w14:textId="073566CB" w:rsidR="007B12E5" w:rsidRPr="005E2CEE" w:rsidRDefault="00774CAF" w:rsidP="007B12E5">
      <w:pPr>
        <w:pStyle w:val="SingleTxtG"/>
      </w:pPr>
      <w:r>
        <w:tab/>
      </w:r>
      <w:r w:rsidR="007B12E5">
        <w:t>Закон о Генеральной прокуратуре, опубликованный в Официальном вестнике 20 мая 2021 года, наделяет Специальную прокуратуру по правам человека полномочиями по расследованию и возбуждению уголовных дел по ряду преступлений, уголовное преследование за которые было отложено, включая пытки, насильственные исчезновения, нарушения прав человека, преступления против журналистов и преступления в отношении представителей коренных общин. Для</w:t>
      </w:r>
      <w:r>
        <w:t> </w:t>
      </w:r>
      <w:r w:rsidR="007B12E5">
        <w:t xml:space="preserve">облегчения проведения расследований правительство создало канал для подачи жалоб </w:t>
      </w:r>
      <w:r>
        <w:t>«</w:t>
      </w:r>
      <w:r w:rsidR="007B12E5">
        <w:t>Визител</w:t>
      </w:r>
      <w:r>
        <w:t>»</w:t>
      </w:r>
      <w:r w:rsidR="007B12E5">
        <w:t>. По этому каналу граждане могут анонимно сообщать в Федеральную прокуратуру о преступлениях, предположительно совершенных сотрудниками Генеральной прокуратуры, в том числе о предполагаемых внесудебных казнях или нарушениях прав человека.</w:t>
      </w:r>
    </w:p>
    <w:p w14:paraId="1251E943" w14:textId="77777777" w:rsidR="007B12E5" w:rsidRPr="00FE4882" w:rsidRDefault="007B12E5" w:rsidP="00774CAF">
      <w:pPr>
        <w:pStyle w:val="H23G"/>
      </w:pPr>
      <w:r>
        <w:tab/>
      </w:r>
      <w:r>
        <w:tab/>
        <w:t>Оценка Комитета</w:t>
      </w:r>
    </w:p>
    <w:p w14:paraId="6B6E636A" w14:textId="77777777" w:rsidR="007B12E5" w:rsidRPr="00FE4882" w:rsidRDefault="007B12E5" w:rsidP="007B12E5">
      <w:pPr>
        <w:pStyle w:val="SingleTxtG"/>
      </w:pPr>
      <w:r>
        <w:t>[B]</w:t>
      </w:r>
    </w:p>
    <w:p w14:paraId="04E8BC91" w14:textId="3660296C" w:rsidR="007B12E5" w:rsidRPr="005E2CEE" w:rsidRDefault="00774CAF" w:rsidP="007B12E5">
      <w:pPr>
        <w:pStyle w:val="SingleTxtG"/>
      </w:pPr>
      <w:r>
        <w:tab/>
      </w:r>
      <w:r w:rsidR="007B12E5">
        <w:t>Комитет приветствует внесение на рассмотрение законопроекта, регламентирующего временное участие вооруженных сил в выполнении задач по обеспечению общественной безопасности, а также представленную информацию о подготовке сотрудников Министерства обороны, в том числе военнослужащих. Он</w:t>
      </w:r>
      <w:r w:rsidR="007E25B0">
        <w:t> </w:t>
      </w:r>
      <w:r w:rsidR="007B12E5">
        <w:t>просит представить дополнительную информацию: a) о вышеупомянутом законопроекте, в том числе о его текущем статусе, а также о любых дополнительных законодательных или иных изменениях, касающихся Национальной гвардии и вооруженных сил и их роли в обеспечении общественной безопасности; b) о том, были ли приняты или запланированы меры по созданию каких-либо механизмов гражданского надзора и отчетности в части участия вооруженных сил в операциях по обеспечению общественной безопасности; и c) о количеств</w:t>
      </w:r>
      <w:r w:rsidR="007E25B0">
        <w:t>е</w:t>
      </w:r>
      <w:r w:rsidR="007B12E5">
        <w:t xml:space="preserve"> случаев вмешательства вооруженных сил в выполнение задач по обеспечению общественной безопасности за </w:t>
      </w:r>
      <w:r w:rsidR="007B12E5">
        <w:lastRenderedPageBreak/>
        <w:t>отчетный период, включая продолжительность вмешательства и обстоятельства, при</w:t>
      </w:r>
      <w:r w:rsidR="007E25B0">
        <w:t> </w:t>
      </w:r>
      <w:r w:rsidR="007B12E5">
        <w:t xml:space="preserve">которых оно происходило. Комитет принимает к сведению информацию об усилиях по повышению эффективности расследования совершенных преступлений и судебного преследования виновных, а также о возмещении ущерба жертвам. Кроме того, он с интересом отмечает публикацию Закона о Генеральной прокуратуре и создание канала для подачи жалоб </w:t>
      </w:r>
      <w:r w:rsidR="007E25B0">
        <w:t>«</w:t>
      </w:r>
      <w:r w:rsidR="007B12E5">
        <w:t>Визител</w:t>
      </w:r>
      <w:r w:rsidR="007E25B0">
        <w:t>»</w:t>
      </w:r>
      <w:r w:rsidR="007B12E5">
        <w:t>. Комитет просит представить дополнительную информацию о влиянии этого Закона и канала для подачи жалоб, включая статистические данные о количестве расследованных таких дел о внесудебных казнях или нарушениях прав человека, судебном преследовании и наказании виновных.</w:t>
      </w:r>
    </w:p>
    <w:p w14:paraId="6F96BF3E" w14:textId="77777777" w:rsidR="007B12E5" w:rsidRPr="005E2CEE" w:rsidRDefault="007B12E5" w:rsidP="007E25B0">
      <w:pPr>
        <w:pStyle w:val="H1G"/>
      </w:pPr>
      <w:r>
        <w:tab/>
      </w:r>
      <w:r>
        <w:tab/>
      </w:r>
      <w:r>
        <w:tab/>
        <w:t>Пункт 23: Безнаказанность</w:t>
      </w:r>
    </w:p>
    <w:p w14:paraId="0533B30D" w14:textId="2D70A5CC" w:rsidR="007B12E5" w:rsidRPr="005E2CEE" w:rsidRDefault="007E25B0" w:rsidP="007B12E5">
      <w:pPr>
        <w:pStyle w:val="SingleTxtG"/>
        <w:rPr>
          <w:b/>
          <w:bCs/>
        </w:rPr>
      </w:pPr>
      <w:r>
        <w:rPr>
          <w:b/>
          <w:bCs/>
        </w:rPr>
        <w:tab/>
      </w:r>
      <w:r w:rsidR="007B12E5">
        <w:rPr>
          <w:b/>
          <w:bCs/>
        </w:rPr>
        <w:t xml:space="preserve">Государству-участнику следует активизировать усилия </w:t>
      </w:r>
      <w:r w:rsidR="007B12E5">
        <w:rPr>
          <w:b/>
          <w:bCs/>
          <w:lang w:val="en-US"/>
        </w:rPr>
        <w:t>c</w:t>
      </w:r>
      <w:r w:rsidR="007B12E5">
        <w:rPr>
          <w:b/>
          <w:bCs/>
        </w:rPr>
        <w:t xml:space="preserve"> целью оперативного, тщательного и беспристрастного расследования всех насильственных и других тяжких преступлений, включая исчезновения 43</w:t>
      </w:r>
      <w:r>
        <w:rPr>
          <w:b/>
          <w:bCs/>
        </w:rPr>
        <w:t> </w:t>
      </w:r>
      <w:r w:rsidR="007B12E5">
        <w:rPr>
          <w:b/>
          <w:bCs/>
        </w:rPr>
        <w:t>учащихся в Айотсинапе в сентябре 2014 года, с тем чтобы виновные предавались суду и несли наказание, а жертвы получали полное возмещение.</w:t>
      </w:r>
      <w:r w:rsidR="007B12E5">
        <w:t xml:space="preserve"> </w:t>
      </w:r>
      <w:r w:rsidR="007B12E5">
        <w:rPr>
          <w:b/>
          <w:bCs/>
        </w:rPr>
        <w:t>В</w:t>
      </w:r>
      <w:r>
        <w:rPr>
          <w:b/>
          <w:bCs/>
        </w:rPr>
        <w:t> </w:t>
      </w:r>
      <w:r w:rsidR="007B12E5">
        <w:rPr>
          <w:b/>
          <w:bCs/>
        </w:rPr>
        <w:t>этой связи ему следует укреплять следственный потенциал и независимость всех субъектов, участвующих в расследованиях, включая прокуроров и экспертов, а также укреплять состязательную систему и гарантировать самостоятельность судебных учреждений страны.</w:t>
      </w:r>
      <w:r w:rsidR="007B12E5">
        <w:t xml:space="preserve"> </w:t>
      </w:r>
      <w:r w:rsidR="007B12E5">
        <w:rPr>
          <w:b/>
          <w:bCs/>
        </w:rPr>
        <w:t>В этих целях ему следует учитывать международные нормы в области прав человека, включая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  <w:r w:rsidR="007B12E5">
        <w:t xml:space="preserve"> </w:t>
      </w:r>
      <w:r w:rsidR="007B12E5">
        <w:rPr>
          <w:b/>
          <w:bCs/>
        </w:rPr>
        <w:t>Государству-участнику следует также принять необходимые меры по защите свидетелей, жертв и членов их семей, а</w:t>
      </w:r>
      <w:r>
        <w:rPr>
          <w:b/>
          <w:bCs/>
        </w:rPr>
        <w:t> </w:t>
      </w:r>
      <w:r w:rsidR="007B12E5">
        <w:rPr>
          <w:b/>
          <w:bCs/>
        </w:rPr>
        <w:t>также лиц, проводящих расследования, от угроз, нападений и любых актов возмездия.</w:t>
      </w:r>
    </w:p>
    <w:p w14:paraId="2B68A136" w14:textId="77777777" w:rsidR="007B12E5" w:rsidRPr="009F59D3" w:rsidRDefault="007B12E5" w:rsidP="007B12E5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67FD63E4" w14:textId="72735E75" w:rsidR="007B12E5" w:rsidRPr="005E2CEE" w:rsidRDefault="007E25B0" w:rsidP="007B12E5">
      <w:pPr>
        <w:pStyle w:val="SingleTxtG"/>
      </w:pPr>
      <w:r>
        <w:tab/>
      </w:r>
      <w:r w:rsidR="007B12E5">
        <w:t>По состоянию на август 2021 года Комиссия по установлению истины и обеспечению доступа к правосудию по делу о случившемся в Айотсинапе провела 14</w:t>
      </w:r>
      <w:r>
        <w:t> </w:t>
      </w:r>
      <w:r w:rsidR="007B12E5">
        <w:t>заседаний по оценке и последующим действиям в присутствии Президента. Была достигнута договоренность об укреплении институционального сотрудничества, и</w:t>
      </w:r>
      <w:r>
        <w:t> </w:t>
      </w:r>
      <w:r w:rsidR="007B12E5">
        <w:t>после встречи с представителями Министерства обороны Комиссия провела инспекционную поездку в двадцать седьмой пехотный батальон в Игуале. Для</w:t>
      </w:r>
      <w:r>
        <w:t> </w:t>
      </w:r>
      <w:r w:rsidR="007B12E5">
        <w:t>обеспечения доступа общественности к информации о работе Комиссии был создан веб-сайт.</w:t>
      </w:r>
    </w:p>
    <w:p w14:paraId="7EEE0268" w14:textId="79A186A3" w:rsidR="007B12E5" w:rsidRPr="005E2CEE" w:rsidRDefault="007E25B0" w:rsidP="007B12E5">
      <w:pPr>
        <w:pStyle w:val="SingleTxtG"/>
      </w:pPr>
      <w:r>
        <w:tab/>
      </w:r>
      <w:r w:rsidR="007B12E5">
        <w:t>В целях укрепления институционального следственного потенциала 6 мая 2020</w:t>
      </w:r>
      <w:r>
        <w:t> </w:t>
      </w:r>
      <w:r w:rsidR="007B12E5">
        <w:t xml:space="preserve">года правительство воссоздало Междисциплинарную группу независимых экспертов, которая с июля 2020 года сотрудничает с Комиссией по установлению истины и обеспечению доступа к правосудию по делу о случившемся в Айотсинапе, оказывая помощь Специальной группе по расследованию и судебному разбирательству этого дела. Междисциплинарная группа изучила военные архивы и оцифровала 17 000 документов из 453 дел. </w:t>
      </w:r>
    </w:p>
    <w:p w14:paraId="0BDF5528" w14:textId="44B72469" w:rsidR="007B12E5" w:rsidRPr="005E2CEE" w:rsidRDefault="007E25B0" w:rsidP="007B12E5">
      <w:pPr>
        <w:pStyle w:val="SingleTxtG"/>
      </w:pPr>
      <w:r>
        <w:tab/>
      </w:r>
      <w:r w:rsidR="007B12E5">
        <w:t xml:space="preserve">5 марта 2020 года было подписано соглашение о сотрудничестве по выяснению обстоятельств случившегося в Айотсинапе, в результате которого была сформирована группа обвинения, выдающая и исполняющая новые ордера на арест и обыск, а также расширяющая расследование в отношении ключевых лиц. </w:t>
      </w:r>
    </w:p>
    <w:p w14:paraId="11D29F4C" w14:textId="678D6398" w:rsidR="007B12E5" w:rsidRPr="005E2CEE" w:rsidRDefault="00881405" w:rsidP="007B12E5">
      <w:pPr>
        <w:pStyle w:val="SingleTxtG"/>
      </w:pPr>
      <w:r>
        <w:tab/>
      </w:r>
      <w:r w:rsidR="007B12E5">
        <w:t>В рамках усилий по укреплению состязательной судебной системы правительство предпринимает шаги по согласованию руководящих положений, касающихся различных аспектов уголовного преследования. Оно подготовил</w:t>
      </w:r>
      <w:r>
        <w:t>о</w:t>
      </w:r>
      <w:r w:rsidR="007B12E5">
        <w:t xml:space="preserve"> ряд руководств для судебных органов по таким темам, как слушания по делам несовершеннолетних, использование научных данных и применение индивидуального подхода при определении меры наказания. Группа по консолидации новой системы </w:t>
      </w:r>
      <w:r w:rsidR="007B12E5">
        <w:lastRenderedPageBreak/>
        <w:t xml:space="preserve">уголовного правосудия предприняла шаги по наращиванию институционального потенциала для эффективного отправления правосудия, включая, в частности, проведение внутренних конкурсных экзаменов для администраторов, переход с системы </w:t>
      </w:r>
      <w:r>
        <w:t>«</w:t>
      </w:r>
      <w:r w:rsidR="007B12E5">
        <w:t>судья, проводящий слушания</w:t>
      </w:r>
      <w:r>
        <w:t>»</w:t>
      </w:r>
      <w:r w:rsidR="007B12E5">
        <w:t xml:space="preserve"> на систему </w:t>
      </w:r>
      <w:r>
        <w:t>«</w:t>
      </w:r>
      <w:r w:rsidR="007B12E5">
        <w:t>судья, разбирающий дело и выносящий по нему решение</w:t>
      </w:r>
      <w:r>
        <w:t>»</w:t>
      </w:r>
      <w:r w:rsidR="007B12E5">
        <w:t>, а также различные учебные мероприятия по состязательному правосудию для судей, включая курс по Стамбульскому протоколу.</w:t>
      </w:r>
    </w:p>
    <w:p w14:paraId="5835F030" w14:textId="3632B2BC" w:rsidR="007B12E5" w:rsidRPr="005E2CEE" w:rsidRDefault="00881405" w:rsidP="007B12E5">
      <w:pPr>
        <w:pStyle w:val="SingleTxtG"/>
      </w:pPr>
      <w:r>
        <w:tab/>
      </w:r>
      <w:r w:rsidR="007B12E5">
        <w:t>7 мая 2021 года Верховный суд опубликовал два заключения, касающиеся предоставления компенсации жертвам. В первом заключении, касающемся компенсации в случаях, когда жертвами преступлений являются несовершеннолетние, Суд установил, что сумма компенсации должна определяться в момент вынесения приговора, если только для ее определения не отсутствуют достаточные доказательства. Второе заключение содержит рекомендации по решению вопроса о том, когда количественная оценка вреда должна быть отложена до стадии исполнения приговора. Статья 459 (I) Уголовно-процессуального кодекса напрямую наделяет жертву или потерпевшую сторону правом оспаривать решения о возмещении причиненного вреда, независимо от того, оказывают они официально содействие прокуратуре или нет.</w:t>
      </w:r>
    </w:p>
    <w:p w14:paraId="284C4984" w14:textId="77777777" w:rsidR="007B12E5" w:rsidRPr="009F59D3" w:rsidRDefault="007B12E5" w:rsidP="00881405">
      <w:pPr>
        <w:pStyle w:val="H23G"/>
      </w:pPr>
      <w:r>
        <w:tab/>
      </w:r>
      <w:r>
        <w:tab/>
        <w:t>Резюме информации, полученной от заинтересованных сторон</w:t>
      </w:r>
    </w:p>
    <w:p w14:paraId="11AD0BE5" w14:textId="77777777" w:rsidR="007B12E5" w:rsidRPr="005E2CEE" w:rsidRDefault="007B12E5" w:rsidP="00881405">
      <w:pPr>
        <w:pStyle w:val="H4G"/>
        <w:rPr>
          <w:rFonts w:eastAsia="SimSun"/>
        </w:rPr>
      </w:pPr>
      <w:r>
        <w:tab/>
      </w:r>
      <w:r>
        <w:tab/>
        <w:t>Фонд за справедливость и демократическое государство и организация «ТРИАЛ интернэшнл»</w:t>
      </w:r>
    </w:p>
    <w:p w14:paraId="36AE19D9" w14:textId="5095321E" w:rsidR="007B12E5" w:rsidRPr="005E2CEE" w:rsidRDefault="00881405" w:rsidP="007B12E5">
      <w:pPr>
        <w:pStyle w:val="SingleTxtG"/>
      </w:pPr>
      <w:r>
        <w:tab/>
      </w:r>
      <w:r w:rsidR="007B12E5">
        <w:t>Власти не применяют комплексный и системный подход при расследовании насильственных преступлений, таких как массовые убийства и произвольные казни. Из-за этого дела не увязываются с предыдущими преступлениями, совершенными с использованием аналогичных моделей поведения, что порождает безнаказанность виновных. Семьям жертв также систематически отказывают в доступе к правам на помощь и возмещение ущерба, закрепленным в Общем законе о жертвах.</w:t>
      </w:r>
    </w:p>
    <w:p w14:paraId="50226283" w14:textId="77777777" w:rsidR="007B12E5" w:rsidRPr="005E2CEE" w:rsidRDefault="007B12E5" w:rsidP="00881405">
      <w:pPr>
        <w:pStyle w:val="H23G"/>
      </w:pPr>
      <w:r>
        <w:tab/>
      </w:r>
      <w:r>
        <w:tab/>
      </w:r>
      <w:r>
        <w:tab/>
        <w:t>Оценка Комитета</w:t>
      </w:r>
    </w:p>
    <w:p w14:paraId="522A1CC5" w14:textId="77777777" w:rsidR="007B12E5" w:rsidRPr="005E2CEE" w:rsidRDefault="007B12E5" w:rsidP="007B12E5">
      <w:pPr>
        <w:pStyle w:val="SingleTxtG"/>
      </w:pPr>
      <w:r>
        <w:t>[B]</w:t>
      </w:r>
    </w:p>
    <w:p w14:paraId="349EA1F6" w14:textId="6A697216" w:rsidR="007B12E5" w:rsidRPr="005E2CEE" w:rsidRDefault="00881405" w:rsidP="007B12E5">
      <w:pPr>
        <w:pStyle w:val="SingleTxtG"/>
      </w:pPr>
      <w:r>
        <w:tab/>
      </w:r>
      <w:r w:rsidR="007B12E5">
        <w:t>Комитет приветствует усилия, предпринятые для наращивания институционального следственного потенциала, особенно в учреждениях, занимающихся делом о случившемся в Айотсинапе, а также для укрепления состязательной судебной системы. Тем не менее он обеспокоен сообщениями о системной безнаказанности лиц, ответственных за такие насильственные преступления, как массовые убийства и произвольные казни. Кроме того, Комитет, принимая к сведению информацию о праве жертв на обжалование решений и руководящие положения о выплате компенсации жертвам, обеспокоен сообщениями о том, что семьи жертв сталкиваются с препятствиями на пути осуществления своих прав на получение помощи и возмещения ущерба, закрепленных в Общем законе о жертвах. Комитет просит представить дополнительную информацию, включая дезагрегированные статистические данные, о судебном преследовании лиц, виновных в совершении насильственных преступлений, и их наказании, особенно в случаях массовых убийств и произвольных казней, а также о компенсации, предоставленной жертвам.</w:t>
      </w:r>
    </w:p>
    <w:p w14:paraId="44B81F87" w14:textId="77777777" w:rsidR="007B12E5" w:rsidRPr="005E2CEE" w:rsidRDefault="007B12E5" w:rsidP="00881405">
      <w:pPr>
        <w:pStyle w:val="H1G"/>
      </w:pPr>
      <w:r>
        <w:tab/>
      </w:r>
      <w:r>
        <w:tab/>
        <w:t>Пункт 43: Свобода выражения мнений и свобода ассоциации</w:t>
      </w:r>
    </w:p>
    <w:p w14:paraId="669E4A9E" w14:textId="4FFA7584" w:rsidR="007B12E5" w:rsidRPr="00881405" w:rsidRDefault="00881405" w:rsidP="00881405">
      <w:pPr>
        <w:pStyle w:val="SingleTxtG"/>
        <w:rPr>
          <w:b/>
          <w:bCs/>
        </w:rPr>
      </w:pPr>
      <w:r>
        <w:rPr>
          <w:b/>
          <w:bCs/>
        </w:rPr>
        <w:tab/>
      </w:r>
      <w:r w:rsidR="007B12E5" w:rsidRPr="00881405">
        <w:rPr>
          <w:b/>
          <w:bCs/>
        </w:rPr>
        <w:t xml:space="preserve">Комитет настоятельно призывает государство-участник: </w:t>
      </w:r>
    </w:p>
    <w:p w14:paraId="61A181AA" w14:textId="567B1827" w:rsidR="007B12E5" w:rsidRPr="005E2CEE" w:rsidRDefault="00881405" w:rsidP="007B12E5">
      <w:pPr>
        <w:pStyle w:val="SingleTxtG"/>
        <w:rPr>
          <w:b/>
          <w:bCs/>
        </w:rPr>
      </w:pPr>
      <w:r>
        <w:tab/>
      </w:r>
      <w:r w:rsidR="007B12E5" w:rsidRPr="00881405">
        <w:rPr>
          <w:b/>
          <w:bCs/>
        </w:rPr>
        <w:t>a)</w:t>
      </w:r>
      <w:r w:rsidR="007B12E5" w:rsidRPr="00881405">
        <w:rPr>
          <w:b/>
          <w:bCs/>
        </w:rPr>
        <w:tab/>
      </w:r>
      <w:r w:rsidR="007B12E5">
        <w:rPr>
          <w:b/>
          <w:bCs/>
        </w:rPr>
        <w:t xml:space="preserve">укрепить механизм защиты правозащитников и журналистов и его подразделения на уровне штатов путем выделения достаточных финансовых и людских ресурсов для их деятельности, обеспечить учет гендерных аспектов в их работе, осуществление мер по устранению структурных факторов риска в части как реагирования, так и предупреждения, и проведение мероприятий по </w:t>
      </w:r>
      <w:r w:rsidR="007B12E5">
        <w:rPr>
          <w:b/>
          <w:bCs/>
        </w:rPr>
        <w:lastRenderedPageBreak/>
        <w:t>информированию общественности о законном характере деятельности механизма;</w:t>
      </w:r>
      <w:r w:rsidR="007B12E5">
        <w:t xml:space="preserve"> </w:t>
      </w:r>
      <w:bookmarkStart w:id="6" w:name="_Hlk134436071"/>
      <w:bookmarkEnd w:id="6"/>
    </w:p>
    <w:p w14:paraId="0BF830AD" w14:textId="4B5A69C8" w:rsidR="007B12E5" w:rsidRPr="005E2CEE" w:rsidRDefault="00881405" w:rsidP="007B12E5">
      <w:pPr>
        <w:pStyle w:val="SingleTxtG"/>
        <w:rPr>
          <w:b/>
          <w:bCs/>
        </w:rPr>
      </w:pPr>
      <w:r>
        <w:tab/>
      </w:r>
      <w:r w:rsidR="007B12E5" w:rsidRPr="00881405">
        <w:rPr>
          <w:b/>
          <w:bCs/>
        </w:rPr>
        <w:t>b)</w:t>
      </w:r>
      <w:r w:rsidR="007B12E5">
        <w:tab/>
      </w:r>
      <w:r w:rsidR="007B12E5">
        <w:rPr>
          <w:b/>
          <w:bCs/>
        </w:rPr>
        <w:t>укрепить учреждения, отвечающие за правоприменение и отправление правосудия, а также административные органы внутреннего надзора для обеспечения оперативного, тщательного, независимого и беспристрастного расследования всех посягательств, привлечения совершивших их лиц к судебной ответственности и предоставления жертвам полного возмещения и надлежащей помощи;</w:t>
      </w:r>
      <w:r w:rsidR="007B12E5">
        <w:t xml:space="preserve"> </w:t>
      </w:r>
    </w:p>
    <w:p w14:paraId="4B700F20" w14:textId="669900C9" w:rsidR="007B12E5" w:rsidRPr="005E2CEE" w:rsidRDefault="00881405" w:rsidP="007B12E5">
      <w:pPr>
        <w:pStyle w:val="SingleTxtG"/>
        <w:rPr>
          <w:b/>
          <w:bCs/>
        </w:rPr>
      </w:pPr>
      <w:r>
        <w:tab/>
      </w:r>
      <w:r w:rsidR="007B12E5" w:rsidRPr="00881405">
        <w:rPr>
          <w:b/>
          <w:bCs/>
        </w:rPr>
        <w:t>c)</w:t>
      </w:r>
      <w:r w:rsidR="007B12E5" w:rsidRPr="00881405">
        <w:rPr>
          <w:b/>
          <w:bCs/>
        </w:rPr>
        <w:tab/>
      </w:r>
      <w:r w:rsidR="007B12E5">
        <w:rPr>
          <w:b/>
          <w:bCs/>
        </w:rPr>
        <w:t>обеспечивать соблюдение гарантий надлежащей правовой процедуры по делам правозащитников и журналистов, обвиняемых в совершении преступлений;</w:t>
      </w:r>
      <w:r w:rsidR="007B12E5">
        <w:t xml:space="preserve"> </w:t>
      </w:r>
      <w:bookmarkStart w:id="7" w:name="_Hlk134441839"/>
      <w:bookmarkEnd w:id="7"/>
    </w:p>
    <w:p w14:paraId="250113E5" w14:textId="63292239" w:rsidR="007B12E5" w:rsidRPr="005E2CEE" w:rsidRDefault="00881405" w:rsidP="007B12E5">
      <w:pPr>
        <w:pStyle w:val="SingleTxtG"/>
        <w:rPr>
          <w:b/>
          <w:bCs/>
        </w:rPr>
      </w:pPr>
      <w:r>
        <w:tab/>
      </w:r>
      <w:r w:rsidR="007B12E5" w:rsidRPr="00881405">
        <w:rPr>
          <w:b/>
          <w:bCs/>
        </w:rPr>
        <w:t>d)</w:t>
      </w:r>
      <w:r w:rsidR="007B12E5" w:rsidRPr="00881405">
        <w:rPr>
          <w:b/>
          <w:bCs/>
        </w:rPr>
        <w:tab/>
      </w:r>
      <w:r w:rsidR="007B12E5">
        <w:rPr>
          <w:b/>
          <w:bCs/>
        </w:rPr>
        <w:t>обеспечивать, чтобы любые ограничения права на свободу мнений и их свободное выражение или права на свободу собраний и ассоциации полностью соответствовали строгим требованиям, установленным в пункте 3 статьи 19, статье 21 и пункте 2 статьи 22 Пакта.</w:t>
      </w:r>
      <w:bookmarkStart w:id="8" w:name="_Hlk134441864"/>
      <w:bookmarkEnd w:id="8"/>
    </w:p>
    <w:p w14:paraId="356506CB" w14:textId="77777777" w:rsidR="007B12E5" w:rsidRPr="009F59D3" w:rsidRDefault="007B12E5" w:rsidP="00881405">
      <w:pPr>
        <w:pStyle w:val="H23G"/>
        <w:rPr>
          <w:rFonts w:eastAsiaTheme="minorEastAsia"/>
        </w:rPr>
      </w:pPr>
      <w:r>
        <w:tab/>
      </w:r>
      <w:r>
        <w:tab/>
      </w:r>
      <w:r>
        <w:tab/>
        <w:t>Резюме информации, полученной от государства-участника</w:t>
      </w:r>
    </w:p>
    <w:p w14:paraId="7FC261F9" w14:textId="08ADEFA3" w:rsidR="007B12E5" w:rsidRPr="005E2CEE" w:rsidRDefault="00881405" w:rsidP="007B12E5">
      <w:pPr>
        <w:pStyle w:val="SingleTxtG"/>
      </w:pPr>
      <w:r>
        <w:tab/>
      </w:r>
      <w:r w:rsidR="007B12E5">
        <w:t>a)</w:t>
      </w:r>
      <w:r w:rsidR="007B12E5">
        <w:tab/>
        <w:t>В связи с принятием в апреле 2020 года указа о ликвидации или прекращении деятельности государственных целевых фондов, государственных мандатов и т.</w:t>
      </w:r>
      <w:r>
        <w:t xml:space="preserve"> </w:t>
      </w:r>
      <w:r w:rsidR="007B12E5">
        <w:t>п. Национальная комиссия по правам человека, Мексиканская федерация общественных правозащитных организаций и страновое отделение Управления Верховного комиссара ООН по правам человека (УВКПЧ) выступили с заявлением, в</w:t>
      </w:r>
      <w:r>
        <w:t> </w:t>
      </w:r>
      <w:r w:rsidR="007B12E5">
        <w:t>котором выразили сожаление по поводу решения об упразднении этих фондов без обеспечения наличия альтернативных источников финансирования деятельности по защите прав человека. Существующий целевой фонд по защите правозащитников и журналистов зарекомендовал себя как полезный инструмент для оперативного осуществления мер защиты в случаях крайней необходимости. Поэтому Мексиканская федерация общественных правозащитных организаций, Национальная комиссия по правам человека и страновое отделение УВКПЧ призвали гарантировать права журналистов и правозащитников в максимальном объеме имеющихся ресурсов, а</w:t>
      </w:r>
      <w:r>
        <w:t> </w:t>
      </w:r>
      <w:r w:rsidR="007B12E5">
        <w:t xml:space="preserve">также сохранить или усилить эффективность действующего целевого фонда при любой реформе законодательной базы. </w:t>
      </w:r>
      <w:bookmarkStart w:id="9" w:name="_Hlk134435538"/>
      <w:bookmarkEnd w:id="9"/>
    </w:p>
    <w:p w14:paraId="5F35918E" w14:textId="13CEE741" w:rsidR="007B12E5" w:rsidRPr="005E2CEE" w:rsidRDefault="00881405" w:rsidP="007B12E5">
      <w:pPr>
        <w:pStyle w:val="SingleTxtG"/>
      </w:pPr>
      <w:r>
        <w:tab/>
      </w:r>
      <w:r w:rsidR="007B12E5">
        <w:t>Что касается учета гендерной проблематики, то в годовом докладе Национального механизма защиты правозащитников и журналистов от 31 декабря 2019 года имелся раздел о гендерном насилии, который, хотя и содержал отдельные данные о нападениях на журналисток и правозащитниц, не включал гендерную проблематику. Правительство призвало к систематическому учету гендерных аспектов на всех этапах подготовки статистических данных.</w:t>
      </w:r>
    </w:p>
    <w:p w14:paraId="251DD76B" w14:textId="5EA34579" w:rsidR="007B12E5" w:rsidRPr="005E2CEE" w:rsidRDefault="00794C3C" w:rsidP="007B12E5">
      <w:pPr>
        <w:pStyle w:val="SingleTxtG"/>
      </w:pPr>
      <w:r>
        <w:tab/>
      </w:r>
      <w:r w:rsidR="007B12E5">
        <w:t>b)</w:t>
      </w:r>
      <w:r w:rsidR="007B12E5">
        <w:tab/>
        <w:t>Специальная прокуратура по преступлениям против свободы выражения мнений при Генеральной прокуратуре рассматривает все жалобы на преступления против свободы выражения мнений. За период с момента своего создания в 2016 году по июнь 2021 года Специальная прокуратура провела 592 расследования.</w:t>
      </w:r>
    </w:p>
    <w:p w14:paraId="04DDEDC1" w14:textId="0A96EDDC" w:rsidR="007B12E5" w:rsidRPr="005E2CEE" w:rsidRDefault="00794C3C" w:rsidP="00794C3C">
      <w:pPr>
        <w:pStyle w:val="SingleTxtG"/>
        <w:tabs>
          <w:tab w:val="left" w:pos="2552"/>
        </w:tabs>
      </w:pPr>
      <w:r>
        <w:tab/>
      </w:r>
      <w:r w:rsidR="007B12E5">
        <w:t>c) и d)</w:t>
      </w:r>
      <w:r w:rsidR="007B12E5">
        <w:tab/>
      </w:r>
      <w:r>
        <w:tab/>
      </w:r>
      <w:r w:rsidR="007B12E5">
        <w:t>Верховный суд принял решение отменить статью 28 (III) Закона о гражданской культуре города Мехико, которая определяла несанкционированное использование общественного пространства в качестве преступления против общественной безопасности. Суд счел, что это положение нарушает права на свободу выражения мнений, собраний и ассоциации, поскольку любое требование запрашивать разрешение на использование общественного пространства представляет собой предварительную цензуру высказываемых заявлений и ставит их распространение в зависимость от решения властей.</w:t>
      </w:r>
    </w:p>
    <w:p w14:paraId="50F6BC56" w14:textId="77777777" w:rsidR="007B12E5" w:rsidRPr="009F59D3" w:rsidRDefault="007B12E5" w:rsidP="007B12E5">
      <w:pPr>
        <w:pStyle w:val="H23G"/>
      </w:pPr>
      <w:r>
        <w:lastRenderedPageBreak/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  <w:r>
        <w:t xml:space="preserve"> </w:t>
      </w:r>
    </w:p>
    <w:p w14:paraId="24A40410" w14:textId="77777777" w:rsidR="007B12E5" w:rsidRPr="005E2CEE" w:rsidRDefault="007B12E5" w:rsidP="007B12E5">
      <w:pPr>
        <w:pStyle w:val="H4G"/>
        <w:rPr>
          <w:rFonts w:eastAsia="SimSun"/>
        </w:rPr>
      </w:pPr>
      <w:r>
        <w:tab/>
      </w:r>
      <w:r>
        <w:tab/>
      </w:r>
      <w:r>
        <w:rPr>
          <w:iCs/>
        </w:rPr>
        <w:t>Организация «Пропуэста сивика»</w:t>
      </w:r>
    </w:p>
    <w:p w14:paraId="433CA4F7" w14:textId="62A57636" w:rsidR="007B12E5" w:rsidRPr="005E2CEE" w:rsidRDefault="00794C3C" w:rsidP="007B12E5">
      <w:pPr>
        <w:pStyle w:val="SingleTxtG"/>
      </w:pPr>
      <w:r>
        <w:tab/>
      </w:r>
      <w:r w:rsidR="007B12E5">
        <w:t>a)</w:t>
      </w:r>
      <w:r w:rsidR="007B12E5">
        <w:tab/>
        <w:t>Вопреки утверждениям правительства, действия соответствующих учреждений по защите правозащитников и журналистов не носят оперативного характера, при этом на деле они проявляют халатность и не исполняют должным образом свои обязанности. Примером тому может служить дело об убийстве журналиста Густаво Санчеса Кабреры, в отношении которого должны были быть приняты срочные меры защиты, но которые не были приняты вовремя, чтобы предотвратить его убийство.</w:t>
      </w:r>
    </w:p>
    <w:p w14:paraId="089178B1" w14:textId="00B4D0F5" w:rsidR="007B12E5" w:rsidRPr="005E2CEE" w:rsidRDefault="00794C3C" w:rsidP="007B12E5">
      <w:pPr>
        <w:pStyle w:val="SingleTxtG"/>
      </w:pPr>
      <w:r>
        <w:tab/>
      </w:r>
      <w:r w:rsidR="007B12E5">
        <w:t>b)</w:t>
      </w:r>
      <w:r w:rsidR="007B12E5">
        <w:tab/>
        <w:t>Единый регламент расследования преступлений против свободы выражения мнений является значительным шагом вперед в части уделения внимания лицам, ставшим жертвами преступлений в связи с осуществлением ими права на свободное выражение мнений, и их признания. Однако Специальная прокуратура по преступлениям против свободы выражения мнений, отвечающая за применение этого Регламента, не распространила никакой информации о конкретных параметрах его надлежащего применения. Хотя сотрудничество между прокуратурами штатов и Специальной прокуратурой имеет основополагающее значение для оперативного расследования убийств, совершенных в различных регионах страны, и уголовного преследования виновных, в Регламенте ничего не говорится о том, когда Специальная прокуратура должна принимать на себя юрисдикцию по делам, первоначально находившимся в ведении прокуратуры того или иного штата.</w:t>
      </w:r>
    </w:p>
    <w:p w14:paraId="4FCFD36D" w14:textId="77777777" w:rsidR="007B12E5" w:rsidRPr="005E2CEE" w:rsidRDefault="007B12E5" w:rsidP="00794C3C">
      <w:pPr>
        <w:pStyle w:val="H23G"/>
      </w:pPr>
      <w:r>
        <w:tab/>
      </w:r>
      <w:r>
        <w:tab/>
      </w:r>
      <w:r>
        <w:tab/>
        <w:t>Оценка Комитета</w:t>
      </w:r>
    </w:p>
    <w:p w14:paraId="72EECE1E" w14:textId="77777777" w:rsidR="007B12E5" w:rsidRPr="005E2CEE" w:rsidRDefault="007B12E5" w:rsidP="007B12E5">
      <w:pPr>
        <w:pStyle w:val="SingleTxtG"/>
      </w:pPr>
      <w:r>
        <w:t>[C]: a), b), c) и d)</w:t>
      </w:r>
    </w:p>
    <w:p w14:paraId="4E6646B7" w14:textId="103E0A02" w:rsidR="007B12E5" w:rsidRPr="005E2CEE" w:rsidRDefault="00794C3C" w:rsidP="007B12E5">
      <w:pPr>
        <w:pStyle w:val="SingleTxtG"/>
      </w:pPr>
      <w:r>
        <w:tab/>
      </w:r>
      <w:r w:rsidR="007B12E5">
        <w:t>a)</w:t>
      </w:r>
      <w:r w:rsidR="007B12E5">
        <w:tab/>
        <w:t>Комитет принимает к сведению представленную информацию, свидетельствующую о том, что целевой фонд защиты правозащитников и журналистов является полезным инструментом в случаях крайней необходимости. Тем не менее он обеспокоен сообщениями о том, что меры защиты не являются достаточными или эффективными, как это имело место в случае с Густаво Санчесом Кабрерой. Комитет выражает сожаление по поводу отсутствия информации о предпринятых за отчетный период шагах по укреплению механизма защиты правозащитников и журналистов и его подразделений на уровне штатов. Он повторяет свою рекомендацию.</w:t>
      </w:r>
    </w:p>
    <w:p w14:paraId="44B3B106" w14:textId="5FB1E466" w:rsidR="007B12E5" w:rsidRPr="005E2CEE" w:rsidRDefault="00794C3C" w:rsidP="007B12E5">
      <w:pPr>
        <w:pStyle w:val="SingleTxtG"/>
      </w:pPr>
      <w:r>
        <w:tab/>
      </w:r>
      <w:r w:rsidR="007B12E5">
        <w:t>b)</w:t>
      </w:r>
      <w:r w:rsidR="007B12E5">
        <w:tab/>
        <w:t>Комитет принимает к сведению информацию о расследованиях, которые были начаты к июню 2021 года. Тем не менее он выражает сожаление по поводу отсутствия информации о предпринятых за отчетный период шагах по укреплению учреждений, отвечающих за правоприменение и отправление правосудия, а также административных органов внутреннего надзора. Комитет обеспокоен сообщением об отсутствии конкретных параметров, касающихся применения Единого регламента расследования преступлений против свободы выражения мнений, и просит представить дополнительную информацию по этому вопросу. Он повторяет свою рекомендацию.</w:t>
      </w:r>
    </w:p>
    <w:p w14:paraId="3C9B0527" w14:textId="46940967" w:rsidR="007B12E5" w:rsidRPr="005E2CEE" w:rsidRDefault="00794C3C" w:rsidP="007B12E5">
      <w:pPr>
        <w:pStyle w:val="SingleTxtG"/>
      </w:pPr>
      <w:r>
        <w:tab/>
      </w:r>
      <w:r w:rsidR="007B12E5">
        <w:t>c) и d)</w:t>
      </w:r>
    </w:p>
    <w:p w14:paraId="22217812" w14:textId="58E6D111" w:rsidR="007B12E5" w:rsidRPr="005E2CEE" w:rsidRDefault="00794C3C" w:rsidP="007B12E5">
      <w:pPr>
        <w:pStyle w:val="SingleTxtG"/>
      </w:pPr>
      <w:r>
        <w:tab/>
      </w:r>
      <w:r w:rsidR="007B12E5">
        <w:t>Комитет принимает к сведению решение Верховного суда об отмене статьи</w:t>
      </w:r>
      <w:r>
        <w:t> </w:t>
      </w:r>
      <w:r w:rsidR="007B12E5">
        <w:t>28</w:t>
      </w:r>
      <w:r>
        <w:t> </w:t>
      </w:r>
      <w:r w:rsidR="007B12E5">
        <w:t>(III) Закона о гражданской культуре города Мехико, но выражает сожаление по поводу отсутствия информации о мерах, принятых в отчетный период для обеспечения соблюдения гарантий надлежащей правовой процедуры в случаях, когда правозащитники и журналисты обвиняются в совершении преступлений, а также того, чтобы любые ограничения права на свободу мнений и их свободное выражение и права на свободу собраний и ассоциации полностью соответствовали положениям Пакта. Он</w:t>
      </w:r>
      <w:r>
        <w:t> </w:t>
      </w:r>
      <w:r w:rsidR="007B12E5">
        <w:t>повторяет свою рекомендацию.</w:t>
      </w:r>
    </w:p>
    <w:p w14:paraId="79080847" w14:textId="6B006E5E" w:rsidR="007B12E5" w:rsidRPr="005E2CEE" w:rsidRDefault="007B12E5" w:rsidP="007B12E5">
      <w:pPr>
        <w:pStyle w:val="SingleTxtG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44327F68" w14:textId="77777777" w:rsidR="007B12E5" w:rsidRPr="005E2CEE" w:rsidRDefault="007B12E5" w:rsidP="007B12E5">
      <w:pPr>
        <w:pStyle w:val="SingleTxtG"/>
      </w:pPr>
      <w:r>
        <w:rPr>
          <w:b/>
          <w:bCs/>
        </w:rPr>
        <w:lastRenderedPageBreak/>
        <w:t>Сроки представления следующего периодического доклада</w:t>
      </w:r>
      <w:r>
        <w:t>: 2026 год (страновой обзор в 2027 году в соответствии с планируемым циклом обзора).</w:t>
      </w:r>
    </w:p>
    <w:p w14:paraId="41803685" w14:textId="6B1960F4" w:rsidR="00381C24" w:rsidRPr="00BC18B2" w:rsidRDefault="007B12E5" w:rsidP="007B12E5">
      <w:pPr>
        <w:spacing w:before="240"/>
        <w:jc w:val="center"/>
      </w:pPr>
      <w:r w:rsidRPr="005E2CEE">
        <w:rPr>
          <w:u w:val="single"/>
        </w:rPr>
        <w:tab/>
      </w:r>
      <w:r w:rsidRPr="005E2CEE">
        <w:rPr>
          <w:u w:val="single"/>
        </w:rPr>
        <w:tab/>
      </w:r>
      <w:r w:rsidRPr="005E2CEE">
        <w:rPr>
          <w:u w:val="single"/>
        </w:rPr>
        <w:tab/>
      </w:r>
    </w:p>
    <w:sectPr w:rsidR="00381C24" w:rsidRPr="00BC18B2" w:rsidSect="007B12E5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D6D05" w14:textId="77777777" w:rsidR="00B31665" w:rsidRPr="00A312BC" w:rsidRDefault="00B31665" w:rsidP="00A312BC"/>
  </w:endnote>
  <w:endnote w:type="continuationSeparator" w:id="0">
    <w:p w14:paraId="18FCB180" w14:textId="77777777" w:rsidR="00B31665" w:rsidRPr="00A312BC" w:rsidRDefault="00B3166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0CC7C" w14:textId="101E94EB" w:rsidR="007B12E5" w:rsidRPr="007B12E5" w:rsidRDefault="007B12E5">
    <w:pPr>
      <w:pStyle w:val="a8"/>
    </w:pPr>
    <w:r w:rsidRPr="007B12E5">
      <w:rPr>
        <w:b/>
        <w:sz w:val="18"/>
      </w:rPr>
      <w:fldChar w:fldCharType="begin"/>
    </w:r>
    <w:r w:rsidRPr="007B12E5">
      <w:rPr>
        <w:b/>
        <w:sz w:val="18"/>
      </w:rPr>
      <w:instrText xml:space="preserve"> PAGE  \* MERGEFORMAT </w:instrText>
    </w:r>
    <w:r w:rsidRPr="007B12E5">
      <w:rPr>
        <w:b/>
        <w:sz w:val="18"/>
      </w:rPr>
      <w:fldChar w:fldCharType="separate"/>
    </w:r>
    <w:r w:rsidRPr="007B12E5">
      <w:rPr>
        <w:b/>
        <w:noProof/>
        <w:sz w:val="18"/>
      </w:rPr>
      <w:t>2</w:t>
    </w:r>
    <w:r w:rsidRPr="007B12E5">
      <w:rPr>
        <w:b/>
        <w:sz w:val="18"/>
      </w:rPr>
      <w:fldChar w:fldCharType="end"/>
    </w:r>
    <w:r>
      <w:rPr>
        <w:b/>
        <w:sz w:val="18"/>
      </w:rPr>
      <w:tab/>
    </w:r>
    <w:r>
      <w:t>GE.23-15277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5B0F0" w14:textId="1AAC38B4" w:rsidR="007B12E5" w:rsidRPr="007B12E5" w:rsidRDefault="007B12E5" w:rsidP="007B12E5">
    <w:pPr>
      <w:pStyle w:val="a8"/>
      <w:tabs>
        <w:tab w:val="clear" w:pos="9639"/>
        <w:tab w:val="right" w:pos="9638"/>
      </w:tabs>
      <w:rPr>
        <w:b/>
        <w:sz w:val="18"/>
      </w:rPr>
    </w:pPr>
    <w:r>
      <w:t>GE.23-15277</w:t>
    </w:r>
    <w:r>
      <w:tab/>
    </w:r>
    <w:r w:rsidRPr="007B12E5">
      <w:rPr>
        <w:b/>
        <w:sz w:val="18"/>
      </w:rPr>
      <w:fldChar w:fldCharType="begin"/>
    </w:r>
    <w:r w:rsidRPr="007B12E5">
      <w:rPr>
        <w:b/>
        <w:sz w:val="18"/>
      </w:rPr>
      <w:instrText xml:space="preserve"> PAGE  \* MERGEFORMAT </w:instrText>
    </w:r>
    <w:r w:rsidRPr="007B12E5">
      <w:rPr>
        <w:b/>
        <w:sz w:val="18"/>
      </w:rPr>
      <w:fldChar w:fldCharType="separate"/>
    </w:r>
    <w:r w:rsidRPr="007B12E5">
      <w:rPr>
        <w:b/>
        <w:noProof/>
        <w:sz w:val="18"/>
      </w:rPr>
      <w:t>3</w:t>
    </w:r>
    <w:r w:rsidRPr="007B12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02B17" w14:textId="310C7F6E" w:rsidR="00042B72" w:rsidRPr="007B12E5" w:rsidRDefault="007B12E5" w:rsidP="007B12E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B45005" wp14:editId="4BEC579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23-15277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AA9C791" wp14:editId="7FAB35C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171023  241123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F7BD1" w14:textId="77777777" w:rsidR="00B31665" w:rsidRPr="001075E9" w:rsidRDefault="00B3166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00B20AB" w14:textId="77777777" w:rsidR="00B31665" w:rsidRDefault="00B3166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EE1D54" w14:textId="0DFDB415" w:rsidR="007B12E5" w:rsidRPr="005E2CEE" w:rsidRDefault="007B12E5" w:rsidP="007B12E5">
      <w:pPr>
        <w:pStyle w:val="ad"/>
      </w:pPr>
      <w:r>
        <w:tab/>
      </w:r>
      <w:r w:rsidRPr="00774CAF">
        <w:rPr>
          <w:sz w:val="20"/>
        </w:rPr>
        <w:t>*</w:t>
      </w:r>
      <w:r>
        <w:tab/>
        <w:t>Принят Комитетом на его</w:t>
      </w:r>
      <w:r w:rsidR="004F1DA2">
        <w:t xml:space="preserve"> сто тридцать восьмой</w:t>
      </w:r>
      <w:r>
        <w:t xml:space="preserve"> сессии (26 июня — 26 июля 2023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12221" w14:textId="2C1C2A89" w:rsidR="007B12E5" w:rsidRPr="007B12E5" w:rsidRDefault="00D35AE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CCPR/C/138/2/Add.1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17EB2" w14:textId="2D4DCEE8" w:rsidR="007B12E5" w:rsidRPr="007B12E5" w:rsidRDefault="00D35AE8" w:rsidP="007B12E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CCPR/C/138/2/Add.1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 w:numId="22" w16cid:durableId="1619021428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65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F1DA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74CAF"/>
    <w:rsid w:val="00787D3A"/>
    <w:rsid w:val="00791B9D"/>
    <w:rsid w:val="00794C3C"/>
    <w:rsid w:val="007B12E5"/>
    <w:rsid w:val="007E25B0"/>
    <w:rsid w:val="00825F8D"/>
    <w:rsid w:val="00834B71"/>
    <w:rsid w:val="0086445C"/>
    <w:rsid w:val="00881405"/>
    <w:rsid w:val="00894693"/>
    <w:rsid w:val="008A08D7"/>
    <w:rsid w:val="008B6909"/>
    <w:rsid w:val="008D5B13"/>
    <w:rsid w:val="00906890"/>
    <w:rsid w:val="00911BE4"/>
    <w:rsid w:val="00931A71"/>
    <w:rsid w:val="00951972"/>
    <w:rsid w:val="009608F3"/>
    <w:rsid w:val="00970DBC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31665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5262A"/>
    <w:rsid w:val="00C60F0C"/>
    <w:rsid w:val="00C805C9"/>
    <w:rsid w:val="00C92939"/>
    <w:rsid w:val="00CA1679"/>
    <w:rsid w:val="00CB151C"/>
    <w:rsid w:val="00CE3A97"/>
    <w:rsid w:val="00CE5A1A"/>
    <w:rsid w:val="00CF55F6"/>
    <w:rsid w:val="00D33D63"/>
    <w:rsid w:val="00D35AE8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D57BF"/>
  <w15:docId w15:val="{8C460B4C-5932-4DDB-A92F-5C195F87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uiPriority w:val="1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4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numbering" w:styleId="1ai">
    <w:name w:val="Outline List 1"/>
    <w:basedOn w:val="a2"/>
    <w:rsid w:val="007B12E5"/>
    <w:pPr>
      <w:numPr>
        <w:numId w:val="22"/>
      </w:numPr>
    </w:pPr>
  </w:style>
  <w:style w:type="character" w:customStyle="1" w:styleId="SingleTxtGChar">
    <w:name w:val="_ Single Txt_G Char"/>
    <w:link w:val="SingleTxtG"/>
    <w:uiPriority w:val="1"/>
    <w:rsid w:val="007B12E5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970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MEX/CO/6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Download.aspx?symbolno=INT%2FCCPR%2FNGS%2FMEX%2F52206&amp;Lang=en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FCO%2FMEX%2F47817&amp;Lang=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tbinternet.ohchr.org/_layouts/15/treatybodyexternal/Download.aspx?symbolno=INT%2FCCPR%2FFCO%2FMEX%2F47816&amp;Lang=e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MEX/FCO/6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7</TotalTime>
  <Pages>7</Pages>
  <Words>2390</Words>
  <Characters>16862</Characters>
  <Application>Microsoft Office Word</Application>
  <DocSecurity>0</DocSecurity>
  <Lines>313</Lines>
  <Paragraphs>68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CCPR/C/138/2/Add.1</vt:lpstr>
      <vt:lpstr>A/</vt:lpstr>
      <vt:lpstr>A/</vt:lpstr>
    </vt:vector>
  </TitlesOfParts>
  <Company>DCM</Company>
  <LinksUpToDate>false</LinksUpToDate>
  <CharactersWithSpaces>19267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CCPR/C/138/2/Add.1</dc:title>
  <dc:subject/>
  <dc:creator>Marina KOROTKOVA</dc:creator>
  <cp:keywords/>
  <cp:lastModifiedBy>Ioulia Goussarova</cp:lastModifiedBy>
  <cp:revision>3</cp:revision>
  <cp:lastPrinted>2023-11-24T16:12:00Z</cp:lastPrinted>
  <dcterms:created xsi:type="dcterms:W3CDTF">2023-11-24T16:12:00Z</dcterms:created>
  <dcterms:modified xsi:type="dcterms:W3CDTF">2023-11-24T16:14:00Z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