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C009C" w:rsidRPr="00F124C6" w:rsidTr="00F20F71">
        <w:trPr>
          <w:trHeight w:hRule="exact" w:val="851"/>
        </w:trPr>
        <w:tc>
          <w:tcPr>
            <w:tcW w:w="1280" w:type="dxa"/>
            <w:tcBorders>
              <w:bottom w:val="single" w:sz="4" w:space="0" w:color="auto"/>
            </w:tcBorders>
          </w:tcPr>
          <w:p w:rsidR="006C009C" w:rsidRPr="00F124C6" w:rsidRDefault="006C009C" w:rsidP="00F20F71">
            <w:pPr>
              <w:pStyle w:val="H1GC"/>
            </w:pPr>
          </w:p>
        </w:tc>
        <w:tc>
          <w:tcPr>
            <w:tcW w:w="2273" w:type="dxa"/>
            <w:tcBorders>
              <w:bottom w:val="single" w:sz="4" w:space="0" w:color="auto"/>
            </w:tcBorders>
            <w:vAlign w:val="bottom"/>
          </w:tcPr>
          <w:p w:rsidR="006C009C" w:rsidRPr="006C009C" w:rsidRDefault="006C009C" w:rsidP="00F20F71">
            <w:pPr>
              <w:spacing w:after="80" w:line="300" w:lineRule="exact"/>
              <w:rPr>
                <w:rFonts w:ascii="Time New Roman" w:eastAsia="黑体" w:hAnsi="Time New Roman" w:hint="eastAsia"/>
                <w:spacing w:val="50"/>
                <w:sz w:val="28"/>
              </w:rPr>
            </w:pPr>
            <w:r w:rsidRPr="006C009C">
              <w:rPr>
                <w:rFonts w:ascii="宋体" w:eastAsia="黑体" w:hAnsi="宋体" w:cs="宋体" w:hint="eastAsia"/>
                <w:spacing w:val="50"/>
                <w:sz w:val="28"/>
              </w:rPr>
              <w:t>联</w:t>
            </w:r>
            <w:r w:rsidRPr="006C009C">
              <w:rPr>
                <w:rFonts w:ascii="Time New Roman" w:eastAsia="黑体" w:hAnsi="Time New Roman" w:hint="eastAsia"/>
                <w:spacing w:val="50"/>
                <w:sz w:val="28"/>
              </w:rPr>
              <w:t xml:space="preserve"> </w:t>
            </w:r>
            <w:r w:rsidRPr="006C009C">
              <w:rPr>
                <w:rFonts w:ascii="宋体" w:eastAsia="黑体" w:hAnsi="宋体" w:cs="宋体" w:hint="eastAsia"/>
                <w:spacing w:val="50"/>
                <w:sz w:val="28"/>
              </w:rPr>
              <w:t>合</w:t>
            </w:r>
            <w:r w:rsidRPr="006C009C">
              <w:rPr>
                <w:rFonts w:ascii="Time New Roman" w:eastAsia="黑体" w:hAnsi="Time New Roman" w:hint="eastAsia"/>
                <w:spacing w:val="50"/>
                <w:sz w:val="28"/>
              </w:rPr>
              <w:t xml:space="preserve"> </w:t>
            </w:r>
            <w:r w:rsidRPr="006C009C">
              <w:rPr>
                <w:rFonts w:ascii="宋体" w:eastAsia="黑体" w:hAnsi="宋体" w:cs="宋体" w:hint="eastAsia"/>
                <w:spacing w:val="50"/>
                <w:sz w:val="28"/>
              </w:rPr>
              <w:t>国</w:t>
            </w:r>
          </w:p>
        </w:tc>
        <w:tc>
          <w:tcPr>
            <w:tcW w:w="6086" w:type="dxa"/>
            <w:gridSpan w:val="2"/>
            <w:tcBorders>
              <w:bottom w:val="single" w:sz="4" w:space="0" w:color="auto"/>
            </w:tcBorders>
            <w:vAlign w:val="bottom"/>
          </w:tcPr>
          <w:p w:rsidR="006C009C" w:rsidRPr="00AE30AB" w:rsidRDefault="006C009C" w:rsidP="00F20F71">
            <w:pPr>
              <w:jc w:val="right"/>
              <w:rPr>
                <w:szCs w:val="21"/>
              </w:rPr>
            </w:pPr>
            <w:r w:rsidRPr="00AE30AB">
              <w:rPr>
                <w:sz w:val="40"/>
                <w:szCs w:val="21"/>
              </w:rPr>
              <w:t>A</w:t>
            </w:r>
            <w:r>
              <w:rPr>
                <w:szCs w:val="21"/>
              </w:rPr>
              <w:t>/</w:t>
            </w:r>
            <w:proofErr w:type="spellStart"/>
            <w:r>
              <w:rPr>
                <w:szCs w:val="21"/>
              </w:rPr>
              <w:t>HRC</w:t>
            </w:r>
            <w:proofErr w:type="spellEnd"/>
            <w:r>
              <w:rPr>
                <w:szCs w:val="21"/>
              </w:rPr>
              <w:t>/34/56/</w:t>
            </w:r>
            <w:proofErr w:type="spellStart"/>
            <w:r>
              <w:rPr>
                <w:szCs w:val="21"/>
              </w:rPr>
              <w:t>Add.1</w:t>
            </w:r>
            <w:proofErr w:type="spellEnd"/>
          </w:p>
        </w:tc>
      </w:tr>
      <w:tr w:rsidR="006C009C" w:rsidRPr="00F124C6" w:rsidTr="00F20F71">
        <w:trPr>
          <w:trHeight w:hRule="exact" w:val="2835"/>
        </w:trPr>
        <w:tc>
          <w:tcPr>
            <w:tcW w:w="1280" w:type="dxa"/>
            <w:tcBorders>
              <w:top w:val="single" w:sz="4" w:space="0" w:color="auto"/>
              <w:bottom w:val="single" w:sz="12" w:space="0" w:color="auto"/>
            </w:tcBorders>
          </w:tcPr>
          <w:p w:rsidR="006C009C" w:rsidRPr="00F124C6" w:rsidRDefault="006C009C" w:rsidP="00F20F71">
            <w:pPr>
              <w:spacing w:line="120" w:lineRule="atLeast"/>
              <w:rPr>
                <w:sz w:val="10"/>
                <w:szCs w:val="10"/>
              </w:rPr>
            </w:pPr>
          </w:p>
          <w:p w:rsidR="006C009C" w:rsidRPr="00F124C6" w:rsidRDefault="006C009C" w:rsidP="00F20F71">
            <w:pPr>
              <w:spacing w:line="120" w:lineRule="atLeast"/>
              <w:rPr>
                <w:sz w:val="10"/>
                <w:szCs w:val="10"/>
              </w:rPr>
            </w:pPr>
            <w:r>
              <w:rPr>
                <w:rFonts w:hint="eastAsia"/>
                <w:noProof/>
                <w:lang w:val="en-US" w:eastAsia="zh-CN"/>
              </w:rPr>
              <w:drawing>
                <wp:inline distT="0" distB="0" distL="0" distR="0" wp14:anchorId="203E112A" wp14:editId="08253C26">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C009C" w:rsidRPr="006C009C" w:rsidRDefault="006C009C" w:rsidP="00F20F71">
            <w:pPr>
              <w:spacing w:before="240" w:line="420" w:lineRule="exact"/>
              <w:rPr>
                <w:rFonts w:ascii="Time New Roman" w:eastAsia="黑体" w:hAnsi="Time New Roman" w:hint="eastAsia"/>
                <w:spacing w:val="60"/>
                <w:sz w:val="40"/>
                <w:szCs w:val="40"/>
              </w:rPr>
            </w:pPr>
            <w:r w:rsidRPr="006C009C">
              <w:rPr>
                <w:rFonts w:ascii="宋体" w:eastAsia="黑体" w:hAnsi="宋体" w:cs="宋体" w:hint="eastAsia"/>
                <w:spacing w:val="60"/>
                <w:sz w:val="40"/>
                <w:szCs w:val="40"/>
              </w:rPr>
              <w:t>大</w:t>
            </w:r>
            <w:r w:rsidRPr="006C009C">
              <w:rPr>
                <w:rFonts w:ascii="Time New Roman" w:eastAsia="黑体" w:hAnsi="Time New Roman" w:hint="eastAsia"/>
                <w:spacing w:val="60"/>
                <w:sz w:val="40"/>
                <w:szCs w:val="40"/>
              </w:rPr>
              <w:t xml:space="preserve">  </w:t>
            </w:r>
            <w:r w:rsidRPr="006C009C">
              <w:rPr>
                <w:rFonts w:ascii="宋体" w:eastAsia="黑体" w:hAnsi="宋体" w:cs="宋体" w:hint="eastAsia"/>
                <w:spacing w:val="60"/>
                <w:sz w:val="40"/>
                <w:szCs w:val="40"/>
              </w:rPr>
              <w:t>会</w:t>
            </w:r>
          </w:p>
        </w:tc>
        <w:tc>
          <w:tcPr>
            <w:tcW w:w="2819" w:type="dxa"/>
            <w:tcBorders>
              <w:top w:val="single" w:sz="4" w:space="0" w:color="auto"/>
              <w:bottom w:val="single" w:sz="12" w:space="0" w:color="auto"/>
            </w:tcBorders>
          </w:tcPr>
          <w:p w:rsidR="006C009C" w:rsidRPr="00F124C6" w:rsidRDefault="006C009C" w:rsidP="00F20F71">
            <w:pPr>
              <w:spacing w:before="240"/>
            </w:pPr>
            <w:r w:rsidRPr="00F124C6">
              <w:t xml:space="preserve">Distr.: </w:t>
            </w:r>
            <w:r w:rsidRPr="00AE30AB">
              <w:t>General</w:t>
            </w:r>
          </w:p>
          <w:p w:rsidR="006C009C" w:rsidRPr="00F124C6" w:rsidRDefault="006C009C" w:rsidP="00F20F71">
            <w:r>
              <w:t>3 March 2017</w:t>
            </w:r>
          </w:p>
          <w:p w:rsidR="006C009C" w:rsidRPr="00F124C6" w:rsidRDefault="006C009C" w:rsidP="00F20F71">
            <w:r w:rsidRPr="00F124C6">
              <w:t xml:space="preserve">Chinese </w:t>
            </w:r>
          </w:p>
          <w:p w:rsidR="006C009C" w:rsidRPr="00F124C6" w:rsidRDefault="006C009C" w:rsidP="00F20F71">
            <w:r w:rsidRPr="00F124C6">
              <w:t>Original: English</w:t>
            </w:r>
          </w:p>
        </w:tc>
      </w:tr>
    </w:tbl>
    <w:p w:rsidR="006C009C" w:rsidRPr="006C009C" w:rsidRDefault="006C009C" w:rsidP="006C009C">
      <w:pPr>
        <w:suppressAutoHyphens w:val="0"/>
        <w:overflowPunct w:val="0"/>
        <w:adjustRightInd w:val="0"/>
        <w:snapToGrid w:val="0"/>
        <w:spacing w:before="120" w:line="320" w:lineRule="exact"/>
        <w:rPr>
          <w:rFonts w:eastAsia="黑体"/>
          <w:snapToGrid w:val="0"/>
          <w:sz w:val="24"/>
          <w:szCs w:val="24"/>
          <w:lang w:val="fr-CH" w:eastAsia="zh-CN"/>
        </w:rPr>
      </w:pPr>
      <w:r w:rsidRPr="006C009C">
        <w:rPr>
          <w:rFonts w:eastAsia="黑体" w:hint="eastAsia"/>
          <w:snapToGrid w:val="0"/>
          <w:sz w:val="24"/>
          <w:szCs w:val="24"/>
          <w:lang w:val="fr-CH" w:eastAsia="zh-CN"/>
        </w:rPr>
        <w:t>人权理事会</w:t>
      </w:r>
    </w:p>
    <w:p w:rsidR="006C009C" w:rsidRPr="006C009C" w:rsidRDefault="006C009C" w:rsidP="006C009C">
      <w:pPr>
        <w:suppressAutoHyphens w:val="0"/>
        <w:overflowPunct w:val="0"/>
        <w:adjustRightInd w:val="0"/>
        <w:snapToGrid w:val="0"/>
        <w:spacing w:line="320" w:lineRule="exact"/>
        <w:rPr>
          <w:rFonts w:eastAsia="黑体"/>
          <w:snapToGrid w:val="0"/>
          <w:sz w:val="21"/>
          <w:szCs w:val="21"/>
          <w:lang w:val="fr-CH" w:eastAsia="zh-CN"/>
        </w:rPr>
      </w:pPr>
      <w:r w:rsidRPr="006C009C">
        <w:rPr>
          <w:rFonts w:eastAsia="黑体" w:hint="eastAsia"/>
          <w:snapToGrid w:val="0"/>
          <w:sz w:val="21"/>
          <w:szCs w:val="21"/>
          <w:lang w:val="fr-CH" w:eastAsia="zh-CN"/>
        </w:rPr>
        <w:t>第三十四届会议</w:t>
      </w:r>
    </w:p>
    <w:p w:rsidR="006C009C" w:rsidRPr="006C009C" w:rsidRDefault="006C009C" w:rsidP="006C009C">
      <w:pPr>
        <w:suppressAutoHyphens w:val="0"/>
        <w:overflowPunct w:val="0"/>
        <w:adjustRightInd w:val="0"/>
        <w:snapToGrid w:val="0"/>
        <w:spacing w:line="320" w:lineRule="exact"/>
        <w:rPr>
          <w:rFonts w:ascii="Time New Roman" w:eastAsia="宋体" w:hAnsi="Time New Roman" w:hint="eastAsia"/>
          <w:snapToGrid w:val="0"/>
          <w:sz w:val="21"/>
          <w:szCs w:val="21"/>
          <w:lang w:val="fr-CH" w:eastAsia="zh-CN"/>
        </w:rPr>
      </w:pPr>
      <w:r w:rsidRPr="006C009C">
        <w:rPr>
          <w:rFonts w:ascii="Time New Roman" w:eastAsia="宋体" w:hAnsi="Time New Roman" w:hint="eastAsia"/>
          <w:snapToGrid w:val="0"/>
          <w:sz w:val="21"/>
          <w:szCs w:val="21"/>
          <w:lang w:val="fr-CH" w:eastAsia="zh-CN"/>
        </w:rPr>
        <w:t>2017</w:t>
      </w:r>
      <w:r w:rsidRPr="006C009C">
        <w:rPr>
          <w:rFonts w:ascii="Time New Roman" w:eastAsia="宋体" w:hAnsi="Time New Roman" w:hint="eastAsia"/>
          <w:snapToGrid w:val="0"/>
          <w:sz w:val="21"/>
          <w:szCs w:val="21"/>
          <w:lang w:val="fr-CH" w:eastAsia="zh-CN"/>
        </w:rPr>
        <w:t>年</w:t>
      </w:r>
      <w:r w:rsidRPr="006C009C">
        <w:rPr>
          <w:rFonts w:ascii="Time New Roman" w:eastAsia="宋体" w:hAnsi="Time New Roman" w:hint="eastAsia"/>
          <w:snapToGrid w:val="0"/>
          <w:sz w:val="21"/>
          <w:szCs w:val="21"/>
          <w:lang w:val="fr-CH" w:eastAsia="zh-CN"/>
        </w:rPr>
        <w:t>2</w:t>
      </w:r>
      <w:r w:rsidRPr="006C009C">
        <w:rPr>
          <w:rFonts w:ascii="Time New Roman" w:eastAsia="宋体" w:hAnsi="Time New Roman" w:hint="eastAsia"/>
          <w:snapToGrid w:val="0"/>
          <w:sz w:val="21"/>
          <w:szCs w:val="21"/>
          <w:lang w:val="fr-CH" w:eastAsia="zh-CN"/>
        </w:rPr>
        <w:t>月</w:t>
      </w:r>
      <w:r w:rsidRPr="006C009C">
        <w:rPr>
          <w:rFonts w:ascii="Time New Roman" w:eastAsia="宋体" w:hAnsi="Time New Roman" w:hint="eastAsia"/>
          <w:snapToGrid w:val="0"/>
          <w:sz w:val="21"/>
          <w:szCs w:val="21"/>
          <w:lang w:val="fr-CH" w:eastAsia="zh-CN"/>
        </w:rPr>
        <w:t>27</w:t>
      </w:r>
      <w:r w:rsidRPr="006C009C">
        <w:rPr>
          <w:rFonts w:ascii="Time New Roman" w:eastAsia="宋体" w:hAnsi="Time New Roman" w:hint="eastAsia"/>
          <w:snapToGrid w:val="0"/>
          <w:sz w:val="21"/>
          <w:szCs w:val="21"/>
          <w:lang w:val="fr-CH" w:eastAsia="zh-CN"/>
        </w:rPr>
        <w:t>日至</w:t>
      </w:r>
      <w:r w:rsidRPr="006C009C">
        <w:rPr>
          <w:rFonts w:ascii="Time New Roman" w:eastAsia="宋体" w:hAnsi="Time New Roman" w:hint="eastAsia"/>
          <w:snapToGrid w:val="0"/>
          <w:sz w:val="21"/>
          <w:szCs w:val="21"/>
          <w:lang w:val="fr-CH" w:eastAsia="zh-CN"/>
        </w:rPr>
        <w:t>3</w:t>
      </w:r>
      <w:r w:rsidRPr="006C009C">
        <w:rPr>
          <w:rFonts w:ascii="Time New Roman" w:eastAsia="宋体" w:hAnsi="Time New Roman" w:hint="eastAsia"/>
          <w:snapToGrid w:val="0"/>
          <w:sz w:val="21"/>
          <w:szCs w:val="21"/>
          <w:lang w:val="fr-CH" w:eastAsia="zh-CN"/>
        </w:rPr>
        <w:t>月</w:t>
      </w:r>
      <w:r w:rsidRPr="006C009C">
        <w:rPr>
          <w:rFonts w:ascii="Time New Roman" w:eastAsia="宋体" w:hAnsi="Time New Roman" w:hint="eastAsia"/>
          <w:snapToGrid w:val="0"/>
          <w:sz w:val="21"/>
          <w:szCs w:val="21"/>
          <w:lang w:val="fr-CH" w:eastAsia="zh-CN"/>
        </w:rPr>
        <w:t>24</w:t>
      </w:r>
      <w:r w:rsidRPr="006C009C">
        <w:rPr>
          <w:rFonts w:ascii="Time New Roman" w:eastAsia="宋体" w:hAnsi="Time New Roman" w:hint="eastAsia"/>
          <w:snapToGrid w:val="0"/>
          <w:sz w:val="21"/>
          <w:szCs w:val="21"/>
          <w:lang w:val="fr-CH" w:eastAsia="zh-CN"/>
        </w:rPr>
        <w:t>日</w:t>
      </w:r>
    </w:p>
    <w:p w:rsidR="006C009C" w:rsidRPr="006C009C" w:rsidRDefault="006C009C" w:rsidP="006C009C">
      <w:pPr>
        <w:suppressAutoHyphens w:val="0"/>
        <w:overflowPunct w:val="0"/>
        <w:adjustRightInd w:val="0"/>
        <w:snapToGrid w:val="0"/>
        <w:spacing w:line="320" w:lineRule="exact"/>
        <w:rPr>
          <w:rFonts w:ascii="Time New Roman" w:eastAsia="宋体" w:hAnsi="Time New Roman" w:hint="eastAsia"/>
          <w:snapToGrid w:val="0"/>
          <w:sz w:val="21"/>
          <w:szCs w:val="21"/>
          <w:lang w:val="fr-CH" w:eastAsia="zh-CN"/>
        </w:rPr>
      </w:pPr>
      <w:r w:rsidRPr="006C009C">
        <w:rPr>
          <w:rFonts w:ascii="Time New Roman" w:eastAsia="宋体" w:hAnsi="Time New Roman" w:hint="eastAsia"/>
          <w:snapToGrid w:val="0"/>
          <w:sz w:val="21"/>
          <w:szCs w:val="21"/>
          <w:lang w:val="fr-CH" w:eastAsia="zh-CN"/>
        </w:rPr>
        <w:t>议程项目</w:t>
      </w:r>
      <w:r w:rsidRPr="006C009C">
        <w:rPr>
          <w:rFonts w:ascii="Time New Roman" w:eastAsia="宋体" w:hAnsi="Time New Roman" w:hint="eastAsia"/>
          <w:snapToGrid w:val="0"/>
          <w:sz w:val="21"/>
          <w:szCs w:val="21"/>
          <w:lang w:val="fr-CH" w:eastAsia="zh-CN"/>
        </w:rPr>
        <w:t>3</w:t>
      </w:r>
    </w:p>
    <w:p w:rsidR="006C009C" w:rsidRPr="006C009C" w:rsidRDefault="006C009C" w:rsidP="006C009C">
      <w:pPr>
        <w:suppressAutoHyphens w:val="0"/>
        <w:overflowPunct w:val="0"/>
        <w:adjustRightInd w:val="0"/>
        <w:snapToGrid w:val="0"/>
        <w:spacing w:line="320" w:lineRule="exact"/>
        <w:rPr>
          <w:rFonts w:eastAsia="黑体"/>
          <w:snapToGrid w:val="0"/>
          <w:sz w:val="21"/>
          <w:szCs w:val="21"/>
          <w:lang w:val="fr-CH" w:eastAsia="zh-CN"/>
        </w:rPr>
      </w:pPr>
      <w:r w:rsidRPr="006C009C">
        <w:rPr>
          <w:rFonts w:eastAsia="黑体" w:hint="eastAsia"/>
          <w:snapToGrid w:val="0"/>
          <w:sz w:val="21"/>
          <w:szCs w:val="21"/>
          <w:lang w:val="fr-CH" w:eastAsia="zh-CN"/>
        </w:rPr>
        <w:t>促进和保护所有人权</w:t>
      </w:r>
      <w:r w:rsidRPr="006C009C">
        <w:rPr>
          <w:rFonts w:eastAsia="黑体" w:hint="eastAsia"/>
          <w:snapToGrid w:val="0"/>
          <w:spacing w:val="-50"/>
          <w:sz w:val="21"/>
          <w:szCs w:val="21"/>
          <w:lang w:val="fr-CH" w:eastAsia="zh-CN"/>
        </w:rPr>
        <w:t>―</w:t>
      </w:r>
      <w:r w:rsidRPr="006C009C">
        <w:rPr>
          <w:rFonts w:eastAsia="黑体" w:hint="eastAsia"/>
          <w:snapToGrid w:val="0"/>
          <w:sz w:val="21"/>
          <w:szCs w:val="21"/>
          <w:lang w:val="fr-CH" w:eastAsia="zh-CN"/>
        </w:rPr>
        <w:t>―公民权利、政治权利、</w:t>
      </w:r>
      <w:r w:rsidRPr="006C009C">
        <w:rPr>
          <w:rFonts w:eastAsia="黑体"/>
          <w:snapToGrid w:val="0"/>
          <w:sz w:val="21"/>
          <w:szCs w:val="21"/>
          <w:lang w:val="fr-CH" w:eastAsia="zh-CN"/>
        </w:rPr>
        <w:br/>
      </w:r>
      <w:r w:rsidRPr="006C009C">
        <w:rPr>
          <w:rFonts w:eastAsia="黑体" w:hint="eastAsia"/>
          <w:snapToGrid w:val="0"/>
          <w:sz w:val="21"/>
          <w:szCs w:val="21"/>
          <w:lang w:val="fr-CH" w:eastAsia="zh-CN"/>
        </w:rPr>
        <w:t>经济、社会及文化权利，包括发展权</w:t>
      </w:r>
    </w:p>
    <w:p w:rsidR="006C009C" w:rsidRPr="00AE30AB" w:rsidRDefault="006C009C" w:rsidP="006C009C">
      <w:pPr>
        <w:pStyle w:val="HChGC"/>
        <w:rPr>
          <w:lang w:val="fr-CH"/>
        </w:rPr>
      </w:pPr>
      <w:r w:rsidRPr="00AE30AB">
        <w:rPr>
          <w:rFonts w:hint="eastAsia"/>
          <w:lang w:val="fr-CH"/>
        </w:rPr>
        <w:tab/>
      </w:r>
      <w:r w:rsidRPr="00AE30AB">
        <w:rPr>
          <w:rFonts w:hint="eastAsia"/>
          <w:lang w:val="fr-CH"/>
        </w:rPr>
        <w:tab/>
      </w:r>
      <w:r w:rsidRPr="00AE30AB">
        <w:rPr>
          <w:rFonts w:hint="eastAsia"/>
          <w:lang w:val="fr-CH"/>
        </w:rPr>
        <w:t>文化权利领域特别报告</w:t>
      </w:r>
      <w:proofErr w:type="gramStart"/>
      <w:r w:rsidRPr="00AE30AB">
        <w:rPr>
          <w:rFonts w:hint="eastAsia"/>
          <w:lang w:val="fr-CH"/>
        </w:rPr>
        <w:t>员访问</w:t>
      </w:r>
      <w:proofErr w:type="gramEnd"/>
      <w:r w:rsidRPr="00AE30AB">
        <w:rPr>
          <w:rFonts w:hint="eastAsia"/>
          <w:lang w:val="fr-CH"/>
        </w:rPr>
        <w:t>塞浦路斯</w:t>
      </w:r>
      <w:bookmarkStart w:id="0" w:name="_GoBack"/>
      <w:bookmarkEnd w:id="0"/>
      <w:r w:rsidRPr="00AE30AB">
        <w:rPr>
          <w:rFonts w:hint="eastAsia"/>
          <w:lang w:val="fr-CH"/>
        </w:rPr>
        <w:t>报告</w:t>
      </w:r>
      <w:r w:rsidRPr="006C009C">
        <w:rPr>
          <w:rStyle w:val="a8"/>
          <w:color w:val="0000FF"/>
          <w:sz w:val="28"/>
          <w:szCs w:val="28"/>
          <w:vertAlign w:val="baseline"/>
          <w:lang w:val="fr-CH"/>
        </w:rPr>
        <w:footnoteReference w:customMarkFollows="1" w:id="1"/>
        <w:t>*</w:t>
      </w:r>
    </w:p>
    <w:p w:rsidR="006C009C" w:rsidRPr="00AE30AB" w:rsidRDefault="006C009C" w:rsidP="006C009C">
      <w:pPr>
        <w:pStyle w:val="H1GC"/>
        <w:rPr>
          <w:lang w:val="fr-CH"/>
        </w:rPr>
      </w:pPr>
      <w:r w:rsidRPr="00AE30AB">
        <w:rPr>
          <w:rFonts w:hint="eastAsia"/>
          <w:lang w:val="fr-CH"/>
        </w:rPr>
        <w:tab/>
      </w:r>
      <w:r w:rsidRPr="00AE30AB">
        <w:rPr>
          <w:rFonts w:hint="eastAsia"/>
          <w:lang w:val="fr-CH"/>
        </w:rPr>
        <w:tab/>
      </w:r>
      <w:r w:rsidRPr="00AE30AB">
        <w:rPr>
          <w:rFonts w:hint="eastAsia"/>
          <w:lang w:val="fr-CH"/>
        </w:rPr>
        <w:t>秘书处的说明</w:t>
      </w:r>
    </w:p>
    <w:p w:rsidR="006C009C" w:rsidRPr="00AE30AB" w:rsidRDefault="006C009C" w:rsidP="006C009C">
      <w:pPr>
        <w:pStyle w:val="SingleTxtGC"/>
        <w:rPr>
          <w:lang w:val="fr-CH"/>
        </w:rPr>
      </w:pPr>
      <w:r w:rsidRPr="00AE30AB">
        <w:rPr>
          <w:rFonts w:hint="eastAsia"/>
          <w:lang w:val="fr-CH"/>
        </w:rPr>
        <w:tab/>
      </w:r>
      <w:r w:rsidRPr="00AE30AB">
        <w:rPr>
          <w:rFonts w:hint="eastAsia"/>
          <w:lang w:val="fr-CH"/>
        </w:rPr>
        <w:t>文化权利领域特别报告员于</w:t>
      </w:r>
      <w:r w:rsidRPr="00AE30AB">
        <w:rPr>
          <w:rFonts w:hint="eastAsia"/>
          <w:lang w:val="fr-CH"/>
        </w:rPr>
        <w:t>2016</w:t>
      </w:r>
      <w:r w:rsidRPr="00AE30AB">
        <w:rPr>
          <w:rFonts w:hint="eastAsia"/>
          <w:lang w:val="fr-CH"/>
        </w:rPr>
        <w:t>年</w:t>
      </w:r>
      <w:r w:rsidRPr="00AE30AB">
        <w:rPr>
          <w:rFonts w:hint="eastAsia"/>
          <w:lang w:val="fr-CH"/>
        </w:rPr>
        <w:t>5</w:t>
      </w:r>
      <w:r w:rsidRPr="00AE30AB">
        <w:rPr>
          <w:rFonts w:hint="eastAsia"/>
          <w:lang w:val="fr-CH"/>
        </w:rPr>
        <w:t>月</w:t>
      </w:r>
      <w:r w:rsidRPr="00AE30AB">
        <w:rPr>
          <w:rFonts w:hint="eastAsia"/>
          <w:lang w:val="fr-CH"/>
        </w:rPr>
        <w:t>24</w:t>
      </w:r>
      <w:r w:rsidRPr="00AE30AB">
        <w:rPr>
          <w:rFonts w:hint="eastAsia"/>
          <w:lang w:val="fr-CH"/>
        </w:rPr>
        <w:t>日至</w:t>
      </w:r>
      <w:r w:rsidRPr="00AE30AB">
        <w:rPr>
          <w:rFonts w:hint="eastAsia"/>
          <w:lang w:val="fr-CH"/>
        </w:rPr>
        <w:t>6</w:t>
      </w:r>
      <w:r w:rsidRPr="00AE30AB">
        <w:rPr>
          <w:rFonts w:hint="eastAsia"/>
          <w:lang w:val="fr-CH"/>
        </w:rPr>
        <w:t>月</w:t>
      </w:r>
      <w:r w:rsidRPr="00AE30AB">
        <w:rPr>
          <w:rFonts w:hint="eastAsia"/>
          <w:lang w:val="fr-CH"/>
        </w:rPr>
        <w:t>2</w:t>
      </w:r>
      <w:r w:rsidRPr="00AE30AB">
        <w:rPr>
          <w:rFonts w:hint="eastAsia"/>
          <w:lang w:val="fr-CH"/>
        </w:rPr>
        <w:t>日对塞浦路斯进行了正式访问。她讨论了与人民参与文化生活的权利相关的重要问题，包括不受歧视以及不论群体归属接触和享有文化遗产的权利。她尤其关注塞浦路斯的局势对享有文化权的影响，尤其重视行动自由面临的障碍、人与人之间的交流、进入文化遗址的情况，以及过去和现在仍在发生的毁坏文化遗址的问题。</w:t>
      </w:r>
    </w:p>
    <w:p w:rsidR="006C009C" w:rsidRPr="00AE30AB" w:rsidRDefault="006C009C" w:rsidP="006C009C">
      <w:pPr>
        <w:pStyle w:val="SingleTxtGC"/>
        <w:rPr>
          <w:lang w:val="fr-CH"/>
        </w:rPr>
      </w:pPr>
      <w:r w:rsidRPr="00AE30AB">
        <w:rPr>
          <w:rFonts w:hint="eastAsia"/>
          <w:lang w:val="fr-CH"/>
        </w:rPr>
        <w:tab/>
      </w:r>
      <w:r w:rsidRPr="00AE30AB">
        <w:rPr>
          <w:rFonts w:hint="eastAsia"/>
          <w:lang w:val="fr-CH"/>
        </w:rPr>
        <w:t>特别报告员认为，和解道路上有一项重要任务，就是对塞岛北部和南部文化遗址过去受到毁坏的情况进行共同总结和记录，这就要求相互承认各不相同的历史陈述。同样重要的是制定战略，促进人民在所有层面的交流，而非仅仅在官方层面交流，尤其应促进文化和学术领域的交流。进行这类交流需要提供有创意、具有媒介性质、共享和便于普遍使用的空间、场所及活动。</w:t>
      </w:r>
    </w:p>
    <w:p w:rsidR="006C009C" w:rsidRPr="00AE30AB" w:rsidRDefault="006C009C" w:rsidP="006C009C">
      <w:pPr>
        <w:pStyle w:val="SingleTxtGC"/>
        <w:rPr>
          <w:lang w:val="fr-CH"/>
        </w:rPr>
      </w:pPr>
      <w:r w:rsidRPr="00AE30AB">
        <w:rPr>
          <w:rFonts w:hint="eastAsia"/>
          <w:lang w:val="fr-CH"/>
        </w:rPr>
        <w:tab/>
      </w:r>
      <w:r w:rsidRPr="00AE30AB">
        <w:rPr>
          <w:rFonts w:hint="eastAsia"/>
          <w:lang w:val="fr-CH"/>
        </w:rPr>
        <w:t>塞浦路斯各个阶层的许多利益攸关方，包括</w:t>
      </w:r>
      <w:proofErr w:type="gramStart"/>
      <w:r w:rsidRPr="00AE30AB">
        <w:rPr>
          <w:rFonts w:hint="eastAsia"/>
          <w:lang w:val="fr-CH"/>
        </w:rPr>
        <w:t>最</w:t>
      </w:r>
      <w:proofErr w:type="gramEnd"/>
      <w:r w:rsidRPr="00AE30AB">
        <w:rPr>
          <w:rFonts w:hint="eastAsia"/>
          <w:lang w:val="fr-CH"/>
        </w:rPr>
        <w:t>高层的利益攸关方已认识到，恢复文化场所是通向和解的道路之一。特别报告</w:t>
      </w:r>
      <w:proofErr w:type="gramStart"/>
      <w:r w:rsidRPr="00AE30AB">
        <w:rPr>
          <w:rFonts w:hint="eastAsia"/>
          <w:lang w:val="fr-CH"/>
        </w:rPr>
        <w:t>员鼓励</w:t>
      </w:r>
      <w:proofErr w:type="gramEnd"/>
      <w:r w:rsidRPr="00AE30AB">
        <w:rPr>
          <w:rFonts w:hint="eastAsia"/>
          <w:lang w:val="fr-CH"/>
        </w:rPr>
        <w:t>他们继续在这方面加倍努力，同时在该进程中更好地结合文化遗址的人文维度。这意味着适当征求人民的意见，了解他们与文化遗址的各种关系，对遗址如何解读，以及如何恢复遗址。这还意味着应制定战略，将文化遗址作为活着的遗址，为今后使用和维护遗址制定适当计划，为确保有尊严地行使文化权提供便利。</w:t>
      </w:r>
    </w:p>
    <w:p w:rsidR="006C009C" w:rsidRDefault="006C009C" w:rsidP="006C009C">
      <w:pPr>
        <w:pStyle w:val="SingleTxtGC"/>
        <w:rPr>
          <w:lang w:val="fr-CH"/>
        </w:rPr>
      </w:pPr>
      <w:r w:rsidRPr="00AE30AB">
        <w:rPr>
          <w:rFonts w:hint="eastAsia"/>
          <w:lang w:val="fr-CH"/>
        </w:rPr>
        <w:tab/>
      </w:r>
      <w:r w:rsidRPr="00AE30AB">
        <w:rPr>
          <w:rFonts w:hint="eastAsia"/>
          <w:lang w:val="fr-CH"/>
        </w:rPr>
        <w:t>报告载有对塞浦路斯共和国政府、土族塞人当局和其他利益攸关方的建议。</w:t>
      </w:r>
    </w:p>
    <w:p w:rsidR="00662584" w:rsidRPr="001B24AE" w:rsidRDefault="00662584" w:rsidP="00662584">
      <w:pPr>
        <w:pStyle w:val="HChG"/>
        <w:rPr>
          <w:rFonts w:eastAsia="Arial Unicode MS"/>
        </w:rPr>
      </w:pPr>
      <w:r w:rsidRPr="001B24AE">
        <w:rPr>
          <w:lang w:eastAsia="zh-CN"/>
        </w:rPr>
        <w:br w:type="page"/>
      </w:r>
      <w:r w:rsidRPr="001B24AE">
        <w:rPr>
          <w:rFonts w:eastAsia="Calibri"/>
          <w:lang w:eastAsia="zh-CN"/>
        </w:rPr>
        <w:lastRenderedPageBreak/>
        <w:tab/>
      </w:r>
      <w:r w:rsidRPr="001B24AE">
        <w:rPr>
          <w:rFonts w:eastAsia="Calibri"/>
          <w:lang w:eastAsia="zh-CN"/>
        </w:rPr>
        <w:tab/>
      </w:r>
      <w:bookmarkStart w:id="1" w:name="_Toc476228526"/>
      <w:r w:rsidRPr="001B24AE">
        <w:rPr>
          <w:rFonts w:eastAsia="Calibri"/>
        </w:rPr>
        <w:t xml:space="preserve">Report of the Special Rapporteur in the field of cultural rights </w:t>
      </w:r>
      <w:r w:rsidRPr="001B24AE">
        <w:rPr>
          <w:rFonts w:eastAsia="Arial Unicode MS"/>
        </w:rPr>
        <w:t>on her mission to Cyprus</w:t>
      </w:r>
      <w:r w:rsidRPr="001B24AE">
        <w:rPr>
          <w:rStyle w:val="a8"/>
          <w:rFonts w:eastAsia="Arial Unicode MS"/>
          <w:b w:val="0"/>
          <w:bCs/>
          <w:sz w:val="20"/>
          <w:vertAlign w:val="baseline"/>
        </w:rPr>
        <w:footnoteReference w:customMarkFollows="1" w:id="2"/>
        <w:t>**</w:t>
      </w:r>
      <w:bookmarkEnd w:id="1"/>
    </w:p>
    <w:p w:rsidR="00186731" w:rsidRPr="001B24AE" w:rsidRDefault="00186731" w:rsidP="00186731">
      <w:pPr>
        <w:spacing w:after="120"/>
        <w:rPr>
          <w:rFonts w:eastAsia="Calibri"/>
          <w:sz w:val="28"/>
        </w:rPr>
      </w:pPr>
      <w:r w:rsidRPr="001B24AE">
        <w:rPr>
          <w:rFonts w:eastAsia="Calibri"/>
          <w:sz w:val="28"/>
        </w:rPr>
        <w:t>Contents</w:t>
      </w:r>
    </w:p>
    <w:p w:rsidR="00186731" w:rsidRPr="001B24AE" w:rsidRDefault="00186731" w:rsidP="00186731">
      <w:pPr>
        <w:tabs>
          <w:tab w:val="right" w:pos="9638"/>
        </w:tabs>
        <w:spacing w:after="120"/>
        <w:ind w:left="283"/>
        <w:rPr>
          <w:rFonts w:eastAsia="Calibri"/>
          <w:sz w:val="18"/>
        </w:rPr>
      </w:pPr>
      <w:r w:rsidRPr="001B24AE">
        <w:rPr>
          <w:rFonts w:eastAsia="Calibri"/>
          <w:i/>
          <w:sz w:val="18"/>
        </w:rPr>
        <w:tab/>
      </w:r>
      <w:r w:rsidRPr="001B24AE">
        <w:rPr>
          <w:rFonts w:eastAsia="Calibri"/>
          <w:sz w:val="18"/>
        </w:rPr>
        <w:t>Page</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w:t>
      </w:r>
      <w:r w:rsidRPr="001B24AE">
        <w:rPr>
          <w:rFonts w:eastAsia="Calibri"/>
        </w:rPr>
        <w:tab/>
        <w:t>Introduction</w:t>
      </w:r>
      <w:r w:rsidRPr="001B24AE">
        <w:rPr>
          <w:rFonts w:eastAsia="Calibri"/>
        </w:rPr>
        <w:tab/>
      </w:r>
      <w:r w:rsidRPr="001B24AE">
        <w:rPr>
          <w:rFonts w:eastAsia="Calibri"/>
        </w:rPr>
        <w:tab/>
        <w:t>3</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II.</w:t>
      </w:r>
      <w:r w:rsidRPr="001B24AE">
        <w:rPr>
          <w:rFonts w:eastAsia="Calibri"/>
        </w:rPr>
        <w:tab/>
        <w:t>General context and framework</w:t>
      </w:r>
      <w:r w:rsidRPr="001B24AE">
        <w:rPr>
          <w:rFonts w:eastAsia="Calibri"/>
        </w:rPr>
        <w:tab/>
      </w:r>
      <w:r w:rsidRPr="001B24AE">
        <w:rPr>
          <w:rFonts w:eastAsia="Calibri"/>
        </w:rPr>
        <w:tab/>
        <w:t>3</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A.</w:t>
      </w:r>
      <w:r w:rsidRPr="001B24AE">
        <w:rPr>
          <w:rFonts w:eastAsia="Calibri"/>
        </w:rPr>
        <w:tab/>
        <w:t>International human rights framework</w:t>
      </w:r>
      <w:r w:rsidRPr="001B24AE">
        <w:rPr>
          <w:rFonts w:eastAsia="Calibri"/>
        </w:rPr>
        <w:tab/>
      </w:r>
      <w:r w:rsidRPr="001B24AE">
        <w:rPr>
          <w:rFonts w:eastAsia="Calibri"/>
        </w:rPr>
        <w:tab/>
        <w:t>3</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Domestic legal framework and general context</w:t>
      </w:r>
      <w:r w:rsidRPr="001B24AE">
        <w:rPr>
          <w:rFonts w:eastAsia="Calibri"/>
        </w:rPr>
        <w:tab/>
      </w:r>
      <w:r w:rsidRPr="001B24AE">
        <w:rPr>
          <w:rFonts w:eastAsia="Calibri"/>
        </w:rPr>
        <w:tab/>
        <w:t>4</w:t>
      </w:r>
    </w:p>
    <w:p w:rsidR="00186731" w:rsidRPr="001B24AE" w:rsidRDefault="00186731" w:rsidP="001B24AE">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III.</w:t>
      </w:r>
      <w:r w:rsidRPr="001B24AE">
        <w:rPr>
          <w:rFonts w:eastAsia="Calibri"/>
        </w:rPr>
        <w:tab/>
        <w:t>Realizing cultural rights in Cyprus: specific issues</w:t>
      </w:r>
      <w:r w:rsidRPr="001B24AE">
        <w:rPr>
          <w:rFonts w:eastAsia="Calibri"/>
        </w:rPr>
        <w:tab/>
      </w:r>
      <w:r w:rsidRPr="001B24AE">
        <w:rPr>
          <w:rFonts w:eastAsia="Calibri"/>
        </w:rPr>
        <w:tab/>
      </w:r>
      <w:r w:rsidR="001B24AE" w:rsidRPr="001B24AE">
        <w:rPr>
          <w:rFonts w:eastAsia="Calibri"/>
        </w:rPr>
        <w:t>6</w:t>
      </w:r>
    </w:p>
    <w:p w:rsidR="00186731" w:rsidRPr="001B24AE" w:rsidRDefault="00186731" w:rsidP="001B24AE">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A.</w:t>
      </w:r>
      <w:r w:rsidRPr="001B24AE">
        <w:rPr>
          <w:rFonts w:eastAsia="Calibri"/>
        </w:rPr>
        <w:tab/>
        <w:t>Impact of the situation in Cyprus on cultural rights</w:t>
      </w:r>
      <w:r w:rsidRPr="001B24AE">
        <w:rPr>
          <w:rFonts w:eastAsia="Calibri"/>
        </w:rPr>
        <w:tab/>
      </w:r>
      <w:r w:rsidRPr="001B24AE">
        <w:rPr>
          <w:rFonts w:eastAsia="Calibri"/>
        </w:rPr>
        <w:tab/>
      </w:r>
      <w:r w:rsidR="001B24AE" w:rsidRPr="001B24AE">
        <w:rPr>
          <w:rFonts w:eastAsia="Calibri"/>
        </w:rPr>
        <w:t>6</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Right to self-identification and choice of cultural references</w:t>
      </w:r>
      <w:r w:rsidRPr="001B24AE">
        <w:rPr>
          <w:rFonts w:eastAsia="Calibri"/>
        </w:rPr>
        <w:tab/>
      </w:r>
      <w:r w:rsidRPr="001B24AE">
        <w:rPr>
          <w:rFonts w:eastAsia="Calibri"/>
        </w:rPr>
        <w:tab/>
        <w:t>6</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C.</w:t>
      </w:r>
      <w:r w:rsidRPr="001B24AE">
        <w:rPr>
          <w:rFonts w:eastAsia="Calibri"/>
        </w:rPr>
        <w:tab/>
        <w:t>Right to access and enjoy cultural heritage</w:t>
      </w:r>
      <w:r w:rsidRPr="001B24AE">
        <w:rPr>
          <w:rFonts w:eastAsia="Calibri"/>
        </w:rPr>
        <w:tab/>
      </w:r>
      <w:r w:rsidRPr="001B24AE">
        <w:rPr>
          <w:rFonts w:eastAsia="Calibri"/>
        </w:rPr>
        <w:tab/>
        <w:t>8</w:t>
      </w:r>
    </w:p>
    <w:p w:rsidR="00186731" w:rsidRPr="001B24AE" w:rsidRDefault="00186731" w:rsidP="001B24AE">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IV.</w:t>
      </w:r>
      <w:r w:rsidRPr="001B24AE">
        <w:rPr>
          <w:rFonts w:eastAsia="Calibri"/>
        </w:rPr>
        <w:tab/>
        <w:t>Conclusions and recommendations</w:t>
      </w:r>
      <w:r w:rsidRPr="001B24AE">
        <w:rPr>
          <w:rFonts w:eastAsia="Calibri"/>
        </w:rPr>
        <w:tab/>
      </w:r>
      <w:r w:rsidRPr="001B24AE">
        <w:rPr>
          <w:rFonts w:eastAsia="Calibri"/>
        </w:rPr>
        <w:tab/>
        <w:t>1</w:t>
      </w:r>
      <w:r w:rsidR="001B24AE" w:rsidRPr="001B24AE">
        <w:rPr>
          <w:rFonts w:eastAsia="Calibri"/>
        </w:rPr>
        <w:t>6</w:t>
      </w:r>
    </w:p>
    <w:p w:rsidR="00186731" w:rsidRPr="001B24AE" w:rsidRDefault="00186731" w:rsidP="00186731">
      <w:pPr>
        <w:tabs>
          <w:tab w:val="right" w:pos="850"/>
          <w:tab w:val="left" w:pos="1134"/>
          <w:tab w:val="left" w:pos="1559"/>
          <w:tab w:val="left" w:pos="1984"/>
          <w:tab w:val="left" w:leader="dot" w:pos="8787"/>
          <w:tab w:val="right" w:pos="9638"/>
        </w:tabs>
        <w:spacing w:after="120"/>
        <w:ind w:left="1559" w:hanging="1559"/>
        <w:rPr>
          <w:rFonts w:eastAsia="Calibri"/>
        </w:rPr>
      </w:pPr>
      <w:r w:rsidRPr="001B24AE">
        <w:rPr>
          <w:rFonts w:eastAsia="Calibri"/>
        </w:rPr>
        <w:tab/>
      </w:r>
      <w:r w:rsidRPr="001B24AE">
        <w:rPr>
          <w:rFonts w:eastAsia="Calibri"/>
        </w:rPr>
        <w:tab/>
        <w:t>A.</w:t>
      </w:r>
      <w:r w:rsidRPr="001B24AE">
        <w:rPr>
          <w:rFonts w:eastAsia="Calibri"/>
        </w:rPr>
        <w:tab/>
        <w:t xml:space="preserve">Recommendations to the Government of the Republic of Cyprus, </w:t>
      </w:r>
      <w:r w:rsidRPr="001B24AE">
        <w:rPr>
          <w:rFonts w:eastAsia="Calibri"/>
        </w:rPr>
        <w:br/>
        <w:t>the Turkish Cypriot authorities and other stakeholders</w:t>
      </w:r>
      <w:r w:rsidRPr="001B24AE">
        <w:rPr>
          <w:rFonts w:eastAsia="Calibri"/>
        </w:rPr>
        <w:tab/>
      </w:r>
      <w:r w:rsidRPr="001B24AE">
        <w:rPr>
          <w:rFonts w:eastAsia="Calibri"/>
        </w:rPr>
        <w:tab/>
        <w:t>16</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Recommendations to the Government of the Republic of Cyprus</w:t>
      </w:r>
      <w:r w:rsidRPr="001B24AE">
        <w:rPr>
          <w:rFonts w:eastAsia="Calibri"/>
        </w:rPr>
        <w:tab/>
      </w:r>
      <w:r w:rsidRPr="001B24AE">
        <w:rPr>
          <w:rFonts w:eastAsia="Calibri"/>
        </w:rPr>
        <w:tab/>
        <w:t>18</w:t>
      </w:r>
    </w:p>
    <w:p w:rsidR="00186731" w:rsidRPr="001B24AE" w:rsidRDefault="00186731" w:rsidP="001B24AE">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C.</w:t>
      </w:r>
      <w:r w:rsidRPr="001B24AE">
        <w:rPr>
          <w:rFonts w:eastAsia="Calibri"/>
        </w:rPr>
        <w:tab/>
        <w:t>Recommendations to the Turkish Cypriot authorities</w:t>
      </w:r>
      <w:r w:rsidRPr="001B24AE">
        <w:rPr>
          <w:rFonts w:eastAsia="Calibri"/>
        </w:rPr>
        <w:tab/>
      </w:r>
      <w:r w:rsidRPr="001B24AE">
        <w:rPr>
          <w:rFonts w:eastAsia="Calibri"/>
        </w:rPr>
        <w:tab/>
        <w:t>1</w:t>
      </w:r>
      <w:r w:rsidR="001B24AE" w:rsidRPr="001B24AE">
        <w:rPr>
          <w:rFonts w:eastAsia="Calibri"/>
        </w:rPr>
        <w:t>9</w:t>
      </w:r>
    </w:p>
    <w:p w:rsidR="00186731" w:rsidRPr="001B24AE" w:rsidRDefault="00186731" w:rsidP="00186731">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D.</w:t>
      </w:r>
      <w:r w:rsidRPr="001B24AE">
        <w:rPr>
          <w:rFonts w:eastAsia="Calibri"/>
        </w:rPr>
        <w:tab/>
        <w:t>Recommendations to the international community</w:t>
      </w:r>
      <w:r w:rsidRPr="001B24AE">
        <w:rPr>
          <w:rFonts w:eastAsia="Calibri"/>
        </w:rPr>
        <w:tab/>
      </w:r>
      <w:r w:rsidRPr="001B24AE">
        <w:rPr>
          <w:rFonts w:eastAsia="Calibri"/>
        </w:rPr>
        <w:tab/>
        <w:t>19</w:t>
      </w:r>
    </w:p>
    <w:p w:rsidR="00662584" w:rsidRPr="001B24AE" w:rsidRDefault="00186731" w:rsidP="00186731">
      <w:pPr>
        <w:pStyle w:val="HChG"/>
      </w:pPr>
      <w:r w:rsidRPr="001B24AE">
        <w:br w:type="page"/>
      </w:r>
      <w:r w:rsidR="00662584" w:rsidRPr="001B24AE">
        <w:lastRenderedPageBreak/>
        <w:tab/>
      </w:r>
      <w:bookmarkStart w:id="2" w:name="_Toc476228527"/>
      <w:r w:rsidR="00662584" w:rsidRPr="001B24AE">
        <w:t>I.</w:t>
      </w:r>
      <w:r w:rsidR="00662584" w:rsidRPr="001B24AE">
        <w:tab/>
        <w:t>Introduction</w:t>
      </w:r>
      <w:bookmarkEnd w:id="2"/>
    </w:p>
    <w:p w:rsidR="00662584" w:rsidRPr="001B24AE" w:rsidRDefault="00662584" w:rsidP="00662584">
      <w:pPr>
        <w:pStyle w:val="SingleTxtG"/>
        <w:rPr>
          <w:szCs w:val="24"/>
        </w:rPr>
      </w:pPr>
      <w:r w:rsidRPr="001B24AE">
        <w:rPr>
          <w:szCs w:val="24"/>
        </w:rPr>
        <w:t>1.</w:t>
      </w:r>
      <w:r w:rsidRPr="001B24AE">
        <w:rPr>
          <w:szCs w:val="24"/>
        </w:rPr>
        <w:tab/>
        <w:t xml:space="preserve">The Special Rapporteur in the field of cultural rights visited Cyprus from 24 May to 2 June 2016. The purpose of the visit was to identify, in a spirit of cooperation and constructive dialogue, good practices in and possible obstacles to the promotion and protection of cultural rights in all areas of Cyprus. The Special Rapporteur addressed key issues related to the rights of people to participate in cultural life, including the right to access and enjoy cultural heritage, without discrimination and irrespective of group affiliations. </w:t>
      </w:r>
    </w:p>
    <w:p w:rsidR="00662584" w:rsidRPr="001B24AE" w:rsidRDefault="00662584" w:rsidP="00662584">
      <w:pPr>
        <w:pStyle w:val="SingleTxtG"/>
        <w:rPr>
          <w:szCs w:val="24"/>
        </w:rPr>
      </w:pPr>
      <w:r w:rsidRPr="001B24AE">
        <w:rPr>
          <w:szCs w:val="24"/>
        </w:rPr>
        <w:t>2.</w:t>
      </w:r>
      <w:r w:rsidRPr="001B24AE">
        <w:rPr>
          <w:szCs w:val="24"/>
        </w:rPr>
        <w:tab/>
        <w:t xml:space="preserve">The Special Rapporteur visited various sites of cultural, historical and religious significance, in both the south and north of the island, without any impediment. She met people who had connections with these sites and addressed their human rights with respect to that heritage. In particular, she visited the Apostolos Barnabas and Apostolos Andreas monasteries, the Ayia Marina church in Yialousa/Yeni Erenköy, the Deneia/Denya mosque, the Agia Sofia mosque in Paphos and the Hala Sultan Tekke mosque in Larnaca. She also travelled to Agia Marina/Gürpinar, a village currently under Turkish military control that used to be populated by Maronites and Turkish Cypriots, to the ruins of the Ayia Trias/Sipahi basilica/bazilikasi, to the world heritage site of Paphos and the walled city of Famagusta/Gazimağusa. </w:t>
      </w:r>
    </w:p>
    <w:p w:rsidR="00662584" w:rsidRPr="001B24AE" w:rsidRDefault="00662584" w:rsidP="00662584">
      <w:pPr>
        <w:pStyle w:val="SingleTxtG"/>
        <w:rPr>
          <w:szCs w:val="24"/>
        </w:rPr>
      </w:pPr>
      <w:r w:rsidRPr="001B24AE">
        <w:rPr>
          <w:szCs w:val="24"/>
        </w:rPr>
        <w:t>3.</w:t>
      </w:r>
      <w:r w:rsidRPr="001B24AE">
        <w:rPr>
          <w:szCs w:val="24"/>
        </w:rPr>
        <w:tab/>
        <w:t>The Special Rapporteur met government officials at the national and municipal levels, including those in the areas of foreign affairs, culture, cultural heritage, gender equality, human rights and education. In the north of the island, she met with those dealing with foreign affairs, culture, cultural heritage and education. She had thorough discussions with the Technical Committees on culture, cultural heritage, education and gender, with the Office of the Religious Track of the Cyprus Peace Process, the Office of the Commissioner for Administration and Human Rights and the National Committee for the prevention of looting and illegal trafficking of cultural property. She held discussions with artists, academics, educators, civil society representatives, religious leaders, women</w:t>
      </w:r>
      <w:r w:rsidR="001B24AE">
        <w:rPr>
          <w:szCs w:val="24"/>
        </w:rPr>
        <w:t>’</w:t>
      </w:r>
      <w:r w:rsidRPr="001B24AE">
        <w:rPr>
          <w:szCs w:val="24"/>
        </w:rPr>
        <w:t xml:space="preserve">s human rights defenders and cultural heritage defenders and observed the Nicosia Pride march. The Special Rapporteur thanks all those persons and institutions for the information they shared with her. She also extends her thanks to the United Nations Peacekeeping Force in Cyprus and the United Nations Development Programme (UNDP) for their assistance. </w:t>
      </w:r>
    </w:p>
    <w:p w:rsidR="00662584" w:rsidRPr="001B24AE" w:rsidRDefault="00662584" w:rsidP="00662584">
      <w:pPr>
        <w:pStyle w:val="HChG"/>
      </w:pPr>
      <w:r w:rsidRPr="001B24AE">
        <w:tab/>
      </w:r>
      <w:bookmarkStart w:id="3" w:name="_Toc476228528"/>
      <w:r w:rsidRPr="001B24AE">
        <w:t>II.</w:t>
      </w:r>
      <w:r w:rsidRPr="001B24AE">
        <w:tab/>
        <w:t>General context and framework</w:t>
      </w:r>
      <w:bookmarkEnd w:id="3"/>
    </w:p>
    <w:p w:rsidR="00662584" w:rsidRPr="001B24AE" w:rsidRDefault="00662584" w:rsidP="00662584">
      <w:pPr>
        <w:pStyle w:val="H1G"/>
      </w:pPr>
      <w:r w:rsidRPr="001B24AE">
        <w:tab/>
      </w:r>
      <w:bookmarkStart w:id="4" w:name="_Toc476228529"/>
      <w:r w:rsidRPr="001B24AE">
        <w:t>A.</w:t>
      </w:r>
      <w:r w:rsidRPr="001B24AE">
        <w:tab/>
        <w:t>International human rights framework</w:t>
      </w:r>
      <w:bookmarkEnd w:id="4"/>
    </w:p>
    <w:p w:rsidR="00662584" w:rsidRPr="001B24AE" w:rsidRDefault="00662584" w:rsidP="00662584">
      <w:pPr>
        <w:pStyle w:val="SingleTxtG"/>
        <w:rPr>
          <w:szCs w:val="24"/>
          <w:lang w:eastAsia="en-GB"/>
        </w:rPr>
      </w:pPr>
      <w:r w:rsidRPr="001B24AE">
        <w:rPr>
          <w:szCs w:val="24"/>
        </w:rPr>
        <w:t>4.</w:t>
      </w:r>
      <w:r w:rsidRPr="001B24AE">
        <w:rPr>
          <w:szCs w:val="24"/>
        </w:rPr>
        <w:tab/>
        <w:t xml:space="preserve">The Republic of Cyprus has ratified many international human rights instruments, through which it has undertaken to respect, protect and fulfil cultural rights. In particular, article 15 of the International Covenant on Economic, Social and Cultural Rights recognizes the rights of each person to </w:t>
      </w:r>
      <w:r w:rsidRPr="001B24AE">
        <w:rPr>
          <w:szCs w:val="24"/>
          <w:lang w:eastAsia="en-GB"/>
        </w:rPr>
        <w:t>take part in cultural life and to the freedom indispensable for creative activity. Article 13 guarantees the right to education.</w:t>
      </w:r>
    </w:p>
    <w:p w:rsidR="00662584" w:rsidRPr="001B24AE" w:rsidRDefault="00662584" w:rsidP="00662584">
      <w:pPr>
        <w:pStyle w:val="SingleTxtG"/>
        <w:rPr>
          <w:szCs w:val="24"/>
        </w:rPr>
      </w:pPr>
      <w:r w:rsidRPr="001B24AE">
        <w:rPr>
          <w:szCs w:val="24"/>
          <w:lang w:eastAsia="en-GB"/>
        </w:rPr>
        <w:t>5.</w:t>
      </w:r>
      <w:r w:rsidRPr="001B24AE">
        <w:rPr>
          <w:szCs w:val="24"/>
          <w:lang w:eastAsia="en-GB"/>
        </w:rPr>
        <w:tab/>
        <w:t xml:space="preserve">Cyprus has also ratified the International Covenant on Civil and Political Rights, which protects rights bearing an important cultural dimension, in particular the rights to freedom of thought, conscience and religion (article 18), freedom of opinion and expression (article 19) and the rights of persons belonging to </w:t>
      </w:r>
      <w:r w:rsidRPr="001B24AE">
        <w:rPr>
          <w:szCs w:val="24"/>
        </w:rPr>
        <w:t xml:space="preserve">ethnic, religious or linguistic minorities to enjoy their own culture, to profess and practise their own religion, or to use their own language (article 27). </w:t>
      </w:r>
    </w:p>
    <w:p w:rsidR="00662584" w:rsidRPr="001B24AE" w:rsidRDefault="00662584" w:rsidP="00662584">
      <w:pPr>
        <w:pStyle w:val="SingleTxtG"/>
        <w:rPr>
          <w:szCs w:val="24"/>
        </w:rPr>
      </w:pPr>
      <w:r w:rsidRPr="001B24AE">
        <w:rPr>
          <w:szCs w:val="24"/>
        </w:rPr>
        <w:t>6.</w:t>
      </w:r>
      <w:r w:rsidRPr="001B24AE">
        <w:rPr>
          <w:szCs w:val="24"/>
        </w:rPr>
        <w:tab/>
        <w:t xml:space="preserve">The Special Rapporteur stresses the importance of </w:t>
      </w:r>
      <w:r w:rsidRPr="001B24AE">
        <w:rPr>
          <w:bCs/>
          <w:szCs w:val="24"/>
          <w:lang w:eastAsia="en-GB"/>
        </w:rPr>
        <w:t xml:space="preserve">the right to access and enjoy cultural heritage as a human right. That right includes the right of individuals and groups, inter alia, to know, understand, enter, visit, make use of, maintain, exchange and develop cultural heritage, as well as to benefit from the cultural heritage of others. It also includes the right to participate in the identification, interpretation and development of cultural heritage, as well as in the design and implementation of preservation and/ or safeguarding </w:t>
      </w:r>
      <w:r w:rsidRPr="001B24AE">
        <w:rPr>
          <w:bCs/>
          <w:szCs w:val="24"/>
          <w:lang w:eastAsia="en-GB"/>
        </w:rPr>
        <w:lastRenderedPageBreak/>
        <w:t>policies and programmes. Varying degrees of access and enjoyment may be recognized, taking into consideration the diverse interests of individuals and groups, depending on their relationship with specific aspects of cultural heritage (see A/71/317, para. 14 and A/HRC/17/38 and Corr. 1, paras. 78-79).</w:t>
      </w:r>
      <w:r w:rsidRPr="001B24AE">
        <w:rPr>
          <w:szCs w:val="24"/>
        </w:rPr>
        <w:t xml:space="preserve"> </w:t>
      </w:r>
      <w:r w:rsidRPr="001B24AE">
        <w:rPr>
          <w:bCs/>
          <w:szCs w:val="24"/>
          <w:lang w:eastAsia="en-GB"/>
        </w:rPr>
        <w:t xml:space="preserve">In </w:t>
      </w:r>
      <w:r w:rsidRPr="001B24AE">
        <w:rPr>
          <w:szCs w:val="24"/>
        </w:rPr>
        <w:t xml:space="preserve">resolution 33/20 on cultural rights and the protection of cultural heritage, the Human Rights Council stated that </w:t>
      </w:r>
      <w:r w:rsidRPr="001B24AE">
        <w:rPr>
          <w:szCs w:val="24"/>
          <w:lang w:eastAsia="fr-FR"/>
        </w:rPr>
        <w:t xml:space="preserve">the violation or abuse of the right of everyone to take part in cultural life, including the ability to access and enjoy cultural heritage, may threaten stability, social cohesion and cultural identity, and constitutes an aggravating factor in conflict and a major obstacle to dialogue, peace and reconciliation. </w:t>
      </w:r>
    </w:p>
    <w:p w:rsidR="00662584" w:rsidRPr="001B24AE" w:rsidRDefault="00662584" w:rsidP="00662584">
      <w:pPr>
        <w:pStyle w:val="SingleTxtG"/>
        <w:rPr>
          <w:szCs w:val="24"/>
        </w:rPr>
      </w:pPr>
      <w:r w:rsidRPr="001B24AE">
        <w:rPr>
          <w:szCs w:val="24"/>
        </w:rPr>
        <w:t>7.</w:t>
      </w:r>
      <w:r w:rsidRPr="001B24AE">
        <w:rPr>
          <w:szCs w:val="24"/>
        </w:rPr>
        <w:tab/>
        <w:t xml:space="preserve">In accordance with article 5 of the UNESCO Universal Declaration on Cultural Diversity, </w:t>
      </w:r>
      <w:r w:rsidRPr="001B24AE">
        <w:rPr>
          <w:szCs w:val="24"/>
          <w:lang w:eastAsia="fr-FR"/>
        </w:rPr>
        <w:t xml:space="preserve">all persons have the right to participate in the cultural life of their choice and conduct their own cultural practices, subject to respect for human rights and fundamental freedoms. The 2003 UNESCO </w:t>
      </w:r>
      <w:r w:rsidRPr="001B24AE">
        <w:rPr>
          <w:szCs w:val="24"/>
        </w:rPr>
        <w:t>Declaration Concerning the Intentional Destruction of Cultural Heritage, states that cultural heritage is an important component of cultural identity and of social cohesion, so its intentional destruction may have adverse consequences for human dignity and human rights.</w:t>
      </w:r>
    </w:p>
    <w:p w:rsidR="00662584" w:rsidRPr="001B24AE" w:rsidRDefault="00662584" w:rsidP="00662584">
      <w:pPr>
        <w:pStyle w:val="H1G"/>
      </w:pPr>
      <w:r w:rsidRPr="001B24AE">
        <w:tab/>
      </w:r>
      <w:bookmarkStart w:id="5" w:name="_Toc476228530"/>
      <w:r w:rsidRPr="001B24AE">
        <w:t>B.</w:t>
      </w:r>
      <w:r w:rsidRPr="001B24AE">
        <w:tab/>
        <w:t>Domestic legal framework and general context</w:t>
      </w:r>
      <w:bookmarkEnd w:id="5"/>
    </w:p>
    <w:p w:rsidR="00662584" w:rsidRPr="001B24AE" w:rsidRDefault="00662584" w:rsidP="00662584">
      <w:pPr>
        <w:pStyle w:val="H23G"/>
      </w:pPr>
      <w:r w:rsidRPr="001B24AE">
        <w:tab/>
        <w:t>1.</w:t>
      </w:r>
      <w:r w:rsidRPr="001B24AE">
        <w:tab/>
        <w:t>Relevant domestic provisions</w:t>
      </w:r>
    </w:p>
    <w:p w:rsidR="00662584" w:rsidRPr="001B24AE" w:rsidRDefault="00662584" w:rsidP="00662584">
      <w:pPr>
        <w:pStyle w:val="SingleTxtG"/>
        <w:rPr>
          <w:szCs w:val="24"/>
        </w:rPr>
      </w:pPr>
      <w:r w:rsidRPr="001B24AE">
        <w:rPr>
          <w:szCs w:val="24"/>
        </w:rPr>
        <w:t>8.</w:t>
      </w:r>
      <w:r w:rsidRPr="001B24AE">
        <w:rPr>
          <w:szCs w:val="24"/>
        </w:rPr>
        <w:tab/>
        <w:t xml:space="preserve">The 1960 Constitution of the Republic of Cyprus contains no specific provisions expressly protecting the right to participate in cultural life. However, the provisions regarding, in particular, freedom of movement (article 13), freedom of thought, conscience and religion (article 18), freedom of speech and expression (article 19), the right to education (article 20), freedom of peaceful assembly (article 21), and the right to non-discrimination and equality before the law (article 28), are important for cultural rights. </w:t>
      </w:r>
    </w:p>
    <w:p w:rsidR="00662584" w:rsidRPr="001B24AE" w:rsidRDefault="00662584" w:rsidP="00662584">
      <w:pPr>
        <w:pStyle w:val="SingleTxtG"/>
        <w:rPr>
          <w:szCs w:val="24"/>
        </w:rPr>
      </w:pPr>
      <w:r w:rsidRPr="001B24AE">
        <w:rPr>
          <w:szCs w:val="24"/>
        </w:rPr>
        <w:t>9.</w:t>
      </w:r>
      <w:r w:rsidRPr="001B24AE">
        <w:rPr>
          <w:szCs w:val="24"/>
        </w:rPr>
        <w:tab/>
        <w:t xml:space="preserve">The 1983 </w:t>
      </w:r>
      <w:r w:rsidR="001B24AE">
        <w:rPr>
          <w:szCs w:val="24"/>
        </w:rPr>
        <w:t>“</w:t>
      </w:r>
      <w:r w:rsidRPr="001B24AE">
        <w:rPr>
          <w:szCs w:val="24"/>
        </w:rPr>
        <w:t>Constitution</w:t>
      </w:r>
      <w:r w:rsidR="001B24AE">
        <w:rPr>
          <w:szCs w:val="24"/>
        </w:rPr>
        <w:t>”</w:t>
      </w:r>
      <w:r w:rsidRPr="001B24AE">
        <w:rPr>
          <w:szCs w:val="24"/>
        </w:rPr>
        <w:t xml:space="preserve"> currently in use in the north of the island contains express references to cultural rights. In particular, article 62 reproduces the wording of article 15 of the International Covenant on Economic, Social and Cultural Rights and article 59 protects the right to education and training. Further provisions relate to the protection of historical, cultural and natural wealth (article 39), freedoms of movement and residence of citizens (article 22), of conscience and religion (article 23), of thought, speech and expression (article 24), freedom </w:t>
      </w:r>
      <w:r w:rsidRPr="001B24AE">
        <w:rPr>
          <w:szCs w:val="24"/>
          <w:lang w:eastAsia="fr-FR"/>
        </w:rPr>
        <w:t xml:space="preserve">to learn, teach, express and disseminate science and art and to conduct research in those fields (article 25), the rights to publish books (article 28), of assembly and demonstration (article 32), and to equality before the law without discrimination (article 8). </w:t>
      </w:r>
    </w:p>
    <w:p w:rsidR="00662584" w:rsidRPr="001B24AE" w:rsidRDefault="00662584" w:rsidP="00662584">
      <w:pPr>
        <w:pStyle w:val="H23G"/>
      </w:pPr>
      <w:r w:rsidRPr="001B24AE">
        <w:tab/>
        <w:t>2.</w:t>
      </w:r>
      <w:r w:rsidRPr="001B24AE">
        <w:tab/>
        <w:t>The peace talks</w:t>
      </w:r>
    </w:p>
    <w:p w:rsidR="00662584" w:rsidRPr="001B24AE" w:rsidRDefault="00662584" w:rsidP="00662584">
      <w:pPr>
        <w:pStyle w:val="SingleTxtG"/>
        <w:rPr>
          <w:szCs w:val="24"/>
        </w:rPr>
      </w:pPr>
      <w:r w:rsidRPr="001B24AE">
        <w:rPr>
          <w:szCs w:val="24"/>
        </w:rPr>
        <w:t>10.</w:t>
      </w:r>
      <w:r w:rsidRPr="001B24AE">
        <w:rPr>
          <w:szCs w:val="24"/>
        </w:rPr>
        <w:tab/>
        <w:t xml:space="preserve">Through their joint declaration of 11 February 2014, the Greek Cypriot and Turkish Cypriot leaders resumed negotiations towards a united Cyprus and a </w:t>
      </w:r>
      <w:r w:rsidRPr="001B24AE">
        <w:rPr>
          <w:szCs w:val="24"/>
          <w:lang w:eastAsia="fr-FR"/>
        </w:rPr>
        <w:t>settlement based on a bicommunal, bizonal federation with political equality, as set out in the relevant Security Council resolutions and the high-level agreements. The adoption of a new federal constitution is foreseen.</w:t>
      </w:r>
    </w:p>
    <w:p w:rsidR="00662584" w:rsidRPr="001B24AE" w:rsidRDefault="00662584" w:rsidP="00662584">
      <w:pPr>
        <w:pStyle w:val="SingleTxtG"/>
        <w:rPr>
          <w:szCs w:val="24"/>
        </w:rPr>
      </w:pPr>
      <w:r w:rsidRPr="001B24AE">
        <w:rPr>
          <w:szCs w:val="24"/>
        </w:rPr>
        <w:t>11.</w:t>
      </w:r>
      <w:r w:rsidRPr="001B24AE">
        <w:rPr>
          <w:szCs w:val="24"/>
        </w:rPr>
        <w:tab/>
        <w:t>The successful resolution of the conflict is vital to the enjoyment of human rights in Cyprus. The Special Rapporteur also notes that, in keeping with Security Council resolution 1325 (2000), no solution is possible, and certainly none that can guarantee equal cultural rights, if it does not fully integrate women</w:t>
      </w:r>
      <w:r w:rsidR="001B24AE">
        <w:rPr>
          <w:szCs w:val="24"/>
        </w:rPr>
        <w:t>’</w:t>
      </w:r>
      <w:r w:rsidRPr="001B24AE">
        <w:rPr>
          <w:szCs w:val="24"/>
        </w:rPr>
        <w:t xml:space="preserve">s participation from the very beginning. </w:t>
      </w:r>
    </w:p>
    <w:p w:rsidR="00662584" w:rsidRPr="001B24AE" w:rsidRDefault="00662584" w:rsidP="00662584">
      <w:pPr>
        <w:pStyle w:val="SingleTxtG"/>
        <w:rPr>
          <w:szCs w:val="24"/>
        </w:rPr>
      </w:pPr>
      <w:r w:rsidRPr="001B24AE">
        <w:rPr>
          <w:szCs w:val="24"/>
        </w:rPr>
        <w:t>12.</w:t>
      </w:r>
      <w:r w:rsidRPr="001B24AE">
        <w:rPr>
          <w:szCs w:val="24"/>
        </w:rPr>
        <w:tab/>
        <w:t>The Special Rapporteur recognizes the serious legacies of past communal violence, conflict, forced displacement, human rights abuses, discrimination and extreme nationalism. Addressing such legacies is crucial to a long-standing resolution.</w:t>
      </w:r>
    </w:p>
    <w:p w:rsidR="00662584" w:rsidRPr="001B24AE" w:rsidRDefault="00662584" w:rsidP="00662584">
      <w:pPr>
        <w:pStyle w:val="H23G"/>
        <w:rPr>
          <w:i/>
        </w:rPr>
      </w:pPr>
      <w:r w:rsidRPr="001B24AE">
        <w:tab/>
      </w:r>
      <w:r w:rsidRPr="001B24AE">
        <w:tab/>
        <w:t xml:space="preserve">Technical committees </w:t>
      </w:r>
    </w:p>
    <w:p w:rsidR="00662584" w:rsidRPr="001B24AE" w:rsidRDefault="00662584" w:rsidP="00662584">
      <w:pPr>
        <w:pStyle w:val="SingleTxtG"/>
        <w:rPr>
          <w:szCs w:val="24"/>
        </w:rPr>
      </w:pPr>
      <w:r w:rsidRPr="001B24AE">
        <w:rPr>
          <w:szCs w:val="24"/>
          <w:lang w:eastAsia="fr-CH"/>
        </w:rPr>
        <w:t>13.</w:t>
      </w:r>
      <w:r w:rsidRPr="001B24AE">
        <w:rPr>
          <w:szCs w:val="24"/>
          <w:lang w:eastAsia="fr-CH"/>
        </w:rPr>
        <w:tab/>
        <w:t xml:space="preserve">The peace talks have allowed for the creation of Technical Committees, tasked with building trust, facilitating cooperation between Greek Cypriots and Turkish Cypriots and creating a </w:t>
      </w:r>
      <w:proofErr w:type="gramStart"/>
      <w:r w:rsidRPr="001B24AE">
        <w:rPr>
          <w:szCs w:val="24"/>
          <w:lang w:eastAsia="fr-CH"/>
        </w:rPr>
        <w:t>conducive</w:t>
      </w:r>
      <w:proofErr w:type="gramEnd"/>
      <w:r w:rsidRPr="001B24AE">
        <w:rPr>
          <w:szCs w:val="24"/>
          <w:lang w:eastAsia="fr-CH"/>
        </w:rPr>
        <w:t xml:space="preserve"> environment for the talks. This is a highly positive step. The Special </w:t>
      </w:r>
      <w:r w:rsidRPr="001B24AE">
        <w:rPr>
          <w:szCs w:val="24"/>
          <w:lang w:eastAsia="fr-CH"/>
        </w:rPr>
        <w:lastRenderedPageBreak/>
        <w:t>Rapporteur met some members of the Technical Committees on cultural heritage, on education, on culture and on gender, and salutes their work.</w:t>
      </w:r>
    </w:p>
    <w:p w:rsidR="00662584" w:rsidRPr="001B24AE" w:rsidRDefault="00662584" w:rsidP="00662584">
      <w:pPr>
        <w:pStyle w:val="H23G"/>
        <w:rPr>
          <w:i/>
        </w:rPr>
      </w:pPr>
      <w:r w:rsidRPr="001B24AE">
        <w:tab/>
      </w:r>
      <w:r w:rsidRPr="001B24AE">
        <w:tab/>
        <w:t>Religious Track of the Cyprus Peace Process</w:t>
      </w:r>
      <w:r w:rsidRPr="001B24AE" w:rsidDel="00673419">
        <w:t xml:space="preserve"> </w:t>
      </w:r>
    </w:p>
    <w:p w:rsidR="00662584" w:rsidRPr="001B24AE" w:rsidRDefault="00662584" w:rsidP="00662584">
      <w:pPr>
        <w:pStyle w:val="SingleTxtG"/>
        <w:rPr>
          <w:szCs w:val="24"/>
        </w:rPr>
      </w:pPr>
      <w:r w:rsidRPr="001B24AE">
        <w:rPr>
          <w:szCs w:val="24"/>
        </w:rPr>
        <w:t>14.</w:t>
      </w:r>
      <w:r w:rsidRPr="001B24AE">
        <w:rPr>
          <w:szCs w:val="24"/>
        </w:rPr>
        <w:tab/>
        <w:t xml:space="preserve">The Cyprus conflict is not, per se, a religious conflict. Some religious leaders, however, have </w:t>
      </w:r>
      <w:r w:rsidRPr="001B24AE">
        <w:rPr>
          <w:szCs w:val="24"/>
          <w:lang w:eastAsia="fr-FR"/>
        </w:rPr>
        <w:t>committed to working together for human rights, peace and reconciliation</w:t>
      </w:r>
      <w:r w:rsidRPr="001B24AE" w:rsidDel="00521072">
        <w:rPr>
          <w:szCs w:val="24"/>
        </w:rPr>
        <w:t xml:space="preserve"> </w:t>
      </w:r>
      <w:r w:rsidRPr="001B24AE">
        <w:rPr>
          <w:szCs w:val="24"/>
        </w:rPr>
        <w:t xml:space="preserve">through the Religious Track </w:t>
      </w:r>
      <w:r w:rsidRPr="001B24AE">
        <w:rPr>
          <w:szCs w:val="24"/>
          <w:lang w:eastAsia="fr-FR"/>
        </w:rPr>
        <w:t xml:space="preserve">of the Cyprus Peace Process, a peacebuilding initiative conducted under the auspices of the Embassy of Sweden. </w:t>
      </w:r>
    </w:p>
    <w:p w:rsidR="00662584" w:rsidRPr="001B24AE" w:rsidRDefault="00662584" w:rsidP="00662584">
      <w:pPr>
        <w:pStyle w:val="SingleTxtG"/>
        <w:rPr>
          <w:szCs w:val="24"/>
        </w:rPr>
      </w:pPr>
      <w:r w:rsidRPr="001B24AE">
        <w:rPr>
          <w:szCs w:val="24"/>
          <w:lang w:eastAsia="fr-FR"/>
        </w:rPr>
        <w:t>15.</w:t>
      </w:r>
      <w:r w:rsidRPr="001B24AE">
        <w:rPr>
          <w:szCs w:val="24"/>
          <w:lang w:eastAsia="fr-FR"/>
        </w:rPr>
        <w:tab/>
        <w:t>The Religious Track has led to regular meetings of the five main religious leaders of Cyprus (Greek Orthodox, Muslim, Armenian, Latin and Maronite) and enabled important breakthroughs for human rights, including the right to access sites of religious, cultural and historic significance</w:t>
      </w:r>
      <w:r w:rsidRPr="001B24AE">
        <w:rPr>
          <w:szCs w:val="24"/>
        </w:rPr>
        <w:t xml:space="preserve">. For example, within its framework, seven special pilgrimages to the </w:t>
      </w:r>
      <w:r w:rsidRPr="001B24AE">
        <w:rPr>
          <w:szCs w:val="24"/>
          <w:lang w:eastAsia="fr-FR"/>
        </w:rPr>
        <w:t>Hala Sultan Tekke</w:t>
      </w:r>
      <w:r w:rsidRPr="001B24AE">
        <w:rPr>
          <w:szCs w:val="24"/>
        </w:rPr>
        <w:t xml:space="preserve"> mosque of persons </w:t>
      </w:r>
      <w:r w:rsidRPr="001B24AE">
        <w:rPr>
          <w:szCs w:val="24"/>
          <w:lang w:eastAsia="fr-FR"/>
        </w:rPr>
        <w:t>of Turkish origin residing in the north of Cyprus</w:t>
      </w:r>
      <w:r w:rsidRPr="001B24AE">
        <w:rPr>
          <w:szCs w:val="24"/>
        </w:rPr>
        <w:t xml:space="preserve"> have been organized since 2014, as well as pilgrimages of orthodox believers to the cathedral of the Apostolos Barnabas monastery located in the north.</w:t>
      </w:r>
      <w:r w:rsidRPr="001B24AE">
        <w:rPr>
          <w:rStyle w:val="a8"/>
        </w:rPr>
        <w:footnoteReference w:id="3"/>
      </w:r>
    </w:p>
    <w:p w:rsidR="00662584" w:rsidRPr="001B24AE" w:rsidRDefault="00662584" w:rsidP="00662584">
      <w:pPr>
        <w:pStyle w:val="SingleTxtG"/>
        <w:rPr>
          <w:szCs w:val="24"/>
        </w:rPr>
      </w:pPr>
      <w:r w:rsidRPr="001B24AE">
        <w:rPr>
          <w:szCs w:val="24"/>
        </w:rPr>
        <w:t>16.</w:t>
      </w:r>
      <w:r w:rsidRPr="001B24AE">
        <w:rPr>
          <w:szCs w:val="24"/>
        </w:rPr>
        <w:tab/>
        <w:t xml:space="preserve">Various stakeholders repeatedly expressed </w:t>
      </w:r>
      <w:proofErr w:type="gramStart"/>
      <w:r w:rsidRPr="001B24AE">
        <w:rPr>
          <w:szCs w:val="24"/>
        </w:rPr>
        <w:t>concerns</w:t>
      </w:r>
      <w:proofErr w:type="gramEnd"/>
      <w:r w:rsidRPr="001B24AE">
        <w:rPr>
          <w:szCs w:val="24"/>
        </w:rPr>
        <w:t>, however, about any process enhancing the role of religious leaders vis-à-vis others. They stressed the complete lack of women religious leaders (which was explicitly justified to the Special Rapporteur on religious grounds in one instance by a religious leader), the fact that secularism is also an important part of Cypriot culture for many and the existence of many other factors contributing to shaping cultural identities beyond religion. They feared that giving a prominent political role to religious leaders, even for a positive purpose, could marginalize other voices and identities. The Special Rapporteur suggests continuing support for the Religious Track, but emphasizes that it is equally important to promote actively other tracks, in particular in the fields of education and culture. Those too are critical for reconciliation.</w:t>
      </w:r>
    </w:p>
    <w:p w:rsidR="00662584" w:rsidRPr="001B24AE" w:rsidRDefault="00662584" w:rsidP="00662584">
      <w:pPr>
        <w:pStyle w:val="H23G"/>
      </w:pPr>
      <w:r w:rsidRPr="001B24AE">
        <w:tab/>
        <w:t>3.</w:t>
      </w:r>
      <w:r w:rsidRPr="001B24AE">
        <w:tab/>
        <w:t xml:space="preserve">Governance in the cultural area </w:t>
      </w:r>
    </w:p>
    <w:p w:rsidR="00662584" w:rsidRPr="001B24AE" w:rsidRDefault="00662584" w:rsidP="00662584">
      <w:pPr>
        <w:pStyle w:val="SingleTxtG"/>
        <w:rPr>
          <w:szCs w:val="24"/>
          <w:lang w:eastAsia="fr-CH"/>
        </w:rPr>
      </w:pPr>
      <w:r w:rsidRPr="001B24AE">
        <w:rPr>
          <w:szCs w:val="24"/>
          <w:lang w:eastAsia="fr-CH"/>
        </w:rPr>
        <w:t>17.</w:t>
      </w:r>
      <w:r w:rsidRPr="001B24AE">
        <w:rPr>
          <w:szCs w:val="24"/>
          <w:lang w:eastAsia="fr-CH"/>
        </w:rPr>
        <w:tab/>
        <w:t>In the Republic of Cyprus, many institutions defend and promote culture and cultural heritage. However, the divide made between the Department of Antiquities (Ministry of Transport, Communications and Works), and the Cultural Services (Ministry of Education and Culture) risks jeopardizing a cohesive cultural policy by separating cultural heritage and cultural life, and minimizing the human dimension of cultural heritage.</w:t>
      </w:r>
    </w:p>
    <w:p w:rsidR="00662584" w:rsidRPr="001B24AE" w:rsidRDefault="00662584" w:rsidP="00662584">
      <w:pPr>
        <w:pStyle w:val="SingleTxtG"/>
        <w:rPr>
          <w:szCs w:val="24"/>
          <w:lang w:eastAsia="fr-CH"/>
        </w:rPr>
      </w:pPr>
      <w:r w:rsidRPr="001B24AE">
        <w:rPr>
          <w:szCs w:val="24"/>
          <w:lang w:eastAsia="fr-CH"/>
        </w:rPr>
        <w:t>18.</w:t>
      </w:r>
      <w:r w:rsidRPr="001B24AE">
        <w:rPr>
          <w:szCs w:val="24"/>
          <w:lang w:eastAsia="fr-CH"/>
        </w:rPr>
        <w:tab/>
        <w:t>The structural reorganization that will ensue in case of a settlement will offer opportunities for fundamental rethinking of this issue and for enhancing links between cultural heritage and cultural life. Experts from all over Cyprus in the field of culture and cultural heritage should be fully consulted about any plan for a new cultural management structure.</w:t>
      </w:r>
    </w:p>
    <w:p w:rsidR="00662584" w:rsidRPr="001B24AE" w:rsidRDefault="00662584" w:rsidP="00662584">
      <w:pPr>
        <w:pStyle w:val="H23G"/>
      </w:pPr>
      <w:r w:rsidRPr="001B24AE">
        <w:tab/>
        <w:t>4.</w:t>
      </w:r>
      <w:r w:rsidRPr="001B24AE">
        <w:tab/>
        <w:t>The impact of the financial crisis</w:t>
      </w:r>
    </w:p>
    <w:p w:rsidR="00662584" w:rsidRPr="001B24AE" w:rsidRDefault="00662584" w:rsidP="00662584">
      <w:pPr>
        <w:pStyle w:val="SingleTxtG"/>
        <w:rPr>
          <w:szCs w:val="24"/>
        </w:rPr>
      </w:pPr>
      <w:r w:rsidRPr="001B24AE">
        <w:rPr>
          <w:szCs w:val="24"/>
        </w:rPr>
        <w:t>19.</w:t>
      </w:r>
      <w:r w:rsidRPr="001B24AE">
        <w:rPr>
          <w:szCs w:val="24"/>
        </w:rPr>
        <w:tab/>
        <w:t>The Special Rapporteur expresses concern about the impact on cultural rights of the financial crisis and about financial cuts in the field of culture. She notes with particular concern the lack of sufficient funding for governmental institutions, such as the Department of Antiquities, the Ombudsman and the Cultural Services, as well as cultural authorities in the north. The 45 per cent budget cut to the Department of Cultural Services since 2013 appears disproportionate and risks greatly undermining the enjoyment of cultural rights.</w:t>
      </w:r>
    </w:p>
    <w:p w:rsidR="00662584" w:rsidRPr="001B24AE" w:rsidRDefault="00662584" w:rsidP="009316A0">
      <w:pPr>
        <w:pStyle w:val="HChG"/>
      </w:pPr>
      <w:r w:rsidRPr="001B24AE">
        <w:lastRenderedPageBreak/>
        <w:tab/>
      </w:r>
      <w:bookmarkStart w:id="6" w:name="_Toc476228531"/>
      <w:r w:rsidRPr="001B24AE">
        <w:t>III.</w:t>
      </w:r>
      <w:r w:rsidRPr="001B24AE">
        <w:tab/>
        <w:t>Realizing cultural rights in Cyprus: specific issues</w:t>
      </w:r>
      <w:bookmarkEnd w:id="6"/>
      <w:r w:rsidRPr="001B24AE">
        <w:t xml:space="preserve"> </w:t>
      </w:r>
    </w:p>
    <w:p w:rsidR="00662584" w:rsidRPr="001B24AE" w:rsidRDefault="00662584" w:rsidP="009316A0">
      <w:pPr>
        <w:pStyle w:val="H1G"/>
      </w:pPr>
      <w:r w:rsidRPr="001B24AE">
        <w:tab/>
      </w:r>
      <w:bookmarkStart w:id="7" w:name="_Toc476228532"/>
      <w:r w:rsidRPr="001B24AE">
        <w:t>A.</w:t>
      </w:r>
      <w:r w:rsidRPr="001B24AE">
        <w:tab/>
        <w:t>Impact of the situation in Cyprus on cultural rights</w:t>
      </w:r>
      <w:bookmarkEnd w:id="7"/>
      <w:r w:rsidRPr="001B24AE">
        <w:t xml:space="preserve"> </w:t>
      </w:r>
    </w:p>
    <w:p w:rsidR="00662584" w:rsidRPr="001B24AE" w:rsidRDefault="00662584" w:rsidP="00662584">
      <w:pPr>
        <w:pStyle w:val="SingleTxtG"/>
        <w:rPr>
          <w:szCs w:val="24"/>
        </w:rPr>
      </w:pPr>
      <w:r w:rsidRPr="001B24AE">
        <w:rPr>
          <w:szCs w:val="24"/>
        </w:rPr>
        <w:t>20.</w:t>
      </w:r>
      <w:r w:rsidRPr="001B24AE">
        <w:rPr>
          <w:szCs w:val="24"/>
        </w:rPr>
        <w:tab/>
        <w:t xml:space="preserve">The current political situation creates many obstacles to the enjoyment of cultural rights without discrimination, as well as an over-politicization of cultural heritage and cultural rights-related issues on all sides. </w:t>
      </w:r>
    </w:p>
    <w:p w:rsidR="00662584" w:rsidRPr="001B24AE" w:rsidRDefault="00662584" w:rsidP="00662584">
      <w:pPr>
        <w:pStyle w:val="SingleTxtG"/>
        <w:rPr>
          <w:szCs w:val="24"/>
        </w:rPr>
      </w:pPr>
      <w:r w:rsidRPr="001B24AE">
        <w:rPr>
          <w:szCs w:val="24"/>
        </w:rPr>
        <w:t>21.</w:t>
      </w:r>
      <w:r w:rsidRPr="001B24AE">
        <w:rPr>
          <w:szCs w:val="24"/>
        </w:rPr>
        <w:tab/>
        <w:t xml:space="preserve">Crossing between the north and the south is possible through seven official crossing points (see </w:t>
      </w:r>
      <w:r w:rsidRPr="001B24AE">
        <w:rPr>
          <w:bCs/>
          <w:szCs w:val="24"/>
        </w:rPr>
        <w:t>A/HRC/31/21, para. 30)</w:t>
      </w:r>
      <w:r w:rsidRPr="001B24AE">
        <w:rPr>
          <w:szCs w:val="24"/>
        </w:rPr>
        <w:t xml:space="preserve">. However, restrictions or obstacles to freedom of movement create many impediments to accessing and enjoying cultural heritage and to meeting and engaging with people from the other side, including through joint social gatherings and cultural events. </w:t>
      </w:r>
    </w:p>
    <w:p w:rsidR="00662584" w:rsidRPr="001B24AE" w:rsidRDefault="00662584" w:rsidP="00662584">
      <w:pPr>
        <w:pStyle w:val="SingleTxtG"/>
        <w:rPr>
          <w:szCs w:val="24"/>
        </w:rPr>
      </w:pPr>
      <w:r w:rsidRPr="001B24AE">
        <w:rPr>
          <w:szCs w:val="24"/>
        </w:rPr>
        <w:t>22.</w:t>
      </w:r>
      <w:r w:rsidRPr="001B24AE">
        <w:rPr>
          <w:szCs w:val="24"/>
        </w:rPr>
        <w:tab/>
        <w:t>While there are some positive developments thanks to the peace talks, exchanges and discussions between Greek Cypriots and Turkish Cypriots seem to take place only exceptionally outside official circles. Sporadic exchanges take place in venues such as the Home for Cooperation, situated in the buffer zone, or when people visit their former villages and take part in cultural or religious events there.</w:t>
      </w:r>
    </w:p>
    <w:p w:rsidR="00662584" w:rsidRPr="001B24AE" w:rsidRDefault="00662584" w:rsidP="00662584">
      <w:pPr>
        <w:pStyle w:val="SingleTxtG"/>
        <w:rPr>
          <w:szCs w:val="24"/>
        </w:rPr>
      </w:pPr>
      <w:r w:rsidRPr="001B24AE">
        <w:rPr>
          <w:szCs w:val="24"/>
          <w:lang w:eastAsia="fr-CH"/>
        </w:rPr>
        <w:t>23.</w:t>
      </w:r>
      <w:r w:rsidRPr="001B24AE">
        <w:rPr>
          <w:szCs w:val="24"/>
          <w:lang w:eastAsia="fr-CH"/>
        </w:rPr>
        <w:tab/>
        <w:t xml:space="preserve">That division hampers the ability of civil society to make connections across the island. </w:t>
      </w:r>
      <w:r w:rsidRPr="001B24AE">
        <w:rPr>
          <w:szCs w:val="24"/>
        </w:rPr>
        <w:t xml:space="preserve">Academics, intellectuals and cultural heritage professionals who would like to exchange or collaborate across the Green Line are unable to do so. </w:t>
      </w:r>
      <w:r w:rsidRPr="001B24AE">
        <w:rPr>
          <w:szCs w:val="24"/>
          <w:lang w:eastAsia="fr-CH"/>
        </w:rPr>
        <w:t xml:space="preserve">For example, in the south, cultural heritage experts are worried about reportedly illegal excavations in the north, with little possibility of obtaining information about the work undertaken and the results achieved. There is a need for structures in which cultural heritage professionals from across Cyprus could come together, share information and cooperate pending a solution. </w:t>
      </w:r>
    </w:p>
    <w:p w:rsidR="00662584" w:rsidRPr="001B24AE" w:rsidRDefault="00662584" w:rsidP="00662584">
      <w:pPr>
        <w:pStyle w:val="SingleTxtG"/>
        <w:rPr>
          <w:szCs w:val="24"/>
        </w:rPr>
      </w:pPr>
      <w:r w:rsidRPr="001B24AE">
        <w:rPr>
          <w:szCs w:val="24"/>
        </w:rPr>
        <w:t>24.</w:t>
      </w:r>
      <w:r w:rsidRPr="001B24AE">
        <w:rPr>
          <w:szCs w:val="24"/>
        </w:rPr>
        <w:tab/>
        <w:t xml:space="preserve">The Special Rapporteur is concerned that discourses of exclusion, hatred or superiority are still purveyed in some quarters on all sides. There are worrying </w:t>
      </w:r>
      <w:r w:rsidRPr="001B24AE">
        <w:rPr>
          <w:noProof/>
          <w:szCs w:val="24"/>
          <w:lang w:bidi="he-IL"/>
        </w:rPr>
        <w:t>reports of</w:t>
      </w:r>
      <w:r w:rsidRPr="001B24AE">
        <w:rPr>
          <w:noProof/>
          <w:szCs w:val="24"/>
        </w:rPr>
        <w:t xml:space="preserve"> </w:t>
      </w:r>
      <w:r w:rsidRPr="001B24AE">
        <w:rPr>
          <w:noProof/>
          <w:szCs w:val="24"/>
          <w:lang w:bidi="he-IL"/>
        </w:rPr>
        <w:t>a rise in</w:t>
      </w:r>
      <w:r w:rsidRPr="001B24AE">
        <w:rPr>
          <w:noProof/>
          <w:szCs w:val="24"/>
        </w:rPr>
        <w:t xml:space="preserve"> incidents in the south of racially motivated verbal and physical abuse by right-wing extremists and neo-Nazi groups against persons of foreign origin, Roma, human rights defenders and Turkish Cypriots (s</w:t>
      </w:r>
      <w:r w:rsidRPr="001B24AE">
        <w:rPr>
          <w:szCs w:val="24"/>
        </w:rPr>
        <w:t>ee CCPR/C/CYP/CO/4, para. 7, and CERD/C/CYP/CO/17-22, para. 12)</w:t>
      </w:r>
      <w:r w:rsidRPr="001B24AE">
        <w:rPr>
          <w:noProof/>
          <w:szCs w:val="24"/>
        </w:rPr>
        <w:t>.</w:t>
      </w:r>
      <w:r w:rsidRPr="001B24AE">
        <w:rPr>
          <w:szCs w:val="24"/>
        </w:rPr>
        <w:t xml:space="preserve"> The Special Rapporteur expresses particular concern about attacks on cultural events, artists and sites. She notes claims that impunity for such acts is common, due to a lack of prosecution, and that </w:t>
      </w:r>
      <w:r w:rsidRPr="001B24AE">
        <w:rPr>
          <w:szCs w:val="24"/>
          <w:lang w:eastAsia="en-GB"/>
        </w:rPr>
        <w:t xml:space="preserve">police records may not reflect the extent of racist crime in Cyprus. </w:t>
      </w:r>
      <w:r w:rsidRPr="001B24AE">
        <w:rPr>
          <w:szCs w:val="24"/>
        </w:rPr>
        <w:t>The police recorded 119 racially motivated incidents between 2005 and 2014.</w:t>
      </w:r>
      <w:r w:rsidRPr="001B24AE">
        <w:rPr>
          <w:rStyle w:val="a8"/>
        </w:rPr>
        <w:footnoteReference w:id="4"/>
      </w:r>
      <w:r w:rsidRPr="001B24AE">
        <w:rPr>
          <w:szCs w:val="24"/>
        </w:rPr>
        <w:t xml:space="preserve"> She also notes the assertion of the Government that all such incidents are being investigated and trusts that the results will be acted upon and made public. </w:t>
      </w:r>
    </w:p>
    <w:p w:rsidR="00662584" w:rsidRPr="001B24AE" w:rsidRDefault="00662584" w:rsidP="00662584">
      <w:pPr>
        <w:pStyle w:val="SingleTxtG"/>
        <w:rPr>
          <w:szCs w:val="24"/>
        </w:rPr>
      </w:pPr>
      <w:r w:rsidRPr="001B24AE">
        <w:rPr>
          <w:szCs w:val="24"/>
        </w:rPr>
        <w:t>25.</w:t>
      </w:r>
      <w:r w:rsidRPr="001B24AE">
        <w:rPr>
          <w:szCs w:val="24"/>
        </w:rPr>
        <w:tab/>
        <w:t>There are also concerns about the rise of various forms of extremism, including extreme nationalism in both the south and the north, and various voices, including religious leaders, expressed concern that religious fundamentalism could become an issue.</w:t>
      </w:r>
    </w:p>
    <w:p w:rsidR="00662584" w:rsidRPr="001B24AE" w:rsidRDefault="00662584" w:rsidP="00662584">
      <w:pPr>
        <w:pStyle w:val="SingleTxtG"/>
        <w:rPr>
          <w:szCs w:val="24"/>
        </w:rPr>
      </w:pPr>
      <w:r w:rsidRPr="001B24AE">
        <w:rPr>
          <w:szCs w:val="24"/>
        </w:rPr>
        <w:t>26.</w:t>
      </w:r>
      <w:r w:rsidRPr="001B24AE">
        <w:rPr>
          <w:szCs w:val="24"/>
        </w:rPr>
        <w:tab/>
        <w:t xml:space="preserve">Proactive cultural policies must promote the voices of tolerance, present all over Cyprus, and guard against the voices of intolerance. They must insist on the right of all people to express freely their own complex identities, manifest their own cultural practices, have access to and enjoy their own cultural heritage and that of others, and benefit from as many spaces as possible to encounter and interact with each other, in all fields. </w:t>
      </w:r>
    </w:p>
    <w:p w:rsidR="00662584" w:rsidRPr="001B24AE" w:rsidRDefault="00662584" w:rsidP="009316A0">
      <w:pPr>
        <w:pStyle w:val="H1G"/>
      </w:pPr>
      <w:r w:rsidRPr="001B24AE">
        <w:tab/>
      </w:r>
      <w:bookmarkStart w:id="8" w:name="_Toc476228533"/>
      <w:r w:rsidRPr="001B24AE">
        <w:t>B.</w:t>
      </w:r>
      <w:r w:rsidRPr="001B24AE">
        <w:tab/>
        <w:t>Right to self-identification and choice of cultural references</w:t>
      </w:r>
      <w:bookmarkEnd w:id="8"/>
    </w:p>
    <w:p w:rsidR="00662584" w:rsidRPr="001B24AE" w:rsidRDefault="00662584" w:rsidP="009316A0">
      <w:pPr>
        <w:pStyle w:val="H23G"/>
      </w:pPr>
      <w:r w:rsidRPr="001B24AE">
        <w:tab/>
        <w:t>1.</w:t>
      </w:r>
      <w:r w:rsidRPr="001B24AE">
        <w:tab/>
      </w:r>
      <w:proofErr w:type="gramStart"/>
      <w:r w:rsidRPr="001B24AE">
        <w:t>Beyond</w:t>
      </w:r>
      <w:proofErr w:type="gramEnd"/>
      <w:r w:rsidRPr="001B24AE">
        <w:t xml:space="preserve"> bicommunalism</w:t>
      </w:r>
    </w:p>
    <w:p w:rsidR="00662584" w:rsidRPr="001B24AE" w:rsidRDefault="00662584" w:rsidP="00662584">
      <w:pPr>
        <w:pStyle w:val="SingleTxtG"/>
        <w:rPr>
          <w:szCs w:val="24"/>
        </w:rPr>
      </w:pPr>
      <w:r w:rsidRPr="001B24AE">
        <w:rPr>
          <w:szCs w:val="24"/>
        </w:rPr>
        <w:t>27.</w:t>
      </w:r>
      <w:r w:rsidRPr="001B24AE">
        <w:rPr>
          <w:szCs w:val="24"/>
        </w:rPr>
        <w:tab/>
        <w:t xml:space="preserve">According to article 2 (1) of the 1960 Constitution, </w:t>
      </w:r>
      <w:r w:rsidR="001B24AE">
        <w:rPr>
          <w:szCs w:val="24"/>
        </w:rPr>
        <w:t>“</w:t>
      </w:r>
      <w:r w:rsidRPr="001B24AE">
        <w:rPr>
          <w:szCs w:val="24"/>
        </w:rPr>
        <w:t xml:space="preserve">the Greek Community comprises all citizens of the Republic who are of Greek origin and whose mother tongue is Greek or who share Greek cultural traditions or who are members of the Greek Orthodox </w:t>
      </w:r>
      <w:r w:rsidRPr="001B24AE">
        <w:rPr>
          <w:szCs w:val="24"/>
        </w:rPr>
        <w:lastRenderedPageBreak/>
        <w:t>Church</w:t>
      </w:r>
      <w:r w:rsidR="001B24AE">
        <w:rPr>
          <w:szCs w:val="24"/>
        </w:rPr>
        <w:t>”</w:t>
      </w:r>
      <w:r w:rsidRPr="001B24AE">
        <w:rPr>
          <w:szCs w:val="24"/>
        </w:rPr>
        <w:t xml:space="preserve">. Likewise, according to article 2 (2), </w:t>
      </w:r>
      <w:r w:rsidR="001B24AE">
        <w:rPr>
          <w:szCs w:val="24"/>
        </w:rPr>
        <w:t>“</w:t>
      </w:r>
      <w:r w:rsidRPr="001B24AE">
        <w:rPr>
          <w:szCs w:val="24"/>
        </w:rPr>
        <w:t>the Turkish Community comprises all citizens of the Republic who are of Turkish origin and whose mother tongue is Turkish or who share the Turkish cultural traditions or who are Muslims</w:t>
      </w:r>
      <w:r w:rsidR="001B24AE">
        <w:rPr>
          <w:szCs w:val="24"/>
        </w:rPr>
        <w:t>”</w:t>
      </w:r>
      <w:r w:rsidRPr="001B24AE">
        <w:rPr>
          <w:szCs w:val="24"/>
        </w:rPr>
        <w:t>.</w:t>
      </w:r>
      <w:r w:rsidRPr="001B24AE">
        <w:rPr>
          <w:rStyle w:val="a8"/>
        </w:rPr>
        <w:footnoteReference w:id="5"/>
      </w:r>
    </w:p>
    <w:p w:rsidR="00662584" w:rsidRPr="001B24AE" w:rsidRDefault="00662584" w:rsidP="00662584">
      <w:pPr>
        <w:pStyle w:val="SingleTxtG"/>
        <w:rPr>
          <w:szCs w:val="24"/>
        </w:rPr>
      </w:pPr>
      <w:r w:rsidRPr="001B24AE">
        <w:rPr>
          <w:szCs w:val="24"/>
        </w:rPr>
        <w:t>28.</w:t>
      </w:r>
      <w:r w:rsidRPr="001B24AE">
        <w:rPr>
          <w:szCs w:val="24"/>
        </w:rPr>
        <w:tab/>
        <w:t>The Special Rapporteur concurs with other international and European mechanisms, which consider the</w:t>
      </w:r>
      <w:r w:rsidRPr="001B24AE">
        <w:rPr>
          <w:szCs w:val="24"/>
          <w:lang w:eastAsia="en-GB"/>
        </w:rPr>
        <w:t xml:space="preserve"> rigid classification of all citizens into members of either the Greek Cypriot or Turkish Cypriot </w:t>
      </w:r>
      <w:r w:rsidR="001B24AE">
        <w:rPr>
          <w:szCs w:val="24"/>
          <w:lang w:eastAsia="en-GB"/>
        </w:rPr>
        <w:t>“</w:t>
      </w:r>
      <w:r w:rsidRPr="001B24AE">
        <w:rPr>
          <w:szCs w:val="24"/>
          <w:lang w:eastAsia="en-GB"/>
        </w:rPr>
        <w:t>communities</w:t>
      </w:r>
      <w:r w:rsidR="001B24AE">
        <w:rPr>
          <w:szCs w:val="24"/>
          <w:lang w:eastAsia="en-GB"/>
        </w:rPr>
        <w:t>”</w:t>
      </w:r>
      <w:r w:rsidRPr="001B24AE">
        <w:rPr>
          <w:szCs w:val="24"/>
          <w:lang w:eastAsia="en-GB"/>
        </w:rPr>
        <w:t xml:space="preserve"> as problematic and not in line with human rights standards (s</w:t>
      </w:r>
      <w:r w:rsidRPr="001B24AE">
        <w:rPr>
          <w:szCs w:val="24"/>
        </w:rPr>
        <w:t>ee CERD/C/CYP/CO/17-22, para. 14, and CCPR/C/CYP/CO/4, para. 24)</w:t>
      </w:r>
      <w:r w:rsidRPr="001B24AE">
        <w:rPr>
          <w:szCs w:val="24"/>
          <w:lang w:eastAsia="en-GB"/>
        </w:rPr>
        <w:t>.</w:t>
      </w:r>
      <w:r w:rsidRPr="001B24AE">
        <w:rPr>
          <w:rStyle w:val="a8"/>
        </w:rPr>
        <w:footnoteReference w:id="6"/>
      </w:r>
      <w:r w:rsidRPr="001B24AE">
        <w:rPr>
          <w:szCs w:val="24"/>
          <w:lang w:eastAsia="en-GB"/>
        </w:rPr>
        <w:t xml:space="preserve"> </w:t>
      </w:r>
    </w:p>
    <w:p w:rsidR="00662584" w:rsidRPr="001B24AE" w:rsidRDefault="00662584" w:rsidP="00662584">
      <w:pPr>
        <w:pStyle w:val="SingleTxtG"/>
        <w:rPr>
          <w:szCs w:val="24"/>
        </w:rPr>
      </w:pPr>
      <w:r w:rsidRPr="001B24AE">
        <w:rPr>
          <w:szCs w:val="24"/>
        </w:rPr>
        <w:t>29.</w:t>
      </w:r>
      <w:r w:rsidRPr="001B24AE">
        <w:rPr>
          <w:szCs w:val="24"/>
        </w:rPr>
        <w:tab/>
        <w:t xml:space="preserve">Indeed, article 2 (3) of the Constitution states that all Cypriot citizens, including those from ethnic, linguistic, cultural or religious origins other than the two dominant ones, have to associate themselves formally with one of them. Moreover, other religious groups must also opt collectively to associate themselves with one of the two recognized </w:t>
      </w:r>
      <w:r w:rsidR="001B24AE">
        <w:rPr>
          <w:szCs w:val="24"/>
        </w:rPr>
        <w:t>“</w:t>
      </w:r>
      <w:r w:rsidRPr="001B24AE">
        <w:rPr>
          <w:szCs w:val="24"/>
        </w:rPr>
        <w:t>communities</w:t>
      </w:r>
      <w:r w:rsidR="001B24AE">
        <w:rPr>
          <w:szCs w:val="24"/>
        </w:rPr>
        <w:t>”</w:t>
      </w:r>
      <w:r w:rsidRPr="001B24AE">
        <w:rPr>
          <w:szCs w:val="24"/>
        </w:rPr>
        <w:t>. Faced with these limited choices, the Armenian Orthodox, the Maronite Catholic and the Roman Catholic (</w:t>
      </w:r>
      <w:r w:rsidR="001B24AE">
        <w:rPr>
          <w:szCs w:val="24"/>
        </w:rPr>
        <w:t>“</w:t>
      </w:r>
      <w:r w:rsidRPr="001B24AE">
        <w:rPr>
          <w:szCs w:val="24"/>
        </w:rPr>
        <w:t>Latin</w:t>
      </w:r>
      <w:r w:rsidR="001B24AE">
        <w:rPr>
          <w:szCs w:val="24"/>
        </w:rPr>
        <w:t>”</w:t>
      </w:r>
      <w:r w:rsidRPr="001B24AE">
        <w:rPr>
          <w:szCs w:val="24"/>
        </w:rPr>
        <w:t>) Churches in Cyprus have opted to belong to the Greek community (see A/HRC/22/51/Add.1, paras. 14-15).</w:t>
      </w:r>
      <w:r w:rsidRPr="001B24AE">
        <w:rPr>
          <w:rStyle w:val="a8"/>
        </w:rPr>
        <w:footnoteReference w:id="7"/>
      </w:r>
      <w:r w:rsidRPr="001B24AE">
        <w:rPr>
          <w:szCs w:val="24"/>
        </w:rPr>
        <w:t xml:space="preserve"> </w:t>
      </w:r>
    </w:p>
    <w:p w:rsidR="00662584" w:rsidRPr="001B24AE" w:rsidRDefault="00662584" w:rsidP="00662584">
      <w:pPr>
        <w:pStyle w:val="SingleTxtG"/>
        <w:rPr>
          <w:szCs w:val="24"/>
        </w:rPr>
      </w:pPr>
      <w:r w:rsidRPr="001B24AE">
        <w:rPr>
          <w:szCs w:val="24"/>
        </w:rPr>
        <w:t>30.</w:t>
      </w:r>
      <w:r w:rsidRPr="001B24AE">
        <w:rPr>
          <w:szCs w:val="24"/>
        </w:rPr>
        <w:tab/>
        <w:t>This narrow framework imposes choices about cultural identity and membership in a specific group on people in violation of their cultural rights, in particular the rights of everyone to choose his or her own identity, to identify or not with one or several groups and to change that choice,</w:t>
      </w:r>
      <w:r w:rsidRPr="001B24AE">
        <w:rPr>
          <w:rStyle w:val="a8"/>
        </w:rPr>
        <w:footnoteReference w:id="8"/>
      </w:r>
      <w:r w:rsidRPr="001B24AE">
        <w:rPr>
          <w:szCs w:val="24"/>
        </w:rPr>
        <w:t xml:space="preserve"> and to participate or not participate in a given group (see A/HRC/14/36, paras. 10 and 25).</w:t>
      </w:r>
      <w:r w:rsidRPr="001B24AE">
        <w:rPr>
          <w:rStyle w:val="a8"/>
        </w:rPr>
        <w:footnoteReference w:id="9"/>
      </w:r>
      <w:r w:rsidRPr="001B24AE">
        <w:rPr>
          <w:szCs w:val="24"/>
        </w:rPr>
        <w:t xml:space="preserve"> </w:t>
      </w:r>
    </w:p>
    <w:p w:rsidR="00662584" w:rsidRPr="001B24AE" w:rsidRDefault="00662584" w:rsidP="00662584">
      <w:pPr>
        <w:pStyle w:val="SingleTxtG"/>
        <w:rPr>
          <w:szCs w:val="24"/>
        </w:rPr>
      </w:pPr>
      <w:r w:rsidRPr="001B24AE">
        <w:rPr>
          <w:szCs w:val="24"/>
          <w:lang w:eastAsia="en-GB"/>
        </w:rPr>
        <w:t>31.</w:t>
      </w:r>
      <w:r w:rsidRPr="001B24AE">
        <w:rPr>
          <w:szCs w:val="24"/>
          <w:lang w:eastAsia="en-GB"/>
        </w:rPr>
        <w:tab/>
        <w:t xml:space="preserve">Furthermore, such classification </w:t>
      </w:r>
      <w:r w:rsidRPr="001B24AE">
        <w:rPr>
          <w:szCs w:val="24"/>
        </w:rPr>
        <w:t xml:space="preserve">risks reducing those not in the categories in question to secondary status and </w:t>
      </w:r>
      <w:r w:rsidRPr="001B24AE">
        <w:rPr>
          <w:szCs w:val="24"/>
          <w:lang w:eastAsia="en-GB"/>
        </w:rPr>
        <w:t>creates a sense of inequality.</w:t>
      </w:r>
      <w:r w:rsidRPr="001B24AE">
        <w:rPr>
          <w:rStyle w:val="a8"/>
        </w:rPr>
        <w:footnoteReference w:id="10"/>
      </w:r>
      <w:r w:rsidRPr="001B24AE">
        <w:rPr>
          <w:szCs w:val="24"/>
        </w:rPr>
        <w:t xml:space="preserve"> It is insufficient to characterize the complexity and diversity of Cyprus society, which also includes a mosaic of historic minorities and more newly arrived persons, such as Ahmadis, Alevis, Armenians, Buddhists, Copts, ethnic Greeks from the Black Sea region, Kurds, Latins, Maronites, Roma, Turkish nationals, migrants, refugees and asylum seekers of many nationalities. However, that great diversity is rarely adequately reflected in policies, nor is there space for that lived cultural complexity in the 1960 constitutional framework. There are also many other identities that are cross-cutting, including women, lesbian, gay, bisexual, and transgender</w:t>
      </w:r>
      <w:r w:rsidRPr="001B24AE" w:rsidDel="00121586">
        <w:rPr>
          <w:szCs w:val="24"/>
        </w:rPr>
        <w:t xml:space="preserve"> </w:t>
      </w:r>
      <w:r w:rsidRPr="001B24AE">
        <w:rPr>
          <w:szCs w:val="24"/>
        </w:rPr>
        <w:t xml:space="preserve">persons, persons with disabilities, secularists, people of mixed identities and people who do not wish to identify solely in terms of ethno-religious identity. </w:t>
      </w:r>
    </w:p>
    <w:p w:rsidR="00662584" w:rsidRPr="001B24AE" w:rsidRDefault="00662584" w:rsidP="00662584">
      <w:pPr>
        <w:pStyle w:val="SingleTxtG"/>
        <w:rPr>
          <w:szCs w:val="24"/>
        </w:rPr>
      </w:pPr>
      <w:r w:rsidRPr="001B24AE">
        <w:rPr>
          <w:szCs w:val="24"/>
        </w:rPr>
        <w:t>32.</w:t>
      </w:r>
      <w:r w:rsidRPr="001B24AE">
        <w:rPr>
          <w:szCs w:val="24"/>
        </w:rPr>
        <w:tab/>
        <w:t xml:space="preserve">A specific concern relates to the choice given to women in such matters. Article 2 (7) of the Constitution states that </w:t>
      </w:r>
      <w:r w:rsidRPr="001B24AE">
        <w:rPr>
          <w:szCs w:val="24"/>
          <w:lang w:eastAsia="fr-FR"/>
        </w:rPr>
        <w:t xml:space="preserve">married women shall belong to the </w:t>
      </w:r>
      <w:r w:rsidR="001B24AE">
        <w:rPr>
          <w:szCs w:val="24"/>
          <w:lang w:eastAsia="fr-FR"/>
        </w:rPr>
        <w:t>“</w:t>
      </w:r>
      <w:r w:rsidRPr="001B24AE">
        <w:rPr>
          <w:szCs w:val="24"/>
          <w:lang w:eastAsia="fr-FR"/>
        </w:rPr>
        <w:t>community</w:t>
      </w:r>
      <w:r w:rsidR="001B24AE">
        <w:rPr>
          <w:szCs w:val="24"/>
          <w:lang w:eastAsia="fr-FR"/>
        </w:rPr>
        <w:t>”</w:t>
      </w:r>
      <w:r w:rsidRPr="001B24AE">
        <w:rPr>
          <w:szCs w:val="24"/>
          <w:lang w:eastAsia="fr-FR"/>
        </w:rPr>
        <w:t xml:space="preserve"> to which their</w:t>
      </w:r>
      <w:r w:rsidRPr="001B24AE">
        <w:rPr>
          <w:szCs w:val="24"/>
        </w:rPr>
        <w:t xml:space="preserve"> </w:t>
      </w:r>
      <w:r w:rsidRPr="001B24AE">
        <w:rPr>
          <w:szCs w:val="24"/>
          <w:lang w:eastAsia="fr-FR"/>
        </w:rPr>
        <w:t>husbands belong and that children under the age of 21 who are not</w:t>
      </w:r>
      <w:r w:rsidRPr="001B24AE">
        <w:rPr>
          <w:szCs w:val="24"/>
        </w:rPr>
        <w:t xml:space="preserve"> </w:t>
      </w:r>
      <w:r w:rsidRPr="001B24AE">
        <w:rPr>
          <w:szCs w:val="24"/>
          <w:lang w:eastAsia="fr-FR"/>
        </w:rPr>
        <w:t xml:space="preserve">married shall belong to the </w:t>
      </w:r>
      <w:r w:rsidR="001B24AE">
        <w:rPr>
          <w:szCs w:val="24"/>
          <w:lang w:eastAsia="fr-FR"/>
        </w:rPr>
        <w:t>“</w:t>
      </w:r>
      <w:r w:rsidRPr="001B24AE">
        <w:rPr>
          <w:szCs w:val="24"/>
          <w:lang w:eastAsia="fr-FR"/>
        </w:rPr>
        <w:t>community</w:t>
      </w:r>
      <w:r w:rsidR="001B24AE">
        <w:rPr>
          <w:szCs w:val="24"/>
          <w:lang w:eastAsia="fr-FR"/>
        </w:rPr>
        <w:t>”</w:t>
      </w:r>
      <w:r w:rsidRPr="001B24AE">
        <w:rPr>
          <w:szCs w:val="24"/>
          <w:lang w:eastAsia="fr-FR"/>
        </w:rPr>
        <w:t xml:space="preserve"> to which their fathers belong. Such a provision clearly violates the right not to be discriminated against based on sex, as enshrined in articles 2 and 3 of the International Covenant on Economic, Social and Cultural Rights and the International Covenant on Civil and Political Rights. </w:t>
      </w:r>
    </w:p>
    <w:p w:rsidR="00662584" w:rsidRPr="001B24AE" w:rsidRDefault="00662584" w:rsidP="00662584">
      <w:pPr>
        <w:pStyle w:val="SingleTxtG"/>
        <w:rPr>
          <w:szCs w:val="24"/>
        </w:rPr>
      </w:pPr>
      <w:r w:rsidRPr="001B24AE">
        <w:rPr>
          <w:szCs w:val="24"/>
        </w:rPr>
        <w:t>33.</w:t>
      </w:r>
      <w:r w:rsidRPr="001B24AE">
        <w:rPr>
          <w:szCs w:val="24"/>
        </w:rPr>
        <w:tab/>
        <w:t xml:space="preserve">The ongoing peace talks offer an opportunity for discussing how to open spaces for the recognition of diversity and for the participation of all in society without discrimination. As the Special Rapporteur has previously noted, it is important to query the precise meaning of terms such as </w:t>
      </w:r>
      <w:r w:rsidR="001B24AE">
        <w:rPr>
          <w:szCs w:val="24"/>
        </w:rPr>
        <w:t>“</w:t>
      </w:r>
      <w:r w:rsidRPr="001B24AE">
        <w:rPr>
          <w:szCs w:val="24"/>
        </w:rPr>
        <w:t>community</w:t>
      </w:r>
      <w:r w:rsidR="001B24AE">
        <w:rPr>
          <w:szCs w:val="24"/>
        </w:rPr>
        <w:t>”</w:t>
      </w:r>
      <w:r w:rsidRPr="001B24AE">
        <w:rPr>
          <w:szCs w:val="24"/>
        </w:rPr>
        <w:t xml:space="preserve">, which are frequently employed without definition, and the routine presumption of the primordial and homogeneous nature of community identities. What may be considered as central in terms of identity from the point of view of </w:t>
      </w:r>
      <w:r w:rsidR="001B24AE">
        <w:rPr>
          <w:szCs w:val="24"/>
        </w:rPr>
        <w:t>“</w:t>
      </w:r>
      <w:r w:rsidRPr="001B24AE">
        <w:rPr>
          <w:szCs w:val="24"/>
        </w:rPr>
        <w:t>community</w:t>
      </w:r>
      <w:r w:rsidR="001B24AE">
        <w:rPr>
          <w:szCs w:val="24"/>
        </w:rPr>
        <w:t>”</w:t>
      </w:r>
      <w:r w:rsidRPr="001B24AE">
        <w:rPr>
          <w:szCs w:val="24"/>
        </w:rPr>
        <w:t xml:space="preserve"> leaders may not coincide with the choices and realities of individuals (see A/HRC/31/59, paras. 11-18).</w:t>
      </w:r>
    </w:p>
    <w:p w:rsidR="00662584" w:rsidRPr="001B24AE" w:rsidRDefault="00662584" w:rsidP="00662584">
      <w:pPr>
        <w:pStyle w:val="SingleTxtG"/>
        <w:rPr>
          <w:szCs w:val="24"/>
        </w:rPr>
      </w:pPr>
      <w:r w:rsidRPr="001B24AE">
        <w:rPr>
          <w:szCs w:val="24"/>
        </w:rPr>
        <w:lastRenderedPageBreak/>
        <w:t>34.</w:t>
      </w:r>
      <w:r w:rsidRPr="001B24AE">
        <w:rPr>
          <w:szCs w:val="24"/>
        </w:rPr>
        <w:tab/>
        <w:t xml:space="preserve">The Special Rapporteur hopes that the momentum at the time of drafting of any new constitution will be employed for recognizing a Cypriot identity that transcends </w:t>
      </w:r>
      <w:r w:rsidR="001B24AE">
        <w:rPr>
          <w:szCs w:val="24"/>
        </w:rPr>
        <w:t>“</w:t>
      </w:r>
      <w:r w:rsidRPr="001B24AE">
        <w:rPr>
          <w:szCs w:val="24"/>
        </w:rPr>
        <w:t>community</w:t>
      </w:r>
      <w:r w:rsidR="001B24AE">
        <w:rPr>
          <w:szCs w:val="24"/>
        </w:rPr>
        <w:t>”</w:t>
      </w:r>
      <w:r w:rsidRPr="001B24AE">
        <w:rPr>
          <w:szCs w:val="24"/>
        </w:rPr>
        <w:t xml:space="preserve"> affiliations. Thinking beyond bicommunalism is necessary to create a framework incorporating all aspects of contemporary Cypriot society in its full diversity. The Special Rapporteur notes in particular the desire expressed by Maronites and Armenians to be recognized as historical minorities. </w:t>
      </w:r>
    </w:p>
    <w:p w:rsidR="00662584" w:rsidRPr="001B24AE" w:rsidRDefault="00662584" w:rsidP="009316A0">
      <w:pPr>
        <w:pStyle w:val="H23G"/>
      </w:pPr>
      <w:r w:rsidRPr="001B24AE">
        <w:tab/>
        <w:t>2.</w:t>
      </w:r>
      <w:r w:rsidRPr="001B24AE">
        <w:tab/>
        <w:t>Policies aimed at shaping cultural identities and references</w:t>
      </w:r>
    </w:p>
    <w:p w:rsidR="00662584" w:rsidRPr="001B24AE" w:rsidRDefault="00662584" w:rsidP="00662584">
      <w:pPr>
        <w:pStyle w:val="SingleTxtG"/>
        <w:rPr>
          <w:szCs w:val="24"/>
        </w:rPr>
      </w:pPr>
      <w:r w:rsidRPr="001B24AE">
        <w:rPr>
          <w:szCs w:val="24"/>
        </w:rPr>
        <w:t>35.</w:t>
      </w:r>
      <w:r w:rsidRPr="001B24AE">
        <w:rPr>
          <w:szCs w:val="24"/>
        </w:rPr>
        <w:tab/>
        <w:t>During her visit, the Special Rapporteur regularly heard concerns from Turkish Cypriots regarding the perceived efforts by Turkey to transform their culture and to Islamize their society in ways they felt did not reflect more secular and tolerant local cultural practices. They reported in particular the building of mosques not in keeping with their traditions of architecture, the creation of religious schools with textbooks produced elsewhere and attempts to make religion a mandatory subject in ordinary schools. There should be thorough consultation among Turkish Cypriots, including civil society and women</w:t>
      </w:r>
      <w:r w:rsidR="001B24AE">
        <w:rPr>
          <w:szCs w:val="24"/>
        </w:rPr>
        <w:t>’</w:t>
      </w:r>
      <w:r w:rsidRPr="001B24AE">
        <w:rPr>
          <w:szCs w:val="24"/>
        </w:rPr>
        <w:t xml:space="preserve">s human rights defenders, about any such policies and their potential impact on cultural rights. </w:t>
      </w:r>
    </w:p>
    <w:p w:rsidR="00662584" w:rsidRPr="001B24AE" w:rsidRDefault="00662584" w:rsidP="009316A0">
      <w:pPr>
        <w:pStyle w:val="H1G"/>
      </w:pPr>
      <w:r w:rsidRPr="001B24AE">
        <w:tab/>
      </w:r>
      <w:bookmarkStart w:id="9" w:name="_Toc476228534"/>
      <w:r w:rsidRPr="001B24AE">
        <w:t>C.</w:t>
      </w:r>
      <w:r w:rsidRPr="001B24AE">
        <w:tab/>
        <w:t>Right to access and enjoy cultural heritage</w:t>
      </w:r>
      <w:bookmarkEnd w:id="9"/>
      <w:r w:rsidRPr="001B24AE">
        <w:t xml:space="preserve"> </w:t>
      </w:r>
    </w:p>
    <w:p w:rsidR="00662584" w:rsidRPr="001B24AE" w:rsidRDefault="00662584" w:rsidP="009316A0">
      <w:pPr>
        <w:pStyle w:val="H23G"/>
      </w:pPr>
      <w:r w:rsidRPr="001B24AE">
        <w:tab/>
        <w:t>1.</w:t>
      </w:r>
      <w:r w:rsidRPr="001B24AE">
        <w:tab/>
        <w:t>Legacy and impact of destruction</w:t>
      </w:r>
      <w:r w:rsidRPr="001B24AE">
        <w:rPr>
          <w:rStyle w:val="a8"/>
          <w:b w:val="0"/>
        </w:rPr>
        <w:footnoteReference w:id="11"/>
      </w:r>
      <w:r w:rsidRPr="001B24AE">
        <w:t xml:space="preserve"> and looting</w:t>
      </w:r>
    </w:p>
    <w:p w:rsidR="00662584" w:rsidRPr="001B24AE" w:rsidRDefault="00662584" w:rsidP="00662584">
      <w:pPr>
        <w:pStyle w:val="SingleTxtG"/>
        <w:rPr>
          <w:szCs w:val="24"/>
        </w:rPr>
      </w:pPr>
      <w:r w:rsidRPr="001B24AE">
        <w:rPr>
          <w:szCs w:val="24"/>
        </w:rPr>
        <w:t>36.</w:t>
      </w:r>
      <w:r w:rsidRPr="001B24AE">
        <w:rPr>
          <w:szCs w:val="24"/>
        </w:rPr>
        <w:tab/>
        <w:t xml:space="preserve">The UNESCO Declaration concerning the Intentional Destruction of Cultural Heritage defines </w:t>
      </w:r>
      <w:r w:rsidR="001B24AE">
        <w:rPr>
          <w:szCs w:val="24"/>
        </w:rPr>
        <w:t>“</w:t>
      </w:r>
      <w:r w:rsidRPr="001B24AE">
        <w:rPr>
          <w:szCs w:val="24"/>
        </w:rPr>
        <w:t>intentional destruction</w:t>
      </w:r>
      <w:r w:rsidR="001B24AE">
        <w:rPr>
          <w:szCs w:val="24"/>
        </w:rPr>
        <w:t>”</w:t>
      </w:r>
      <w:r w:rsidRPr="001B24AE">
        <w:rPr>
          <w:szCs w:val="24"/>
        </w:rPr>
        <w:t xml:space="preserve"> as </w:t>
      </w:r>
      <w:r w:rsidR="001B24AE">
        <w:rPr>
          <w:szCs w:val="24"/>
        </w:rPr>
        <w:t>“</w:t>
      </w:r>
      <w:r w:rsidRPr="001B24AE">
        <w:rPr>
          <w:szCs w:val="24"/>
        </w:rPr>
        <w:t>an act intended to destroy in whole or in part cultural heritage, thus compromising its integrity, in a manner which constitutes a violation of international law or an unjustifiable offence to the principles of humanity and dictates of public conscience</w:t>
      </w:r>
      <w:r w:rsidR="001B24AE">
        <w:rPr>
          <w:szCs w:val="24"/>
        </w:rPr>
        <w:t>”</w:t>
      </w:r>
      <w:r w:rsidRPr="001B24AE">
        <w:rPr>
          <w:szCs w:val="24"/>
        </w:rPr>
        <w:t xml:space="preserve">. The qualification of intentional destruction may also apply in cases of wilful neglect. </w:t>
      </w:r>
    </w:p>
    <w:p w:rsidR="00662584" w:rsidRPr="001B24AE" w:rsidRDefault="00662584" w:rsidP="00662584">
      <w:pPr>
        <w:pStyle w:val="SingleTxtG"/>
        <w:rPr>
          <w:szCs w:val="24"/>
        </w:rPr>
      </w:pPr>
      <w:r w:rsidRPr="001B24AE">
        <w:rPr>
          <w:szCs w:val="24"/>
        </w:rPr>
        <w:t>37.</w:t>
      </w:r>
      <w:r w:rsidRPr="001B24AE">
        <w:rPr>
          <w:szCs w:val="24"/>
        </w:rPr>
        <w:tab/>
        <w:t xml:space="preserve">The mandate of the Special Rapporteur is not designed to protect culture and cultural heritage </w:t>
      </w:r>
      <w:r w:rsidRPr="001B24AE">
        <w:rPr>
          <w:iCs/>
          <w:szCs w:val="24"/>
        </w:rPr>
        <w:t>per se</w:t>
      </w:r>
      <w:r w:rsidRPr="001B24AE">
        <w:rPr>
          <w:szCs w:val="24"/>
        </w:rPr>
        <w:t>, but the conditions allowing all people without discrimination to have access to, participate in and contribute to cultural life in a continuously developing manner. Those conditions are greatly jeopardized when cultural heritage is at risk or destroyed. Therefore, prima facie, the destruction of cultural heritage must be considered a violation of cultural rights (see A/71/317, para. 13).</w:t>
      </w:r>
    </w:p>
    <w:p w:rsidR="00662584" w:rsidRPr="001B24AE" w:rsidRDefault="00662584" w:rsidP="009316A0">
      <w:pPr>
        <w:pStyle w:val="H23G"/>
        <w:rPr>
          <w:i/>
        </w:rPr>
      </w:pPr>
      <w:r w:rsidRPr="001B24AE">
        <w:tab/>
        <w:t>(a)</w:t>
      </w:r>
      <w:r w:rsidRPr="001B24AE">
        <w:tab/>
        <w:t>Legacy of past intentional destruction</w:t>
      </w:r>
    </w:p>
    <w:p w:rsidR="00662584" w:rsidRPr="001B24AE" w:rsidRDefault="00662584" w:rsidP="00662584">
      <w:pPr>
        <w:pStyle w:val="SingleTxtG"/>
        <w:rPr>
          <w:szCs w:val="24"/>
          <w:lang w:eastAsia="fr-CH"/>
        </w:rPr>
      </w:pPr>
      <w:r w:rsidRPr="001B24AE">
        <w:rPr>
          <w:szCs w:val="24"/>
          <w:lang w:eastAsia="fr-CH"/>
        </w:rPr>
        <w:t>38.</w:t>
      </w:r>
      <w:r w:rsidRPr="001B24AE">
        <w:rPr>
          <w:szCs w:val="24"/>
          <w:lang w:eastAsia="fr-CH"/>
        </w:rPr>
        <w:tab/>
        <w:t xml:space="preserve">The histories of widespread destruction of cultural heritage in Cyprus during and after the years of conflict are appalling. Many accounts and statistics are available for the harm done to cultural heritage associated with either Greek Cypriot </w:t>
      </w:r>
      <w:r w:rsidRPr="001B24AE">
        <w:rPr>
          <w:i/>
          <w:szCs w:val="24"/>
          <w:lang w:eastAsia="fr-CH"/>
        </w:rPr>
        <w:t>or</w:t>
      </w:r>
      <w:r w:rsidRPr="001B24AE">
        <w:rPr>
          <w:szCs w:val="24"/>
          <w:lang w:eastAsia="fr-CH"/>
        </w:rPr>
        <w:t xml:space="preserve"> Turkish Cypriot sites. Religious sites, cemeteries as well as entire villages have reportedly been destroyed.</w:t>
      </w:r>
      <w:r w:rsidRPr="001B24AE">
        <w:rPr>
          <w:rStyle w:val="a8"/>
        </w:rPr>
        <w:footnoteReference w:id="12"/>
      </w:r>
      <w:r w:rsidRPr="001B24AE">
        <w:rPr>
          <w:szCs w:val="24"/>
          <w:lang w:eastAsia="fr-CH"/>
        </w:rPr>
        <w:t xml:space="preserve"> However, the Special Rapporteur did not receive encompassing accounts of the overall destruction in all parts of Cyprus, acknowledging at the same time the harm that has been done in both the south and the north. That is why the holistic approach adopted by the Technical Committee on Cultural Heritage is particularly important. </w:t>
      </w:r>
    </w:p>
    <w:p w:rsidR="00662584" w:rsidRPr="001B24AE" w:rsidRDefault="00662584" w:rsidP="00662584">
      <w:pPr>
        <w:pStyle w:val="SingleTxtG"/>
        <w:rPr>
          <w:szCs w:val="24"/>
          <w:lang w:eastAsia="fr-CH"/>
        </w:rPr>
      </w:pPr>
      <w:r w:rsidRPr="001B24AE">
        <w:rPr>
          <w:szCs w:val="24"/>
        </w:rPr>
        <w:lastRenderedPageBreak/>
        <w:t>39.</w:t>
      </w:r>
      <w:r w:rsidRPr="001B24AE">
        <w:rPr>
          <w:szCs w:val="24"/>
        </w:rPr>
        <w:tab/>
        <w:t xml:space="preserve">Cypriots must come together to produce joint documentation of all the destruction that has taken place and to write the history of </w:t>
      </w:r>
      <w:proofErr w:type="gramStart"/>
      <w:r w:rsidRPr="001B24AE">
        <w:rPr>
          <w:szCs w:val="24"/>
        </w:rPr>
        <w:t>all the</w:t>
      </w:r>
      <w:proofErr w:type="gramEnd"/>
      <w:r w:rsidRPr="001B24AE">
        <w:rPr>
          <w:szCs w:val="24"/>
        </w:rPr>
        <w:t xml:space="preserve"> heritage that has been destroyed. That critical task could be performed through a truth commission representative of the diversity of the population of Cyprus. The purpose would be to gather and complete existing documentation, assemble narratives of the losses for all and begin writing a common history, with a view to redressing violations of cultural rights as part of any settlement or thereafter. </w:t>
      </w:r>
    </w:p>
    <w:p w:rsidR="00662584" w:rsidRPr="001B24AE" w:rsidRDefault="00662584" w:rsidP="00662584">
      <w:pPr>
        <w:pStyle w:val="SingleTxtG"/>
        <w:rPr>
          <w:szCs w:val="24"/>
          <w:lang w:eastAsia="fr-CH"/>
        </w:rPr>
      </w:pPr>
      <w:r w:rsidRPr="001B24AE">
        <w:rPr>
          <w:szCs w:val="24"/>
        </w:rPr>
        <w:t>40.</w:t>
      </w:r>
      <w:r w:rsidRPr="001B24AE">
        <w:rPr>
          <w:szCs w:val="24"/>
        </w:rPr>
        <w:tab/>
        <w:t xml:space="preserve">The destruction of cultural heritage has created huge impediments to the exercise of the right to access and enjoy cultural heritage, and jeopardizes the rights of future generations. Some of the heritage can no longer serve as sources of knowledge and </w:t>
      </w:r>
      <w:r w:rsidRPr="001B24AE">
        <w:rPr>
          <w:szCs w:val="24"/>
          <w:lang w:eastAsia="fr-CH"/>
        </w:rPr>
        <w:t>mutual understanding,</w:t>
      </w:r>
      <w:r w:rsidRPr="001B24AE">
        <w:rPr>
          <w:szCs w:val="24"/>
        </w:rPr>
        <w:t xml:space="preserve"> as places to conduct rituals and cultural practices, or as venues for social interaction or building friendships </w:t>
      </w:r>
      <w:r w:rsidRPr="001B24AE">
        <w:rPr>
          <w:szCs w:val="24"/>
          <w:lang w:eastAsia="fr-CH"/>
        </w:rPr>
        <w:t>across groups, irrespective of affiliation</w:t>
      </w:r>
      <w:r w:rsidRPr="001B24AE">
        <w:rPr>
          <w:szCs w:val="24"/>
        </w:rPr>
        <w:t xml:space="preserve">. </w:t>
      </w:r>
    </w:p>
    <w:p w:rsidR="00662584" w:rsidRPr="001B24AE" w:rsidRDefault="00662584" w:rsidP="00662584">
      <w:pPr>
        <w:pStyle w:val="SingleTxtG"/>
        <w:rPr>
          <w:szCs w:val="24"/>
        </w:rPr>
      </w:pPr>
      <w:r w:rsidRPr="001B24AE">
        <w:rPr>
          <w:szCs w:val="24"/>
        </w:rPr>
        <w:t>41.</w:t>
      </w:r>
      <w:r w:rsidRPr="001B24AE">
        <w:rPr>
          <w:szCs w:val="24"/>
        </w:rPr>
        <w:tab/>
        <w:t>The Special Rapporteur is concerned that one purpose of the patterns of destruction has been to deprive displaced people of anything to which they could return, as well as to erase the history of their presence and claim a monopoly or monolithic identity in particular locales. Displaced people on both sides of the island expressed to the Special Rapporteur their desire to see their heritage restored as a prelude to their ability to return to their former homes, or at least to re-establish relationships with their places of origin.</w:t>
      </w:r>
    </w:p>
    <w:p w:rsidR="00662584" w:rsidRPr="001B24AE" w:rsidRDefault="00662584" w:rsidP="00662584">
      <w:pPr>
        <w:pStyle w:val="SingleTxtG"/>
        <w:rPr>
          <w:szCs w:val="24"/>
        </w:rPr>
      </w:pPr>
      <w:r w:rsidRPr="001B24AE">
        <w:rPr>
          <w:szCs w:val="24"/>
        </w:rPr>
        <w:t>42.</w:t>
      </w:r>
      <w:r w:rsidRPr="001B24AE">
        <w:rPr>
          <w:szCs w:val="24"/>
        </w:rPr>
        <w:tab/>
        <w:t xml:space="preserve">Many cultural heritage sites that the Special Rapporteur visited had been restored or were undergoing restoration. She also visited and was informed of sites that were in a terrible condition, as is the case for many abandoned churches and mosques that are neglected and left exposed to vandalism. She also visited other sites that need further protection, such as the archaeological site of Ayia Trias/Sipahi Basilica/Bazilikasi in the north. For a long time left without any care and exposed to damage from livestock, the site is now guarded and there are projects to protect better the mosaics and remaining structures of this fifth-century site. </w:t>
      </w:r>
    </w:p>
    <w:p w:rsidR="00662584" w:rsidRPr="001B24AE" w:rsidRDefault="00662584" w:rsidP="009316A0">
      <w:pPr>
        <w:pStyle w:val="H23G"/>
        <w:rPr>
          <w:i/>
        </w:rPr>
      </w:pPr>
      <w:r w:rsidRPr="001B24AE">
        <w:tab/>
        <w:t>(b)</w:t>
      </w:r>
      <w:r w:rsidRPr="001B24AE">
        <w:tab/>
        <w:t>Devastating effects of looting on cultural rights</w:t>
      </w:r>
    </w:p>
    <w:p w:rsidR="00662584" w:rsidRPr="001B24AE" w:rsidRDefault="00662584" w:rsidP="00662584">
      <w:pPr>
        <w:pStyle w:val="SingleTxtG"/>
        <w:rPr>
          <w:szCs w:val="24"/>
        </w:rPr>
      </w:pPr>
      <w:r w:rsidRPr="001B24AE">
        <w:rPr>
          <w:szCs w:val="24"/>
          <w:lang w:eastAsia="fr-CH"/>
        </w:rPr>
        <w:t>43.</w:t>
      </w:r>
      <w:r w:rsidRPr="001B24AE">
        <w:rPr>
          <w:szCs w:val="24"/>
          <w:lang w:eastAsia="fr-CH"/>
        </w:rPr>
        <w:tab/>
        <w:t xml:space="preserve">An important related issue concerns the looting of artefacts. Sacred objects, icons and frescoes have been removed illegally from abandoned churches in the north and sold on the international market. Looting has been widespread and systematically organized, causing much suffering to people who have seen their churches, museums and archaeological sites completely plundered. </w:t>
      </w:r>
    </w:p>
    <w:p w:rsidR="00662584" w:rsidRPr="001B24AE" w:rsidRDefault="00662584" w:rsidP="00662584">
      <w:pPr>
        <w:pStyle w:val="SingleTxtG"/>
        <w:rPr>
          <w:szCs w:val="24"/>
        </w:rPr>
      </w:pPr>
      <w:r w:rsidRPr="001B24AE">
        <w:rPr>
          <w:szCs w:val="24"/>
          <w:lang w:eastAsia="fr-CH"/>
        </w:rPr>
        <w:t>44.</w:t>
      </w:r>
      <w:r w:rsidRPr="001B24AE">
        <w:rPr>
          <w:szCs w:val="24"/>
          <w:lang w:eastAsia="fr-CH"/>
        </w:rPr>
        <w:tab/>
        <w:t xml:space="preserve">The Special Rapporteur salutes the work undertaken by the Department of Antiquities in monitoring the auctions carried out abroad and on the Internet, and their dedication in repatriating items. The legal difficulties, administrative challenges and costs linked with locating and repatriating artefacts are huge. It is difficult, for example, to prove the exact provenance of the items, as archives have been lost or destroyed during looting and as not all items had been registered. Although experts are able to identify cultural heritage of Cyprus, thanks to the specific techniques employed to create the artworks, they are in many cases unable to identify their exact original location, such as specific churches or museums. The </w:t>
      </w:r>
      <w:r w:rsidRPr="001B24AE">
        <w:rPr>
          <w:szCs w:val="24"/>
        </w:rPr>
        <w:t>Aydin Dikmen case</w:t>
      </w:r>
      <w:r w:rsidRPr="001B24AE">
        <w:rPr>
          <w:szCs w:val="24"/>
          <w:lang w:eastAsia="fr-CH"/>
        </w:rPr>
        <w:t xml:space="preserve"> exemplifies these obstacles</w:t>
      </w:r>
      <w:r w:rsidRPr="001B24AE">
        <w:rPr>
          <w:szCs w:val="24"/>
        </w:rPr>
        <w:t>.</w:t>
      </w:r>
      <w:r w:rsidRPr="001B24AE">
        <w:rPr>
          <w:rStyle w:val="a8"/>
        </w:rPr>
        <w:footnoteReference w:id="13"/>
      </w:r>
    </w:p>
    <w:p w:rsidR="00662584" w:rsidRPr="001B24AE" w:rsidRDefault="00662584" w:rsidP="00662584">
      <w:pPr>
        <w:pStyle w:val="SingleTxtG"/>
        <w:rPr>
          <w:szCs w:val="24"/>
        </w:rPr>
      </w:pPr>
      <w:r w:rsidRPr="001B24AE">
        <w:rPr>
          <w:szCs w:val="24"/>
        </w:rPr>
        <w:t>45.</w:t>
      </w:r>
      <w:r w:rsidRPr="001B24AE">
        <w:rPr>
          <w:szCs w:val="24"/>
        </w:rPr>
        <w:tab/>
        <w:t>The Special Rapporteur also notes information alleging that unregistered collections have been found in the hands of private collectors in the south of the island and abroad.</w:t>
      </w:r>
      <w:r w:rsidRPr="001B24AE">
        <w:rPr>
          <w:rStyle w:val="a8"/>
        </w:rPr>
        <w:footnoteReference w:id="14"/>
      </w:r>
    </w:p>
    <w:p w:rsidR="00662584" w:rsidRPr="001B24AE" w:rsidRDefault="00662584" w:rsidP="009316A0">
      <w:pPr>
        <w:pStyle w:val="H23G"/>
        <w:rPr>
          <w:i/>
        </w:rPr>
      </w:pPr>
      <w:r w:rsidRPr="001B24AE">
        <w:tab/>
        <w:t>(c)</w:t>
      </w:r>
      <w:r w:rsidRPr="001B24AE">
        <w:tab/>
        <w:t>Changing of cultural landscapes</w:t>
      </w:r>
    </w:p>
    <w:p w:rsidR="00662584" w:rsidRPr="001B24AE" w:rsidRDefault="00662584" w:rsidP="00662584">
      <w:pPr>
        <w:pStyle w:val="SingleTxtG"/>
        <w:rPr>
          <w:szCs w:val="24"/>
          <w:lang w:eastAsia="fr-CH"/>
        </w:rPr>
      </w:pPr>
      <w:r w:rsidRPr="001B24AE">
        <w:rPr>
          <w:szCs w:val="24"/>
          <w:lang w:eastAsia="fr-CH"/>
        </w:rPr>
        <w:t>46.</w:t>
      </w:r>
      <w:r w:rsidRPr="001B24AE">
        <w:rPr>
          <w:szCs w:val="24"/>
          <w:lang w:eastAsia="fr-CH"/>
        </w:rPr>
        <w:tab/>
        <w:t xml:space="preserve">The destruction of cultural heritage has considerably changed the </w:t>
      </w:r>
      <w:r w:rsidRPr="001B24AE">
        <w:rPr>
          <w:szCs w:val="24"/>
        </w:rPr>
        <w:t>symbolic, historical and cultural landscape</w:t>
      </w:r>
      <w:r w:rsidRPr="001B24AE">
        <w:rPr>
          <w:szCs w:val="24"/>
          <w:lang w:eastAsia="fr-CH"/>
        </w:rPr>
        <w:t xml:space="preserve"> in all areas of Cyprus. </w:t>
      </w:r>
      <w:r w:rsidRPr="001B24AE">
        <w:rPr>
          <w:szCs w:val="24"/>
        </w:rPr>
        <w:t>An additional effort to alter the landscape is the systematic changing of the names of places, streets and villages in the north. Some argue that such changes are part of a nationalistic campaign of ethnic cleansing against Greek Cypriots.</w:t>
      </w:r>
      <w:r w:rsidRPr="001B24AE" w:rsidDel="00B3717F">
        <w:rPr>
          <w:szCs w:val="24"/>
        </w:rPr>
        <w:t xml:space="preserve"> </w:t>
      </w:r>
    </w:p>
    <w:p w:rsidR="00662584" w:rsidRPr="001B24AE" w:rsidRDefault="00662584" w:rsidP="00662584">
      <w:pPr>
        <w:pStyle w:val="SingleTxtG"/>
        <w:rPr>
          <w:szCs w:val="24"/>
        </w:rPr>
      </w:pPr>
      <w:r w:rsidRPr="001B24AE">
        <w:rPr>
          <w:szCs w:val="24"/>
        </w:rPr>
        <w:lastRenderedPageBreak/>
        <w:t>47.</w:t>
      </w:r>
      <w:r w:rsidRPr="001B24AE">
        <w:rPr>
          <w:szCs w:val="24"/>
        </w:rPr>
        <w:tab/>
        <w:t>The Special Rapporteur is concerned about what she considers a serious effort to destroy intangible cultural heritage, in the sense that the new names do not reflect the complexity and history of the territory and seek to erase part of the past.</w:t>
      </w:r>
      <w:r w:rsidRPr="001B24AE">
        <w:rPr>
          <w:rStyle w:val="a8"/>
        </w:rPr>
        <w:footnoteReference w:id="15"/>
      </w:r>
      <w:r w:rsidRPr="001B24AE">
        <w:rPr>
          <w:szCs w:val="24"/>
        </w:rPr>
        <w:t xml:space="preserve"> Most Greek Cypriots and many Turkish Cypriots reportedly reject the use of the new names in practice. </w:t>
      </w:r>
    </w:p>
    <w:p w:rsidR="00662584" w:rsidRPr="001B24AE" w:rsidRDefault="00662584" w:rsidP="00662584">
      <w:pPr>
        <w:pStyle w:val="SingleTxtG"/>
        <w:rPr>
          <w:szCs w:val="24"/>
        </w:rPr>
      </w:pPr>
      <w:r w:rsidRPr="001B24AE">
        <w:rPr>
          <w:szCs w:val="24"/>
        </w:rPr>
        <w:t>48.</w:t>
      </w:r>
      <w:r w:rsidRPr="001B24AE">
        <w:rPr>
          <w:szCs w:val="24"/>
        </w:rPr>
        <w:tab/>
        <w:t xml:space="preserve">The Special Rapporteur also expresses concern, however, about the human rights implications of some aspects of the 2013 Law on the Procedure for Standardization of Geographical Names of the Republic of Cyprus, which </w:t>
      </w:r>
      <w:proofErr w:type="gramStart"/>
      <w:r w:rsidRPr="001B24AE">
        <w:rPr>
          <w:szCs w:val="24"/>
        </w:rPr>
        <w:t>criminalize</w:t>
      </w:r>
      <w:proofErr w:type="gramEnd"/>
      <w:r w:rsidRPr="001B24AE">
        <w:rPr>
          <w:szCs w:val="24"/>
        </w:rPr>
        <w:t xml:space="preserve"> the publication and circulation of material containing place names that are different from those specified in official documents. The law provides for imprisonment and fines, and all related documents are liable to seizure and destruction. Such provision is</w:t>
      </w:r>
      <w:r w:rsidRPr="001B24AE">
        <w:rPr>
          <w:szCs w:val="24"/>
          <w:lang w:bidi="he-IL"/>
        </w:rPr>
        <w:t xml:space="preserve"> incompatible with</w:t>
      </w:r>
      <w:r w:rsidRPr="001B24AE">
        <w:rPr>
          <w:szCs w:val="24"/>
        </w:rPr>
        <w:t xml:space="preserve"> the right to freedom of expression, as found by the Human Rights Committee (see CCPR/C/CYP/CO/4, para. 21). It also unduly impedes the work of cultural heritage professionals. </w:t>
      </w:r>
    </w:p>
    <w:p w:rsidR="00662584" w:rsidRPr="001B24AE" w:rsidRDefault="00662584" w:rsidP="00662584">
      <w:pPr>
        <w:pStyle w:val="SingleTxtG"/>
        <w:rPr>
          <w:szCs w:val="24"/>
        </w:rPr>
      </w:pPr>
      <w:r w:rsidRPr="001B24AE">
        <w:rPr>
          <w:szCs w:val="24"/>
        </w:rPr>
        <w:t>49.</w:t>
      </w:r>
      <w:r w:rsidRPr="001B24AE">
        <w:rPr>
          <w:szCs w:val="24"/>
        </w:rPr>
        <w:tab/>
        <w:t>The Special Rapporteur also notes the allegation that some former Turkish Cypriot villages that have been destroyed are no longer on the map used in the south.</w:t>
      </w:r>
      <w:r w:rsidRPr="001B24AE">
        <w:rPr>
          <w:rStyle w:val="a8"/>
        </w:rPr>
        <w:footnoteReference w:id="16"/>
      </w:r>
    </w:p>
    <w:p w:rsidR="00662584" w:rsidRPr="001B24AE" w:rsidRDefault="00662584" w:rsidP="009316A0">
      <w:pPr>
        <w:pStyle w:val="H23G"/>
        <w:rPr>
          <w:i/>
        </w:rPr>
      </w:pPr>
      <w:r w:rsidRPr="001B24AE">
        <w:tab/>
        <w:t>(d)</w:t>
      </w:r>
      <w:r w:rsidRPr="001B24AE">
        <w:tab/>
        <w:t>Ongoing neglect, destruction and attacks on cultural heritage</w:t>
      </w:r>
    </w:p>
    <w:p w:rsidR="00662584" w:rsidRPr="001B24AE" w:rsidRDefault="00662584" w:rsidP="00662584">
      <w:pPr>
        <w:pStyle w:val="SingleTxtG"/>
        <w:rPr>
          <w:szCs w:val="24"/>
        </w:rPr>
      </w:pPr>
      <w:r w:rsidRPr="001B24AE">
        <w:rPr>
          <w:szCs w:val="24"/>
        </w:rPr>
        <w:t>50.</w:t>
      </w:r>
      <w:r w:rsidRPr="001B24AE">
        <w:rPr>
          <w:szCs w:val="24"/>
        </w:rPr>
        <w:tab/>
        <w:t>Destruction of cultural heritage in Cyprus continues today in the form not only of attacks, but also misuse and neglect. Putting an end to such violations is a necessary step towards reconciliation.</w:t>
      </w:r>
    </w:p>
    <w:p w:rsidR="00662584" w:rsidRPr="001B24AE" w:rsidRDefault="00662584" w:rsidP="009316A0">
      <w:pPr>
        <w:pStyle w:val="H4G"/>
      </w:pPr>
      <w:r w:rsidRPr="001B24AE">
        <w:tab/>
      </w:r>
      <w:r w:rsidRPr="001B24AE">
        <w:tab/>
        <w:t>In the south</w:t>
      </w:r>
    </w:p>
    <w:p w:rsidR="00662584" w:rsidRPr="001B24AE" w:rsidRDefault="00662584" w:rsidP="00662584">
      <w:pPr>
        <w:pStyle w:val="SingleTxtG"/>
        <w:rPr>
          <w:szCs w:val="24"/>
        </w:rPr>
      </w:pPr>
      <w:r w:rsidRPr="001B24AE">
        <w:rPr>
          <w:szCs w:val="24"/>
        </w:rPr>
        <w:t>51.</w:t>
      </w:r>
      <w:r w:rsidRPr="001B24AE">
        <w:rPr>
          <w:szCs w:val="24"/>
        </w:rPr>
        <w:tab/>
        <w:t xml:space="preserve">The Special Rapporteur visited the Deneia/Denya mosque, an eighteenth-century traditional Turkish Cypriot mosque located near Nicosia. The mosque, damaged during the 1963 armed clashes, </w:t>
      </w:r>
      <w:r w:rsidRPr="001B24AE">
        <w:rPr>
          <w:szCs w:val="24"/>
          <w:lang w:eastAsia="en-GB"/>
        </w:rPr>
        <w:t xml:space="preserve">was the first site to benefit from emergency measures of restoration conducted under the auspices of the Technical Committee on Cultural Heritage. The mosque stands as a symbol. It is not used any more, as the Turkish Cypriots have been displaced, but is cherished by the local authorities and population as a remembrance of the mixed population that once inhabited the village and as a signal that former neighbours would be welcome to return. Turkish Cypriots come and visit the place two or three times a year, in particular for the annual village celebration, which offers opportunities for mutual exchange and interaction. </w:t>
      </w:r>
    </w:p>
    <w:p w:rsidR="00662584" w:rsidRPr="001B24AE" w:rsidRDefault="00662584" w:rsidP="00662584">
      <w:pPr>
        <w:pStyle w:val="SingleTxtG"/>
        <w:rPr>
          <w:szCs w:val="24"/>
        </w:rPr>
      </w:pPr>
      <w:r w:rsidRPr="001B24AE">
        <w:rPr>
          <w:szCs w:val="24"/>
          <w:lang w:eastAsia="en-GB"/>
        </w:rPr>
        <w:t>52.</w:t>
      </w:r>
      <w:r w:rsidRPr="001B24AE">
        <w:rPr>
          <w:szCs w:val="24"/>
          <w:lang w:eastAsia="en-GB"/>
        </w:rPr>
        <w:tab/>
        <w:t>However, the mosque underwent three recent attacks in 2012, 2013 and again in February 2016, when an arson attack damaged its wooden roof and the books it contained, including Qur</w:t>
      </w:r>
      <w:r w:rsidR="001B24AE">
        <w:rPr>
          <w:szCs w:val="24"/>
          <w:lang w:eastAsia="en-GB"/>
        </w:rPr>
        <w:t>’</w:t>
      </w:r>
      <w:r w:rsidRPr="001B24AE">
        <w:rPr>
          <w:szCs w:val="24"/>
          <w:lang w:eastAsia="en-GB"/>
        </w:rPr>
        <w:t xml:space="preserve">ans, an act which was </w:t>
      </w:r>
      <w:r w:rsidRPr="001B24AE">
        <w:rPr>
          <w:szCs w:val="24"/>
        </w:rPr>
        <w:t xml:space="preserve">widely condemned, including at the highest level by the two leaders, as well as the Archbishop of the Church of Cyprus and the Grand Mufti. The Special Rapporteur appreciates that repairs have been carried out expeditiously with government funds. However, while the young perpetrators of the first attack were sentenced to community service, the perpetrators of the latest ones have not been identified. In 2012, arsonists also set fire to the Köprülü Haci Ibrahim Aga mosque in Limassol, an attack that was also condemned by the Government and religious leaders. </w:t>
      </w:r>
    </w:p>
    <w:p w:rsidR="00662584" w:rsidRPr="001B24AE" w:rsidRDefault="00662584" w:rsidP="00662584">
      <w:pPr>
        <w:pStyle w:val="SingleTxtG"/>
        <w:rPr>
          <w:szCs w:val="24"/>
        </w:rPr>
      </w:pPr>
      <w:r w:rsidRPr="001B24AE">
        <w:rPr>
          <w:szCs w:val="24"/>
        </w:rPr>
        <w:t>53.</w:t>
      </w:r>
      <w:r w:rsidRPr="001B24AE">
        <w:rPr>
          <w:szCs w:val="24"/>
        </w:rPr>
        <w:tab/>
        <w:t>While she was pleased to hear that government funds are allocated annually to restore and maintain mosques and other Turkish Cypriot sites, the Special Rapporteur also received documentation regarding Turkish Cypriot villages destroyed during the years of conflict and left abandoned. Some mosques, minarets, graveyards, community centres and schools are reportedly now neglected, resulting in further damage. In some cases, mosques are reportedly used as barns and graveyards turned into grazing land for animals.</w:t>
      </w:r>
      <w:r w:rsidRPr="001B24AE">
        <w:rPr>
          <w:rStyle w:val="a8"/>
        </w:rPr>
        <w:footnoteReference w:id="17"/>
      </w:r>
      <w:r w:rsidRPr="001B24AE">
        <w:rPr>
          <w:szCs w:val="24"/>
        </w:rPr>
        <w:t xml:space="preserve"> </w:t>
      </w:r>
    </w:p>
    <w:p w:rsidR="00662584" w:rsidRPr="001B24AE" w:rsidRDefault="00662584" w:rsidP="009316A0">
      <w:pPr>
        <w:pStyle w:val="H4G"/>
      </w:pPr>
      <w:r w:rsidRPr="001B24AE">
        <w:lastRenderedPageBreak/>
        <w:tab/>
      </w:r>
      <w:r w:rsidRPr="001B24AE">
        <w:tab/>
        <w:t>In the north</w:t>
      </w:r>
    </w:p>
    <w:p w:rsidR="00662584" w:rsidRPr="001B24AE" w:rsidRDefault="00662584" w:rsidP="00662584">
      <w:pPr>
        <w:pStyle w:val="SingleTxtG"/>
        <w:rPr>
          <w:szCs w:val="24"/>
        </w:rPr>
      </w:pPr>
      <w:r w:rsidRPr="001B24AE">
        <w:rPr>
          <w:szCs w:val="24"/>
        </w:rPr>
        <w:t>54.</w:t>
      </w:r>
      <w:r w:rsidRPr="001B24AE">
        <w:rPr>
          <w:szCs w:val="24"/>
        </w:rPr>
        <w:tab/>
        <w:t xml:space="preserve">The Special Rapporteur received extensive documentation and testimonies about churches, monasteries, cemeteries and archaeological sites that continue to deteriorate. She visited the Agia Marina church, a small Orthodox church situated in Yialousa/Yeni Erenköy. The church, reportedly like many others in the north, is in a very bad state, with a fragile structure. Once looted, it is now full of rubbish and pigeon droppings and left neglected. </w:t>
      </w:r>
    </w:p>
    <w:p w:rsidR="00662584" w:rsidRPr="001B24AE" w:rsidRDefault="00662584" w:rsidP="00662584">
      <w:pPr>
        <w:pStyle w:val="SingleTxtG"/>
        <w:rPr>
          <w:szCs w:val="24"/>
        </w:rPr>
      </w:pPr>
      <w:r w:rsidRPr="001B24AE">
        <w:rPr>
          <w:szCs w:val="24"/>
        </w:rPr>
        <w:t>55.</w:t>
      </w:r>
      <w:r w:rsidRPr="001B24AE">
        <w:rPr>
          <w:szCs w:val="24"/>
        </w:rPr>
        <w:tab/>
        <w:t xml:space="preserve">The Special Rapporteur also heard concerns expressed by Armenian representatives about, in particular, the state of the Sourp Magar (Magavarank) monastery, dating from the tenth century, which has been left to deteriorate. Some keystones and roof tiles of the building have allegedly been removed intentionally to cause and accelerate the collapse of the building. Concerns were also expressed about, inter alia, the Armenian church in Famagusta/Gazimağusa, which the community cannot access to and take care of, as well as the convent in the Arabahmet church complex, which has not been restored and is home to hundreds of pigeons (although its structure is physically supported to prevent collapse). </w:t>
      </w:r>
    </w:p>
    <w:p w:rsidR="00662584" w:rsidRPr="001B24AE" w:rsidRDefault="00662584" w:rsidP="00662584">
      <w:pPr>
        <w:pStyle w:val="SingleTxtG"/>
        <w:rPr>
          <w:szCs w:val="24"/>
        </w:rPr>
      </w:pPr>
      <w:r w:rsidRPr="001B24AE">
        <w:rPr>
          <w:szCs w:val="24"/>
        </w:rPr>
        <w:t>56.</w:t>
      </w:r>
      <w:r w:rsidRPr="001B24AE">
        <w:rPr>
          <w:szCs w:val="24"/>
        </w:rPr>
        <w:tab/>
        <w:t xml:space="preserve">Many stakeholders expressed concern about the inappropriate use of a number of churches, in particular Orthodox churches, turned, for example, into barns. Such uses not only accelerate the deterioration of the buildings, but are also particularly inappropriate for venues considered sacred by others. The Armenian community also regrets that the Armenian Evangelical church in Nicosia was turned into a bank and then a music school and </w:t>
      </w:r>
      <w:proofErr w:type="gramStart"/>
      <w:r w:rsidRPr="001B24AE">
        <w:rPr>
          <w:szCs w:val="24"/>
        </w:rPr>
        <w:t>that</w:t>
      </w:r>
      <w:proofErr w:type="gramEnd"/>
      <w:r w:rsidRPr="001B24AE">
        <w:rPr>
          <w:szCs w:val="24"/>
        </w:rPr>
        <w:t xml:space="preserve"> two schools of the Arabahmet church complex have been turned into universities, with no mention of their original use. The Special Rapporteur also notes the comments made by cultural heritage professionals and some members of religious groups that in some cases respectful use is, in fact, important in maintaining the buildings. </w:t>
      </w:r>
    </w:p>
    <w:p w:rsidR="00662584" w:rsidRPr="001B24AE" w:rsidRDefault="00662584" w:rsidP="00662584">
      <w:pPr>
        <w:pStyle w:val="SingleTxtG"/>
        <w:rPr>
          <w:szCs w:val="24"/>
        </w:rPr>
      </w:pPr>
      <w:r w:rsidRPr="001B24AE">
        <w:rPr>
          <w:szCs w:val="24"/>
        </w:rPr>
        <w:t>57.</w:t>
      </w:r>
      <w:r w:rsidRPr="001B24AE">
        <w:rPr>
          <w:szCs w:val="24"/>
        </w:rPr>
        <w:tab/>
        <w:t>The Special Rapporteur is encouraged by the fact that she also met people in the north, from all backgrounds, who care deeply for cultural heritage, including that of others and of those who had left, for example in the walled city of Famagusta/Gazimağusa.</w:t>
      </w:r>
    </w:p>
    <w:p w:rsidR="00662584" w:rsidRPr="001B24AE" w:rsidRDefault="00662584" w:rsidP="009316A0">
      <w:pPr>
        <w:pStyle w:val="H23G"/>
      </w:pPr>
      <w:r w:rsidRPr="001B24AE">
        <w:tab/>
        <w:t>2.</w:t>
      </w:r>
      <w:r w:rsidRPr="001B24AE">
        <w:tab/>
        <w:t xml:space="preserve">Enhancing the human rights approach to cultural heritage </w:t>
      </w:r>
    </w:p>
    <w:p w:rsidR="00662584" w:rsidRPr="001B24AE" w:rsidRDefault="00662584" w:rsidP="00662584">
      <w:pPr>
        <w:pStyle w:val="SingleTxtG"/>
        <w:rPr>
          <w:szCs w:val="24"/>
        </w:rPr>
      </w:pPr>
      <w:r w:rsidRPr="001B24AE">
        <w:rPr>
          <w:szCs w:val="24"/>
        </w:rPr>
        <w:t>58.</w:t>
      </w:r>
      <w:r w:rsidRPr="001B24AE">
        <w:rPr>
          <w:szCs w:val="24"/>
        </w:rPr>
        <w:tab/>
        <w:t xml:space="preserve">A human rights approach to cultural heritage focuses on the relationships between people and heritage, as well as on the prevention of destruction, education about the importance of the heritage of all and full support for cultural heritage defenders. </w:t>
      </w:r>
    </w:p>
    <w:p w:rsidR="00662584" w:rsidRPr="001B24AE" w:rsidRDefault="00662584" w:rsidP="009316A0">
      <w:pPr>
        <w:pStyle w:val="H23G"/>
        <w:rPr>
          <w:i/>
        </w:rPr>
      </w:pPr>
      <w:r w:rsidRPr="001B24AE">
        <w:tab/>
        <w:t>(a)</w:t>
      </w:r>
      <w:r w:rsidRPr="001B24AE">
        <w:tab/>
        <w:t>The restoration programme as a path toward reconciliation</w:t>
      </w:r>
    </w:p>
    <w:p w:rsidR="00662584" w:rsidRPr="001B24AE" w:rsidRDefault="00662584" w:rsidP="00662584">
      <w:pPr>
        <w:pStyle w:val="SingleTxtG"/>
        <w:rPr>
          <w:szCs w:val="24"/>
        </w:rPr>
      </w:pPr>
      <w:r w:rsidRPr="001B24AE">
        <w:rPr>
          <w:szCs w:val="24"/>
          <w:lang w:eastAsia="en-GB"/>
        </w:rPr>
        <w:t>59.</w:t>
      </w:r>
      <w:r w:rsidRPr="001B24AE">
        <w:rPr>
          <w:szCs w:val="24"/>
          <w:lang w:eastAsia="en-GB"/>
        </w:rPr>
        <w:tab/>
        <w:t>The 2008 agreement between Greek Cypriots and Turkish Cypriots under the auspices</w:t>
      </w:r>
      <w:r w:rsidRPr="001B24AE">
        <w:rPr>
          <w:szCs w:val="24"/>
        </w:rPr>
        <w:t xml:space="preserve"> </w:t>
      </w:r>
      <w:r w:rsidRPr="001B24AE">
        <w:rPr>
          <w:szCs w:val="24"/>
          <w:lang w:eastAsia="en-GB"/>
        </w:rPr>
        <w:t xml:space="preserve">of the United Nations paved the way for the establishment of </w:t>
      </w:r>
      <w:r w:rsidRPr="001B24AE">
        <w:rPr>
          <w:bCs/>
          <w:szCs w:val="24"/>
          <w:lang w:eastAsia="en-GB"/>
        </w:rPr>
        <w:t>the Technical Committee on</w:t>
      </w:r>
      <w:r w:rsidRPr="001B24AE">
        <w:rPr>
          <w:szCs w:val="24"/>
        </w:rPr>
        <w:t xml:space="preserve"> </w:t>
      </w:r>
      <w:r w:rsidRPr="001B24AE">
        <w:rPr>
          <w:bCs/>
          <w:szCs w:val="24"/>
          <w:lang w:eastAsia="en-GB"/>
        </w:rPr>
        <w:t xml:space="preserve">Cultural Heritage. </w:t>
      </w:r>
      <w:r w:rsidRPr="001B24AE">
        <w:rPr>
          <w:szCs w:val="24"/>
          <w:lang w:eastAsia="en-GB"/>
        </w:rPr>
        <w:t xml:space="preserve">The Committee works to provide a mutually acceptable mechanism for the proper preservation, physical protection and restoration of the diverse immovable cultural heritage of Cyprus. </w:t>
      </w:r>
      <w:r w:rsidRPr="001B24AE">
        <w:rPr>
          <w:bCs/>
          <w:szCs w:val="24"/>
          <w:lang w:eastAsia="en-GB"/>
        </w:rPr>
        <w:t>It promotes and applies a holistic and bicommunal approach when selecting the monuments to be protected. In doing so, it complements the regular work conducted by the authorities.</w:t>
      </w:r>
    </w:p>
    <w:p w:rsidR="00662584" w:rsidRPr="001B24AE" w:rsidRDefault="00662584" w:rsidP="00662584">
      <w:pPr>
        <w:pStyle w:val="SingleTxtG"/>
        <w:rPr>
          <w:szCs w:val="24"/>
        </w:rPr>
      </w:pPr>
      <w:r w:rsidRPr="001B24AE">
        <w:rPr>
          <w:szCs w:val="24"/>
        </w:rPr>
        <w:t>60.</w:t>
      </w:r>
      <w:r w:rsidRPr="001B24AE">
        <w:rPr>
          <w:szCs w:val="24"/>
        </w:rPr>
        <w:tab/>
        <w:t>The Special Rapporteur welcomes such an initiative, which is necessary to pave the way to reconciliation. She salutes the work undertaken so far with the support of the European Union and UNDP. She further appreciates that the mandate of the Technical Committee includes the development of respect for cultural heritage through educational programmes</w:t>
      </w:r>
      <w:r w:rsidRPr="001B24AE">
        <w:rPr>
          <w:szCs w:val="24"/>
          <w:lang w:eastAsia="en-GB"/>
        </w:rPr>
        <w:t xml:space="preserve">. That is crucial, as </w:t>
      </w:r>
      <w:r w:rsidRPr="001B24AE">
        <w:rPr>
          <w:szCs w:val="24"/>
        </w:rPr>
        <w:t xml:space="preserve">the younger generations have not experienced past social interactions, are used to the status quo and are reportedly exposed to narratives of mistrust of others, including through the educational system. </w:t>
      </w:r>
    </w:p>
    <w:p w:rsidR="00662584" w:rsidRPr="001B24AE" w:rsidRDefault="00662584" w:rsidP="00662584">
      <w:pPr>
        <w:pStyle w:val="SingleTxtG"/>
        <w:rPr>
          <w:szCs w:val="24"/>
        </w:rPr>
      </w:pPr>
      <w:r w:rsidRPr="001B24AE">
        <w:rPr>
          <w:szCs w:val="24"/>
        </w:rPr>
        <w:t>61.</w:t>
      </w:r>
      <w:r w:rsidRPr="001B24AE">
        <w:rPr>
          <w:szCs w:val="24"/>
        </w:rPr>
        <w:tab/>
        <w:t xml:space="preserve">Cultural heritage professionals, including the Technical Committee on Cultural Heritage, need full political and financial support to complete their work. The Special Rapporteur was concerned that one Greek Cypriot member of this Technical Committee had reportedly been labelled a Turk in a political cartoon in the media because of his work. Similarly, a Turkish Cypriot member said he had been called a Greek. </w:t>
      </w:r>
    </w:p>
    <w:p w:rsidR="00662584" w:rsidRPr="001B24AE" w:rsidRDefault="00662584" w:rsidP="009316A0">
      <w:pPr>
        <w:pStyle w:val="H23G"/>
        <w:rPr>
          <w:i/>
        </w:rPr>
      </w:pPr>
      <w:r w:rsidRPr="001B24AE">
        <w:lastRenderedPageBreak/>
        <w:tab/>
        <w:t>(b)</w:t>
      </w:r>
      <w:r w:rsidRPr="001B24AE">
        <w:tab/>
        <w:t xml:space="preserve">Recognizing the diversity of narratives about and relationships with cultural heritage </w:t>
      </w:r>
    </w:p>
    <w:p w:rsidR="00662584" w:rsidRPr="001B24AE" w:rsidRDefault="00662584" w:rsidP="00662584">
      <w:pPr>
        <w:pStyle w:val="SingleTxtG"/>
        <w:rPr>
          <w:szCs w:val="24"/>
        </w:rPr>
      </w:pPr>
      <w:r w:rsidRPr="001B24AE">
        <w:rPr>
          <w:szCs w:val="24"/>
        </w:rPr>
        <w:t>62.</w:t>
      </w:r>
      <w:r w:rsidRPr="001B24AE">
        <w:rPr>
          <w:szCs w:val="24"/>
        </w:rPr>
        <w:tab/>
        <w:t>Cultural rights require recognizing the values, identities and relationships with the cultural heritage of all, including through narratives, uses and social practices. Thus, the work undertaken should not only be about restoring buildings, but about allowing social interaction, sharing and acknowledging different histories and memories, caring for each other</w:t>
      </w:r>
      <w:r w:rsidR="001B24AE">
        <w:rPr>
          <w:szCs w:val="24"/>
        </w:rPr>
        <w:t>’</w:t>
      </w:r>
      <w:r w:rsidRPr="001B24AE">
        <w:rPr>
          <w:szCs w:val="24"/>
        </w:rPr>
        <w:t xml:space="preserve">s cultural heritage as part of a common heritage and indeed recognizing the commonality of that heritage. </w:t>
      </w:r>
    </w:p>
    <w:p w:rsidR="00662584" w:rsidRPr="001B24AE" w:rsidRDefault="00662584" w:rsidP="00662584">
      <w:pPr>
        <w:pStyle w:val="SingleTxtG"/>
        <w:rPr>
          <w:szCs w:val="24"/>
        </w:rPr>
      </w:pPr>
      <w:r w:rsidRPr="001B24AE">
        <w:rPr>
          <w:szCs w:val="24"/>
        </w:rPr>
        <w:t>63.</w:t>
      </w:r>
      <w:r w:rsidRPr="001B24AE">
        <w:rPr>
          <w:szCs w:val="24"/>
        </w:rPr>
        <w:tab/>
        <w:t xml:space="preserve">Controversy always arises about the meaning of cultural heritage, both tangible and intangible. While particular aspects of heritage have special resonance for and connections with specific groups within Cypriot society, it is critical to enhance the notion of the heritage of Cyprus as a whole, or cultural heritage as a shared common good important for all. It is also a key part of the cultural heritage of all humankind. The challenge before Cypriots is to equally embrace the heritage of </w:t>
      </w:r>
      <w:r w:rsidR="001B24AE">
        <w:rPr>
          <w:szCs w:val="24"/>
        </w:rPr>
        <w:t>“</w:t>
      </w:r>
      <w:r w:rsidRPr="001B24AE">
        <w:rPr>
          <w:szCs w:val="24"/>
        </w:rPr>
        <w:t>the other</w:t>
      </w:r>
      <w:r w:rsidR="001B24AE">
        <w:rPr>
          <w:szCs w:val="24"/>
        </w:rPr>
        <w:t>”</w:t>
      </w:r>
      <w:r w:rsidRPr="001B24AE">
        <w:rPr>
          <w:szCs w:val="24"/>
        </w:rPr>
        <w:t>.</w:t>
      </w:r>
    </w:p>
    <w:p w:rsidR="00662584" w:rsidRPr="001B24AE" w:rsidRDefault="00662584" w:rsidP="00662584">
      <w:pPr>
        <w:pStyle w:val="SingleTxtG"/>
        <w:rPr>
          <w:szCs w:val="24"/>
        </w:rPr>
      </w:pPr>
      <w:r w:rsidRPr="001B24AE">
        <w:rPr>
          <w:szCs w:val="24"/>
        </w:rPr>
        <w:t>64.</w:t>
      </w:r>
      <w:r w:rsidRPr="001B24AE">
        <w:rPr>
          <w:szCs w:val="24"/>
        </w:rPr>
        <w:tab/>
        <w:t>That spirit already exists in part, as mentioned above, for example in Deneia/Denya and Famagusta/Gazimağusa, where people have organized to care for the cultural heritage of others, which they also consider to be theirs. Some Muslim and Christian religious leaders are courageously taking part in the religious services of others. The Special Rapporteur also acknowledges the approach adopted by the Department of Antiquities to conserve / restore ancient monuments, irrespective of their specific links with specific groups. She also notes the assurances provided by the Turkish Cypriot authorities that they regard cultural heritage, regardless of its origin, as part of a common heritage for all.</w:t>
      </w:r>
    </w:p>
    <w:p w:rsidR="00662584" w:rsidRPr="001B24AE" w:rsidRDefault="00662584" w:rsidP="00662584">
      <w:pPr>
        <w:pStyle w:val="SingleTxtG"/>
        <w:rPr>
          <w:szCs w:val="24"/>
        </w:rPr>
      </w:pPr>
      <w:r w:rsidRPr="001B24AE">
        <w:rPr>
          <w:szCs w:val="24"/>
        </w:rPr>
        <w:t>65.</w:t>
      </w:r>
      <w:r w:rsidRPr="001B24AE">
        <w:rPr>
          <w:szCs w:val="24"/>
        </w:rPr>
        <w:tab/>
        <w:t xml:space="preserve">In addition, heritage is often a greater reflection of integration of diverse groups than is commonly acknowledged. Relationships with heritage are syncretic, with some churches, such as Apostolos Andreas in the Karpaz peninsula, being not only Christian or Greek Cypriot sites with deep resonance, but also places where Muslim Turkish Cypriots have also come to light candles over many years. Similarly, the Hala Sultan Tekke mosque in Larnaca is not only sacred for Muslims, but contains a tomb where Christians have reportedly prayed to overcome infertility for many years. The Agia Marina/Gürpinar Maronite church situated in the military controlled area includes within its structure an apse where Muslims prayed for many years when they did not have a mosque. </w:t>
      </w:r>
    </w:p>
    <w:p w:rsidR="00662584" w:rsidRPr="001B24AE" w:rsidRDefault="00662584" w:rsidP="00662584">
      <w:pPr>
        <w:pStyle w:val="SingleTxtG"/>
        <w:rPr>
          <w:szCs w:val="24"/>
        </w:rPr>
      </w:pPr>
      <w:r w:rsidRPr="001B24AE">
        <w:rPr>
          <w:szCs w:val="24"/>
        </w:rPr>
        <w:t>66.</w:t>
      </w:r>
      <w:r w:rsidRPr="001B24AE">
        <w:rPr>
          <w:szCs w:val="24"/>
        </w:rPr>
        <w:tab/>
        <w:t>The Special Rapporteur visited the Apostolos Andreas monastery, one of the most important Orthodox monuments in Cyprus. An ongoing project aims to restore the site to the closest possible recollection of people who used to visit it. The Special Rapporteur particularly appreciates the joint venture in place, with a mix of Turkish Cypriot and Greek Cypriot architects, engineers and workers. That is a good practice to promote and replicate.</w:t>
      </w:r>
    </w:p>
    <w:p w:rsidR="00662584" w:rsidRPr="001B24AE" w:rsidRDefault="00662584" w:rsidP="00662584">
      <w:pPr>
        <w:pStyle w:val="SingleTxtG"/>
        <w:rPr>
          <w:szCs w:val="24"/>
        </w:rPr>
      </w:pPr>
      <w:r w:rsidRPr="001B24AE">
        <w:rPr>
          <w:szCs w:val="24"/>
        </w:rPr>
        <w:t>67.</w:t>
      </w:r>
      <w:r w:rsidRPr="001B24AE">
        <w:rPr>
          <w:szCs w:val="24"/>
        </w:rPr>
        <w:tab/>
        <w:t xml:space="preserve">Recognizing the diversity of narratives over and relationships to cultural heritage implies ensuring adequate on-site information. However, some sites afford only incomplete or selective information. </w:t>
      </w:r>
    </w:p>
    <w:p w:rsidR="00662584" w:rsidRPr="001B24AE" w:rsidRDefault="00662584" w:rsidP="00662584">
      <w:pPr>
        <w:pStyle w:val="SingleTxtG"/>
        <w:rPr>
          <w:szCs w:val="24"/>
        </w:rPr>
      </w:pPr>
      <w:r w:rsidRPr="001B24AE">
        <w:rPr>
          <w:szCs w:val="24"/>
        </w:rPr>
        <w:t>68.</w:t>
      </w:r>
      <w:r w:rsidRPr="001B24AE">
        <w:rPr>
          <w:szCs w:val="24"/>
        </w:rPr>
        <w:tab/>
        <w:t xml:space="preserve">Another way in which these diversities need to be recognized is through the regular use of multiple languages, the promotion and funding of language teaching and multilingual media, and the use and availability of both Greek and Turkish in all official contexts, as well as in cultural heritage sites. The language barrier was described to the Special Rapporteur as </w:t>
      </w:r>
      <w:r w:rsidR="001B24AE">
        <w:rPr>
          <w:szCs w:val="24"/>
        </w:rPr>
        <w:t>“</w:t>
      </w:r>
      <w:r w:rsidRPr="001B24AE">
        <w:rPr>
          <w:szCs w:val="24"/>
        </w:rPr>
        <w:t>a huge inhibiting factor for cultural relations.</w:t>
      </w:r>
      <w:r w:rsidR="001B24AE">
        <w:rPr>
          <w:szCs w:val="24"/>
        </w:rPr>
        <w:t>”</w:t>
      </w:r>
      <w:r w:rsidRPr="001B24AE">
        <w:rPr>
          <w:szCs w:val="24"/>
        </w:rPr>
        <w:t xml:space="preserve"> </w:t>
      </w:r>
    </w:p>
    <w:p w:rsidR="00662584" w:rsidRPr="001B24AE" w:rsidRDefault="00662584" w:rsidP="00662584">
      <w:pPr>
        <w:pStyle w:val="SingleTxtG"/>
        <w:rPr>
          <w:szCs w:val="24"/>
        </w:rPr>
      </w:pPr>
      <w:r w:rsidRPr="001B24AE">
        <w:rPr>
          <w:szCs w:val="24"/>
        </w:rPr>
        <w:t>69.</w:t>
      </w:r>
      <w:r w:rsidRPr="001B24AE">
        <w:rPr>
          <w:szCs w:val="24"/>
        </w:rPr>
        <w:tab/>
        <w:t>The Special Rapporteur is grateful to officials on both sides of the island seeking to overcome this barrier. She was very pleased to learn of a project in the south to translate Turkish Cypriot authors into Greek, and Greek Cypriot authors into Turkish and publish their works together, which is a positive model.</w:t>
      </w:r>
    </w:p>
    <w:p w:rsidR="00662584" w:rsidRPr="001B24AE" w:rsidRDefault="00662584" w:rsidP="009316A0">
      <w:pPr>
        <w:pStyle w:val="H23G"/>
        <w:rPr>
          <w:i/>
        </w:rPr>
      </w:pPr>
      <w:r w:rsidRPr="001B24AE">
        <w:tab/>
        <w:t>(c)</w:t>
      </w:r>
      <w:r w:rsidRPr="001B24AE">
        <w:tab/>
        <w:t>Adequately consulting people</w:t>
      </w:r>
    </w:p>
    <w:p w:rsidR="00662584" w:rsidRPr="001B24AE" w:rsidRDefault="00662584" w:rsidP="00662584">
      <w:pPr>
        <w:pStyle w:val="SingleTxtG"/>
        <w:rPr>
          <w:szCs w:val="24"/>
        </w:rPr>
      </w:pPr>
      <w:r w:rsidRPr="001B24AE">
        <w:rPr>
          <w:szCs w:val="24"/>
        </w:rPr>
        <w:t>70.</w:t>
      </w:r>
      <w:r w:rsidRPr="001B24AE">
        <w:rPr>
          <w:szCs w:val="24"/>
        </w:rPr>
        <w:tab/>
        <w:t xml:space="preserve">Across the island, there is a lack of consultation regarding the meaning of sites, their restoration and future use. That is to be contrasted with the laudable efforts of some civil society groups, such as the Cyprus Institute, which tries to engender what it calls </w:t>
      </w:r>
      <w:r w:rsidR="001B24AE">
        <w:rPr>
          <w:szCs w:val="24"/>
        </w:rPr>
        <w:t>“</w:t>
      </w:r>
      <w:r w:rsidRPr="001B24AE">
        <w:rPr>
          <w:szCs w:val="24"/>
        </w:rPr>
        <w:t>community participation</w:t>
      </w:r>
      <w:r w:rsidR="001B24AE">
        <w:rPr>
          <w:szCs w:val="24"/>
        </w:rPr>
        <w:t>”</w:t>
      </w:r>
      <w:r w:rsidRPr="001B24AE">
        <w:rPr>
          <w:szCs w:val="24"/>
        </w:rPr>
        <w:t xml:space="preserve"> in processes of regeneration of cultural heritage.</w:t>
      </w:r>
    </w:p>
    <w:p w:rsidR="00662584" w:rsidRPr="001B24AE" w:rsidRDefault="00662584" w:rsidP="00662584">
      <w:pPr>
        <w:pStyle w:val="SingleTxtG"/>
        <w:rPr>
          <w:szCs w:val="24"/>
        </w:rPr>
      </w:pPr>
      <w:r w:rsidRPr="001B24AE">
        <w:rPr>
          <w:szCs w:val="24"/>
        </w:rPr>
        <w:lastRenderedPageBreak/>
        <w:t>71.</w:t>
      </w:r>
      <w:r w:rsidRPr="001B24AE">
        <w:rPr>
          <w:szCs w:val="24"/>
        </w:rPr>
        <w:tab/>
        <w:t>In the south, for example, while the Agia Sofia mosque in Paphos has been partly restored, the plan so far does not seem to include sanitation facilities, which are particularly important for Muslims in performing ablutions and would have been required had people who might use the site been consulted.</w:t>
      </w:r>
      <w:r w:rsidRPr="001B24AE">
        <w:rPr>
          <w:rStyle w:val="a8"/>
        </w:rPr>
        <w:footnoteReference w:id="18"/>
      </w:r>
      <w:r w:rsidRPr="001B24AE">
        <w:rPr>
          <w:szCs w:val="24"/>
        </w:rPr>
        <w:t xml:space="preserve"> The Special Rapporteur is happy to note however that this might be considered in the future.</w:t>
      </w:r>
    </w:p>
    <w:p w:rsidR="00662584" w:rsidRPr="001B24AE" w:rsidRDefault="00662584" w:rsidP="00662584">
      <w:pPr>
        <w:pStyle w:val="SingleTxtG"/>
        <w:rPr>
          <w:szCs w:val="24"/>
        </w:rPr>
      </w:pPr>
      <w:r w:rsidRPr="001B24AE">
        <w:rPr>
          <w:szCs w:val="24"/>
        </w:rPr>
        <w:t>72.</w:t>
      </w:r>
      <w:r w:rsidRPr="001B24AE">
        <w:rPr>
          <w:szCs w:val="24"/>
        </w:rPr>
        <w:tab/>
        <w:t>The Special Rapporteur also learnt that the Department of Antiquities has applied to include the Hala Sultan Tekke mosque and its surrounding environment (Larnaca Salt Lakes) on the United Nations Educational, Scientific and Cultural Organization (UNESCO) World Heritage List. While she understands the good intentions of the project, she was surprised that people having a particular link with the site had not yet been informed or consulted at the time of her visit about such an application, including as to whether they supported the idea of a nomination itself and on the implications the project might have in terms of access to and maintenance of the site. She was pleased to learn that such a consultation is planned.</w:t>
      </w:r>
    </w:p>
    <w:p w:rsidR="00662584" w:rsidRPr="001B24AE" w:rsidRDefault="00662584" w:rsidP="00662584">
      <w:pPr>
        <w:pStyle w:val="SingleTxtG"/>
        <w:rPr>
          <w:szCs w:val="24"/>
        </w:rPr>
      </w:pPr>
      <w:r w:rsidRPr="001B24AE">
        <w:rPr>
          <w:szCs w:val="24"/>
        </w:rPr>
        <w:t>73.</w:t>
      </w:r>
      <w:r w:rsidRPr="001B24AE">
        <w:rPr>
          <w:szCs w:val="24"/>
        </w:rPr>
        <w:tab/>
        <w:t xml:space="preserve">In the north, the restoration of the Armenian Church complex in the Arabahmet district in Nicosia did not involve adequate consultation of the religious leaders and members of the congregation about their needs or their recollection of the place. That has led to problems. For example, the community does not know whether some tombstones with inscriptions and icons, or the sarcophagus of Abbess Eschive de Dampierre were removed from the site before or during the restoration work. They have had no answer from the Turkish Cypriot authorities on this matter. In addition, the church was not restored with white walls as people remember it, which has created a lot of concern among some Armenians. The Special Rapporteur also notes that the Apostolos Barnabas monastery was transformed into a museum, and a coffee shop installed, without any consultation of or information given to the Orthodox Church of Cyprus. </w:t>
      </w:r>
    </w:p>
    <w:p w:rsidR="00662584" w:rsidRPr="001B24AE" w:rsidRDefault="00662584" w:rsidP="009316A0">
      <w:pPr>
        <w:pStyle w:val="H23G"/>
      </w:pPr>
      <w:r w:rsidRPr="001B24AE">
        <w:tab/>
        <w:t>3.</w:t>
      </w:r>
      <w:r w:rsidRPr="001B24AE">
        <w:tab/>
        <w:t>Visiting, accessing and using sites</w:t>
      </w:r>
    </w:p>
    <w:p w:rsidR="00662584" w:rsidRPr="001B24AE" w:rsidRDefault="00662584" w:rsidP="00662584">
      <w:pPr>
        <w:pStyle w:val="SingleTxtG"/>
        <w:rPr>
          <w:szCs w:val="24"/>
        </w:rPr>
      </w:pPr>
      <w:r w:rsidRPr="001B24AE">
        <w:rPr>
          <w:szCs w:val="24"/>
        </w:rPr>
        <w:t>74.</w:t>
      </w:r>
      <w:r w:rsidRPr="001B24AE">
        <w:rPr>
          <w:szCs w:val="24"/>
        </w:rPr>
        <w:tab/>
        <w:t xml:space="preserve">Thanks to the opening of the crossings in Cyprus, people have returned to visit their old villages and neighbourhoods, their former churches, mosques and cemeteries. That has afforded opportunities for diverse people to meet, hold discussions, re-establish contacts and relationships and re-humanize each other. Some sites are also used to promote </w:t>
      </w:r>
      <w:r w:rsidR="001B24AE">
        <w:rPr>
          <w:szCs w:val="24"/>
        </w:rPr>
        <w:t>“</w:t>
      </w:r>
      <w:proofErr w:type="spellStart"/>
      <w:r w:rsidRPr="001B24AE">
        <w:rPr>
          <w:szCs w:val="24"/>
        </w:rPr>
        <w:t>bicommunal</w:t>
      </w:r>
      <w:proofErr w:type="spellEnd"/>
      <w:r w:rsidR="001B24AE">
        <w:rPr>
          <w:szCs w:val="24"/>
        </w:rPr>
        <w:t>”</w:t>
      </w:r>
      <w:r w:rsidRPr="001B24AE">
        <w:rPr>
          <w:szCs w:val="24"/>
        </w:rPr>
        <w:t xml:space="preserve"> cultural activities, such as in the restored Othello tower in Famagusta/Gazimağusa, where, for example, the eponymous Shakespeare play was staged in Greek with Turkish subtitles. The play was directed by a Turkish Cypriot and featured a bicommunal cast of Greek Cypriot and Turkish Cypriot actors (see A/HRC/31/21, para. 44).</w:t>
      </w:r>
    </w:p>
    <w:p w:rsidR="00662584" w:rsidRPr="001B24AE" w:rsidRDefault="00662584" w:rsidP="00662584">
      <w:pPr>
        <w:pStyle w:val="SingleTxtG"/>
        <w:rPr>
          <w:szCs w:val="24"/>
        </w:rPr>
      </w:pPr>
      <w:r w:rsidRPr="001B24AE">
        <w:rPr>
          <w:szCs w:val="24"/>
        </w:rPr>
        <w:t>75.</w:t>
      </w:r>
      <w:r w:rsidRPr="001B24AE">
        <w:rPr>
          <w:szCs w:val="24"/>
        </w:rPr>
        <w:tab/>
        <w:t>Political, legal and logistical obstacles, however, impede many in the enjoyment of their right to access and enjoy cultural heritage with dignity. The Special Rapporteur notes the impossibility of gaining access to and using churches and other sites located within the buffer zone.</w:t>
      </w:r>
    </w:p>
    <w:p w:rsidR="00662584" w:rsidRPr="001B24AE" w:rsidRDefault="00662584" w:rsidP="009316A0">
      <w:pPr>
        <w:pStyle w:val="H23G"/>
        <w:rPr>
          <w:i/>
        </w:rPr>
      </w:pPr>
      <w:r w:rsidRPr="001B24AE">
        <w:tab/>
        <w:t>(a)</w:t>
      </w:r>
      <w:r w:rsidRPr="001B24AE">
        <w:tab/>
        <w:t>Obstacles in the south</w:t>
      </w:r>
    </w:p>
    <w:p w:rsidR="00662584" w:rsidRPr="001B24AE" w:rsidRDefault="00662584" w:rsidP="00662584">
      <w:pPr>
        <w:pStyle w:val="SingleTxtG"/>
        <w:rPr>
          <w:szCs w:val="24"/>
        </w:rPr>
      </w:pPr>
      <w:r w:rsidRPr="001B24AE">
        <w:rPr>
          <w:szCs w:val="24"/>
        </w:rPr>
        <w:t>76.</w:t>
      </w:r>
      <w:r w:rsidRPr="001B24AE">
        <w:rPr>
          <w:szCs w:val="24"/>
        </w:rPr>
        <w:tab/>
        <w:t>Although there is a tendency to consider that issues of access only arise in the north, there are also issues in the south, although they are distinct, of a different nature and of lesser magnitude.</w:t>
      </w:r>
    </w:p>
    <w:p w:rsidR="00662584" w:rsidRPr="001B24AE" w:rsidRDefault="00662584" w:rsidP="00662584">
      <w:pPr>
        <w:pStyle w:val="SingleTxtG"/>
        <w:rPr>
          <w:szCs w:val="24"/>
        </w:rPr>
      </w:pPr>
      <w:r w:rsidRPr="001B24AE">
        <w:rPr>
          <w:szCs w:val="24"/>
        </w:rPr>
        <w:t>77.</w:t>
      </w:r>
      <w:r w:rsidRPr="001B24AE">
        <w:rPr>
          <w:szCs w:val="24"/>
        </w:rPr>
        <w:tab/>
        <w:t>On various occasions, officials stressed that there was no restriction concerning access. The Special Rapporteur recognizes the dedication of the authorities to protecting and restoring cultural heritage sites, including those associated with Turkish Cypriots. She was pleased to learn of a significant budgetary allocation, for example in the district of Paphos, for the maintenance and preservation of mosques and Turkish Cypriot cemeteries, and to hear the sincere recognition of the preciousness of those sites by the relevant professionals. However, those efforts should be enhanced by a human rights approach.</w:t>
      </w:r>
    </w:p>
    <w:p w:rsidR="00662584" w:rsidRPr="001B24AE" w:rsidRDefault="00662584" w:rsidP="00662584">
      <w:pPr>
        <w:pStyle w:val="SingleTxtG"/>
        <w:rPr>
          <w:szCs w:val="24"/>
        </w:rPr>
      </w:pPr>
      <w:r w:rsidRPr="001B24AE">
        <w:rPr>
          <w:szCs w:val="24"/>
        </w:rPr>
        <w:lastRenderedPageBreak/>
        <w:t>78.</w:t>
      </w:r>
      <w:r w:rsidRPr="001B24AE">
        <w:rPr>
          <w:szCs w:val="24"/>
        </w:rPr>
        <w:tab/>
        <w:t xml:space="preserve">In particular, the conditions and procedures that must be followed in order to gain access to sites need to be clarified and publicized. That is particularly striking for ancient monuments that are the shared responsibility of the Department of Antiquities (protecting them as monuments) and of their private owners, such as the Evkaf Foundation or the Church of Cyprus (wishing to use them for religious purposes). Due to the current division, the Foundation cannot administer and manage its properties located in the south of the island. The Ministry of the Interior, acting as the guardian of Turkish Cypriot properties, assumes this responsibility, including in terms of financial contributions for restoration works to be undertaken (Law No. 139 of 1991). </w:t>
      </w:r>
    </w:p>
    <w:p w:rsidR="00662584" w:rsidRPr="001B24AE" w:rsidRDefault="00662584" w:rsidP="00662584">
      <w:pPr>
        <w:pStyle w:val="SingleTxtG"/>
        <w:rPr>
          <w:szCs w:val="24"/>
        </w:rPr>
      </w:pPr>
      <w:r w:rsidRPr="001B24AE">
        <w:rPr>
          <w:szCs w:val="24"/>
        </w:rPr>
        <w:t>79.</w:t>
      </w:r>
      <w:r w:rsidRPr="001B24AE">
        <w:rPr>
          <w:szCs w:val="24"/>
        </w:rPr>
        <w:tab/>
        <w:t>While the authorities are convinced that access is easy upon simple request to the Department of Antiquities, or the service for the management of Turkish Cypriot properties at the Ministry of the Interior, in practice people are not always aware of the procedures they should follow. For example, the Special Rapporteur was informed of cases in which Turkish Cypriots drove all the way to the Agia Sofia mosque in Paphos to access its important historical cemetery, found the doors closed with no information on how to be granted access and returned home. It is true, however that in other cases, people have been able to visit the mosque without difficulty.</w:t>
      </w:r>
    </w:p>
    <w:p w:rsidR="00662584" w:rsidRPr="001B24AE" w:rsidRDefault="00662584" w:rsidP="00662584">
      <w:pPr>
        <w:pStyle w:val="SingleTxtG"/>
        <w:rPr>
          <w:szCs w:val="24"/>
        </w:rPr>
      </w:pPr>
      <w:r w:rsidRPr="001B24AE">
        <w:rPr>
          <w:szCs w:val="24"/>
        </w:rPr>
        <w:t>80.</w:t>
      </w:r>
      <w:r w:rsidRPr="001B24AE">
        <w:rPr>
          <w:szCs w:val="24"/>
        </w:rPr>
        <w:tab/>
        <w:t>The Special Rapporteur also notes that there do not appear to be a significant number of Turkish Cypriots or Turkish speakers working in the service for the management of Turkish Cypriot properties, which can potentially raise obstacles for those seeking information from the service. This may also raise difficulties in terms of understanding the meaning of some sites and organizing access appropriately.</w:t>
      </w:r>
      <w:r w:rsidRPr="001B24AE" w:rsidDel="003B30E0">
        <w:rPr>
          <w:szCs w:val="24"/>
        </w:rPr>
        <w:t xml:space="preserve"> </w:t>
      </w:r>
    </w:p>
    <w:p w:rsidR="00662584" w:rsidRPr="001B24AE" w:rsidRDefault="00662584" w:rsidP="00662584">
      <w:pPr>
        <w:pStyle w:val="SingleTxtG"/>
        <w:rPr>
          <w:szCs w:val="24"/>
        </w:rPr>
      </w:pPr>
      <w:r w:rsidRPr="001B24AE">
        <w:rPr>
          <w:szCs w:val="24"/>
        </w:rPr>
        <w:t>81.</w:t>
      </w:r>
      <w:r w:rsidRPr="001B24AE">
        <w:rPr>
          <w:szCs w:val="24"/>
        </w:rPr>
        <w:tab/>
        <w:t xml:space="preserve">Citizens from mainland Turkey who have settled in the north and their descendants cannot cross the Green Line. The Special Rapporteur notes the concern of the Government of the Republic of Cyprus, which regards this as an issue of </w:t>
      </w:r>
      <w:r w:rsidR="001B24AE">
        <w:rPr>
          <w:szCs w:val="24"/>
        </w:rPr>
        <w:t>“</w:t>
      </w:r>
      <w:r w:rsidRPr="001B24AE">
        <w:rPr>
          <w:szCs w:val="24"/>
        </w:rPr>
        <w:t>occupation</w:t>
      </w:r>
      <w:r w:rsidR="001B24AE">
        <w:rPr>
          <w:szCs w:val="24"/>
        </w:rPr>
        <w:t>”</w:t>
      </w:r>
      <w:r w:rsidRPr="001B24AE">
        <w:rPr>
          <w:szCs w:val="24"/>
        </w:rPr>
        <w:t xml:space="preserve"> and </w:t>
      </w:r>
      <w:r w:rsidR="001B24AE">
        <w:rPr>
          <w:szCs w:val="24"/>
        </w:rPr>
        <w:t>“</w:t>
      </w:r>
      <w:r w:rsidRPr="001B24AE">
        <w:rPr>
          <w:szCs w:val="24"/>
        </w:rPr>
        <w:t>illegal colonization</w:t>
      </w:r>
      <w:r w:rsidR="001B24AE">
        <w:rPr>
          <w:szCs w:val="24"/>
        </w:rPr>
        <w:t>”</w:t>
      </w:r>
      <w:r w:rsidRPr="001B24AE">
        <w:rPr>
          <w:rStyle w:val="a8"/>
        </w:rPr>
        <w:footnoteReference w:id="19"/>
      </w:r>
      <w:r w:rsidRPr="001B24AE">
        <w:rPr>
          <w:szCs w:val="24"/>
        </w:rPr>
        <w:t xml:space="preserve"> to which article 49 (6) of the Fourth Geneva Convention applies. However, she also notes that such people, including youth born on the island, cannot travel to the south for cultural events or to visit cultural sites without special intervention, as they lack the required documents, and that the long-term consequences of this may be quite negative. The Special Rapporteur notes that several pilgrimages have been organized for them to visit the Hala Sultan Tekke mosque. Those are positive steps and the Special Rapporteur hopes that the limitations on the freedom of movement of those persons will be lifted and that they will be provided with the necessary documentation at the earliest opportunity, so that they can fully and freely access and enjoy cultural heritage.</w:t>
      </w:r>
    </w:p>
    <w:p w:rsidR="00662584" w:rsidRPr="001B24AE" w:rsidRDefault="00662584" w:rsidP="00662584">
      <w:pPr>
        <w:pStyle w:val="SingleTxtG"/>
        <w:rPr>
          <w:szCs w:val="24"/>
        </w:rPr>
      </w:pPr>
      <w:r w:rsidRPr="001B24AE">
        <w:rPr>
          <w:szCs w:val="24"/>
        </w:rPr>
        <w:t>82.</w:t>
      </w:r>
      <w:r w:rsidRPr="001B24AE">
        <w:rPr>
          <w:szCs w:val="24"/>
        </w:rPr>
        <w:tab/>
        <w:t>The Special Rapporteur welcomes the efforts of the Department of Antiquities to make cultural heritage accessible to persons with disabilities. She received publications in braille about important sites, such as the House of Eustolios and the theatre in Kourion. She noted ramps in place at the site of the historic mosaics in Paphos and hopes that more will be done in that regard.</w:t>
      </w:r>
    </w:p>
    <w:p w:rsidR="00662584" w:rsidRPr="001B24AE" w:rsidRDefault="00662584" w:rsidP="009316A0">
      <w:pPr>
        <w:pStyle w:val="H23G"/>
        <w:rPr>
          <w:i/>
        </w:rPr>
      </w:pPr>
      <w:r w:rsidRPr="001B24AE">
        <w:tab/>
        <w:t>(b)</w:t>
      </w:r>
      <w:r w:rsidRPr="001B24AE">
        <w:tab/>
        <w:t>Restrictions in the north</w:t>
      </w:r>
    </w:p>
    <w:p w:rsidR="00662584" w:rsidRPr="001B24AE" w:rsidRDefault="00662584" w:rsidP="00662584">
      <w:pPr>
        <w:pStyle w:val="SingleTxtG"/>
        <w:rPr>
          <w:szCs w:val="24"/>
        </w:rPr>
      </w:pPr>
      <w:r w:rsidRPr="001B24AE">
        <w:rPr>
          <w:szCs w:val="24"/>
          <w:lang w:eastAsia="fr-FR"/>
        </w:rPr>
        <w:t>83.</w:t>
      </w:r>
      <w:r w:rsidRPr="001B24AE">
        <w:rPr>
          <w:szCs w:val="24"/>
          <w:lang w:eastAsia="fr-FR"/>
        </w:rPr>
        <w:tab/>
        <w:t xml:space="preserve">Crossing the buffer zone to visit sites on an individual basis is reportedly allowed at any time and in both directions for all Cypriot nationals, as long as they have their documents. </w:t>
      </w:r>
    </w:p>
    <w:p w:rsidR="00662584" w:rsidRPr="001B24AE" w:rsidRDefault="00662584" w:rsidP="00662584">
      <w:pPr>
        <w:pStyle w:val="SingleTxtG"/>
        <w:rPr>
          <w:szCs w:val="24"/>
        </w:rPr>
      </w:pPr>
      <w:r w:rsidRPr="001B24AE">
        <w:rPr>
          <w:szCs w:val="24"/>
          <w:lang w:eastAsia="fr-FR"/>
        </w:rPr>
        <w:t>84.</w:t>
      </w:r>
      <w:r w:rsidRPr="001B24AE">
        <w:rPr>
          <w:szCs w:val="24"/>
          <w:lang w:eastAsia="fr-FR"/>
        </w:rPr>
        <w:tab/>
        <w:t>However, the Turkish Cypriot authorities have put in place restrictive arrangements for collective access. Before the Special Rapporteur</w:t>
      </w:r>
      <w:r w:rsidR="001B24AE">
        <w:rPr>
          <w:szCs w:val="24"/>
          <w:lang w:eastAsia="fr-FR"/>
        </w:rPr>
        <w:t>’</w:t>
      </w:r>
      <w:r w:rsidRPr="001B24AE">
        <w:rPr>
          <w:szCs w:val="24"/>
          <w:lang w:eastAsia="fr-FR"/>
        </w:rPr>
        <w:t xml:space="preserve">s visit, access for religious ceremonies was granted on special dates only, for sites that were considered safe and were located outside a military zone, and were not already used for another purpose. The Special Rapporteur received many testimonies about a lengthy and tedious process of approval that discourages such use and is experienced as humiliating by some. Requests to organize ceremonies need to </w:t>
      </w:r>
      <w:r w:rsidRPr="001B24AE">
        <w:rPr>
          <w:szCs w:val="24"/>
        </w:rPr>
        <w:t xml:space="preserve">indicate the place and date, but also the number and identity of all participants, the icons and other religious materials, the identity of vehicles, etc. At the crossing points, every item is checked on the way out and back. Reportedly, authorizations are granted only a few days before the planned ceremony, which causes many </w:t>
      </w:r>
      <w:r w:rsidRPr="001B24AE">
        <w:rPr>
          <w:szCs w:val="24"/>
        </w:rPr>
        <w:lastRenderedPageBreak/>
        <w:t>organizational difficulties. Sometimes, demands are rejected with no explanation. The Turkish Cypriot authorities have asserted that they pay particular attention to accounting for the icons to prevent accusations of theft should an icon go missing.</w:t>
      </w:r>
      <w:r w:rsidRPr="001B24AE">
        <w:rPr>
          <w:szCs w:val="24"/>
          <w:lang w:eastAsia="fr-FR"/>
        </w:rPr>
        <w:t xml:space="preserve"> The Special Rapporteur on freedom of religion or belief recommended in 2012 that the Turkish Cypriot authorities </w:t>
      </w:r>
      <w:r w:rsidRPr="001B24AE">
        <w:rPr>
          <w:bCs/>
          <w:szCs w:val="24"/>
        </w:rPr>
        <w:t xml:space="preserve">revise such restrictions in strict compliance with article 18 (3) of the </w:t>
      </w:r>
      <w:r w:rsidRPr="001B24AE">
        <w:rPr>
          <w:szCs w:val="24"/>
          <w:lang w:eastAsia="fr-FR"/>
        </w:rPr>
        <w:t>International Covenant on Civil and Political Rights</w:t>
      </w:r>
      <w:r w:rsidRPr="001B24AE">
        <w:rPr>
          <w:bCs/>
          <w:szCs w:val="24"/>
        </w:rPr>
        <w:t xml:space="preserve"> and article 1 (3) of the Declaration</w:t>
      </w:r>
      <w:r w:rsidRPr="001B24AE">
        <w:rPr>
          <w:szCs w:val="24"/>
        </w:rPr>
        <w:t xml:space="preserve"> </w:t>
      </w:r>
      <w:r w:rsidRPr="001B24AE">
        <w:rPr>
          <w:szCs w:val="24"/>
          <w:lang w:eastAsia="fr-FR"/>
        </w:rPr>
        <w:t xml:space="preserve">on the Elimination of All Forms of Intolerance and of Discrimination Based on Religion or Belief (see </w:t>
      </w:r>
      <w:r w:rsidRPr="001B24AE">
        <w:rPr>
          <w:bCs/>
          <w:szCs w:val="24"/>
        </w:rPr>
        <w:t>A/HRC/22/51/Add.1, para. 82)</w:t>
      </w:r>
      <w:r w:rsidRPr="001B24AE">
        <w:rPr>
          <w:szCs w:val="24"/>
          <w:lang w:eastAsia="fr-FR"/>
        </w:rPr>
        <w:t>, a recommendation with which the Special Rapporteur in the field of cultural rights concurs.</w:t>
      </w:r>
    </w:p>
    <w:p w:rsidR="00662584" w:rsidRPr="001B24AE" w:rsidRDefault="00662584" w:rsidP="00662584">
      <w:pPr>
        <w:pStyle w:val="SingleTxtG"/>
        <w:rPr>
          <w:szCs w:val="24"/>
        </w:rPr>
      </w:pPr>
      <w:r w:rsidRPr="001B24AE">
        <w:rPr>
          <w:szCs w:val="24"/>
          <w:lang w:eastAsia="fr-FR"/>
        </w:rPr>
        <w:t>85.</w:t>
      </w:r>
      <w:r w:rsidRPr="001B24AE">
        <w:rPr>
          <w:szCs w:val="24"/>
          <w:lang w:eastAsia="fr-FR"/>
        </w:rPr>
        <w:tab/>
        <w:t>During the Special Rapporteur</w:t>
      </w:r>
      <w:r w:rsidR="001B24AE">
        <w:rPr>
          <w:szCs w:val="24"/>
          <w:lang w:eastAsia="fr-FR"/>
        </w:rPr>
        <w:t>’</w:t>
      </w:r>
      <w:r w:rsidRPr="001B24AE">
        <w:rPr>
          <w:szCs w:val="24"/>
          <w:lang w:eastAsia="fr-FR"/>
        </w:rPr>
        <w:t xml:space="preserve">s visit, further restrictions were imposed by the Turkish Cypriot authorities, who reduced the number of authorized ceremonies to only one per year per site (except for three sites: the Apostolas Andreas monastery on the </w:t>
      </w:r>
      <w:r w:rsidRPr="001B24AE">
        <w:rPr>
          <w:szCs w:val="24"/>
        </w:rPr>
        <w:t>Karpaz peninsula</w:t>
      </w:r>
      <w:r w:rsidRPr="001B24AE">
        <w:rPr>
          <w:szCs w:val="24"/>
          <w:lang w:eastAsia="fr-FR"/>
        </w:rPr>
        <w:t>, the Apostolas Barnabas monastery in Famagusta</w:t>
      </w:r>
      <w:r w:rsidRPr="001B24AE">
        <w:rPr>
          <w:szCs w:val="24"/>
        </w:rPr>
        <w:t>/Gazimağusa</w:t>
      </w:r>
      <w:r w:rsidRPr="001B24AE">
        <w:rPr>
          <w:szCs w:val="24"/>
          <w:lang w:eastAsia="fr-FR"/>
        </w:rPr>
        <w:t>, and the Ayios Mamas church in Morphou/</w:t>
      </w:r>
      <w:r w:rsidRPr="001B24AE">
        <w:rPr>
          <w:szCs w:val="24"/>
        </w:rPr>
        <w:t>Güzelyurt</w:t>
      </w:r>
      <w:r w:rsidRPr="001B24AE">
        <w:rPr>
          <w:szCs w:val="24"/>
          <w:lang w:eastAsia="fr-FR"/>
        </w:rPr>
        <w:t xml:space="preserve">). The Turkish Cypriot authorities shared their concerns with the Special Rapporteur that requests to organize religious services in the north should not be used to promote a political agenda. They further claimed that some Turkish Cypriots were reluctant to have Greek Cypriots organizing religious ceremonies in their villages. </w:t>
      </w:r>
    </w:p>
    <w:p w:rsidR="00662584" w:rsidRPr="001B24AE" w:rsidRDefault="00662584" w:rsidP="00662584">
      <w:pPr>
        <w:pStyle w:val="SingleTxtG"/>
        <w:rPr>
          <w:szCs w:val="24"/>
        </w:rPr>
      </w:pPr>
      <w:r w:rsidRPr="001B24AE">
        <w:rPr>
          <w:szCs w:val="24"/>
          <w:lang w:eastAsia="fr-FR"/>
        </w:rPr>
        <w:t>86.</w:t>
      </w:r>
      <w:r w:rsidRPr="001B24AE">
        <w:rPr>
          <w:szCs w:val="24"/>
          <w:lang w:eastAsia="fr-FR"/>
        </w:rPr>
        <w:tab/>
        <w:t>Such restrictions raise serious concerns, not only for the enjoyment of the rights of people to access and maintain places of worship, but also about how those places can be a living cultural heritage if people are not permitted to use them. They represent a serious step backwards from previous arrangements, which were, in any case, not in line with international human rights standards</w:t>
      </w:r>
      <w:r w:rsidRPr="001B24AE">
        <w:rPr>
          <w:szCs w:val="24"/>
        </w:rPr>
        <w:t xml:space="preserve">. </w:t>
      </w:r>
    </w:p>
    <w:p w:rsidR="00662584" w:rsidRPr="001B24AE" w:rsidRDefault="00662584" w:rsidP="00662584">
      <w:pPr>
        <w:pStyle w:val="SingleTxtG"/>
        <w:rPr>
          <w:szCs w:val="24"/>
        </w:rPr>
      </w:pPr>
      <w:r w:rsidRPr="001B24AE">
        <w:rPr>
          <w:szCs w:val="24"/>
          <w:lang w:eastAsia="fr-FR"/>
        </w:rPr>
        <w:t>87.</w:t>
      </w:r>
      <w:r w:rsidRPr="001B24AE">
        <w:rPr>
          <w:szCs w:val="24"/>
          <w:lang w:eastAsia="fr-FR"/>
        </w:rPr>
        <w:tab/>
        <w:t>A</w:t>
      </w:r>
      <w:r w:rsidRPr="001B24AE">
        <w:rPr>
          <w:szCs w:val="24"/>
        </w:rPr>
        <w:t xml:space="preserve">s for all human rights, limitations to cultural rights should be a last resort. As stated in article 4 of the </w:t>
      </w:r>
      <w:r w:rsidRPr="001B24AE">
        <w:rPr>
          <w:szCs w:val="24"/>
          <w:lang w:eastAsia="fr-FR"/>
        </w:rPr>
        <w:t>International Covenant on Economic, Social and Cultural Rights</w:t>
      </w:r>
      <w:r w:rsidRPr="001B24AE">
        <w:rPr>
          <w:szCs w:val="24"/>
        </w:rPr>
        <w:t>, such limitations must be determined by law, pursue a legitimate aim, be compatible with the nature of those rights and be strictly necessary for the promotion of general welfare in a democratic society. Furthermore, freedom to manifest one</w:t>
      </w:r>
      <w:r w:rsidR="001B24AE">
        <w:rPr>
          <w:szCs w:val="24"/>
        </w:rPr>
        <w:t>’</w:t>
      </w:r>
      <w:r w:rsidRPr="001B24AE">
        <w:rPr>
          <w:szCs w:val="24"/>
        </w:rPr>
        <w:t>s religion or belief may be subject only to such limitations as are prescribed by law and are necessary to protect public safety, order, health, or morals or the fundamental rights and freedoms of others (art. 18 of the</w:t>
      </w:r>
      <w:r w:rsidRPr="001B24AE">
        <w:rPr>
          <w:szCs w:val="24"/>
          <w:lang w:eastAsia="fr-FR"/>
        </w:rPr>
        <w:t xml:space="preserve"> International Covenant on Civil and Political Rights</w:t>
      </w:r>
      <w:r w:rsidRPr="001B24AE">
        <w:rPr>
          <w:szCs w:val="24"/>
        </w:rPr>
        <w:t xml:space="preserve">). Any limitations must be proportionate, meaning that the least restrictive measures must be taken when several types of limitations may be imposed. </w:t>
      </w:r>
    </w:p>
    <w:p w:rsidR="00662584" w:rsidRPr="001B24AE" w:rsidRDefault="00662584" w:rsidP="00662584">
      <w:pPr>
        <w:pStyle w:val="SingleTxtG"/>
        <w:rPr>
          <w:szCs w:val="24"/>
        </w:rPr>
      </w:pPr>
      <w:r w:rsidRPr="001B24AE">
        <w:rPr>
          <w:szCs w:val="24"/>
        </w:rPr>
        <w:t>88.</w:t>
      </w:r>
      <w:r w:rsidRPr="001B24AE">
        <w:rPr>
          <w:szCs w:val="24"/>
        </w:rPr>
        <w:tab/>
        <w:t xml:space="preserve">Great efforts should be undertaken, where needed, to facilitate mutual understanding and confidence-building between villagers and those wishing to exercise their rights to freedom of religion and to enjoy and access cultural heritage. The Special Rapporteur also encourages those seeking to enjoy their cultural rights to do so thoughtfully and with regard for the rights and fears of others, if and when they arise. </w:t>
      </w:r>
    </w:p>
    <w:p w:rsidR="00662584" w:rsidRPr="001B24AE" w:rsidRDefault="00662584" w:rsidP="00662584">
      <w:pPr>
        <w:pStyle w:val="SingleTxtG"/>
        <w:rPr>
          <w:szCs w:val="24"/>
        </w:rPr>
      </w:pPr>
      <w:r w:rsidRPr="001B24AE">
        <w:rPr>
          <w:szCs w:val="24"/>
          <w:lang w:eastAsia="fr-FR"/>
        </w:rPr>
        <w:t>89.</w:t>
      </w:r>
      <w:r w:rsidRPr="001B24AE">
        <w:rPr>
          <w:szCs w:val="24"/>
          <w:lang w:eastAsia="fr-FR"/>
        </w:rPr>
        <w:tab/>
        <w:t>The Special Rapporteur notes that great confusion still surrounds the level of implementation of the new policy. Reportedly, the new rules have been implemented in a very restrictive and non-transparent manner, as authorizations for access once a year have been granted to a selected number of churches only, while other requests have been turned down without any explanation. On the other hand, she notes information provided by the Turkish Cypriot authorities about the steady rise of authorizations granted for access since 2013, including in 2016, in absolute numbers. She believes that the utmost efforts must be made to depoliticize the issue and to enhance cooperation and good will on both sides.</w:t>
      </w:r>
    </w:p>
    <w:p w:rsidR="00662584" w:rsidRPr="001B24AE" w:rsidRDefault="00662584" w:rsidP="00662584">
      <w:pPr>
        <w:pStyle w:val="SingleTxtG"/>
        <w:rPr>
          <w:szCs w:val="24"/>
        </w:rPr>
      </w:pPr>
      <w:r w:rsidRPr="001B24AE">
        <w:rPr>
          <w:szCs w:val="24"/>
        </w:rPr>
        <w:t>90.</w:t>
      </w:r>
      <w:r w:rsidRPr="001B24AE">
        <w:rPr>
          <w:szCs w:val="24"/>
        </w:rPr>
        <w:tab/>
        <w:t xml:space="preserve">The Special Rapporteur also notes with concern that police officers or guides reportedly monitor access to sites. For example, there are accounts of Armenians being monitored and videoed when accessing the Sourp Magar monastery. While noting the argument made by the Turkish Cypriot authorities that they need to provide security, the Special Rapporteur stresses the potentially chilling effect of such monitoring. Moreover, she was not provided with any examples of security incidents arising from such visits. </w:t>
      </w:r>
    </w:p>
    <w:p w:rsidR="00662584" w:rsidRPr="001B24AE" w:rsidRDefault="00662584" w:rsidP="00662584">
      <w:pPr>
        <w:pStyle w:val="SingleTxtG"/>
        <w:rPr>
          <w:szCs w:val="24"/>
        </w:rPr>
      </w:pPr>
      <w:r w:rsidRPr="001B24AE">
        <w:rPr>
          <w:szCs w:val="24"/>
        </w:rPr>
        <w:t>91.</w:t>
      </w:r>
      <w:r w:rsidRPr="001B24AE">
        <w:rPr>
          <w:szCs w:val="24"/>
        </w:rPr>
        <w:tab/>
        <w:t xml:space="preserve">The Special Rapporteur notes additional unnecessary logistical inconvenience caused to people using the sites. For example, the temporary building and church installed for the local priest next to the Apostolos Andreas monastery for the duration of the </w:t>
      </w:r>
      <w:r w:rsidRPr="001B24AE">
        <w:rPr>
          <w:szCs w:val="24"/>
        </w:rPr>
        <w:lastRenderedPageBreak/>
        <w:t xml:space="preserve">restoration work, had still not been provided with an electricity supply at the time of her visit, despite many requests. </w:t>
      </w:r>
    </w:p>
    <w:p w:rsidR="00662584" w:rsidRPr="001B24AE" w:rsidRDefault="00662584" w:rsidP="009316A0">
      <w:pPr>
        <w:pStyle w:val="HChG"/>
      </w:pPr>
      <w:r w:rsidRPr="001B24AE">
        <w:tab/>
      </w:r>
      <w:bookmarkStart w:id="10" w:name="_Toc476228535"/>
      <w:r w:rsidRPr="001B24AE">
        <w:t>IV.</w:t>
      </w:r>
      <w:r w:rsidRPr="001B24AE">
        <w:tab/>
        <w:t>Conclusions and recommendations</w:t>
      </w:r>
      <w:bookmarkEnd w:id="10"/>
    </w:p>
    <w:p w:rsidR="00662584" w:rsidRPr="001B24AE" w:rsidRDefault="00662584" w:rsidP="00662584">
      <w:pPr>
        <w:pStyle w:val="SingleTxtG"/>
        <w:rPr>
          <w:b/>
          <w:szCs w:val="24"/>
        </w:rPr>
      </w:pPr>
      <w:r w:rsidRPr="001B24AE">
        <w:rPr>
          <w:szCs w:val="24"/>
        </w:rPr>
        <w:t>92.</w:t>
      </w:r>
      <w:r w:rsidRPr="001B24AE">
        <w:rPr>
          <w:szCs w:val="24"/>
        </w:rPr>
        <w:tab/>
      </w:r>
      <w:r w:rsidRPr="001B24AE">
        <w:rPr>
          <w:b/>
          <w:szCs w:val="24"/>
        </w:rPr>
        <w:t>What Cypriots collectively and their authorities choose to do on the path towards reconciliation and peace and in their recognition of cultural diversity will shape the cultural rights of all those who inhabit the island for years to come. If positive, open and forward-looking choices are made, they can contribute to a speedier solution, enhance human rights protection and even set an important example for the entire world in turbulent times. The specific recommendations that follow should be understood in this spirit and should be seen as a whole.</w:t>
      </w:r>
    </w:p>
    <w:p w:rsidR="00662584" w:rsidRPr="001B24AE" w:rsidRDefault="00662584" w:rsidP="009316A0">
      <w:pPr>
        <w:pStyle w:val="H1G"/>
      </w:pPr>
      <w:r w:rsidRPr="001B24AE">
        <w:tab/>
      </w:r>
      <w:bookmarkStart w:id="11" w:name="_Toc476228536"/>
      <w:r w:rsidRPr="001B24AE">
        <w:t>A.</w:t>
      </w:r>
      <w:r w:rsidRPr="001B24AE">
        <w:tab/>
        <w:t>Recommendations to the Government of the Republic of Cyprus, the Turkish Cypriot authorities and other stakeholders</w:t>
      </w:r>
      <w:bookmarkEnd w:id="11"/>
      <w:r w:rsidRPr="001B24AE">
        <w:t xml:space="preserve"> </w:t>
      </w:r>
    </w:p>
    <w:p w:rsidR="00662584" w:rsidRPr="001B24AE" w:rsidRDefault="00662584" w:rsidP="00662584">
      <w:pPr>
        <w:pStyle w:val="SingleTxtG"/>
        <w:rPr>
          <w:szCs w:val="24"/>
        </w:rPr>
      </w:pPr>
      <w:r w:rsidRPr="001B24AE">
        <w:rPr>
          <w:szCs w:val="24"/>
        </w:rPr>
        <w:t>93.</w:t>
      </w:r>
      <w:r w:rsidRPr="001B24AE">
        <w:rPr>
          <w:szCs w:val="24"/>
        </w:rPr>
        <w:tab/>
      </w:r>
      <w:r w:rsidRPr="001B24AE">
        <w:rPr>
          <w:b/>
          <w:szCs w:val="24"/>
        </w:rPr>
        <w:t>All sides must stop politicizing cultural heritage and issues related to cultural rights. Cultural rights should not be used as a weapon against others or as a bargaining chip. The requests made by people to enjoy those rights, in particular their right to access and enjoy cultural heritage, must be heard and understood as human rights claims.</w:t>
      </w:r>
      <w:r w:rsidRPr="001B24AE">
        <w:rPr>
          <w:szCs w:val="24"/>
        </w:rPr>
        <w:t xml:space="preserve"> </w:t>
      </w:r>
    </w:p>
    <w:p w:rsidR="00662584" w:rsidRPr="001B24AE" w:rsidRDefault="00662584" w:rsidP="00662584">
      <w:pPr>
        <w:pStyle w:val="SingleTxtG"/>
        <w:rPr>
          <w:szCs w:val="24"/>
        </w:rPr>
      </w:pPr>
      <w:r w:rsidRPr="001B24AE">
        <w:rPr>
          <w:szCs w:val="24"/>
        </w:rPr>
        <w:t>94.</w:t>
      </w:r>
      <w:r w:rsidRPr="001B24AE">
        <w:rPr>
          <w:szCs w:val="24"/>
        </w:rPr>
        <w:tab/>
      </w:r>
      <w:r w:rsidRPr="001B24AE">
        <w:rPr>
          <w:b/>
          <w:szCs w:val="24"/>
        </w:rPr>
        <w:t xml:space="preserve">Pending a final settlement, the utmost must be done to guarantee human rights, including cultural rights. In particular, efforts should be made to </w:t>
      </w:r>
      <w:r w:rsidRPr="001B24AE">
        <w:rPr>
          <w:b/>
          <w:szCs w:val="24"/>
          <w:lang w:bidi="he-IL"/>
        </w:rPr>
        <w:t>open</w:t>
      </w:r>
      <w:r w:rsidRPr="001B24AE">
        <w:rPr>
          <w:b/>
          <w:szCs w:val="24"/>
        </w:rPr>
        <w:t xml:space="preserve"> new crossing points and create conditions to enhance the right to freedom of movement of all persons in Cyprus, establish many open and free spaces for mutual interaction and dialogue, especially in the academic, artistic and cultural spheres, and facilitate access to cultural and religious heritage sites.</w:t>
      </w:r>
      <w:r w:rsidRPr="001B24AE">
        <w:rPr>
          <w:szCs w:val="24"/>
        </w:rPr>
        <w:t xml:space="preserve"> </w:t>
      </w:r>
    </w:p>
    <w:p w:rsidR="00662584" w:rsidRPr="001B24AE" w:rsidRDefault="00662584" w:rsidP="009316A0">
      <w:pPr>
        <w:pStyle w:val="H23G"/>
        <w:rPr>
          <w:i/>
        </w:rPr>
      </w:pPr>
      <w:r w:rsidRPr="001B24AE">
        <w:tab/>
      </w:r>
      <w:r w:rsidRPr="001B24AE">
        <w:tab/>
        <w:t>Seizing opportunities</w:t>
      </w:r>
    </w:p>
    <w:p w:rsidR="00662584" w:rsidRPr="001B24AE" w:rsidRDefault="00662584" w:rsidP="00662584">
      <w:pPr>
        <w:pStyle w:val="SingleTxtG"/>
        <w:rPr>
          <w:szCs w:val="24"/>
        </w:rPr>
      </w:pPr>
      <w:r w:rsidRPr="001B24AE">
        <w:rPr>
          <w:szCs w:val="24"/>
        </w:rPr>
        <w:t>95.</w:t>
      </w:r>
      <w:r w:rsidRPr="001B24AE">
        <w:rPr>
          <w:szCs w:val="24"/>
        </w:rPr>
        <w:tab/>
      </w:r>
      <w:r w:rsidRPr="001B24AE">
        <w:rPr>
          <w:b/>
          <w:szCs w:val="24"/>
        </w:rPr>
        <w:t>The current negotiations and discussions about a solution create an extraordinary opportunity for rethinking certain issues and establishing a new constitutional framework fully respective of human rights. In particular, the Special Rapporteur recommends:</w:t>
      </w:r>
    </w:p>
    <w:p w:rsidR="00662584" w:rsidRPr="001B24AE" w:rsidRDefault="00662584" w:rsidP="00662584">
      <w:pPr>
        <w:pStyle w:val="SingleTxtG"/>
        <w:rPr>
          <w:b/>
          <w:bCs/>
          <w:szCs w:val="24"/>
        </w:rPr>
      </w:pPr>
      <w:r w:rsidRPr="001B24AE">
        <w:rPr>
          <w:b/>
          <w:szCs w:val="24"/>
        </w:rPr>
        <w:tab/>
      </w:r>
      <w:r w:rsidRPr="001B24AE">
        <w:rPr>
          <w:szCs w:val="24"/>
        </w:rPr>
        <w:t>(a)</w:t>
      </w:r>
      <w:r w:rsidRPr="001B24AE">
        <w:rPr>
          <w:b/>
          <w:bCs/>
          <w:szCs w:val="24"/>
        </w:rPr>
        <w:tab/>
        <w:t xml:space="preserve">That any new constitution specifically incorporate cultural rights, including the right to take part in cultural life without discrimination and the right to access and enjoy cultural heritage. Recognizing the diversity and multiplicity of identities beyond bicommunalism, the new constitution should fully protect the rights of everyone, without any discrimination, to choose his/her own identity, to identify or not with one or several </w:t>
      </w:r>
      <w:r w:rsidR="001B24AE">
        <w:rPr>
          <w:b/>
          <w:bCs/>
          <w:szCs w:val="24"/>
        </w:rPr>
        <w:t>“</w:t>
      </w:r>
      <w:r w:rsidRPr="001B24AE">
        <w:rPr>
          <w:b/>
          <w:bCs/>
          <w:szCs w:val="24"/>
        </w:rPr>
        <w:t>communities</w:t>
      </w:r>
      <w:r w:rsidR="001B24AE">
        <w:rPr>
          <w:b/>
          <w:bCs/>
          <w:szCs w:val="24"/>
        </w:rPr>
        <w:t>”</w:t>
      </w:r>
      <w:r w:rsidRPr="001B24AE">
        <w:rPr>
          <w:b/>
          <w:bCs/>
          <w:szCs w:val="24"/>
        </w:rPr>
        <w:t xml:space="preserve"> or groups and to change that choice, and to participate or not participate in a given group. There should be full equality in that regard and the choices of women should not depend on the decisions of their husbands in such matters;</w:t>
      </w:r>
    </w:p>
    <w:p w:rsidR="00662584" w:rsidRPr="001B24AE" w:rsidRDefault="00662584" w:rsidP="00662584">
      <w:pPr>
        <w:pStyle w:val="SingleTxtG"/>
        <w:rPr>
          <w:b/>
          <w:bCs/>
          <w:szCs w:val="24"/>
        </w:rPr>
      </w:pPr>
      <w:r w:rsidRPr="001B24AE">
        <w:rPr>
          <w:b/>
          <w:bCs/>
          <w:szCs w:val="24"/>
        </w:rPr>
        <w:tab/>
      </w:r>
      <w:r w:rsidRPr="001B24AE">
        <w:rPr>
          <w:szCs w:val="24"/>
        </w:rPr>
        <w:t>(b)</w:t>
      </w:r>
      <w:r w:rsidRPr="001B24AE">
        <w:rPr>
          <w:b/>
          <w:bCs/>
          <w:szCs w:val="24"/>
        </w:rPr>
        <w:tab/>
        <w:t>Emphasizing the principle of non-discrimination and full equality for all, including women and minorities, with regard to the enjoyment of all human rights, including cultural rights;</w:t>
      </w:r>
    </w:p>
    <w:p w:rsidR="00662584" w:rsidRPr="001B24AE" w:rsidRDefault="00662584" w:rsidP="00662584">
      <w:pPr>
        <w:pStyle w:val="SingleTxtG"/>
        <w:rPr>
          <w:b/>
          <w:bCs/>
          <w:szCs w:val="24"/>
        </w:rPr>
      </w:pPr>
      <w:r w:rsidRPr="001B24AE">
        <w:rPr>
          <w:b/>
          <w:bCs/>
          <w:szCs w:val="24"/>
        </w:rPr>
        <w:tab/>
      </w:r>
      <w:r w:rsidRPr="001B24AE">
        <w:rPr>
          <w:szCs w:val="24"/>
        </w:rPr>
        <w:t>(c)</w:t>
      </w:r>
      <w:r w:rsidRPr="001B24AE">
        <w:rPr>
          <w:b/>
          <w:bCs/>
          <w:szCs w:val="24"/>
        </w:rPr>
        <w:tab/>
        <w:t xml:space="preserve">The undertaking of thorough discussions with the Maronite and Armenian groups, as well as any other relevant groups, regarding their wish to be recognized as minorities, with a view to ensuring their equal cultural rights, including the right to self-definition; </w:t>
      </w:r>
    </w:p>
    <w:p w:rsidR="00662584" w:rsidRPr="001B24AE" w:rsidRDefault="00662584" w:rsidP="00662584">
      <w:pPr>
        <w:pStyle w:val="SingleTxtG"/>
        <w:rPr>
          <w:b/>
          <w:szCs w:val="24"/>
        </w:rPr>
      </w:pPr>
      <w:r w:rsidRPr="001B24AE">
        <w:rPr>
          <w:b/>
          <w:bCs/>
          <w:szCs w:val="24"/>
        </w:rPr>
        <w:tab/>
      </w:r>
      <w:r w:rsidRPr="001B24AE">
        <w:rPr>
          <w:szCs w:val="24"/>
        </w:rPr>
        <w:t>(d)</w:t>
      </w:r>
      <w:r w:rsidRPr="001B24AE">
        <w:rPr>
          <w:szCs w:val="24"/>
        </w:rPr>
        <w:tab/>
      </w:r>
      <w:r w:rsidRPr="001B24AE">
        <w:rPr>
          <w:b/>
          <w:szCs w:val="24"/>
        </w:rPr>
        <w:t xml:space="preserve">A review of the current divide between governmental departments in charge of cultural life and those in charge of antiquities. New arrangements should be explored with thorough consultation of cultural heritage experts. The links between access, preservation and protection of cultural heritage and the rights to take part in cultural activities and to freedom of artistic expression and creativity in a dynamic cultural life should be recognized, protected and enhanced. </w:t>
      </w:r>
    </w:p>
    <w:p w:rsidR="00662584" w:rsidRPr="001B24AE" w:rsidRDefault="00662584" w:rsidP="00662584">
      <w:pPr>
        <w:pStyle w:val="H4G"/>
        <w:rPr>
          <w:b/>
          <w:i w:val="0"/>
          <w:szCs w:val="24"/>
          <w:lang w:eastAsia="fr-CH"/>
        </w:rPr>
      </w:pPr>
      <w:r w:rsidRPr="001B24AE">
        <w:rPr>
          <w:i w:val="0"/>
          <w:szCs w:val="24"/>
          <w:lang w:eastAsia="fr-CH"/>
        </w:rPr>
        <w:lastRenderedPageBreak/>
        <w:tab/>
      </w:r>
      <w:r w:rsidRPr="001B24AE">
        <w:rPr>
          <w:i w:val="0"/>
          <w:szCs w:val="24"/>
          <w:lang w:eastAsia="fr-CH"/>
        </w:rPr>
        <w:tab/>
      </w:r>
      <w:r w:rsidRPr="001B24AE">
        <w:rPr>
          <w:b/>
          <w:i w:val="0"/>
          <w:szCs w:val="24"/>
          <w:lang w:eastAsia="fr-CH"/>
        </w:rPr>
        <w:t>Understanding each other</w:t>
      </w:r>
      <w:r w:rsidR="001B24AE">
        <w:rPr>
          <w:b/>
          <w:i w:val="0"/>
          <w:szCs w:val="24"/>
          <w:lang w:eastAsia="fr-CH"/>
        </w:rPr>
        <w:t>’</w:t>
      </w:r>
      <w:r w:rsidRPr="001B24AE">
        <w:rPr>
          <w:b/>
          <w:i w:val="0"/>
          <w:szCs w:val="24"/>
          <w:lang w:eastAsia="fr-CH"/>
        </w:rPr>
        <w:t>s claims, elaborating a multi-perspective approach and narrative</w:t>
      </w:r>
    </w:p>
    <w:p w:rsidR="00662584" w:rsidRPr="001B24AE" w:rsidRDefault="00662584" w:rsidP="00662584">
      <w:pPr>
        <w:pStyle w:val="SingleTxtG"/>
        <w:rPr>
          <w:b/>
          <w:szCs w:val="24"/>
          <w:lang w:eastAsia="fr-CH"/>
        </w:rPr>
      </w:pPr>
      <w:r w:rsidRPr="001B24AE">
        <w:rPr>
          <w:szCs w:val="24"/>
        </w:rPr>
        <w:t>96.</w:t>
      </w:r>
      <w:r w:rsidRPr="001B24AE">
        <w:rPr>
          <w:szCs w:val="24"/>
        </w:rPr>
        <w:tab/>
      </w:r>
      <w:r w:rsidRPr="001B24AE">
        <w:rPr>
          <w:b/>
          <w:szCs w:val="24"/>
        </w:rPr>
        <w:t>A critical outstanding task on the road to reconciliation and peace is to assemble a comprehensive and shared narrative of past destruction of cultural heritage, of more recent attacks and of current neglect and, for some, desecration. Writing a common history first entails mutual acknowledgment of the existence and legitimacy of a multiplicity of narratives about the past. Efforts should be made to produce joint documentation of all the destruction that has taken place, perhaps by an independent truth commission with members representing the diverse population and possessing great expertise in cultural heritage and history. Such a commission could make recommendations about reconstruction, use, accountability, memorialization and reparation.</w:t>
      </w:r>
    </w:p>
    <w:p w:rsidR="00662584" w:rsidRPr="001B24AE" w:rsidRDefault="00662584" w:rsidP="00662584">
      <w:pPr>
        <w:pStyle w:val="SingleTxtG"/>
        <w:rPr>
          <w:szCs w:val="24"/>
          <w:lang w:eastAsia="fr-CH"/>
        </w:rPr>
      </w:pPr>
      <w:r w:rsidRPr="001B24AE">
        <w:rPr>
          <w:szCs w:val="24"/>
          <w:lang w:eastAsia="fr-CH"/>
        </w:rPr>
        <w:t>97.</w:t>
      </w:r>
      <w:r w:rsidRPr="001B24AE">
        <w:rPr>
          <w:szCs w:val="24"/>
          <w:lang w:eastAsia="fr-CH"/>
        </w:rPr>
        <w:tab/>
      </w:r>
      <w:r w:rsidRPr="001B24AE">
        <w:rPr>
          <w:b/>
          <w:szCs w:val="24"/>
          <w:lang w:eastAsia="fr-CH"/>
        </w:rPr>
        <w:t>C</w:t>
      </w:r>
      <w:r w:rsidRPr="001B24AE">
        <w:rPr>
          <w:b/>
          <w:szCs w:val="24"/>
        </w:rPr>
        <w:t xml:space="preserve">onsortiums of academics and scholars from across Cyprus could also be usefully created to identify and work on shared research agendas, such as the meaning of cultural heritage, geographical names and the establishment of common maps, history teaching, as well as more technical issues such as excavations. Creative, intermediate, shared and widely accessible spaces, venues and engagements are needed for such exchanges. Political and financial support for such spaces, including </w:t>
      </w:r>
      <w:proofErr w:type="gramStart"/>
      <w:r w:rsidRPr="001B24AE">
        <w:rPr>
          <w:b/>
          <w:szCs w:val="24"/>
        </w:rPr>
        <w:t>those already in existence</w:t>
      </w:r>
      <w:proofErr w:type="gramEnd"/>
      <w:r w:rsidRPr="001B24AE">
        <w:rPr>
          <w:b/>
          <w:szCs w:val="24"/>
        </w:rPr>
        <w:t>, such as the Home for Cooperation, is an imperative</w:t>
      </w:r>
      <w:r w:rsidRPr="001B24AE">
        <w:rPr>
          <w:szCs w:val="24"/>
        </w:rPr>
        <w:t>.</w:t>
      </w:r>
    </w:p>
    <w:p w:rsidR="00662584" w:rsidRPr="001B24AE" w:rsidRDefault="00662584" w:rsidP="00662584">
      <w:pPr>
        <w:pStyle w:val="SingleTxtG"/>
        <w:rPr>
          <w:b/>
          <w:szCs w:val="24"/>
          <w:lang w:eastAsia="fr-CH"/>
        </w:rPr>
      </w:pPr>
      <w:r w:rsidRPr="001B24AE">
        <w:rPr>
          <w:szCs w:val="24"/>
        </w:rPr>
        <w:t>98.</w:t>
      </w:r>
      <w:r w:rsidRPr="001B24AE">
        <w:rPr>
          <w:szCs w:val="24"/>
        </w:rPr>
        <w:tab/>
      </w:r>
      <w:r w:rsidRPr="001B24AE">
        <w:rPr>
          <w:b/>
          <w:szCs w:val="24"/>
        </w:rPr>
        <w:t xml:space="preserve">In </w:t>
      </w:r>
      <w:proofErr w:type="gramStart"/>
      <w:r w:rsidRPr="001B24AE">
        <w:rPr>
          <w:b/>
          <w:szCs w:val="24"/>
        </w:rPr>
        <w:t>both the</w:t>
      </w:r>
      <w:proofErr w:type="gramEnd"/>
      <w:r w:rsidRPr="001B24AE">
        <w:rPr>
          <w:b/>
          <w:szCs w:val="24"/>
        </w:rPr>
        <w:t xml:space="preserve"> south and the north, reported efforts to reform history teaching should be continued and accelerated to ensure it is fostering critical thought, analytic learning and debate.</w:t>
      </w:r>
      <w:r w:rsidRPr="001B24AE">
        <w:rPr>
          <w:rStyle w:val="a8"/>
        </w:rPr>
        <w:footnoteReference w:id="20"/>
      </w:r>
      <w:r w:rsidRPr="001B24AE">
        <w:rPr>
          <w:b/>
          <w:szCs w:val="24"/>
        </w:rPr>
        <w:t xml:space="preserve"> It should not simply shape youth in line with either official ideologies or the guidelines of a dominant religion.</w:t>
      </w:r>
    </w:p>
    <w:p w:rsidR="00662584" w:rsidRPr="001B24AE" w:rsidRDefault="00662584" w:rsidP="00662584">
      <w:pPr>
        <w:pStyle w:val="SingleTxtG"/>
        <w:rPr>
          <w:b/>
          <w:szCs w:val="24"/>
          <w:lang w:eastAsia="fr-CH"/>
        </w:rPr>
      </w:pPr>
      <w:r w:rsidRPr="001B24AE">
        <w:rPr>
          <w:szCs w:val="24"/>
        </w:rPr>
        <w:t>99.</w:t>
      </w:r>
      <w:r w:rsidRPr="001B24AE">
        <w:rPr>
          <w:szCs w:val="24"/>
        </w:rPr>
        <w:tab/>
      </w:r>
      <w:r w:rsidRPr="001B24AE">
        <w:rPr>
          <w:b/>
          <w:szCs w:val="24"/>
        </w:rPr>
        <w:t xml:space="preserve">In the south and the north, awareness-raising campaigns and educational programmes, including in schools, should be developed on the meaning and importance of cultural heritage in all its diversity, acknowledging the significance specific sites may have for particular groups of people, all Cypriots and indeed humanity as a whole. </w:t>
      </w:r>
    </w:p>
    <w:p w:rsidR="00662584" w:rsidRPr="001B24AE" w:rsidRDefault="00662584" w:rsidP="00662584">
      <w:pPr>
        <w:pStyle w:val="SingleTxtG"/>
        <w:rPr>
          <w:szCs w:val="24"/>
        </w:rPr>
      </w:pPr>
      <w:r w:rsidRPr="001B24AE">
        <w:rPr>
          <w:szCs w:val="24"/>
        </w:rPr>
        <w:t>100.</w:t>
      </w:r>
      <w:r w:rsidRPr="001B24AE">
        <w:rPr>
          <w:szCs w:val="24"/>
        </w:rPr>
        <w:tab/>
      </w:r>
      <w:r w:rsidRPr="001B24AE">
        <w:rPr>
          <w:b/>
          <w:szCs w:val="24"/>
        </w:rPr>
        <w:t xml:space="preserve">The Special Rapporteur encourages religious leaders to continue their important efforts for human rights, peace and reconciliation, in particular through the Religious Track </w:t>
      </w:r>
      <w:r w:rsidRPr="001B24AE">
        <w:rPr>
          <w:b/>
          <w:szCs w:val="24"/>
          <w:lang w:eastAsia="fr-FR"/>
        </w:rPr>
        <w:t xml:space="preserve">of the Cyprus Peace Process. </w:t>
      </w:r>
      <w:r w:rsidRPr="001B24AE">
        <w:rPr>
          <w:b/>
          <w:szCs w:val="24"/>
        </w:rPr>
        <w:t>The Religious Track should be supported in thoughtful ways, bearing in mind that many factors other than religion contribute to shaping cultural identities. Hence, great care should be taken to involve women from diverse backgrounds in discussions about peace and reconciliation, and ensure that other marginalized voices, including among the secular, are also able to contribute. Many other tracks should be created, allowing mutual exchanges and understanding in areas other than religion, particularly in the field of culture and education.</w:t>
      </w:r>
    </w:p>
    <w:p w:rsidR="00662584" w:rsidRPr="001B24AE" w:rsidRDefault="00662584" w:rsidP="00662584">
      <w:pPr>
        <w:pStyle w:val="SingleTxtG"/>
        <w:rPr>
          <w:szCs w:val="24"/>
        </w:rPr>
      </w:pPr>
      <w:r w:rsidRPr="001B24AE">
        <w:rPr>
          <w:szCs w:val="24"/>
        </w:rPr>
        <w:t>101.</w:t>
      </w:r>
      <w:r w:rsidRPr="001B24AE">
        <w:rPr>
          <w:szCs w:val="24"/>
        </w:rPr>
        <w:tab/>
      </w:r>
      <w:r w:rsidRPr="001B24AE">
        <w:rPr>
          <w:b/>
          <w:szCs w:val="24"/>
        </w:rPr>
        <w:t xml:space="preserve">The issue of the change of use of religious sites needs to be discussed, with a view to ending disrespectful use immediately. Other kinds of use should be discussed and agreed upon with the people concerned, including displaced individuals and local populations, taking into consideration multiple narratives around these sites, the right to freedom of religion or belief, the right to access and enjoy cultural heritage and the need to maintain and preserve the sites. </w:t>
      </w:r>
    </w:p>
    <w:p w:rsidR="00662584" w:rsidRPr="001B24AE" w:rsidRDefault="00662584" w:rsidP="00662584">
      <w:pPr>
        <w:pStyle w:val="SingleTxtG"/>
        <w:rPr>
          <w:szCs w:val="24"/>
        </w:rPr>
      </w:pPr>
      <w:r w:rsidRPr="001B24AE">
        <w:rPr>
          <w:szCs w:val="24"/>
        </w:rPr>
        <w:t>102.</w:t>
      </w:r>
      <w:r w:rsidRPr="001B24AE">
        <w:rPr>
          <w:szCs w:val="24"/>
        </w:rPr>
        <w:tab/>
      </w:r>
      <w:r w:rsidRPr="001B24AE">
        <w:rPr>
          <w:b/>
          <w:szCs w:val="24"/>
        </w:rPr>
        <w:t>The Special Rapporteur calls for cultural heritage and culture to be recognized as core, non-optional sectors, and for them to receive the greatest possible funding</w:t>
      </w:r>
      <w:r w:rsidRPr="001B24AE">
        <w:rPr>
          <w:szCs w:val="24"/>
        </w:rPr>
        <w:t xml:space="preserve">. </w:t>
      </w:r>
    </w:p>
    <w:p w:rsidR="00662584" w:rsidRPr="001B24AE" w:rsidRDefault="00662584" w:rsidP="009316A0">
      <w:pPr>
        <w:pStyle w:val="H23G"/>
        <w:rPr>
          <w:i/>
        </w:rPr>
      </w:pPr>
      <w:r w:rsidRPr="001B24AE">
        <w:tab/>
      </w:r>
      <w:r w:rsidRPr="001B24AE">
        <w:tab/>
        <w:t>Supporting the Technical Committees</w:t>
      </w:r>
    </w:p>
    <w:p w:rsidR="00662584" w:rsidRPr="001B24AE" w:rsidRDefault="00662584" w:rsidP="00662584">
      <w:pPr>
        <w:pStyle w:val="SingleTxtG"/>
        <w:rPr>
          <w:b/>
          <w:szCs w:val="24"/>
        </w:rPr>
      </w:pPr>
      <w:r w:rsidRPr="001B24AE">
        <w:rPr>
          <w:szCs w:val="24"/>
        </w:rPr>
        <w:t>103.</w:t>
      </w:r>
      <w:r w:rsidRPr="001B24AE">
        <w:rPr>
          <w:szCs w:val="24"/>
        </w:rPr>
        <w:tab/>
      </w:r>
      <w:r w:rsidRPr="001B24AE">
        <w:rPr>
          <w:b/>
          <w:szCs w:val="24"/>
        </w:rPr>
        <w:t xml:space="preserve">The Technical Committees should be recognized for their achievements, commitment and expertise, and should receive increased financial and political support. As the pace of reconstruction is slow, parallel programmes allowing groups to initiate and participate in reconstruction efforts should also be put in place, paying particular attention to ensuring that the diverse cultural heritage sites benefit from </w:t>
      </w:r>
      <w:r w:rsidRPr="001B24AE">
        <w:rPr>
          <w:b/>
          <w:szCs w:val="24"/>
        </w:rPr>
        <w:lastRenderedPageBreak/>
        <w:t>such programmes in an equal manner and that there is full respect for relevant standards in the restoration field and oversight by relevant bodies.</w:t>
      </w:r>
    </w:p>
    <w:p w:rsidR="00662584" w:rsidRPr="001B24AE" w:rsidRDefault="00662584" w:rsidP="00662584">
      <w:pPr>
        <w:pStyle w:val="SingleTxtG"/>
        <w:rPr>
          <w:szCs w:val="24"/>
        </w:rPr>
      </w:pPr>
      <w:r w:rsidRPr="001B24AE">
        <w:rPr>
          <w:szCs w:val="24"/>
        </w:rPr>
        <w:t>104.</w:t>
      </w:r>
      <w:r w:rsidRPr="001B24AE">
        <w:rPr>
          <w:szCs w:val="24"/>
        </w:rPr>
        <w:tab/>
      </w:r>
      <w:r w:rsidRPr="001B24AE">
        <w:rPr>
          <w:b/>
          <w:szCs w:val="24"/>
        </w:rPr>
        <w:t>The Special Rapporteur further recommends that:</w:t>
      </w:r>
      <w:r w:rsidRPr="001B24AE">
        <w:rPr>
          <w:szCs w:val="24"/>
        </w:rPr>
        <w:t xml:space="preserve"> </w:t>
      </w:r>
    </w:p>
    <w:p w:rsidR="00662584" w:rsidRPr="001B24AE" w:rsidRDefault="00662584" w:rsidP="00662584">
      <w:pPr>
        <w:pStyle w:val="SingleTxtG"/>
        <w:rPr>
          <w:b/>
          <w:bCs/>
          <w:szCs w:val="24"/>
        </w:rPr>
      </w:pPr>
      <w:r w:rsidRPr="001B24AE">
        <w:rPr>
          <w:szCs w:val="24"/>
        </w:rPr>
        <w:tab/>
        <w:t>(a)</w:t>
      </w:r>
      <w:r w:rsidRPr="001B24AE">
        <w:rPr>
          <w:b/>
          <w:bCs/>
          <w:szCs w:val="24"/>
        </w:rPr>
        <w:tab/>
        <w:t xml:space="preserve">All Technical Committees enhance consultation and joint projects with other Technical Committees, in particular that on gender, which is a cross-cutting issue; </w:t>
      </w:r>
    </w:p>
    <w:p w:rsidR="00662584" w:rsidRPr="001B24AE" w:rsidRDefault="00662584" w:rsidP="00662584">
      <w:pPr>
        <w:pStyle w:val="SingleTxtG"/>
        <w:rPr>
          <w:b/>
          <w:bCs/>
          <w:szCs w:val="24"/>
        </w:rPr>
      </w:pPr>
      <w:r w:rsidRPr="001B24AE">
        <w:rPr>
          <w:b/>
          <w:bCs/>
          <w:szCs w:val="24"/>
        </w:rPr>
        <w:tab/>
      </w:r>
      <w:r w:rsidRPr="001B24AE">
        <w:rPr>
          <w:szCs w:val="24"/>
        </w:rPr>
        <w:t>(b)</w:t>
      </w:r>
      <w:r w:rsidRPr="001B24AE">
        <w:rPr>
          <w:b/>
          <w:bCs/>
          <w:szCs w:val="24"/>
        </w:rPr>
        <w:tab/>
        <w:t xml:space="preserve">The Technical Committee on Cultural Heritage should be supported, fully resourced and commended for its vital contribution to the right to access and enjoy cultural heritage. It should also increase its efforts to consult stakeholders. In particular, groups which have special relationships with certain sites should be fully consulted on the restoration work to be undertaken, the meaning of the site in question and their wishes for future uses, including for cultural and religious purposes. Where a multiplicity of narratives exists regarding a specific site, these should be acknowledged; </w:t>
      </w:r>
    </w:p>
    <w:p w:rsidR="00662584" w:rsidRPr="001B24AE" w:rsidRDefault="00662584" w:rsidP="00662584">
      <w:pPr>
        <w:pStyle w:val="SingleTxtG"/>
        <w:rPr>
          <w:szCs w:val="24"/>
        </w:rPr>
      </w:pPr>
      <w:r w:rsidRPr="001B24AE">
        <w:rPr>
          <w:b/>
          <w:bCs/>
          <w:szCs w:val="24"/>
        </w:rPr>
        <w:tab/>
      </w:r>
      <w:r w:rsidRPr="001B24AE">
        <w:rPr>
          <w:szCs w:val="24"/>
        </w:rPr>
        <w:t>(c)</w:t>
      </w:r>
      <w:r w:rsidRPr="001B24AE">
        <w:rPr>
          <w:b/>
          <w:bCs/>
          <w:szCs w:val="24"/>
        </w:rPr>
        <w:tab/>
      </w:r>
      <w:r w:rsidRPr="001B24AE">
        <w:rPr>
          <w:b/>
          <w:szCs w:val="24"/>
        </w:rPr>
        <w:t>Restoration projects should be implemented by professionals, workers and business enterprises from both the south and the north, including Greek Cypriots, Turkish Cypriots and others, and in full compliance with restoration standards.</w:t>
      </w:r>
    </w:p>
    <w:p w:rsidR="00662584" w:rsidRPr="001B24AE" w:rsidRDefault="00662584" w:rsidP="009316A0">
      <w:pPr>
        <w:pStyle w:val="H1G"/>
      </w:pPr>
      <w:r w:rsidRPr="001B24AE">
        <w:tab/>
      </w:r>
      <w:bookmarkStart w:id="12" w:name="_Toc476228537"/>
      <w:r w:rsidRPr="001B24AE">
        <w:t>B.</w:t>
      </w:r>
      <w:r w:rsidRPr="001B24AE">
        <w:tab/>
        <w:t>Recommendations to the Government of the Republic of Cyprus</w:t>
      </w:r>
      <w:bookmarkEnd w:id="12"/>
    </w:p>
    <w:p w:rsidR="00662584" w:rsidRPr="001B24AE" w:rsidRDefault="00662584" w:rsidP="00662584">
      <w:pPr>
        <w:pStyle w:val="SingleTxtG"/>
        <w:rPr>
          <w:szCs w:val="24"/>
        </w:rPr>
      </w:pPr>
      <w:r w:rsidRPr="001B24AE">
        <w:rPr>
          <w:szCs w:val="24"/>
        </w:rPr>
        <w:t>105.</w:t>
      </w:r>
      <w:r w:rsidRPr="001B24AE">
        <w:rPr>
          <w:szCs w:val="24"/>
        </w:rPr>
        <w:tab/>
      </w:r>
      <w:r w:rsidRPr="001B24AE">
        <w:rPr>
          <w:b/>
          <w:szCs w:val="24"/>
        </w:rPr>
        <w:t>The Special Rapporteur calls on the Government to ratify the Optional Protocol to the International Covenant on Economic, Social and Cultural Rights and the International Convention on the Rights of All Migrant Workers and Members of Their Families.</w:t>
      </w:r>
      <w:r w:rsidRPr="001B24AE">
        <w:rPr>
          <w:szCs w:val="24"/>
        </w:rPr>
        <w:t xml:space="preserve"> </w:t>
      </w:r>
    </w:p>
    <w:p w:rsidR="00662584" w:rsidRPr="001B24AE" w:rsidRDefault="00662584" w:rsidP="00662584">
      <w:pPr>
        <w:pStyle w:val="SingleTxtG"/>
        <w:rPr>
          <w:szCs w:val="24"/>
        </w:rPr>
      </w:pPr>
      <w:r w:rsidRPr="001B24AE">
        <w:rPr>
          <w:szCs w:val="24"/>
        </w:rPr>
        <w:t>106.</w:t>
      </w:r>
      <w:r w:rsidRPr="001B24AE">
        <w:rPr>
          <w:szCs w:val="24"/>
        </w:rPr>
        <w:tab/>
      </w:r>
      <w:r w:rsidRPr="001B24AE">
        <w:rPr>
          <w:b/>
          <w:szCs w:val="24"/>
        </w:rPr>
        <w:t>The Government should also:</w:t>
      </w:r>
    </w:p>
    <w:p w:rsidR="00662584" w:rsidRPr="001B24AE" w:rsidRDefault="00662584" w:rsidP="00662584">
      <w:pPr>
        <w:pStyle w:val="SingleTxtG"/>
        <w:rPr>
          <w:b/>
          <w:bCs/>
          <w:szCs w:val="24"/>
        </w:rPr>
      </w:pPr>
      <w:r w:rsidRPr="001B24AE">
        <w:rPr>
          <w:szCs w:val="24"/>
        </w:rPr>
        <w:tab/>
        <w:t>(a)</w:t>
      </w:r>
      <w:r w:rsidRPr="001B24AE">
        <w:rPr>
          <w:b/>
          <w:bCs/>
          <w:szCs w:val="24"/>
        </w:rPr>
        <w:tab/>
        <w:t xml:space="preserve">Pay greater attention to consulting people who have particular connections with specific sites in all restoration programmes; </w:t>
      </w:r>
    </w:p>
    <w:p w:rsidR="00662584" w:rsidRPr="001B24AE" w:rsidRDefault="00662584" w:rsidP="00662584">
      <w:pPr>
        <w:pStyle w:val="SingleTxtG"/>
        <w:rPr>
          <w:b/>
          <w:bCs/>
          <w:szCs w:val="24"/>
        </w:rPr>
      </w:pPr>
      <w:r w:rsidRPr="001B24AE">
        <w:rPr>
          <w:b/>
          <w:bCs/>
          <w:szCs w:val="24"/>
        </w:rPr>
        <w:tab/>
      </w:r>
      <w:r w:rsidRPr="001B24AE">
        <w:rPr>
          <w:szCs w:val="24"/>
        </w:rPr>
        <w:t>(b)</w:t>
      </w:r>
      <w:r w:rsidRPr="001B24AE">
        <w:rPr>
          <w:b/>
          <w:bCs/>
          <w:szCs w:val="24"/>
        </w:rPr>
        <w:tab/>
        <w:t xml:space="preserve">Continue and increase its efforts towards greater access by all to cultural heritage sites, in dignity, </w:t>
      </w:r>
      <w:r w:rsidRPr="001B24AE" w:rsidDel="003A2AA8">
        <w:rPr>
          <w:b/>
          <w:bCs/>
          <w:szCs w:val="24"/>
        </w:rPr>
        <w:t>end</w:t>
      </w:r>
      <w:r w:rsidRPr="001B24AE">
        <w:rPr>
          <w:b/>
          <w:bCs/>
          <w:szCs w:val="24"/>
        </w:rPr>
        <w:t>ing</w:t>
      </w:r>
      <w:r w:rsidRPr="001B24AE" w:rsidDel="003A2AA8">
        <w:rPr>
          <w:b/>
          <w:bCs/>
          <w:szCs w:val="24"/>
        </w:rPr>
        <w:t xml:space="preserve"> de facto </w:t>
      </w:r>
      <w:r w:rsidRPr="001B24AE">
        <w:rPr>
          <w:b/>
          <w:bCs/>
          <w:szCs w:val="24"/>
        </w:rPr>
        <w:t>impediments</w:t>
      </w:r>
      <w:r w:rsidRPr="001B24AE" w:rsidDel="003A2AA8">
        <w:rPr>
          <w:b/>
          <w:bCs/>
          <w:szCs w:val="24"/>
        </w:rPr>
        <w:t xml:space="preserve">, including through </w:t>
      </w:r>
      <w:r w:rsidRPr="001B24AE">
        <w:rPr>
          <w:b/>
          <w:bCs/>
          <w:szCs w:val="24"/>
        </w:rPr>
        <w:t>simplifying processes for accessing particular sites and providing for essential facilities such as water and washrooms in restored mosques;</w:t>
      </w:r>
    </w:p>
    <w:p w:rsidR="00662584" w:rsidRPr="001B24AE" w:rsidRDefault="00662584" w:rsidP="00662584">
      <w:pPr>
        <w:pStyle w:val="SingleTxtG"/>
        <w:rPr>
          <w:b/>
          <w:bCs/>
          <w:szCs w:val="24"/>
        </w:rPr>
      </w:pPr>
      <w:r w:rsidRPr="001B24AE">
        <w:rPr>
          <w:b/>
          <w:bCs/>
          <w:szCs w:val="24"/>
        </w:rPr>
        <w:tab/>
      </w:r>
      <w:r w:rsidRPr="001B24AE">
        <w:rPr>
          <w:szCs w:val="24"/>
        </w:rPr>
        <w:t>(c)</w:t>
      </w:r>
      <w:r w:rsidRPr="001B24AE">
        <w:rPr>
          <w:b/>
          <w:bCs/>
          <w:szCs w:val="24"/>
        </w:rPr>
        <w:tab/>
        <w:t>Fully consult with people having a particular link with the Hala Sultan Tekke mosque and its surrounding environment (Larnaca Salt Lakes) prior to any decisions being taken on the application for the UNESCO World Heritage List, including any decision that may ensue regarding the future use and management of the site;</w:t>
      </w:r>
    </w:p>
    <w:p w:rsidR="00662584" w:rsidRPr="001B24AE" w:rsidRDefault="00662584" w:rsidP="00662584">
      <w:pPr>
        <w:pStyle w:val="SingleTxtG"/>
        <w:rPr>
          <w:b/>
          <w:bCs/>
          <w:szCs w:val="24"/>
        </w:rPr>
      </w:pPr>
      <w:r w:rsidRPr="001B24AE">
        <w:rPr>
          <w:b/>
          <w:bCs/>
          <w:szCs w:val="24"/>
        </w:rPr>
        <w:tab/>
      </w:r>
      <w:r w:rsidRPr="001B24AE">
        <w:rPr>
          <w:szCs w:val="24"/>
        </w:rPr>
        <w:t>(d)</w:t>
      </w:r>
      <w:r w:rsidRPr="001B24AE">
        <w:rPr>
          <w:b/>
          <w:bCs/>
          <w:szCs w:val="24"/>
        </w:rPr>
        <w:tab/>
        <w:t>Review the Law on the Procedure for Standardization of Geographical Names of the Republic of Cyprus</w:t>
      </w:r>
      <w:r w:rsidRPr="001B24AE">
        <w:rPr>
          <w:b/>
          <w:bCs/>
          <w:szCs w:val="24"/>
          <w:lang w:bidi="he-IL"/>
        </w:rPr>
        <w:t>, to ensure that it</w:t>
      </w:r>
      <w:r w:rsidRPr="001B24AE">
        <w:rPr>
          <w:b/>
          <w:bCs/>
          <w:szCs w:val="24"/>
        </w:rPr>
        <w:t xml:space="preserve"> does not infringe upon the rights to freedom of opinion and expression, academic and scientific freedoms, as well as freedom of movement;</w:t>
      </w:r>
    </w:p>
    <w:p w:rsidR="00662584" w:rsidRPr="001B24AE" w:rsidRDefault="00662584" w:rsidP="00662584">
      <w:pPr>
        <w:pStyle w:val="SingleTxtG"/>
        <w:rPr>
          <w:b/>
          <w:bCs/>
          <w:szCs w:val="24"/>
        </w:rPr>
      </w:pPr>
      <w:r w:rsidRPr="001B24AE">
        <w:rPr>
          <w:b/>
          <w:bCs/>
          <w:szCs w:val="24"/>
        </w:rPr>
        <w:tab/>
      </w:r>
      <w:r w:rsidRPr="001B24AE">
        <w:rPr>
          <w:szCs w:val="24"/>
        </w:rPr>
        <w:t>(e)</w:t>
      </w:r>
      <w:r w:rsidRPr="001B24AE">
        <w:rPr>
          <w:b/>
          <w:bCs/>
          <w:szCs w:val="24"/>
        </w:rPr>
        <w:tab/>
        <w:t xml:space="preserve">Take measures to facilitate </w:t>
      </w:r>
      <w:r w:rsidRPr="001B24AE">
        <w:rPr>
          <w:b/>
          <w:bCs/>
          <w:szCs w:val="24"/>
          <w:lang w:bidi="he-IL"/>
        </w:rPr>
        <w:t xml:space="preserve">greater </w:t>
      </w:r>
      <w:r w:rsidRPr="001B24AE">
        <w:rPr>
          <w:b/>
          <w:bCs/>
          <w:szCs w:val="24"/>
        </w:rPr>
        <w:t xml:space="preserve">access by </w:t>
      </w:r>
      <w:r w:rsidRPr="001B24AE">
        <w:rPr>
          <w:b/>
          <w:bCs/>
          <w:szCs w:val="24"/>
          <w:lang w:bidi="he-IL"/>
        </w:rPr>
        <w:t xml:space="preserve">residents of the northern part of the island </w:t>
      </w:r>
      <w:r w:rsidRPr="001B24AE">
        <w:rPr>
          <w:b/>
          <w:bCs/>
          <w:szCs w:val="24"/>
        </w:rPr>
        <w:t>to the southern part, including citizens from Turkey who have settled in the north and their descendants. The Government should respect visits to sites and pilgrimages as an inextricable part of the rights to access and enjoy cultural heritage and to freedom of religion or belief, whose rank as universal human rights should not be supplanted by citizenship and political issues;</w:t>
      </w:r>
    </w:p>
    <w:p w:rsidR="00662584" w:rsidRPr="001B24AE" w:rsidRDefault="00662584" w:rsidP="00662584">
      <w:pPr>
        <w:pStyle w:val="SingleTxtG"/>
        <w:rPr>
          <w:szCs w:val="24"/>
        </w:rPr>
      </w:pPr>
      <w:r w:rsidRPr="001B24AE">
        <w:rPr>
          <w:b/>
          <w:bCs/>
          <w:szCs w:val="24"/>
        </w:rPr>
        <w:tab/>
      </w:r>
      <w:r w:rsidRPr="001B24AE">
        <w:rPr>
          <w:szCs w:val="24"/>
        </w:rPr>
        <w:t>(f)</w:t>
      </w:r>
      <w:r w:rsidRPr="001B24AE">
        <w:rPr>
          <w:b/>
          <w:bCs/>
          <w:szCs w:val="24"/>
        </w:rPr>
        <w:tab/>
        <w:t>Promptly and thoroughly investigate all allegations of racially motivated verbal abuse an</w:t>
      </w:r>
      <w:r w:rsidRPr="001B24AE">
        <w:rPr>
          <w:b/>
          <w:szCs w:val="24"/>
        </w:rPr>
        <w:t xml:space="preserve">d physical attacks, including those against Turkish Cypriots, as well as attacks on cultural heritage sites. Those found responsible should be prosecuted and sentenced, as appropriate, to a punishment reflecting the gravity of the offences, with reparation provided to the victims. The Special Rapporteur also urges the Government to take all necessary measures to prevent the occurrence of such acts in </w:t>
      </w:r>
      <w:r w:rsidRPr="001B24AE">
        <w:rPr>
          <w:b/>
          <w:szCs w:val="24"/>
        </w:rPr>
        <w:lastRenderedPageBreak/>
        <w:t>the future</w:t>
      </w:r>
      <w:r w:rsidRPr="001B24AE">
        <w:rPr>
          <w:b/>
          <w:noProof/>
          <w:szCs w:val="24"/>
        </w:rPr>
        <w:t xml:space="preserve"> and to conduct public awareness-raising campaigns to promote tolerance and respect for diversity.</w:t>
      </w:r>
    </w:p>
    <w:p w:rsidR="00662584" w:rsidRPr="001B24AE" w:rsidRDefault="00662584" w:rsidP="009316A0">
      <w:pPr>
        <w:pStyle w:val="H1G"/>
      </w:pPr>
      <w:r w:rsidRPr="001B24AE">
        <w:tab/>
      </w:r>
      <w:bookmarkStart w:id="13" w:name="_Toc476228538"/>
      <w:r w:rsidRPr="001B24AE">
        <w:t>C.</w:t>
      </w:r>
      <w:r w:rsidRPr="001B24AE">
        <w:tab/>
        <w:t>Recommendations to the Turkish Cypriot authorities</w:t>
      </w:r>
      <w:bookmarkEnd w:id="13"/>
    </w:p>
    <w:p w:rsidR="00662584" w:rsidRPr="001B24AE" w:rsidRDefault="00662584" w:rsidP="00662584">
      <w:pPr>
        <w:pStyle w:val="SingleTxtG"/>
        <w:rPr>
          <w:b/>
          <w:szCs w:val="24"/>
        </w:rPr>
      </w:pPr>
      <w:r w:rsidRPr="001B24AE">
        <w:rPr>
          <w:szCs w:val="24"/>
          <w:lang w:eastAsia="fr-FR"/>
        </w:rPr>
        <w:t>107.</w:t>
      </w:r>
      <w:r w:rsidRPr="001B24AE">
        <w:rPr>
          <w:szCs w:val="24"/>
          <w:lang w:eastAsia="fr-FR"/>
        </w:rPr>
        <w:tab/>
      </w:r>
      <w:r w:rsidRPr="001B24AE">
        <w:rPr>
          <w:b/>
          <w:szCs w:val="24"/>
          <w:lang w:eastAsia="fr-FR"/>
        </w:rPr>
        <w:t xml:space="preserve">The Special Rapporteur recommends that the Turkish Cypriot authorities </w:t>
      </w:r>
      <w:r w:rsidRPr="001B24AE">
        <w:rPr>
          <w:b/>
          <w:szCs w:val="24"/>
        </w:rPr>
        <w:t xml:space="preserve">revise existing restrictions on the accessibility of religious sites and cemeteries in the north and the holding of religious services to ensure their strict compliance with international standards protecting the right to freedom of religion or belief and the right to enjoy and access cultural heritage, as previously recommended by the Special Rapporteur on freedom of religion or belief in his report of 2012 (A/HRC/22/51/Add/1). </w:t>
      </w:r>
    </w:p>
    <w:p w:rsidR="00662584" w:rsidRPr="001B24AE" w:rsidRDefault="00662584" w:rsidP="00662584">
      <w:pPr>
        <w:pStyle w:val="SingleTxtG"/>
        <w:keepNext/>
        <w:ind w:left="1138" w:right="1138"/>
        <w:rPr>
          <w:szCs w:val="24"/>
        </w:rPr>
      </w:pPr>
      <w:r w:rsidRPr="001B24AE">
        <w:rPr>
          <w:szCs w:val="24"/>
        </w:rPr>
        <w:t>108.</w:t>
      </w:r>
      <w:r w:rsidRPr="001B24AE">
        <w:rPr>
          <w:b/>
          <w:szCs w:val="24"/>
        </w:rPr>
        <w:tab/>
        <w:t>The Turkish Cypriot authorities should also:</w:t>
      </w:r>
    </w:p>
    <w:p w:rsidR="00662584" w:rsidRPr="001B24AE" w:rsidRDefault="00662584" w:rsidP="00662584">
      <w:pPr>
        <w:pStyle w:val="SingleTxtG"/>
        <w:rPr>
          <w:b/>
          <w:bCs/>
          <w:szCs w:val="24"/>
        </w:rPr>
      </w:pPr>
      <w:r w:rsidRPr="001B24AE">
        <w:rPr>
          <w:szCs w:val="24"/>
        </w:rPr>
        <w:tab/>
        <w:t>(a)</w:t>
      </w:r>
      <w:r w:rsidRPr="001B24AE">
        <w:rPr>
          <w:b/>
          <w:bCs/>
          <w:szCs w:val="24"/>
        </w:rPr>
        <w:tab/>
        <w:t xml:space="preserve">Speedily and fairly process requests for the holding of collective religious ceremonies and inform applicants of the reasons for any rejection of their requests. Minimizing the logistical procedures for holding ceremonies would constitute an important step towards the implementation of the rights to freedom of religion or belief and to enjoy and access cultural heritage in dignity; </w:t>
      </w:r>
    </w:p>
    <w:p w:rsidR="00662584" w:rsidRPr="001B24AE" w:rsidRDefault="00662584" w:rsidP="00662584">
      <w:pPr>
        <w:pStyle w:val="SingleTxtG"/>
        <w:rPr>
          <w:b/>
          <w:bCs/>
          <w:szCs w:val="24"/>
        </w:rPr>
      </w:pPr>
      <w:r w:rsidRPr="001B24AE">
        <w:rPr>
          <w:b/>
          <w:bCs/>
          <w:szCs w:val="24"/>
        </w:rPr>
        <w:tab/>
      </w:r>
      <w:r w:rsidRPr="001B24AE">
        <w:rPr>
          <w:szCs w:val="24"/>
        </w:rPr>
        <w:t>(b)</w:t>
      </w:r>
      <w:r w:rsidRPr="001B24AE">
        <w:rPr>
          <w:b/>
          <w:bCs/>
          <w:szCs w:val="24"/>
        </w:rPr>
        <w:tab/>
        <w:t>Ensure that the local police do not intimidate those accessing sites, in particular through filming and videotaping;</w:t>
      </w:r>
    </w:p>
    <w:p w:rsidR="00662584" w:rsidRPr="001B24AE" w:rsidRDefault="00662584" w:rsidP="00662584">
      <w:pPr>
        <w:pStyle w:val="SingleTxtG"/>
        <w:rPr>
          <w:b/>
          <w:bCs/>
          <w:szCs w:val="24"/>
        </w:rPr>
      </w:pPr>
      <w:r w:rsidRPr="001B24AE">
        <w:rPr>
          <w:b/>
          <w:bCs/>
          <w:szCs w:val="24"/>
        </w:rPr>
        <w:tab/>
      </w:r>
      <w:r w:rsidRPr="001B24AE">
        <w:rPr>
          <w:szCs w:val="24"/>
        </w:rPr>
        <w:t>(c)</w:t>
      </w:r>
      <w:r w:rsidRPr="001B24AE">
        <w:rPr>
          <w:b/>
          <w:bCs/>
          <w:szCs w:val="24"/>
        </w:rPr>
        <w:tab/>
        <w:t xml:space="preserve">Diligently investigate allegations of vandalism of religious sites and cemeteries, and develop strategies to protect cultural heritage sites, in particular Christian sites, from further deterioration, in consultation with the population concerned; </w:t>
      </w:r>
    </w:p>
    <w:p w:rsidR="00662584" w:rsidRPr="001B24AE" w:rsidRDefault="00662584" w:rsidP="00662584">
      <w:pPr>
        <w:pStyle w:val="SingleTxtG"/>
        <w:rPr>
          <w:b/>
          <w:bCs/>
          <w:szCs w:val="24"/>
        </w:rPr>
      </w:pPr>
      <w:r w:rsidRPr="001B24AE">
        <w:rPr>
          <w:b/>
          <w:bCs/>
          <w:szCs w:val="24"/>
        </w:rPr>
        <w:tab/>
      </w:r>
      <w:r w:rsidRPr="001B24AE">
        <w:rPr>
          <w:szCs w:val="24"/>
        </w:rPr>
        <w:t>(d)</w:t>
      </w:r>
      <w:r w:rsidRPr="001B24AE">
        <w:rPr>
          <w:b/>
          <w:bCs/>
          <w:szCs w:val="24"/>
        </w:rPr>
        <w:tab/>
        <w:t xml:space="preserve">Ensure that people with a particular connection to a cultural heritage site are consulted on the restoration work to be undertaken, the meaning of the site in question and their wishes for future use. Requests made by people to access such sites so as to clean, maintain or restore them, or simply to assess needs, should be handled in a fair and transparent manner; </w:t>
      </w:r>
    </w:p>
    <w:p w:rsidR="00662584" w:rsidRPr="001B24AE" w:rsidRDefault="00662584" w:rsidP="00662584">
      <w:pPr>
        <w:pStyle w:val="SingleTxtG"/>
        <w:rPr>
          <w:b/>
          <w:bCs/>
          <w:szCs w:val="24"/>
        </w:rPr>
      </w:pPr>
      <w:r w:rsidRPr="001B24AE">
        <w:rPr>
          <w:b/>
          <w:bCs/>
          <w:szCs w:val="24"/>
        </w:rPr>
        <w:tab/>
      </w:r>
      <w:r w:rsidRPr="001B24AE">
        <w:rPr>
          <w:szCs w:val="24"/>
        </w:rPr>
        <w:t>(e)</w:t>
      </w:r>
      <w:r w:rsidRPr="001B24AE">
        <w:rPr>
          <w:b/>
          <w:bCs/>
          <w:szCs w:val="24"/>
        </w:rPr>
        <w:tab/>
        <w:t xml:space="preserve">Develop programmes to improve and facilitate, where relevant, good relationships between Turkish Cypriots and people travelling from the south to access and enjoy cultural heritage sites; </w:t>
      </w:r>
    </w:p>
    <w:p w:rsidR="00662584" w:rsidRPr="001B24AE" w:rsidRDefault="00662584" w:rsidP="00662584">
      <w:pPr>
        <w:pStyle w:val="SingleTxtG"/>
        <w:rPr>
          <w:szCs w:val="24"/>
        </w:rPr>
      </w:pPr>
      <w:r w:rsidRPr="001B24AE">
        <w:rPr>
          <w:b/>
          <w:bCs/>
          <w:szCs w:val="24"/>
        </w:rPr>
        <w:tab/>
      </w:r>
      <w:r w:rsidRPr="001B24AE">
        <w:rPr>
          <w:szCs w:val="24"/>
        </w:rPr>
        <w:t>(f)</w:t>
      </w:r>
      <w:r w:rsidRPr="001B24AE">
        <w:rPr>
          <w:b/>
          <w:bCs/>
          <w:szCs w:val="24"/>
        </w:rPr>
        <w:tab/>
        <w:t>Facilitate</w:t>
      </w:r>
      <w:r w:rsidRPr="001B24AE">
        <w:rPr>
          <w:b/>
          <w:szCs w:val="24"/>
        </w:rPr>
        <w:t xml:space="preserve"> an open and inclusive public debate about the impact on cultural rights of efforts perceived by some as constituting attempts to Islamize Turkish Cypriot society in a manner not in keeping with local practices and human rights, and take effective steps to address concerns identified in the debate.</w:t>
      </w:r>
    </w:p>
    <w:p w:rsidR="00662584" w:rsidRPr="001B24AE" w:rsidRDefault="00662584" w:rsidP="009316A0">
      <w:pPr>
        <w:pStyle w:val="H1G"/>
      </w:pPr>
      <w:r w:rsidRPr="001B24AE">
        <w:tab/>
      </w:r>
      <w:bookmarkStart w:id="14" w:name="_Toc476228539"/>
      <w:r w:rsidRPr="001B24AE">
        <w:t>D.</w:t>
      </w:r>
      <w:r w:rsidRPr="001B24AE">
        <w:tab/>
        <w:t>Recommendations to the international community</w:t>
      </w:r>
      <w:bookmarkEnd w:id="14"/>
      <w:r w:rsidRPr="001B24AE">
        <w:t xml:space="preserve"> </w:t>
      </w:r>
    </w:p>
    <w:p w:rsidR="00662584" w:rsidRPr="001B24AE" w:rsidRDefault="00662584" w:rsidP="00662584">
      <w:pPr>
        <w:pStyle w:val="SingleTxtG"/>
        <w:rPr>
          <w:szCs w:val="24"/>
        </w:rPr>
      </w:pPr>
      <w:r w:rsidRPr="001B24AE">
        <w:rPr>
          <w:szCs w:val="24"/>
        </w:rPr>
        <w:t>109.</w:t>
      </w:r>
      <w:r w:rsidRPr="001B24AE">
        <w:rPr>
          <w:szCs w:val="24"/>
        </w:rPr>
        <w:tab/>
      </w:r>
      <w:r w:rsidRPr="001B24AE">
        <w:rPr>
          <w:b/>
          <w:szCs w:val="24"/>
        </w:rPr>
        <w:t>The Special Rapporteur recommends that the international community and international organizations:</w:t>
      </w:r>
    </w:p>
    <w:p w:rsidR="00662584" w:rsidRPr="001B24AE" w:rsidRDefault="00662584" w:rsidP="00662584">
      <w:pPr>
        <w:pStyle w:val="SingleTxtG"/>
        <w:rPr>
          <w:b/>
          <w:bCs/>
          <w:szCs w:val="24"/>
        </w:rPr>
      </w:pPr>
      <w:r w:rsidRPr="001B24AE">
        <w:rPr>
          <w:szCs w:val="24"/>
        </w:rPr>
        <w:tab/>
        <w:t>(a)</w:t>
      </w:r>
      <w:r w:rsidRPr="001B24AE">
        <w:rPr>
          <w:b/>
          <w:bCs/>
          <w:szCs w:val="24"/>
        </w:rPr>
        <w:tab/>
        <w:t>Adopt a human rights approach to cultural heritage issues when supporting projects. That implies in particular adequately consulting people and adopting strategies to ensure that cultural heritage is considered as living heritage, with proper plans for the future use, destination and maintenance of sites;</w:t>
      </w:r>
    </w:p>
    <w:p w:rsidR="00662584" w:rsidRPr="001B24AE" w:rsidRDefault="00662584" w:rsidP="00662584">
      <w:pPr>
        <w:pStyle w:val="SingleTxtG"/>
        <w:rPr>
          <w:b/>
          <w:bCs/>
          <w:szCs w:val="24"/>
        </w:rPr>
      </w:pPr>
      <w:r w:rsidRPr="001B24AE">
        <w:rPr>
          <w:b/>
          <w:bCs/>
          <w:szCs w:val="24"/>
        </w:rPr>
        <w:tab/>
      </w:r>
      <w:r w:rsidRPr="001B24AE">
        <w:rPr>
          <w:szCs w:val="24"/>
        </w:rPr>
        <w:t>(b)</w:t>
      </w:r>
      <w:r w:rsidRPr="001B24AE">
        <w:rPr>
          <w:b/>
          <w:bCs/>
          <w:szCs w:val="24"/>
        </w:rPr>
        <w:tab/>
        <w:t>Consider the impact of financial cuts on human rights, in particular cultural rights, in all of its decision-making related to the economy of Cyprus;</w:t>
      </w:r>
    </w:p>
    <w:p w:rsidR="00662584" w:rsidRPr="001B24AE" w:rsidRDefault="00662584" w:rsidP="00662584">
      <w:pPr>
        <w:pStyle w:val="SingleTxtG"/>
        <w:rPr>
          <w:b/>
          <w:szCs w:val="24"/>
        </w:rPr>
      </w:pPr>
      <w:r w:rsidRPr="001B24AE">
        <w:rPr>
          <w:b/>
          <w:bCs/>
          <w:szCs w:val="24"/>
        </w:rPr>
        <w:tab/>
      </w:r>
      <w:r w:rsidRPr="001B24AE">
        <w:rPr>
          <w:szCs w:val="24"/>
        </w:rPr>
        <w:t>(c)</w:t>
      </w:r>
      <w:r w:rsidRPr="001B24AE">
        <w:rPr>
          <w:b/>
          <w:bCs/>
          <w:szCs w:val="24"/>
        </w:rPr>
        <w:tab/>
        <w:t>Pay</w:t>
      </w:r>
      <w:r w:rsidRPr="001B24AE">
        <w:rPr>
          <w:b/>
          <w:szCs w:val="24"/>
        </w:rPr>
        <w:t xml:space="preserve"> more attention to the impact of looting of cultural assets on the human rights of people, in particular their right to freedom of religion or belief and their right to enjoy and access cultural heritage, and increase assistance to the Government of the Republic of Cyprus in their efforts to repatriate trafficked objects.</w:t>
      </w:r>
    </w:p>
    <w:p w:rsidR="009316A0" w:rsidRPr="001B24AE" w:rsidRDefault="009316A0" w:rsidP="009316A0">
      <w:pPr>
        <w:spacing w:before="240"/>
        <w:jc w:val="center"/>
        <w:rPr>
          <w:u w:val="single"/>
        </w:rPr>
      </w:pPr>
      <w:r w:rsidRPr="001B24AE">
        <w:rPr>
          <w:u w:val="single"/>
        </w:rPr>
        <w:tab/>
      </w:r>
      <w:r w:rsidRPr="001B24AE">
        <w:rPr>
          <w:u w:val="single"/>
        </w:rPr>
        <w:tab/>
      </w:r>
      <w:r w:rsidRPr="001B24AE">
        <w:rPr>
          <w:u w:val="single"/>
        </w:rPr>
        <w:tab/>
      </w:r>
    </w:p>
    <w:sectPr w:rsidR="009316A0" w:rsidRPr="001B24AE" w:rsidSect="0066258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B8D" w:rsidRDefault="00FF3B8D" w:rsidP="00247E2C">
      <w:pPr>
        <w:spacing w:line="240" w:lineRule="auto"/>
      </w:pPr>
      <w:r>
        <w:separator/>
      </w:r>
    </w:p>
  </w:endnote>
  <w:endnote w:type="continuationSeparator" w:id="0">
    <w:p w:rsidR="00FF3B8D" w:rsidRDefault="00FF3B8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黑体">
    <w:altName w:val="SimHe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Arial Unicode MS">
    <w:panose1 w:val="020B0604020202020204"/>
    <w:charset w:val="86"/>
    <w:family w:val="swiss"/>
    <w:pitch w:val="variable"/>
    <w:sig w:usb0="F7FFAFFF" w:usb1="E9DFFFFF" w:usb2="0000003F" w:usb3="00000000" w:csb0="001F00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8D" w:rsidRPr="006C009C" w:rsidRDefault="006C009C" w:rsidP="006C009C">
    <w:pPr>
      <w:pStyle w:val="a4"/>
      <w:tabs>
        <w:tab w:val="right" w:pos="9638"/>
      </w:tabs>
      <w:rPr>
        <w:b/>
        <w:sz w:val="18"/>
      </w:rPr>
    </w:pPr>
    <w:r>
      <w:rPr>
        <w:rStyle w:val="a9"/>
      </w:rPr>
      <w:fldChar w:fldCharType="begin"/>
    </w:r>
    <w:r>
      <w:rPr>
        <w:rStyle w:val="a9"/>
      </w:rPr>
      <w:instrText xml:space="preserve"> PAGE  \* MERGEFORMAT </w:instrText>
    </w:r>
    <w:r>
      <w:rPr>
        <w:rStyle w:val="a9"/>
      </w:rPr>
      <w:fldChar w:fldCharType="separate"/>
    </w:r>
    <w:r w:rsidR="008F5E72">
      <w:rPr>
        <w:rStyle w:val="a9"/>
        <w:noProof/>
      </w:rPr>
      <w:t>2</w:t>
    </w:r>
    <w:r>
      <w:rPr>
        <w:rStyle w:val="a9"/>
      </w:rPr>
      <w:fldChar w:fldCharType="end"/>
    </w:r>
    <w:r>
      <w:rPr>
        <w:rStyle w:val="a9"/>
      </w:rPr>
      <w:tab/>
    </w:r>
    <w:proofErr w:type="spellStart"/>
    <w:r w:rsidRPr="00AE30AB">
      <w:rPr>
        <w:rStyle w:val="a9"/>
        <w:b w:val="0"/>
        <w:snapToGrid w:val="0"/>
        <w:sz w:val="16"/>
      </w:rPr>
      <w:t>GE.17</w:t>
    </w:r>
    <w:proofErr w:type="spellEnd"/>
    <w:r w:rsidRPr="00AE30AB">
      <w:rPr>
        <w:rStyle w:val="a9"/>
        <w:b w:val="0"/>
        <w:snapToGrid w:val="0"/>
        <w:sz w:val="16"/>
      </w:rPr>
      <w:t>-03497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8D" w:rsidRPr="006C009C" w:rsidRDefault="006C009C" w:rsidP="006C009C">
    <w:pPr>
      <w:pStyle w:val="a4"/>
      <w:tabs>
        <w:tab w:val="right" w:pos="9638"/>
      </w:tabs>
      <w:rPr>
        <w:b/>
        <w:sz w:val="18"/>
      </w:rPr>
    </w:pPr>
    <w:proofErr w:type="spellStart"/>
    <w:r>
      <w:t>GE.17</w:t>
    </w:r>
    <w:proofErr w:type="spellEnd"/>
    <w:r>
      <w:t>-03497</w:t>
    </w:r>
    <w:r>
      <w:tab/>
    </w:r>
    <w:r>
      <w:rPr>
        <w:rStyle w:val="a9"/>
      </w:rPr>
      <w:fldChar w:fldCharType="begin"/>
    </w:r>
    <w:r>
      <w:rPr>
        <w:rStyle w:val="a9"/>
      </w:rPr>
      <w:instrText xml:space="preserve"> PAGE  \* MERGEFORMAT </w:instrText>
    </w:r>
    <w:r>
      <w:rPr>
        <w:rStyle w:val="a9"/>
      </w:rPr>
      <w:fldChar w:fldCharType="separate"/>
    </w:r>
    <w:r w:rsidR="008F5E72">
      <w:rPr>
        <w:rStyle w:val="a9"/>
        <w:noProof/>
      </w:rPr>
      <w:t>3</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09C" w:rsidRPr="008B4347" w:rsidRDefault="006C009C" w:rsidP="006C009C">
    <w:pPr>
      <w:pStyle w:val="a4"/>
      <w:tabs>
        <w:tab w:val="left" w:pos="1701"/>
        <w:tab w:val="left" w:pos="2552"/>
        <w:tab w:val="left" w:pos="8448"/>
      </w:tabs>
      <w:spacing w:before="360"/>
      <w:rPr>
        <w:rFonts w:eastAsiaTheme="minorEastAsia"/>
        <w:b/>
        <w:sz w:val="21"/>
      </w:rPr>
    </w:pPr>
    <w:proofErr w:type="spellStart"/>
    <w:r>
      <w:rPr>
        <w:sz w:val="20"/>
      </w:rPr>
      <w:t>GE.17</w:t>
    </w:r>
    <w:proofErr w:type="spellEnd"/>
    <w:r>
      <w:rPr>
        <w:sz w:val="20"/>
      </w:rPr>
      <w:t>-03497</w:t>
    </w:r>
    <w:r w:rsidRPr="00EE277A">
      <w:rPr>
        <w:sz w:val="20"/>
      </w:rPr>
      <w:t xml:space="preserve"> (C)</w:t>
    </w:r>
    <w:r>
      <w:rPr>
        <w:sz w:val="20"/>
      </w:rPr>
      <w:tab/>
    </w:r>
    <w:r>
      <w:rPr>
        <w:rFonts w:eastAsiaTheme="minorEastAsia" w:hint="eastAsia"/>
        <w:sz w:val="20"/>
      </w:rPr>
      <w:t>1503</w:t>
    </w:r>
    <w:r>
      <w:rPr>
        <w:sz w:val="20"/>
      </w:rPr>
      <w:t>1</w:t>
    </w:r>
    <w:r>
      <w:rPr>
        <w:rFonts w:eastAsiaTheme="minorEastAsia"/>
        <w:sz w:val="20"/>
      </w:rPr>
      <w:t>7</w:t>
    </w:r>
    <w:r>
      <w:rPr>
        <w:sz w:val="20"/>
      </w:rPr>
      <w:tab/>
    </w:r>
    <w:r>
      <w:rPr>
        <w:rFonts w:eastAsiaTheme="minorEastAsia" w:hint="eastAsia"/>
        <w:sz w:val="20"/>
      </w:rPr>
      <w:t>2303</w:t>
    </w:r>
    <w:r>
      <w:rPr>
        <w:sz w:val="20"/>
      </w:rPr>
      <w:t>1</w:t>
    </w:r>
    <w:r>
      <w:rPr>
        <w:rFonts w:eastAsiaTheme="minorEastAsia"/>
        <w:sz w:val="20"/>
      </w:rPr>
      <w:t>7</w:t>
    </w:r>
  </w:p>
  <w:p w:rsidR="00663049" w:rsidRPr="006C009C" w:rsidRDefault="006C009C" w:rsidP="006C009C">
    <w:pPr>
      <w:pStyle w:val="a4"/>
      <w:tabs>
        <w:tab w:val="right" w:pos="8450"/>
      </w:tabs>
      <w:rPr>
        <w:sz w:val="20"/>
        <w:lang w:val="en-U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lang w:val="en-US"/>
      </w:rPr>
      <w:drawing>
        <wp:anchor distT="0" distB="0" distL="114300" distR="114300" simplePos="0" relativeHeight="251659264" behindDoc="0" locked="0" layoutInCell="1" allowOverlap="1" wp14:anchorId="11A2FEE2" wp14:editId="3518EB49">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34/56/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56/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rPr>
      <w:drawing>
        <wp:inline distT="0" distB="0" distL="0" distR="0" wp14:anchorId="180726CC" wp14:editId="65680C8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B8D" w:rsidRPr="006C009C" w:rsidRDefault="006C009C" w:rsidP="006C009C">
      <w:pPr>
        <w:pStyle w:val="a4"/>
        <w:tabs>
          <w:tab w:val="right" w:pos="2155"/>
        </w:tabs>
        <w:spacing w:after="80" w:line="240" w:lineRule="atLeast"/>
        <w:ind w:left="680"/>
        <w:rPr>
          <w:u w:val="single"/>
        </w:rPr>
      </w:pPr>
      <w:r>
        <w:rPr>
          <w:u w:val="single"/>
        </w:rPr>
        <w:tab/>
      </w:r>
    </w:p>
  </w:footnote>
  <w:footnote w:type="continuationSeparator" w:id="0">
    <w:p w:rsidR="00FF3B8D" w:rsidRDefault="00FF3B8D" w:rsidP="00247E2C">
      <w:pPr>
        <w:spacing w:line="240" w:lineRule="auto"/>
      </w:pPr>
      <w:r>
        <w:continuationSeparator/>
      </w:r>
    </w:p>
  </w:footnote>
  <w:footnote w:id="1">
    <w:p w:rsidR="006C009C" w:rsidRPr="006C009C" w:rsidRDefault="006C009C" w:rsidP="006C009C">
      <w:pPr>
        <w:pStyle w:val="a6"/>
        <w:keepLines/>
        <w:suppressAutoHyphens w:val="0"/>
        <w:overflowPunct w:val="0"/>
        <w:adjustRightInd w:val="0"/>
        <w:snapToGrid w:val="0"/>
        <w:spacing w:after="360" w:line="240" w:lineRule="exact"/>
        <w:rPr>
          <w:rStyle w:val="a8"/>
          <w:snapToGrid w:val="0"/>
          <w:szCs w:val="18"/>
          <w:vertAlign w:val="baseline"/>
          <w:lang w:val="en-US"/>
        </w:rPr>
      </w:pPr>
      <w:r w:rsidRPr="006C009C">
        <w:rPr>
          <w:rStyle w:val="a8"/>
          <w:rFonts w:hint="eastAsia"/>
          <w:snapToGrid w:val="0"/>
          <w:color w:val="0000FF"/>
          <w:sz w:val="21"/>
          <w:vertAlign w:val="baseline"/>
          <w:lang w:val="en-US"/>
        </w:rPr>
        <w:tab/>
      </w:r>
      <w:r w:rsidRPr="006C009C">
        <w:rPr>
          <w:rStyle w:val="a8"/>
          <w:snapToGrid w:val="0"/>
          <w:color w:val="0000FF"/>
          <w:sz w:val="21"/>
          <w:vertAlign w:val="baseline"/>
          <w:lang w:val="en-US"/>
        </w:rPr>
        <w:t>*</w:t>
      </w:r>
      <w:r w:rsidRPr="006C009C">
        <w:rPr>
          <w:rStyle w:val="a8"/>
          <w:rFonts w:hint="eastAsia"/>
          <w:snapToGrid w:val="0"/>
          <w:color w:val="0000FF"/>
          <w:sz w:val="21"/>
          <w:vertAlign w:val="baseline"/>
          <w:lang w:val="en-US"/>
        </w:rPr>
        <w:tab/>
      </w:r>
      <w:r w:rsidRPr="006C009C">
        <w:rPr>
          <w:rStyle w:val="a8"/>
          <w:rFonts w:hint="eastAsia"/>
          <w:snapToGrid w:val="0"/>
          <w:szCs w:val="18"/>
          <w:vertAlign w:val="baseline"/>
          <w:lang w:val="en-US"/>
        </w:rPr>
        <w:t>本文件逾期提交，以反映最新动态。</w:t>
      </w:r>
    </w:p>
  </w:footnote>
  <w:footnote w:id="2">
    <w:p w:rsidR="00FF3B8D" w:rsidRPr="00662584" w:rsidRDefault="00FF3B8D" w:rsidP="00662584">
      <w:pPr>
        <w:pStyle w:val="a6"/>
      </w:pPr>
      <w:r>
        <w:rPr>
          <w:rStyle w:val="a8"/>
        </w:rPr>
        <w:tab/>
      </w:r>
      <w:r w:rsidRPr="00662584">
        <w:rPr>
          <w:rStyle w:val="a8"/>
          <w:sz w:val="20"/>
          <w:vertAlign w:val="baseline"/>
        </w:rPr>
        <w:t>**</w:t>
      </w:r>
      <w:r>
        <w:rPr>
          <w:rStyle w:val="a8"/>
          <w:sz w:val="20"/>
          <w:vertAlign w:val="baseline"/>
        </w:rPr>
        <w:tab/>
      </w:r>
      <w:proofErr w:type="gramStart"/>
      <w:r w:rsidRPr="00662584">
        <w:t>Circulated in the language of submission only.</w:t>
      </w:r>
      <w:proofErr w:type="gramEnd"/>
    </w:p>
  </w:footnote>
  <w:footnote w:id="3">
    <w:p w:rsidR="00FF3B8D" w:rsidRPr="006C20C4" w:rsidRDefault="00FF3B8D" w:rsidP="00662584">
      <w:pPr>
        <w:pStyle w:val="a6"/>
        <w:rPr>
          <w:szCs w:val="18"/>
        </w:rPr>
      </w:pPr>
      <w:r w:rsidRPr="006C20C4">
        <w:rPr>
          <w:szCs w:val="18"/>
        </w:rPr>
        <w:tab/>
      </w:r>
      <w:r w:rsidRPr="00662584">
        <w:rPr>
          <w:rStyle w:val="a8"/>
        </w:rPr>
        <w:footnoteRef/>
      </w:r>
      <w:r w:rsidRPr="006C20C4">
        <w:rPr>
          <w:szCs w:val="18"/>
        </w:rPr>
        <w:tab/>
      </w:r>
      <w:r>
        <w:rPr>
          <w:szCs w:val="18"/>
        </w:rPr>
        <w:t xml:space="preserve">See </w:t>
      </w:r>
      <w:r w:rsidRPr="006C20C4">
        <w:rPr>
          <w:szCs w:val="18"/>
        </w:rPr>
        <w:t>Office of the</w:t>
      </w:r>
      <w:r w:rsidRPr="00FD4371">
        <w:t xml:space="preserve"> </w:t>
      </w:r>
      <w:r w:rsidRPr="001F3331">
        <w:t xml:space="preserve">Religious Track </w:t>
      </w:r>
      <w:r w:rsidRPr="001F3331">
        <w:rPr>
          <w:lang w:eastAsia="fr-FR"/>
        </w:rPr>
        <w:t>of the Cyprus Peace Process</w:t>
      </w:r>
      <w:r>
        <w:rPr>
          <w:lang w:eastAsia="fr-FR"/>
        </w:rPr>
        <w:t xml:space="preserve">, available from </w:t>
      </w:r>
      <w:hyperlink r:id="rId1" w:history="1">
        <w:r w:rsidRPr="000A0D91">
          <w:rPr>
            <w:lang w:eastAsia="fr-FR"/>
          </w:rPr>
          <w:t>www.religioustrack.com</w:t>
        </w:r>
      </w:hyperlink>
      <w:r>
        <w:rPr>
          <w:lang w:eastAsia="fr-FR"/>
        </w:rPr>
        <w:t>.</w:t>
      </w:r>
      <w:r>
        <w:rPr>
          <w:szCs w:val="18"/>
        </w:rPr>
        <w:t xml:space="preserve"> See in particular,</w:t>
      </w:r>
      <w:r w:rsidRPr="006C20C4">
        <w:rPr>
          <w:szCs w:val="18"/>
        </w:rPr>
        <w:t xml:space="preserve"> press releases</w:t>
      </w:r>
      <w:r>
        <w:rPr>
          <w:szCs w:val="18"/>
        </w:rPr>
        <w:t xml:space="preserve"> of</w:t>
      </w:r>
      <w:r w:rsidRPr="006C20C4">
        <w:rPr>
          <w:szCs w:val="18"/>
        </w:rPr>
        <w:t xml:space="preserve"> 11 June </w:t>
      </w:r>
      <w:r>
        <w:rPr>
          <w:szCs w:val="18"/>
        </w:rPr>
        <w:t xml:space="preserve">and 15 September </w:t>
      </w:r>
      <w:r w:rsidRPr="006C20C4">
        <w:rPr>
          <w:szCs w:val="18"/>
        </w:rPr>
        <w:t>2016</w:t>
      </w:r>
      <w:r>
        <w:rPr>
          <w:szCs w:val="18"/>
        </w:rPr>
        <w:t>.</w:t>
      </w:r>
      <w:r w:rsidRPr="006C20C4">
        <w:rPr>
          <w:szCs w:val="18"/>
        </w:rPr>
        <w:t xml:space="preserve"> </w:t>
      </w:r>
    </w:p>
  </w:footnote>
  <w:footnote w:id="4">
    <w:p w:rsidR="00FF3B8D" w:rsidRPr="006C20C4" w:rsidRDefault="00FF3B8D" w:rsidP="00662584">
      <w:pPr>
        <w:pStyle w:val="a6"/>
        <w:rPr>
          <w:szCs w:val="18"/>
        </w:rPr>
      </w:pPr>
      <w:r w:rsidRPr="006C20C4">
        <w:rPr>
          <w:szCs w:val="18"/>
        </w:rPr>
        <w:tab/>
      </w:r>
      <w:r w:rsidRPr="00662584">
        <w:rPr>
          <w:rStyle w:val="a8"/>
        </w:rPr>
        <w:footnoteRef/>
      </w:r>
      <w:r w:rsidRPr="006C20C4">
        <w:rPr>
          <w:szCs w:val="18"/>
        </w:rPr>
        <w:tab/>
      </w:r>
      <w:proofErr w:type="gramStart"/>
      <w:r w:rsidRPr="006C20C4">
        <w:rPr>
          <w:szCs w:val="18"/>
        </w:rPr>
        <w:t xml:space="preserve">European Commission </w:t>
      </w:r>
      <w:r>
        <w:rPr>
          <w:szCs w:val="18"/>
        </w:rPr>
        <w:t>against</w:t>
      </w:r>
      <w:r w:rsidRPr="006C20C4">
        <w:rPr>
          <w:szCs w:val="18"/>
        </w:rPr>
        <w:t xml:space="preserve"> Racism and Intolerance, </w:t>
      </w:r>
      <w:r w:rsidR="001B24AE">
        <w:rPr>
          <w:szCs w:val="18"/>
        </w:rPr>
        <w:t>“</w:t>
      </w:r>
      <w:r w:rsidRPr="006C20C4">
        <w:rPr>
          <w:szCs w:val="18"/>
        </w:rPr>
        <w:t>Report on Cyprus</w:t>
      </w:r>
      <w:r w:rsidR="001B24AE">
        <w:rPr>
          <w:szCs w:val="18"/>
        </w:rPr>
        <w:t>”</w:t>
      </w:r>
      <w:r w:rsidRPr="006C20C4">
        <w:rPr>
          <w:szCs w:val="18"/>
        </w:rPr>
        <w:t xml:space="preserve">, </w:t>
      </w:r>
      <w:r>
        <w:rPr>
          <w:szCs w:val="18"/>
        </w:rPr>
        <w:t>June 2016</w:t>
      </w:r>
      <w:r w:rsidRPr="006C20C4">
        <w:rPr>
          <w:szCs w:val="18"/>
        </w:rPr>
        <w:t>, paras.</w:t>
      </w:r>
      <w:proofErr w:type="gramEnd"/>
      <w:r w:rsidRPr="006C20C4">
        <w:rPr>
          <w:szCs w:val="18"/>
        </w:rPr>
        <w:t xml:space="preserve"> </w:t>
      </w:r>
      <w:proofErr w:type="gramStart"/>
      <w:r w:rsidRPr="006C20C4">
        <w:rPr>
          <w:szCs w:val="18"/>
        </w:rPr>
        <w:t>36 and 42</w:t>
      </w:r>
      <w:r>
        <w:rPr>
          <w:szCs w:val="18"/>
        </w:rPr>
        <w:t>.</w:t>
      </w:r>
      <w:proofErr w:type="gramEnd"/>
      <w:r w:rsidRPr="006C20C4">
        <w:rPr>
          <w:szCs w:val="18"/>
        </w:rPr>
        <w:t xml:space="preserve"> </w:t>
      </w:r>
    </w:p>
  </w:footnote>
  <w:footnote w:id="5">
    <w:p w:rsidR="00FF3B8D" w:rsidRPr="006C20C4" w:rsidRDefault="00FF3B8D" w:rsidP="00662584">
      <w:pPr>
        <w:pStyle w:val="a6"/>
        <w:rPr>
          <w:szCs w:val="18"/>
          <w:lang w:val="en-US"/>
        </w:rPr>
      </w:pPr>
      <w:r w:rsidRPr="006C20C4">
        <w:rPr>
          <w:szCs w:val="18"/>
        </w:rPr>
        <w:tab/>
      </w:r>
      <w:r w:rsidRPr="00662584">
        <w:rPr>
          <w:rStyle w:val="a8"/>
        </w:rPr>
        <w:footnoteRef/>
      </w:r>
      <w:r w:rsidRPr="006C20C4">
        <w:rPr>
          <w:szCs w:val="18"/>
        </w:rPr>
        <w:tab/>
      </w:r>
      <w:r w:rsidRPr="006C20C4">
        <w:rPr>
          <w:szCs w:val="18"/>
          <w:lang w:val="en-US"/>
        </w:rPr>
        <w:t xml:space="preserve">See the discussion of the term </w:t>
      </w:r>
      <w:r w:rsidR="001B24AE">
        <w:rPr>
          <w:szCs w:val="18"/>
          <w:lang w:val="en-US"/>
        </w:rPr>
        <w:t>“</w:t>
      </w:r>
      <w:r w:rsidRPr="006C20C4">
        <w:rPr>
          <w:szCs w:val="18"/>
          <w:lang w:val="en-US"/>
        </w:rPr>
        <w:t>community</w:t>
      </w:r>
      <w:r w:rsidR="001B24AE">
        <w:rPr>
          <w:szCs w:val="18"/>
          <w:lang w:val="en-US"/>
        </w:rPr>
        <w:t>”</w:t>
      </w:r>
      <w:r w:rsidRPr="006C20C4">
        <w:rPr>
          <w:szCs w:val="18"/>
          <w:lang w:val="en-US"/>
        </w:rPr>
        <w:t xml:space="preserve"> and some of its implications for cultural rights in A/HRC/31/59, paras. 11-18. </w:t>
      </w:r>
      <w:proofErr w:type="gramStart"/>
      <w:r w:rsidRPr="006C20C4">
        <w:rPr>
          <w:szCs w:val="18"/>
          <w:lang w:val="en-US"/>
        </w:rPr>
        <w:t>The</w:t>
      </w:r>
      <w:proofErr w:type="gramEnd"/>
      <w:r w:rsidRPr="006C20C4">
        <w:rPr>
          <w:szCs w:val="18"/>
          <w:lang w:val="en-US"/>
        </w:rPr>
        <w:t xml:space="preserve"> term is used here because it is employed in the 1960 Constitution.</w:t>
      </w:r>
    </w:p>
  </w:footnote>
  <w:footnote w:id="6">
    <w:p w:rsidR="00FF3B8D" w:rsidRPr="006C20C4" w:rsidRDefault="00FF3B8D" w:rsidP="00662584">
      <w:pPr>
        <w:pStyle w:val="a6"/>
        <w:rPr>
          <w:szCs w:val="18"/>
        </w:rPr>
      </w:pPr>
      <w:r w:rsidRPr="006C20C4">
        <w:rPr>
          <w:szCs w:val="18"/>
        </w:rPr>
        <w:tab/>
      </w:r>
      <w:r w:rsidRPr="00662584">
        <w:rPr>
          <w:rStyle w:val="a8"/>
        </w:rPr>
        <w:footnoteRef/>
      </w:r>
      <w:r w:rsidRPr="00BE1AB7">
        <w:rPr>
          <w:szCs w:val="18"/>
        </w:rPr>
        <w:tab/>
        <w:t>See</w:t>
      </w:r>
      <w:r>
        <w:rPr>
          <w:szCs w:val="18"/>
        </w:rPr>
        <w:t xml:space="preserve"> also</w:t>
      </w:r>
      <w:r w:rsidRPr="00BE1AB7">
        <w:rPr>
          <w:szCs w:val="18"/>
        </w:rPr>
        <w:t xml:space="preserve"> </w:t>
      </w:r>
      <w:r>
        <w:rPr>
          <w:szCs w:val="18"/>
        </w:rPr>
        <w:t xml:space="preserve">Council of Europe </w:t>
      </w:r>
      <w:r w:rsidRPr="00CF4B56">
        <w:rPr>
          <w:szCs w:val="18"/>
        </w:rPr>
        <w:t>Advisory Committee on the</w:t>
      </w:r>
      <w:r w:rsidRPr="00BE1AB7">
        <w:rPr>
          <w:szCs w:val="18"/>
        </w:rPr>
        <w:t xml:space="preserve"> </w:t>
      </w:r>
      <w:r w:rsidRPr="00CF4B56">
        <w:rPr>
          <w:szCs w:val="18"/>
        </w:rPr>
        <w:t>Framework Convention for the Protection of</w:t>
      </w:r>
      <w:r w:rsidRPr="00BE1AB7">
        <w:rPr>
          <w:szCs w:val="18"/>
        </w:rPr>
        <w:t xml:space="preserve"> </w:t>
      </w:r>
      <w:r w:rsidRPr="00CF4B56">
        <w:rPr>
          <w:szCs w:val="18"/>
        </w:rPr>
        <w:t>National Minorities</w:t>
      </w:r>
      <w:r>
        <w:rPr>
          <w:szCs w:val="18"/>
        </w:rPr>
        <w:t xml:space="preserve">, </w:t>
      </w:r>
      <w:r w:rsidR="001B24AE">
        <w:rPr>
          <w:szCs w:val="18"/>
          <w:lang w:eastAsia="en-GB"/>
        </w:rPr>
        <w:t>“</w:t>
      </w:r>
      <w:r>
        <w:rPr>
          <w:szCs w:val="18"/>
          <w:lang w:eastAsia="en-GB"/>
        </w:rPr>
        <w:t>Fourth opinion on Cyprus</w:t>
      </w:r>
      <w:r w:rsidR="001B24AE">
        <w:rPr>
          <w:szCs w:val="18"/>
          <w:lang w:eastAsia="en-GB"/>
        </w:rPr>
        <w:t>”</w:t>
      </w:r>
      <w:r>
        <w:rPr>
          <w:szCs w:val="18"/>
          <w:lang w:eastAsia="en-GB"/>
        </w:rPr>
        <w:t>, March 2015</w:t>
      </w:r>
      <w:r w:rsidRPr="00BE1AB7">
        <w:rPr>
          <w:szCs w:val="18"/>
          <w:lang w:eastAsia="en-GB"/>
        </w:rPr>
        <w:t xml:space="preserve">, paras. </w:t>
      </w:r>
      <w:r w:rsidRPr="006C20C4">
        <w:rPr>
          <w:szCs w:val="18"/>
          <w:lang w:eastAsia="en-GB"/>
        </w:rPr>
        <w:t>11-15.</w:t>
      </w:r>
      <w:r w:rsidRPr="006C20C4">
        <w:rPr>
          <w:szCs w:val="18"/>
        </w:rPr>
        <w:t xml:space="preserve"> </w:t>
      </w:r>
    </w:p>
  </w:footnote>
  <w:footnote w:id="7">
    <w:p w:rsidR="00FF3B8D" w:rsidRPr="006C20C4" w:rsidRDefault="00FF3B8D" w:rsidP="001B24AE">
      <w:pPr>
        <w:pStyle w:val="a6"/>
        <w:rPr>
          <w:szCs w:val="18"/>
        </w:rPr>
      </w:pPr>
      <w:r w:rsidRPr="006C20C4">
        <w:rPr>
          <w:szCs w:val="18"/>
        </w:rPr>
        <w:tab/>
      </w:r>
      <w:r w:rsidRPr="00662584">
        <w:rPr>
          <w:rStyle w:val="a8"/>
        </w:rPr>
        <w:footnoteRef/>
      </w:r>
      <w:r w:rsidRPr="006C20C4">
        <w:rPr>
          <w:szCs w:val="18"/>
        </w:rPr>
        <w:tab/>
      </w:r>
      <w:r>
        <w:rPr>
          <w:szCs w:val="18"/>
        </w:rPr>
        <w:t xml:space="preserve">See also </w:t>
      </w:r>
      <w:r w:rsidRPr="00AD714A">
        <w:rPr>
          <w:szCs w:val="18"/>
        </w:rPr>
        <w:t xml:space="preserve">Nikolas </w:t>
      </w:r>
      <w:proofErr w:type="spellStart"/>
      <w:r w:rsidRPr="00AD714A">
        <w:rPr>
          <w:szCs w:val="18"/>
        </w:rPr>
        <w:t>Kyriakou</w:t>
      </w:r>
      <w:proofErr w:type="spellEnd"/>
      <w:r w:rsidRPr="00AD714A">
        <w:rPr>
          <w:szCs w:val="18"/>
        </w:rPr>
        <w:t xml:space="preserve"> and </w:t>
      </w:r>
      <w:proofErr w:type="spellStart"/>
      <w:r w:rsidRPr="00AD714A">
        <w:rPr>
          <w:szCs w:val="18"/>
        </w:rPr>
        <w:t>Nurcan</w:t>
      </w:r>
      <w:proofErr w:type="spellEnd"/>
      <w:r w:rsidRPr="00AD714A">
        <w:rPr>
          <w:szCs w:val="18"/>
        </w:rPr>
        <w:t xml:space="preserve"> Kaya</w:t>
      </w:r>
      <w:r>
        <w:rPr>
          <w:szCs w:val="18"/>
        </w:rPr>
        <w:t>,</w:t>
      </w:r>
      <w:r w:rsidRPr="00AD714A">
        <w:rPr>
          <w:szCs w:val="18"/>
        </w:rPr>
        <w:t xml:space="preserve"> </w:t>
      </w:r>
      <w:r w:rsidR="001B24AE">
        <w:rPr>
          <w:szCs w:val="18"/>
        </w:rPr>
        <w:t>“</w:t>
      </w:r>
      <w:r w:rsidRPr="00BE1AB7">
        <w:rPr>
          <w:bCs/>
          <w:szCs w:val="18"/>
          <w:lang w:eastAsia="en-GB"/>
        </w:rPr>
        <w:t xml:space="preserve">Minority rights: </w:t>
      </w:r>
      <w:r w:rsidRPr="00AD714A">
        <w:rPr>
          <w:bCs/>
          <w:szCs w:val="18"/>
          <w:lang w:eastAsia="en-GB"/>
        </w:rPr>
        <w:t xml:space="preserve">solutions </w:t>
      </w:r>
      <w:r w:rsidRPr="00BE1AB7">
        <w:rPr>
          <w:bCs/>
          <w:szCs w:val="18"/>
          <w:lang w:eastAsia="en-GB"/>
        </w:rPr>
        <w:t>to the Cyprus conflict</w:t>
      </w:r>
      <w:r w:rsidR="001B24AE">
        <w:rPr>
          <w:bCs/>
          <w:szCs w:val="18"/>
          <w:lang w:eastAsia="en-GB"/>
        </w:rPr>
        <w:t>”</w:t>
      </w:r>
      <w:r w:rsidRPr="006C20C4">
        <w:rPr>
          <w:bCs/>
          <w:szCs w:val="18"/>
          <w:lang w:eastAsia="en-GB"/>
        </w:rPr>
        <w:t xml:space="preserve">, </w:t>
      </w:r>
      <w:r w:rsidRPr="006C20C4">
        <w:rPr>
          <w:szCs w:val="18"/>
        </w:rPr>
        <w:t xml:space="preserve">Minority Rights Group International, </w:t>
      </w:r>
      <w:r w:rsidRPr="006C20C4">
        <w:rPr>
          <w:bCs/>
          <w:szCs w:val="18"/>
          <w:lang w:eastAsia="en-GB"/>
        </w:rPr>
        <w:t>2011.</w:t>
      </w:r>
    </w:p>
  </w:footnote>
  <w:footnote w:id="8">
    <w:p w:rsidR="00FF3B8D" w:rsidRPr="00BE1AB7" w:rsidRDefault="00FF3B8D" w:rsidP="00662584">
      <w:pPr>
        <w:pStyle w:val="a6"/>
        <w:rPr>
          <w:szCs w:val="18"/>
        </w:rPr>
      </w:pPr>
      <w:r w:rsidRPr="006C20C4">
        <w:rPr>
          <w:szCs w:val="18"/>
        </w:rPr>
        <w:tab/>
      </w:r>
      <w:r w:rsidRPr="00662584">
        <w:rPr>
          <w:rStyle w:val="a8"/>
        </w:rPr>
        <w:footnoteRef/>
      </w:r>
      <w:r w:rsidRPr="006C20C4">
        <w:rPr>
          <w:szCs w:val="18"/>
        </w:rPr>
        <w:tab/>
      </w:r>
      <w:r>
        <w:rPr>
          <w:szCs w:val="18"/>
        </w:rPr>
        <w:t xml:space="preserve">See </w:t>
      </w:r>
      <w:r w:rsidRPr="006C20C4">
        <w:rPr>
          <w:szCs w:val="18"/>
        </w:rPr>
        <w:t xml:space="preserve">Committee on Economic, Social and Cultural Rights, general comment </w:t>
      </w:r>
      <w:r>
        <w:rPr>
          <w:szCs w:val="18"/>
        </w:rPr>
        <w:t xml:space="preserve">No. </w:t>
      </w:r>
      <w:r w:rsidRPr="006C20C4">
        <w:rPr>
          <w:szCs w:val="18"/>
        </w:rPr>
        <w:t>21</w:t>
      </w:r>
      <w:r>
        <w:rPr>
          <w:szCs w:val="18"/>
        </w:rPr>
        <w:t xml:space="preserve"> (2009) on the right of everyone to take part in cultural life</w:t>
      </w:r>
      <w:r w:rsidRPr="006C20C4">
        <w:rPr>
          <w:szCs w:val="18"/>
        </w:rPr>
        <w:t xml:space="preserve">, para. </w:t>
      </w:r>
      <w:proofErr w:type="gramStart"/>
      <w:r w:rsidRPr="00BE1AB7">
        <w:rPr>
          <w:szCs w:val="18"/>
        </w:rPr>
        <w:t>15 (a).</w:t>
      </w:r>
      <w:proofErr w:type="gramEnd"/>
      <w:r w:rsidRPr="00BE1AB7">
        <w:rPr>
          <w:szCs w:val="18"/>
        </w:rPr>
        <w:t xml:space="preserve"> </w:t>
      </w:r>
    </w:p>
  </w:footnote>
  <w:footnote w:id="9">
    <w:p w:rsidR="00FF3B8D" w:rsidRPr="00BE1AB7" w:rsidRDefault="00FF3B8D" w:rsidP="00662584">
      <w:pPr>
        <w:pStyle w:val="a6"/>
        <w:rPr>
          <w:szCs w:val="18"/>
        </w:rPr>
      </w:pPr>
      <w:r w:rsidRPr="00BE1AB7">
        <w:rPr>
          <w:szCs w:val="18"/>
        </w:rPr>
        <w:tab/>
      </w:r>
      <w:r w:rsidRPr="00662584">
        <w:rPr>
          <w:rStyle w:val="a8"/>
        </w:rPr>
        <w:footnoteRef/>
      </w:r>
      <w:r w:rsidRPr="00BE1AB7">
        <w:rPr>
          <w:szCs w:val="18"/>
        </w:rPr>
        <w:tab/>
        <w:t>See also</w:t>
      </w:r>
      <w:r w:rsidRPr="009B623E">
        <w:rPr>
          <w:szCs w:val="18"/>
        </w:rPr>
        <w:t xml:space="preserve"> </w:t>
      </w:r>
      <w:r w:rsidRPr="00CF4B56">
        <w:rPr>
          <w:szCs w:val="18"/>
        </w:rPr>
        <w:t>Committee on the</w:t>
      </w:r>
      <w:r w:rsidRPr="00216E65">
        <w:rPr>
          <w:szCs w:val="18"/>
        </w:rPr>
        <w:t xml:space="preserve"> </w:t>
      </w:r>
      <w:r w:rsidRPr="00CF4B56">
        <w:rPr>
          <w:szCs w:val="18"/>
        </w:rPr>
        <w:t>Framework Convention for the Protection of</w:t>
      </w:r>
      <w:r w:rsidRPr="00216E65">
        <w:rPr>
          <w:szCs w:val="18"/>
        </w:rPr>
        <w:t xml:space="preserve"> </w:t>
      </w:r>
      <w:r w:rsidRPr="00CF4B56">
        <w:rPr>
          <w:szCs w:val="18"/>
        </w:rPr>
        <w:t>National Minorities</w:t>
      </w:r>
      <w:r>
        <w:rPr>
          <w:szCs w:val="18"/>
        </w:rPr>
        <w:t xml:space="preserve">, </w:t>
      </w:r>
      <w:r w:rsidR="001B24AE">
        <w:rPr>
          <w:szCs w:val="18"/>
          <w:lang w:eastAsia="en-GB"/>
        </w:rPr>
        <w:t>“</w:t>
      </w:r>
      <w:r>
        <w:rPr>
          <w:szCs w:val="18"/>
          <w:lang w:eastAsia="en-GB"/>
        </w:rPr>
        <w:t>Fourth opinion on Cyprus</w:t>
      </w:r>
      <w:r w:rsidR="001B24AE">
        <w:rPr>
          <w:szCs w:val="18"/>
          <w:lang w:eastAsia="en-GB"/>
        </w:rPr>
        <w:t>”</w:t>
      </w:r>
      <w:r w:rsidRPr="00BE1AB7">
        <w:rPr>
          <w:szCs w:val="18"/>
          <w:lang w:eastAsia="en-GB"/>
        </w:rPr>
        <w:t>, para. 12.</w:t>
      </w:r>
      <w:r w:rsidRPr="00BE1AB7">
        <w:rPr>
          <w:szCs w:val="18"/>
        </w:rPr>
        <w:t xml:space="preserve"> </w:t>
      </w:r>
    </w:p>
  </w:footnote>
  <w:footnote w:id="10">
    <w:p w:rsidR="00FF3B8D" w:rsidRPr="00BE1AB7" w:rsidRDefault="00FF3B8D" w:rsidP="00662584">
      <w:pPr>
        <w:pStyle w:val="a6"/>
        <w:rPr>
          <w:szCs w:val="18"/>
        </w:rPr>
      </w:pPr>
      <w:r w:rsidRPr="00BE1AB7">
        <w:rPr>
          <w:szCs w:val="18"/>
        </w:rPr>
        <w:tab/>
      </w:r>
      <w:r w:rsidRPr="00662584">
        <w:rPr>
          <w:rStyle w:val="a8"/>
        </w:rPr>
        <w:footnoteRef/>
      </w:r>
      <w:r w:rsidRPr="00BE1AB7">
        <w:rPr>
          <w:szCs w:val="18"/>
        </w:rPr>
        <w:tab/>
      </w:r>
      <w:proofErr w:type="gramStart"/>
      <w:r w:rsidRPr="00BE1AB7">
        <w:rPr>
          <w:szCs w:val="18"/>
          <w:lang w:eastAsia="en-GB"/>
        </w:rPr>
        <w:t>Ibid.,</w:t>
      </w:r>
      <w:proofErr w:type="gramEnd"/>
      <w:r w:rsidRPr="00BE1AB7">
        <w:rPr>
          <w:szCs w:val="18"/>
          <w:lang w:eastAsia="en-GB"/>
        </w:rPr>
        <w:t xml:space="preserve"> para. 4.</w:t>
      </w:r>
    </w:p>
  </w:footnote>
  <w:footnote w:id="11">
    <w:p w:rsidR="00FF3B8D" w:rsidRPr="00BE1AB7" w:rsidRDefault="00FF3B8D" w:rsidP="00662584">
      <w:pPr>
        <w:pStyle w:val="a6"/>
        <w:rPr>
          <w:highlight w:val="yellow"/>
        </w:rPr>
      </w:pPr>
      <w:r>
        <w:tab/>
      </w:r>
      <w:r w:rsidRPr="00662584">
        <w:rPr>
          <w:rStyle w:val="a8"/>
        </w:rPr>
        <w:footnoteRef/>
      </w:r>
      <w:r>
        <w:t xml:space="preserve"> </w:t>
      </w:r>
      <w:r>
        <w:tab/>
      </w:r>
      <w:r w:rsidRPr="00450A0E">
        <w:t>The Special Rapporteur note</w:t>
      </w:r>
      <w:r>
        <w:t>s</w:t>
      </w:r>
      <w:r w:rsidRPr="00450A0E">
        <w:t xml:space="preserve"> that in recent years, UNESCO </w:t>
      </w:r>
      <w:r>
        <w:t xml:space="preserve">has </w:t>
      </w:r>
      <w:r w:rsidRPr="00450A0E">
        <w:t xml:space="preserve">started to use the term </w:t>
      </w:r>
      <w:r w:rsidR="001B24AE">
        <w:t>“</w:t>
      </w:r>
      <w:r w:rsidRPr="00450A0E">
        <w:t>destructions</w:t>
      </w:r>
      <w:r w:rsidR="001B24AE">
        <w:t>”</w:t>
      </w:r>
      <w:r w:rsidRPr="00450A0E">
        <w:t xml:space="preserve"> in certain circumstances, which underscores the multiplicity and diverse nature of this phenomenon, something she too would like to emphasize in th</w:t>
      </w:r>
      <w:r>
        <w:t>e present</w:t>
      </w:r>
      <w:r w:rsidRPr="00450A0E">
        <w:t xml:space="preserve"> report</w:t>
      </w:r>
      <w:r>
        <w:t>.</w:t>
      </w:r>
    </w:p>
  </w:footnote>
  <w:footnote w:id="12">
    <w:p w:rsidR="00FF3B8D" w:rsidRPr="00347FCF" w:rsidRDefault="00FF3B8D" w:rsidP="00662584">
      <w:pPr>
        <w:pStyle w:val="a6"/>
        <w:rPr>
          <w:szCs w:val="18"/>
          <w:lang w:val="en-US"/>
        </w:rPr>
      </w:pPr>
      <w:r w:rsidRPr="006C20C4">
        <w:rPr>
          <w:szCs w:val="18"/>
        </w:rPr>
        <w:tab/>
      </w:r>
      <w:r w:rsidRPr="00662584">
        <w:rPr>
          <w:rStyle w:val="a8"/>
        </w:rPr>
        <w:footnoteRef/>
      </w:r>
      <w:r w:rsidRPr="006C20C4">
        <w:rPr>
          <w:szCs w:val="18"/>
        </w:rPr>
        <w:tab/>
        <w:t>See</w:t>
      </w:r>
      <w:r>
        <w:rPr>
          <w:szCs w:val="18"/>
        </w:rPr>
        <w:t xml:space="preserve"> for example</w:t>
      </w:r>
      <w:r w:rsidRPr="006C20C4">
        <w:rPr>
          <w:szCs w:val="18"/>
        </w:rPr>
        <w:t xml:space="preserve">, </w:t>
      </w:r>
      <w:r w:rsidRPr="006C20C4">
        <w:rPr>
          <w:szCs w:val="18"/>
          <w:lang w:val="en-US"/>
        </w:rPr>
        <w:t>Evaluation Committee for the Cultural Assets in North and South Cyprus</w:t>
      </w:r>
      <w:r>
        <w:rPr>
          <w:szCs w:val="18"/>
          <w:lang w:val="en-US"/>
        </w:rPr>
        <w:t>,</w:t>
      </w:r>
      <w:r w:rsidRPr="006C20C4">
        <w:rPr>
          <w:i/>
          <w:szCs w:val="18"/>
          <w:lang w:val="en-US"/>
        </w:rPr>
        <w:t xml:space="preserve"> Destroyed Turkish Villages in South Cyprus</w:t>
      </w:r>
      <w:r>
        <w:rPr>
          <w:szCs w:val="18"/>
          <w:lang w:val="en-US"/>
        </w:rPr>
        <w:t xml:space="preserve"> </w:t>
      </w:r>
      <w:r w:rsidRPr="006C20C4">
        <w:rPr>
          <w:szCs w:val="18"/>
          <w:lang w:val="en-US"/>
        </w:rPr>
        <w:t>(2009)</w:t>
      </w:r>
      <w:r>
        <w:rPr>
          <w:szCs w:val="18"/>
          <w:lang w:val="en-US"/>
        </w:rPr>
        <w:t>, which</w:t>
      </w:r>
      <w:r w:rsidRPr="006C20C4">
        <w:rPr>
          <w:szCs w:val="18"/>
          <w:lang w:val="en-US"/>
        </w:rPr>
        <w:t xml:space="preserve"> detail</w:t>
      </w:r>
      <w:r>
        <w:rPr>
          <w:szCs w:val="18"/>
          <w:lang w:val="en-US"/>
        </w:rPr>
        <w:t>s</w:t>
      </w:r>
      <w:r w:rsidRPr="006C20C4">
        <w:rPr>
          <w:szCs w:val="18"/>
          <w:lang w:val="en-US"/>
        </w:rPr>
        <w:t xml:space="preserve"> claims of destruction of predominantly Turkish Cypriot villages and cultural heritage sites, primarily between the 1950s and 1970s; and A. Papageorghiou, </w:t>
      </w:r>
      <w:r w:rsidRPr="006C20C4">
        <w:rPr>
          <w:i/>
          <w:szCs w:val="18"/>
          <w:lang w:val="en-US"/>
        </w:rPr>
        <w:t>Christian Art in the Turkish-occupied Part of Cyprus</w:t>
      </w:r>
      <w:r w:rsidRPr="006C20C4">
        <w:rPr>
          <w:szCs w:val="18"/>
          <w:lang w:val="en-US"/>
        </w:rPr>
        <w:t xml:space="preserve"> (</w:t>
      </w:r>
      <w:r>
        <w:rPr>
          <w:szCs w:val="18"/>
          <w:lang w:val="en-US"/>
        </w:rPr>
        <w:t>the</w:t>
      </w:r>
      <w:r w:rsidRPr="002A5802">
        <w:rPr>
          <w:szCs w:val="18"/>
          <w:lang w:val="en-US"/>
        </w:rPr>
        <w:t xml:space="preserve"> Holy Archbishopric of Cyprus, January </w:t>
      </w:r>
      <w:r w:rsidRPr="006C20C4">
        <w:rPr>
          <w:szCs w:val="18"/>
          <w:lang w:val="en-US"/>
        </w:rPr>
        <w:t>2010)</w:t>
      </w:r>
      <w:r>
        <w:rPr>
          <w:szCs w:val="18"/>
          <w:lang w:val="en-US"/>
        </w:rPr>
        <w:t>, in which the author</w:t>
      </w:r>
      <w:r w:rsidRPr="006C20C4">
        <w:rPr>
          <w:szCs w:val="18"/>
          <w:lang w:val="en-US"/>
        </w:rPr>
        <w:t xml:space="preserve"> alleg</w:t>
      </w:r>
      <w:r>
        <w:rPr>
          <w:szCs w:val="18"/>
          <w:lang w:val="en-US"/>
        </w:rPr>
        <w:t>es</w:t>
      </w:r>
      <w:r w:rsidRPr="006C20C4">
        <w:rPr>
          <w:szCs w:val="18"/>
          <w:lang w:val="en-US"/>
        </w:rPr>
        <w:t xml:space="preserve"> systematic destruction of Orthodox Christian churches </w:t>
      </w:r>
      <w:r w:rsidR="001B24AE">
        <w:rPr>
          <w:szCs w:val="18"/>
          <w:lang w:val="en-US"/>
        </w:rPr>
        <w:t>“</w:t>
      </w:r>
      <w:r w:rsidRPr="006C20C4">
        <w:rPr>
          <w:szCs w:val="18"/>
          <w:lang w:val="en-US"/>
        </w:rPr>
        <w:t xml:space="preserve">after the Turkish invasion </w:t>
      </w:r>
      <w:r>
        <w:rPr>
          <w:szCs w:val="18"/>
          <w:lang w:val="en-US"/>
        </w:rPr>
        <w:t>in</w:t>
      </w:r>
      <w:r w:rsidRPr="006C20C4">
        <w:rPr>
          <w:szCs w:val="18"/>
          <w:lang w:val="en-US"/>
        </w:rPr>
        <w:t xml:space="preserve"> July 1974</w:t>
      </w:r>
      <w:r w:rsidR="001B24AE">
        <w:rPr>
          <w:szCs w:val="18"/>
          <w:lang w:val="en-US"/>
        </w:rPr>
        <w:t>”</w:t>
      </w:r>
      <w:r>
        <w:rPr>
          <w:szCs w:val="18"/>
          <w:lang w:val="en-US"/>
        </w:rPr>
        <w:t>.</w:t>
      </w:r>
      <w:r w:rsidRPr="006C20C4">
        <w:rPr>
          <w:szCs w:val="18"/>
          <w:lang w:val="en-US"/>
        </w:rPr>
        <w:t xml:space="preserve"> See also </w:t>
      </w:r>
      <w:proofErr w:type="spellStart"/>
      <w:r w:rsidRPr="002A5802">
        <w:rPr>
          <w:szCs w:val="18"/>
          <w:lang w:val="en-US"/>
        </w:rPr>
        <w:t>Miltos</w:t>
      </w:r>
      <w:proofErr w:type="spellEnd"/>
      <w:r w:rsidRPr="002A5802">
        <w:rPr>
          <w:szCs w:val="18"/>
          <w:lang w:val="en-US"/>
        </w:rPr>
        <w:t xml:space="preserve"> </w:t>
      </w:r>
      <w:proofErr w:type="spellStart"/>
      <w:r w:rsidRPr="002A5802">
        <w:rPr>
          <w:szCs w:val="18"/>
          <w:lang w:val="en-US"/>
        </w:rPr>
        <w:t>Miltiadou</w:t>
      </w:r>
      <w:proofErr w:type="spellEnd"/>
      <w:r w:rsidRPr="002A5802">
        <w:rPr>
          <w:szCs w:val="18"/>
          <w:lang w:val="en-US"/>
        </w:rPr>
        <w:t xml:space="preserve"> </w:t>
      </w:r>
      <w:r>
        <w:rPr>
          <w:szCs w:val="18"/>
          <w:lang w:val="en-US"/>
        </w:rPr>
        <w:t xml:space="preserve">and others, </w:t>
      </w:r>
      <w:r w:rsidR="001B24AE">
        <w:rPr>
          <w:szCs w:val="18"/>
          <w:lang w:val="en-US"/>
        </w:rPr>
        <w:t>“</w:t>
      </w:r>
      <w:r w:rsidRPr="00BE1AB7">
        <w:rPr>
          <w:szCs w:val="18"/>
          <w:lang w:val="en-US"/>
        </w:rPr>
        <w:t xml:space="preserve">The loss of </w:t>
      </w:r>
      <w:r>
        <w:rPr>
          <w:szCs w:val="18"/>
          <w:lang w:val="en-US"/>
        </w:rPr>
        <w:t xml:space="preserve">a </w:t>
      </w:r>
      <w:r w:rsidRPr="00BE1AB7">
        <w:rPr>
          <w:szCs w:val="18"/>
          <w:lang w:val="en-US"/>
        </w:rPr>
        <w:t>civilization</w:t>
      </w:r>
      <w:r>
        <w:rPr>
          <w:szCs w:val="18"/>
          <w:lang w:val="en-US"/>
        </w:rPr>
        <w:t>.</w:t>
      </w:r>
      <w:r w:rsidRPr="00BE1AB7">
        <w:rPr>
          <w:szCs w:val="18"/>
          <w:lang w:val="en-US"/>
        </w:rPr>
        <w:t xml:space="preserve"> </w:t>
      </w:r>
      <w:proofErr w:type="gramStart"/>
      <w:r w:rsidRPr="00BE1AB7">
        <w:rPr>
          <w:szCs w:val="18"/>
          <w:lang w:val="en-US"/>
        </w:rPr>
        <w:t>Destruction of cultural heritage in occupied Cyprus</w:t>
      </w:r>
      <w:r w:rsidR="001B24AE">
        <w:rPr>
          <w:szCs w:val="18"/>
          <w:lang w:val="en-US"/>
        </w:rPr>
        <w:t>”</w:t>
      </w:r>
      <w:r w:rsidRPr="006C20C4">
        <w:rPr>
          <w:szCs w:val="18"/>
          <w:lang w:val="en-US"/>
        </w:rPr>
        <w:t xml:space="preserve"> </w:t>
      </w:r>
      <w:r>
        <w:rPr>
          <w:szCs w:val="18"/>
          <w:lang w:val="en-US"/>
        </w:rPr>
        <w:t>(</w:t>
      </w:r>
      <w:r w:rsidRPr="006C20C4">
        <w:rPr>
          <w:szCs w:val="18"/>
          <w:lang w:val="en-US"/>
        </w:rPr>
        <w:t>2012</w:t>
      </w:r>
      <w:r>
        <w:rPr>
          <w:szCs w:val="18"/>
          <w:lang w:val="en-US"/>
        </w:rPr>
        <w:t>)</w:t>
      </w:r>
      <w:r w:rsidRPr="006C20C4">
        <w:rPr>
          <w:szCs w:val="18"/>
          <w:lang w:val="en-US"/>
        </w:rPr>
        <w:t xml:space="preserve"> </w:t>
      </w:r>
      <w:r>
        <w:rPr>
          <w:szCs w:val="18"/>
          <w:lang w:val="en-US"/>
        </w:rPr>
        <w:t>on</w:t>
      </w:r>
      <w:r w:rsidRPr="006C20C4">
        <w:rPr>
          <w:szCs w:val="18"/>
          <w:lang w:val="en-US"/>
        </w:rPr>
        <w:t xml:space="preserve"> Orthodox, Maronite and Armenian churches and monasteries, cemeteries</w:t>
      </w:r>
      <w:r>
        <w:rPr>
          <w:szCs w:val="18"/>
          <w:lang w:val="en-US"/>
        </w:rPr>
        <w:t xml:space="preserve"> and</w:t>
      </w:r>
      <w:r w:rsidRPr="006C20C4">
        <w:rPr>
          <w:szCs w:val="18"/>
          <w:lang w:val="en-US"/>
        </w:rPr>
        <w:t xml:space="preserve"> archeological sites</w:t>
      </w:r>
      <w:r>
        <w:rPr>
          <w:szCs w:val="18"/>
          <w:lang w:val="en-US"/>
        </w:rPr>
        <w:t>.</w:t>
      </w:r>
      <w:proofErr w:type="gramEnd"/>
    </w:p>
  </w:footnote>
  <w:footnote w:id="13">
    <w:p w:rsidR="00FF3B8D" w:rsidRPr="006C20C4" w:rsidRDefault="00FF3B8D" w:rsidP="00662584">
      <w:pPr>
        <w:pStyle w:val="a6"/>
        <w:rPr>
          <w:szCs w:val="18"/>
        </w:rPr>
      </w:pPr>
      <w:r w:rsidRPr="006C20C4">
        <w:rPr>
          <w:szCs w:val="18"/>
        </w:rPr>
        <w:tab/>
      </w:r>
      <w:r w:rsidRPr="00662584">
        <w:rPr>
          <w:rStyle w:val="a8"/>
        </w:rPr>
        <w:footnoteRef/>
      </w:r>
      <w:r w:rsidRPr="006C20C4">
        <w:rPr>
          <w:szCs w:val="18"/>
        </w:rPr>
        <w:tab/>
      </w:r>
      <w:r>
        <w:rPr>
          <w:rFonts w:cs="Arial"/>
          <w:szCs w:val="18"/>
        </w:rPr>
        <w:t xml:space="preserve">See </w:t>
      </w:r>
      <w:r w:rsidRPr="006C20C4">
        <w:rPr>
          <w:rFonts w:cs="Arial"/>
          <w:szCs w:val="18"/>
        </w:rPr>
        <w:t>cyprus-mail.com/2015/03/16/cyprus-lo</w:t>
      </w:r>
      <w:r>
        <w:rPr>
          <w:rFonts w:cs="Arial"/>
          <w:szCs w:val="18"/>
        </w:rPr>
        <w:t>ses-fight-for-ancient-artefacts.</w:t>
      </w:r>
    </w:p>
  </w:footnote>
  <w:footnote w:id="14">
    <w:p w:rsidR="00FF3B8D" w:rsidRPr="006C20C4" w:rsidRDefault="00FF3B8D" w:rsidP="00662584">
      <w:pPr>
        <w:pStyle w:val="a6"/>
        <w:rPr>
          <w:szCs w:val="18"/>
        </w:rPr>
      </w:pPr>
      <w:r w:rsidRPr="006C20C4">
        <w:rPr>
          <w:szCs w:val="18"/>
        </w:rPr>
        <w:tab/>
      </w:r>
      <w:r w:rsidRPr="00662584">
        <w:rPr>
          <w:rStyle w:val="a8"/>
        </w:rPr>
        <w:footnoteRef/>
      </w:r>
      <w:r w:rsidRPr="006C20C4">
        <w:rPr>
          <w:szCs w:val="18"/>
        </w:rPr>
        <w:tab/>
      </w:r>
      <w:r>
        <w:rPr>
          <w:szCs w:val="18"/>
        </w:rPr>
        <w:t xml:space="preserve">See </w:t>
      </w:r>
      <w:r w:rsidRPr="006C20C4">
        <w:rPr>
          <w:szCs w:val="18"/>
        </w:rPr>
        <w:t>cyprus-mail.com/2016/11/12/cyprus-police-coordinated-europe-wide-pandora-ope</w:t>
      </w:r>
      <w:r>
        <w:rPr>
          <w:szCs w:val="18"/>
        </w:rPr>
        <w:t>ration-hunt-missing-antiquities.</w:t>
      </w:r>
    </w:p>
  </w:footnote>
  <w:footnote w:id="15">
    <w:p w:rsidR="00FF3B8D" w:rsidRPr="006C20C4" w:rsidRDefault="00FF3B8D" w:rsidP="00662584">
      <w:pPr>
        <w:pStyle w:val="a6"/>
        <w:rPr>
          <w:szCs w:val="18"/>
        </w:rPr>
      </w:pPr>
      <w:r w:rsidRPr="006C20C4">
        <w:rPr>
          <w:szCs w:val="18"/>
        </w:rPr>
        <w:tab/>
      </w:r>
      <w:r w:rsidRPr="00662584">
        <w:rPr>
          <w:rStyle w:val="a8"/>
        </w:rPr>
        <w:footnoteRef/>
      </w:r>
      <w:r w:rsidRPr="006C20C4">
        <w:rPr>
          <w:szCs w:val="18"/>
        </w:rPr>
        <w:tab/>
      </w:r>
      <w:r>
        <w:rPr>
          <w:szCs w:val="18"/>
        </w:rPr>
        <w:t xml:space="preserve">In its bulletin No. </w:t>
      </w:r>
      <w:r w:rsidRPr="006C20C4">
        <w:rPr>
          <w:szCs w:val="18"/>
        </w:rPr>
        <w:t xml:space="preserve">48 </w:t>
      </w:r>
      <w:r>
        <w:rPr>
          <w:szCs w:val="18"/>
        </w:rPr>
        <w:t>on g</w:t>
      </w:r>
      <w:r w:rsidRPr="006C20C4">
        <w:rPr>
          <w:szCs w:val="18"/>
        </w:rPr>
        <w:t xml:space="preserve">eographical </w:t>
      </w:r>
      <w:r w:rsidRPr="005D7277">
        <w:rPr>
          <w:szCs w:val="18"/>
        </w:rPr>
        <w:t>names as cultural heritage</w:t>
      </w:r>
      <w:r>
        <w:rPr>
          <w:szCs w:val="18"/>
        </w:rPr>
        <w:t xml:space="preserve"> (</w:t>
      </w:r>
      <w:r w:rsidRPr="006C20C4">
        <w:rPr>
          <w:szCs w:val="18"/>
        </w:rPr>
        <w:t>May 2015</w:t>
      </w:r>
      <w:r>
        <w:rPr>
          <w:szCs w:val="18"/>
        </w:rPr>
        <w:t xml:space="preserve">), the </w:t>
      </w:r>
      <w:r w:rsidRPr="006C20C4">
        <w:rPr>
          <w:szCs w:val="18"/>
        </w:rPr>
        <w:t>U</w:t>
      </w:r>
      <w:r>
        <w:rPr>
          <w:szCs w:val="18"/>
        </w:rPr>
        <w:t xml:space="preserve">nited </w:t>
      </w:r>
      <w:r w:rsidRPr="006C20C4">
        <w:rPr>
          <w:szCs w:val="18"/>
        </w:rPr>
        <w:t>N</w:t>
      </w:r>
      <w:r>
        <w:rPr>
          <w:szCs w:val="18"/>
        </w:rPr>
        <w:t>ations</w:t>
      </w:r>
      <w:r w:rsidRPr="006C20C4">
        <w:rPr>
          <w:szCs w:val="18"/>
        </w:rPr>
        <w:t xml:space="preserve"> Group of Experts on Geograp</w:t>
      </w:r>
      <w:r>
        <w:rPr>
          <w:szCs w:val="18"/>
        </w:rPr>
        <w:t xml:space="preserve">hical Names stated that </w:t>
      </w:r>
      <w:r w:rsidR="001B24AE">
        <w:rPr>
          <w:szCs w:val="18"/>
        </w:rPr>
        <w:t>“</w:t>
      </w:r>
      <w:r>
        <w:rPr>
          <w:szCs w:val="18"/>
        </w:rPr>
        <w:t>g</w:t>
      </w:r>
      <w:r w:rsidRPr="006C20C4">
        <w:rPr>
          <w:szCs w:val="18"/>
        </w:rPr>
        <w:t>eographical names are addresses, the keys to identifying specific places, but also of irreplaceable cultural value of fundamental importance to local identity, and a person</w:t>
      </w:r>
      <w:r w:rsidR="001B24AE">
        <w:rPr>
          <w:szCs w:val="18"/>
        </w:rPr>
        <w:t>’</w:t>
      </w:r>
      <w:r w:rsidRPr="006C20C4">
        <w:rPr>
          <w:szCs w:val="18"/>
        </w:rPr>
        <w:t>s sense of belonging, and therefore must be protected and preserved</w:t>
      </w:r>
      <w:r w:rsidR="001B24AE">
        <w:rPr>
          <w:szCs w:val="18"/>
        </w:rPr>
        <w:t>”</w:t>
      </w:r>
      <w:r w:rsidRPr="006C20C4">
        <w:rPr>
          <w:szCs w:val="18"/>
        </w:rPr>
        <w:t>.</w:t>
      </w:r>
    </w:p>
  </w:footnote>
  <w:footnote w:id="16">
    <w:p w:rsidR="00FF3B8D" w:rsidRPr="006C20C4" w:rsidRDefault="00FF3B8D" w:rsidP="00662584">
      <w:pPr>
        <w:pStyle w:val="a6"/>
        <w:rPr>
          <w:szCs w:val="18"/>
        </w:rPr>
      </w:pPr>
      <w:r w:rsidRPr="006C20C4">
        <w:rPr>
          <w:szCs w:val="18"/>
        </w:rPr>
        <w:tab/>
      </w:r>
      <w:r w:rsidRPr="00662584">
        <w:rPr>
          <w:rStyle w:val="a8"/>
        </w:rPr>
        <w:footnoteRef/>
      </w:r>
      <w:r w:rsidRPr="006C20C4">
        <w:rPr>
          <w:szCs w:val="18"/>
        </w:rPr>
        <w:tab/>
      </w:r>
      <w:r w:rsidRPr="007523BA">
        <w:rPr>
          <w:szCs w:val="18"/>
          <w:lang w:val="en-US"/>
        </w:rPr>
        <w:t xml:space="preserve">Evaluation Committee for the Cultural Assets in North and South </w:t>
      </w:r>
      <w:proofErr w:type="gramStart"/>
      <w:r w:rsidRPr="007523BA">
        <w:rPr>
          <w:szCs w:val="18"/>
          <w:lang w:val="en-US"/>
        </w:rPr>
        <w:t>Cyprus,</w:t>
      </w:r>
      <w:proofErr w:type="gramEnd"/>
      <w:r w:rsidRPr="007523BA">
        <w:rPr>
          <w:i/>
          <w:szCs w:val="18"/>
          <w:lang w:val="en-US"/>
        </w:rPr>
        <w:t xml:space="preserve"> </w:t>
      </w:r>
      <w:r w:rsidRPr="006C20C4">
        <w:rPr>
          <w:i/>
          <w:szCs w:val="18"/>
          <w:lang w:val="en-US"/>
        </w:rPr>
        <w:t>Destroyed Turkish Villages in South Cyprus</w:t>
      </w:r>
      <w:r>
        <w:rPr>
          <w:szCs w:val="18"/>
          <w:lang w:val="en-US"/>
        </w:rPr>
        <w:t>.</w:t>
      </w:r>
    </w:p>
  </w:footnote>
  <w:footnote w:id="17">
    <w:p w:rsidR="00FF3B8D" w:rsidRPr="006C20C4" w:rsidRDefault="00FF3B8D" w:rsidP="00662584">
      <w:pPr>
        <w:pStyle w:val="a6"/>
        <w:rPr>
          <w:szCs w:val="18"/>
        </w:rPr>
      </w:pPr>
      <w:r w:rsidRPr="006C20C4">
        <w:rPr>
          <w:szCs w:val="18"/>
        </w:rPr>
        <w:tab/>
      </w:r>
      <w:r w:rsidRPr="00662584">
        <w:rPr>
          <w:rStyle w:val="a8"/>
        </w:rPr>
        <w:footnoteRef/>
      </w:r>
      <w:r w:rsidRPr="006C20C4">
        <w:rPr>
          <w:szCs w:val="18"/>
        </w:rPr>
        <w:tab/>
      </w:r>
      <w:proofErr w:type="gramStart"/>
      <w:r w:rsidRPr="0058633A">
        <w:rPr>
          <w:szCs w:val="18"/>
          <w:lang w:val="en-US"/>
        </w:rPr>
        <w:t>Ibid</w:t>
      </w:r>
      <w:r w:rsidRPr="007523BA">
        <w:rPr>
          <w:szCs w:val="18"/>
          <w:lang w:val="en-US"/>
        </w:rPr>
        <w:t>.</w:t>
      </w:r>
      <w:proofErr w:type="gramEnd"/>
      <w:r w:rsidRPr="006C20C4">
        <w:rPr>
          <w:szCs w:val="18"/>
        </w:rPr>
        <w:t xml:space="preserve"> </w:t>
      </w:r>
    </w:p>
  </w:footnote>
  <w:footnote w:id="18">
    <w:p w:rsidR="00FF3B8D" w:rsidRPr="006C20C4" w:rsidRDefault="00FF3B8D" w:rsidP="00662584">
      <w:pPr>
        <w:pStyle w:val="a6"/>
        <w:rPr>
          <w:szCs w:val="18"/>
          <w:lang w:val="en-US"/>
        </w:rPr>
      </w:pPr>
      <w:r w:rsidRPr="006C20C4">
        <w:rPr>
          <w:szCs w:val="18"/>
        </w:rPr>
        <w:tab/>
      </w:r>
      <w:r w:rsidRPr="00662584">
        <w:rPr>
          <w:rStyle w:val="a8"/>
        </w:rPr>
        <w:footnoteRef/>
      </w:r>
      <w:r w:rsidRPr="006C20C4">
        <w:rPr>
          <w:szCs w:val="18"/>
        </w:rPr>
        <w:tab/>
        <w:t xml:space="preserve">The Special Rapporteur takes note of the view of the Department of Antiquities that many religious sites, including churches in the north, may likewise not have sanitary facilities. </w:t>
      </w:r>
    </w:p>
  </w:footnote>
  <w:footnote w:id="19">
    <w:p w:rsidR="00FF3B8D" w:rsidRPr="00E853B1" w:rsidRDefault="00FF3B8D" w:rsidP="00662584">
      <w:pPr>
        <w:pStyle w:val="a6"/>
        <w:rPr>
          <w:szCs w:val="18"/>
        </w:rPr>
      </w:pPr>
      <w:r w:rsidRPr="00E853B1">
        <w:rPr>
          <w:szCs w:val="18"/>
        </w:rPr>
        <w:tab/>
      </w:r>
      <w:r w:rsidRPr="00662584">
        <w:rPr>
          <w:rStyle w:val="a8"/>
        </w:rPr>
        <w:footnoteRef/>
      </w:r>
      <w:r w:rsidRPr="00E853B1">
        <w:rPr>
          <w:szCs w:val="18"/>
        </w:rPr>
        <w:tab/>
        <w:t xml:space="preserve">See, for example, </w:t>
      </w:r>
      <w:r w:rsidRPr="00E853B1">
        <w:rPr>
          <w:bCs/>
          <w:szCs w:val="18"/>
        </w:rPr>
        <w:t xml:space="preserve">A/HRC/22/51/Add.1, para. </w:t>
      </w:r>
      <w:proofErr w:type="gramStart"/>
      <w:r w:rsidRPr="00E853B1">
        <w:rPr>
          <w:bCs/>
          <w:szCs w:val="18"/>
        </w:rPr>
        <w:t xml:space="preserve">55, and </w:t>
      </w:r>
      <w:r w:rsidRPr="00E853B1">
        <w:rPr>
          <w:szCs w:val="18"/>
        </w:rPr>
        <w:t>CCPR/C/CYP/CO/4, para.</w:t>
      </w:r>
      <w:proofErr w:type="gramEnd"/>
      <w:r w:rsidRPr="00E853B1">
        <w:rPr>
          <w:szCs w:val="18"/>
        </w:rPr>
        <w:t xml:space="preserve"> 17. </w:t>
      </w:r>
    </w:p>
  </w:footnote>
  <w:footnote w:id="20">
    <w:p w:rsidR="00FF3B8D" w:rsidRPr="00417A06" w:rsidRDefault="00FF3B8D" w:rsidP="00662584">
      <w:pPr>
        <w:pStyle w:val="a6"/>
      </w:pPr>
      <w:r>
        <w:tab/>
      </w:r>
      <w:r w:rsidRPr="00662584">
        <w:rPr>
          <w:rStyle w:val="a8"/>
        </w:rPr>
        <w:footnoteRef/>
      </w:r>
      <w:r>
        <w:tab/>
      </w:r>
      <w:r w:rsidRPr="001F3331">
        <w:t>For more detailed recommendations, see A/68/296.</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8D" w:rsidRPr="00662584" w:rsidRDefault="00FF3B8D" w:rsidP="00662584">
    <w:pPr>
      <w:pStyle w:val="a3"/>
    </w:pPr>
    <w:r w:rsidRPr="00662584">
      <w:t>A/HRC/34/56/Add.1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8D" w:rsidRPr="00662584" w:rsidRDefault="00FF3B8D" w:rsidP="00662584">
    <w:pPr>
      <w:pStyle w:val="a3"/>
      <w:jc w:val="right"/>
    </w:pPr>
    <w:r w:rsidRPr="00662584">
      <w:t>A/HRC/34/56/Add.1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567"/>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C48C0"/>
    <w:rsid w:val="00046E92"/>
    <w:rsid w:val="00053465"/>
    <w:rsid w:val="00091F46"/>
    <w:rsid w:val="00186731"/>
    <w:rsid w:val="001B24AE"/>
    <w:rsid w:val="00247E2C"/>
    <w:rsid w:val="002C640E"/>
    <w:rsid w:val="002D6C53"/>
    <w:rsid w:val="002F5595"/>
    <w:rsid w:val="00334F6A"/>
    <w:rsid w:val="00342AC8"/>
    <w:rsid w:val="003B4550"/>
    <w:rsid w:val="00400AF5"/>
    <w:rsid w:val="00414D49"/>
    <w:rsid w:val="00461253"/>
    <w:rsid w:val="005042C2"/>
    <w:rsid w:val="00662584"/>
    <w:rsid w:val="00663049"/>
    <w:rsid w:val="00671529"/>
    <w:rsid w:val="006C009C"/>
    <w:rsid w:val="007268F9"/>
    <w:rsid w:val="007C52B0"/>
    <w:rsid w:val="008F5E72"/>
    <w:rsid w:val="009316A0"/>
    <w:rsid w:val="009411B4"/>
    <w:rsid w:val="009C48C0"/>
    <w:rsid w:val="009D0139"/>
    <w:rsid w:val="009F5CDC"/>
    <w:rsid w:val="00A775CF"/>
    <w:rsid w:val="00AE6427"/>
    <w:rsid w:val="00B06045"/>
    <w:rsid w:val="00B9227C"/>
    <w:rsid w:val="00BE267D"/>
    <w:rsid w:val="00C0358D"/>
    <w:rsid w:val="00C35A27"/>
    <w:rsid w:val="00CA6843"/>
    <w:rsid w:val="00E02C2B"/>
    <w:rsid w:val="00E52109"/>
    <w:rsid w:val="00E75317"/>
    <w:rsid w:val="00ED6C48"/>
    <w:rsid w:val="00F4710F"/>
    <w:rsid w:val="00F65F5D"/>
    <w:rsid w:val="00F86A3A"/>
    <w:rsid w:val="00FF3B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E52109"/>
    <w:pPr>
      <w:suppressAutoHyphens/>
      <w:spacing w:after="0" w:line="240" w:lineRule="atLeast"/>
    </w:pPr>
    <w:rPr>
      <w:rFonts w:ascii="Times New Roman" w:eastAsia="Times New Roman" w:hAnsi="Times New Roman" w:cs="Times New Roman"/>
      <w:sz w:val="20"/>
      <w:szCs w:val="20"/>
      <w:lang w:eastAsia="en-US"/>
    </w:rPr>
  </w:style>
  <w:style w:type="paragraph" w:styleId="1">
    <w:name w:val="heading 1"/>
    <w:aliases w:val="Table_G"/>
    <w:basedOn w:val="SingleTxtG"/>
    <w:next w:val="SingleTxtG"/>
    <w:link w:val="1Char"/>
    <w:semiHidden/>
    <w:rsid w:val="007268F9"/>
    <w:pPr>
      <w:spacing w:after="0" w:line="240" w:lineRule="auto"/>
      <w:ind w:right="0"/>
      <w:jc w:val="left"/>
      <w:outlineLvl w:val="0"/>
    </w:pPr>
  </w:style>
  <w:style w:type="paragraph" w:styleId="2">
    <w:name w:val="heading 2"/>
    <w:basedOn w:val="a"/>
    <w:next w:val="a"/>
    <w:link w:val="2Char"/>
    <w:semiHidden/>
    <w:rsid w:val="007268F9"/>
    <w:pPr>
      <w:spacing w:line="240" w:lineRule="auto"/>
      <w:outlineLvl w:val="1"/>
    </w:pPr>
    <w:rPr>
      <w:rFonts w:eastAsia="宋体"/>
      <w:lang w:eastAsia="zh-CN"/>
    </w:rPr>
  </w:style>
  <w:style w:type="paragraph" w:styleId="3">
    <w:name w:val="heading 3"/>
    <w:basedOn w:val="a"/>
    <w:next w:val="a"/>
    <w:link w:val="3Char"/>
    <w:semiHidden/>
    <w:rsid w:val="007268F9"/>
    <w:pPr>
      <w:spacing w:line="240" w:lineRule="auto"/>
      <w:outlineLvl w:val="2"/>
    </w:pPr>
    <w:rPr>
      <w:rFonts w:eastAsia="宋体"/>
      <w:lang w:eastAsia="zh-CN"/>
    </w:rPr>
  </w:style>
  <w:style w:type="paragraph" w:styleId="4">
    <w:name w:val="heading 4"/>
    <w:basedOn w:val="a"/>
    <w:next w:val="a"/>
    <w:link w:val="4Char"/>
    <w:semiHidden/>
    <w:rsid w:val="007268F9"/>
    <w:pPr>
      <w:spacing w:line="240" w:lineRule="auto"/>
      <w:outlineLvl w:val="3"/>
    </w:pPr>
    <w:rPr>
      <w:rFonts w:eastAsia="宋体"/>
      <w:lang w:eastAsia="zh-CN"/>
    </w:rPr>
  </w:style>
  <w:style w:type="paragraph" w:styleId="5">
    <w:name w:val="heading 5"/>
    <w:basedOn w:val="a"/>
    <w:next w:val="a"/>
    <w:link w:val="5Char"/>
    <w:semiHidden/>
    <w:rsid w:val="007268F9"/>
    <w:pPr>
      <w:spacing w:line="240" w:lineRule="auto"/>
      <w:outlineLvl w:val="4"/>
    </w:pPr>
    <w:rPr>
      <w:rFonts w:eastAsia="宋体"/>
      <w:lang w:eastAsia="zh-CN"/>
    </w:rPr>
  </w:style>
  <w:style w:type="paragraph" w:styleId="6">
    <w:name w:val="heading 6"/>
    <w:basedOn w:val="a"/>
    <w:next w:val="a"/>
    <w:link w:val="6Char"/>
    <w:semiHidden/>
    <w:rsid w:val="007268F9"/>
    <w:pPr>
      <w:spacing w:line="240" w:lineRule="auto"/>
      <w:outlineLvl w:val="5"/>
    </w:pPr>
    <w:rPr>
      <w:rFonts w:eastAsia="宋体"/>
      <w:lang w:eastAsia="zh-CN"/>
    </w:rPr>
  </w:style>
  <w:style w:type="paragraph" w:styleId="7">
    <w:name w:val="heading 7"/>
    <w:basedOn w:val="a"/>
    <w:next w:val="a"/>
    <w:link w:val="7Char"/>
    <w:semiHidden/>
    <w:rsid w:val="007268F9"/>
    <w:pPr>
      <w:spacing w:line="240" w:lineRule="auto"/>
      <w:outlineLvl w:val="6"/>
    </w:pPr>
    <w:rPr>
      <w:rFonts w:eastAsia="宋体"/>
      <w:lang w:eastAsia="zh-CN"/>
    </w:rPr>
  </w:style>
  <w:style w:type="paragraph" w:styleId="8">
    <w:name w:val="heading 8"/>
    <w:basedOn w:val="a"/>
    <w:next w:val="a"/>
    <w:link w:val="8Char"/>
    <w:semiHidden/>
    <w:rsid w:val="007268F9"/>
    <w:pPr>
      <w:spacing w:line="240" w:lineRule="auto"/>
      <w:outlineLvl w:val="7"/>
    </w:pPr>
    <w:rPr>
      <w:rFonts w:eastAsia="宋体"/>
      <w:lang w:eastAsia="zh-CN"/>
    </w:rPr>
  </w:style>
  <w:style w:type="paragraph" w:styleId="9">
    <w:name w:val="heading 9"/>
    <w:basedOn w:val="a"/>
    <w:next w:val="a"/>
    <w:link w:val="9Char"/>
    <w:semiHidden/>
    <w:rsid w:val="007268F9"/>
    <w:pPr>
      <w:spacing w:line="240" w:lineRule="auto"/>
      <w:outlineLvl w:val="8"/>
    </w:pPr>
    <w:rPr>
      <w:rFonts w:eastAsia="宋体"/>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Char"/>
    <w:semiHidden/>
    <w:rsid w:val="007268F9"/>
    <w:pPr>
      <w:pBdr>
        <w:bottom w:val="single" w:sz="4" w:space="4" w:color="auto"/>
      </w:pBdr>
      <w:spacing w:line="240" w:lineRule="auto"/>
    </w:pPr>
    <w:rPr>
      <w:rFonts w:eastAsia="宋体"/>
      <w:b/>
      <w:sz w:val="18"/>
      <w:lang w:eastAsia="zh-CN"/>
    </w:rPr>
  </w:style>
  <w:style w:type="character" w:customStyle="1" w:styleId="Char">
    <w:name w:val="页眉 Char"/>
    <w:aliases w:val="6_G Char"/>
    <w:basedOn w:val="a0"/>
    <w:link w:val="a3"/>
    <w:semiHidden/>
    <w:rsid w:val="003B4550"/>
    <w:rPr>
      <w:rFonts w:ascii="Times New Roman" w:hAnsi="Times New Roman" w:cs="Times New Roman"/>
      <w:b/>
      <w:sz w:val="18"/>
      <w:szCs w:val="20"/>
    </w:rPr>
  </w:style>
  <w:style w:type="paragraph" w:styleId="a4">
    <w:name w:val="footer"/>
    <w:aliases w:val="3_G"/>
    <w:basedOn w:val="a"/>
    <w:link w:val="Char0"/>
    <w:qFormat/>
    <w:rsid w:val="007268F9"/>
    <w:pPr>
      <w:spacing w:line="240" w:lineRule="auto"/>
    </w:pPr>
    <w:rPr>
      <w:rFonts w:eastAsia="宋体"/>
      <w:sz w:val="16"/>
      <w:lang w:eastAsia="zh-CN"/>
    </w:rPr>
  </w:style>
  <w:style w:type="character" w:customStyle="1" w:styleId="Char0">
    <w:name w:val="页脚 Char"/>
    <w:aliases w:val="3_G Char"/>
    <w:basedOn w:val="a0"/>
    <w:link w:val="a4"/>
    <w:rsid w:val="00247E2C"/>
    <w:rPr>
      <w:rFonts w:ascii="Times New Roman" w:eastAsia="宋体" w:hAnsi="Times New Roman" w:cs="Times New Roman"/>
      <w:sz w:val="16"/>
      <w:szCs w:val="20"/>
    </w:rPr>
  </w:style>
  <w:style w:type="paragraph" w:customStyle="1" w:styleId="HMG">
    <w:name w:val="_ H __M_G"/>
    <w:basedOn w:val="a"/>
    <w:next w:val="a"/>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7268F9"/>
    <w:pPr>
      <w:keepNext/>
      <w:keepLines/>
      <w:tabs>
        <w:tab w:val="right" w:pos="851"/>
      </w:tabs>
      <w:spacing w:before="240" w:after="120" w:line="240" w:lineRule="exact"/>
      <w:ind w:left="1134" w:right="1134" w:hanging="1134"/>
    </w:pPr>
    <w:rPr>
      <w:rFonts w:eastAsia="宋体"/>
      <w:b/>
      <w:lang w:eastAsia="zh-CN"/>
    </w:rPr>
  </w:style>
  <w:style w:type="paragraph" w:customStyle="1" w:styleId="H4G">
    <w:name w:val="_ H_4_G"/>
    <w:basedOn w:val="a"/>
    <w:next w:val="a"/>
    <w:rsid w:val="007268F9"/>
    <w:pPr>
      <w:keepNext/>
      <w:keepLines/>
      <w:tabs>
        <w:tab w:val="right" w:pos="851"/>
      </w:tabs>
      <w:spacing w:before="240" w:after="120" w:line="240" w:lineRule="exact"/>
      <w:ind w:left="1134" w:right="1134" w:hanging="1134"/>
    </w:pPr>
    <w:rPr>
      <w:rFonts w:eastAsia="宋体"/>
      <w:i/>
      <w:lang w:eastAsia="zh-CN"/>
    </w:rPr>
  </w:style>
  <w:style w:type="paragraph" w:customStyle="1" w:styleId="H56G">
    <w:name w:val="_ H_5/6_G"/>
    <w:basedOn w:val="a"/>
    <w:next w:val="a"/>
    <w:rsid w:val="007268F9"/>
    <w:pPr>
      <w:keepNext/>
      <w:keepLines/>
      <w:tabs>
        <w:tab w:val="right" w:pos="851"/>
      </w:tabs>
      <w:spacing w:before="240" w:after="120" w:line="240" w:lineRule="exact"/>
      <w:ind w:left="1134" w:right="1134" w:hanging="1134"/>
    </w:pPr>
  </w:style>
  <w:style w:type="paragraph" w:customStyle="1" w:styleId="SingleTxtG">
    <w:name w:val="_ Single Txt_G"/>
    <w:basedOn w:val="a"/>
    <w:link w:val="SingleTxtGCar"/>
    <w:rsid w:val="007268F9"/>
    <w:pPr>
      <w:spacing w:after="120"/>
      <w:ind w:left="1134" w:right="1134"/>
      <w:jc w:val="both"/>
    </w:pPr>
    <w:rPr>
      <w:rFonts w:eastAsia="宋体"/>
      <w:lang w:eastAsia="zh-CN"/>
    </w:rPr>
  </w:style>
  <w:style w:type="paragraph" w:customStyle="1" w:styleId="SLG">
    <w:name w:val="__S_L_G"/>
    <w:basedOn w:val="a"/>
    <w:next w:val="a"/>
    <w:rsid w:val="007268F9"/>
    <w:pPr>
      <w:keepNext/>
      <w:keepLines/>
      <w:spacing w:before="240" w:after="240" w:line="580" w:lineRule="exact"/>
      <w:ind w:left="1134" w:right="1134"/>
    </w:pPr>
    <w:rPr>
      <w:b/>
      <w:sz w:val="56"/>
    </w:rPr>
  </w:style>
  <w:style w:type="paragraph" w:customStyle="1" w:styleId="SMG">
    <w:name w:val="__S_M_G"/>
    <w:basedOn w:val="a"/>
    <w:next w:val="a"/>
    <w:rsid w:val="007268F9"/>
    <w:pPr>
      <w:keepNext/>
      <w:keepLines/>
      <w:spacing w:before="240" w:after="240" w:line="420" w:lineRule="exact"/>
      <w:ind w:left="1134" w:right="1134"/>
    </w:pPr>
    <w:rPr>
      <w:b/>
      <w:sz w:val="40"/>
    </w:rPr>
  </w:style>
  <w:style w:type="paragraph" w:customStyle="1" w:styleId="SSG">
    <w:name w:val="__S_S_G"/>
    <w:basedOn w:val="a"/>
    <w:next w:val="a"/>
    <w:rsid w:val="007268F9"/>
    <w:pPr>
      <w:keepNext/>
      <w:keepLines/>
      <w:spacing w:before="240" w:after="240" w:line="300" w:lineRule="exact"/>
      <w:ind w:left="1134" w:right="1134"/>
    </w:pPr>
    <w:rPr>
      <w:b/>
      <w:sz w:val="28"/>
    </w:rPr>
  </w:style>
  <w:style w:type="paragraph" w:customStyle="1" w:styleId="XLargeG">
    <w:name w:val="__XLarge_G"/>
    <w:basedOn w:val="a"/>
    <w:next w:val="a"/>
    <w:rsid w:val="007268F9"/>
    <w:pPr>
      <w:keepNext/>
      <w:keepLines/>
      <w:spacing w:before="240" w:after="240" w:line="420" w:lineRule="exact"/>
      <w:ind w:left="1134" w:right="1134"/>
    </w:pPr>
    <w:rPr>
      <w:b/>
      <w:sz w:val="40"/>
    </w:rPr>
  </w:style>
  <w:style w:type="paragraph" w:customStyle="1" w:styleId="Bullet1G">
    <w:name w:val="_Bullet 1_G"/>
    <w:basedOn w:val="a"/>
    <w:rsid w:val="007268F9"/>
    <w:pPr>
      <w:numPr>
        <w:numId w:val="1"/>
      </w:numPr>
      <w:spacing w:after="120"/>
      <w:ind w:right="1134"/>
      <w:jc w:val="both"/>
    </w:pPr>
  </w:style>
  <w:style w:type="paragraph" w:customStyle="1" w:styleId="Bullet2G">
    <w:name w:val="_Bullet 2_G"/>
    <w:basedOn w:val="a"/>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5">
    <w:name w:val="endnote reference"/>
    <w:aliases w:val="1_G"/>
    <w:rsid w:val="007268F9"/>
    <w:rPr>
      <w:rFonts w:ascii="Times New Roman" w:hAnsi="Times New Roman"/>
      <w:sz w:val="18"/>
      <w:vertAlign w:val="superscript"/>
    </w:rPr>
  </w:style>
  <w:style w:type="paragraph" w:styleId="a6">
    <w:name w:val="footnote text"/>
    <w:aliases w:val="5_G"/>
    <w:basedOn w:val="a"/>
    <w:link w:val="Char1"/>
    <w:qFormat/>
    <w:rsid w:val="007268F9"/>
    <w:pPr>
      <w:tabs>
        <w:tab w:val="right" w:pos="1021"/>
      </w:tabs>
      <w:spacing w:line="220" w:lineRule="exact"/>
      <w:ind w:left="1134" w:right="1134" w:hanging="1134"/>
    </w:pPr>
    <w:rPr>
      <w:rFonts w:eastAsia="宋体"/>
      <w:sz w:val="18"/>
      <w:lang w:eastAsia="zh-CN"/>
    </w:rPr>
  </w:style>
  <w:style w:type="character" w:customStyle="1" w:styleId="Char1">
    <w:name w:val="脚注文本 Char"/>
    <w:aliases w:val="5_G Char"/>
    <w:basedOn w:val="a0"/>
    <w:link w:val="a6"/>
    <w:rsid w:val="007268F9"/>
    <w:rPr>
      <w:rFonts w:ascii="Times New Roman" w:eastAsia="宋体" w:hAnsi="Times New Roman" w:cs="Times New Roman"/>
      <w:sz w:val="18"/>
      <w:szCs w:val="20"/>
    </w:rPr>
  </w:style>
  <w:style w:type="paragraph" w:styleId="a7">
    <w:name w:val="endnote text"/>
    <w:aliases w:val="2_G"/>
    <w:basedOn w:val="a6"/>
    <w:link w:val="Char2"/>
    <w:rsid w:val="007268F9"/>
  </w:style>
  <w:style w:type="character" w:customStyle="1" w:styleId="Char2">
    <w:name w:val="尾注文本 Char"/>
    <w:aliases w:val="2_G Char"/>
    <w:basedOn w:val="a0"/>
    <w:link w:val="a7"/>
    <w:rsid w:val="007268F9"/>
    <w:rPr>
      <w:rFonts w:ascii="Times New Roman" w:eastAsia="宋体" w:hAnsi="Times New Roman" w:cs="Times New Roman"/>
      <w:sz w:val="18"/>
      <w:szCs w:val="20"/>
    </w:rPr>
  </w:style>
  <w:style w:type="character" w:styleId="a8">
    <w:name w:val="footnote reference"/>
    <w:aliases w:val="4_G"/>
    <w:qFormat/>
    <w:rsid w:val="007268F9"/>
    <w:rPr>
      <w:rFonts w:ascii="Times New Roman" w:hAnsi="Times New Roman"/>
      <w:sz w:val="18"/>
      <w:vertAlign w:val="superscript"/>
    </w:rPr>
  </w:style>
  <w:style w:type="character" w:customStyle="1" w:styleId="1Char">
    <w:name w:val="标题 1 Char"/>
    <w:aliases w:val="Table_G Char"/>
    <w:basedOn w:val="a0"/>
    <w:link w:val="1"/>
    <w:semiHidden/>
    <w:rsid w:val="003B4550"/>
    <w:rPr>
      <w:rFonts w:ascii="Times New Roman" w:hAnsi="Times New Roman" w:cs="Times New Roman"/>
      <w:sz w:val="20"/>
      <w:szCs w:val="20"/>
    </w:rPr>
  </w:style>
  <w:style w:type="character" w:customStyle="1" w:styleId="2Char">
    <w:name w:val="标题 2 Char"/>
    <w:basedOn w:val="a0"/>
    <w:link w:val="2"/>
    <w:semiHidden/>
    <w:rsid w:val="003B4550"/>
    <w:rPr>
      <w:rFonts w:ascii="Times New Roman" w:hAnsi="Times New Roman" w:cs="Times New Roman"/>
      <w:sz w:val="20"/>
      <w:szCs w:val="20"/>
    </w:rPr>
  </w:style>
  <w:style w:type="character" w:customStyle="1" w:styleId="3Char">
    <w:name w:val="标题 3 Char"/>
    <w:basedOn w:val="a0"/>
    <w:link w:val="3"/>
    <w:semiHidden/>
    <w:rsid w:val="003B4550"/>
    <w:rPr>
      <w:rFonts w:ascii="Times New Roman" w:hAnsi="Times New Roman" w:cs="Times New Roman"/>
      <w:sz w:val="20"/>
      <w:szCs w:val="20"/>
    </w:rPr>
  </w:style>
  <w:style w:type="character" w:customStyle="1" w:styleId="4Char">
    <w:name w:val="标题 4 Char"/>
    <w:basedOn w:val="a0"/>
    <w:link w:val="4"/>
    <w:semiHidden/>
    <w:rsid w:val="003B4550"/>
    <w:rPr>
      <w:rFonts w:ascii="Times New Roman" w:hAnsi="Times New Roman" w:cs="Times New Roman"/>
      <w:sz w:val="20"/>
      <w:szCs w:val="20"/>
    </w:rPr>
  </w:style>
  <w:style w:type="character" w:customStyle="1" w:styleId="5Char">
    <w:name w:val="标题 5 Char"/>
    <w:basedOn w:val="a0"/>
    <w:link w:val="5"/>
    <w:semiHidden/>
    <w:rsid w:val="003B4550"/>
    <w:rPr>
      <w:rFonts w:ascii="Times New Roman" w:hAnsi="Times New Roman" w:cs="Times New Roman"/>
      <w:sz w:val="20"/>
      <w:szCs w:val="20"/>
    </w:rPr>
  </w:style>
  <w:style w:type="character" w:customStyle="1" w:styleId="6Char">
    <w:name w:val="标题 6 Char"/>
    <w:basedOn w:val="a0"/>
    <w:link w:val="6"/>
    <w:semiHidden/>
    <w:rsid w:val="003B4550"/>
    <w:rPr>
      <w:rFonts w:ascii="Times New Roman" w:hAnsi="Times New Roman" w:cs="Times New Roman"/>
      <w:sz w:val="20"/>
      <w:szCs w:val="20"/>
    </w:rPr>
  </w:style>
  <w:style w:type="character" w:customStyle="1" w:styleId="7Char">
    <w:name w:val="标题 7 Char"/>
    <w:basedOn w:val="a0"/>
    <w:link w:val="7"/>
    <w:semiHidden/>
    <w:rsid w:val="003B4550"/>
    <w:rPr>
      <w:rFonts w:ascii="Times New Roman" w:hAnsi="Times New Roman" w:cs="Times New Roman"/>
      <w:sz w:val="20"/>
      <w:szCs w:val="20"/>
    </w:rPr>
  </w:style>
  <w:style w:type="character" w:customStyle="1" w:styleId="8Char">
    <w:name w:val="标题 8 Char"/>
    <w:basedOn w:val="a0"/>
    <w:link w:val="8"/>
    <w:semiHidden/>
    <w:rsid w:val="003B4550"/>
    <w:rPr>
      <w:rFonts w:ascii="Times New Roman" w:hAnsi="Times New Roman" w:cs="Times New Roman"/>
      <w:sz w:val="20"/>
      <w:szCs w:val="20"/>
    </w:rPr>
  </w:style>
  <w:style w:type="character" w:customStyle="1" w:styleId="9Char">
    <w:name w:val="标题 9 Char"/>
    <w:basedOn w:val="a0"/>
    <w:link w:val="9"/>
    <w:semiHidden/>
    <w:rsid w:val="003B4550"/>
    <w:rPr>
      <w:rFonts w:ascii="Times New Roman" w:hAnsi="Times New Roman" w:cs="Times New Roman"/>
      <w:sz w:val="20"/>
      <w:szCs w:val="20"/>
    </w:rPr>
  </w:style>
  <w:style w:type="character" w:styleId="a9">
    <w:name w:val="page number"/>
    <w:aliases w:val="7_G"/>
    <w:qFormat/>
    <w:rsid w:val="007268F9"/>
    <w:rPr>
      <w:rFonts w:ascii="Times New Roman" w:hAnsi="Times New Roman"/>
      <w:b/>
      <w:sz w:val="18"/>
    </w:rPr>
  </w:style>
  <w:style w:type="character" w:styleId="aa">
    <w:name w:val="Book Title"/>
    <w:basedOn w:val="a0"/>
    <w:uiPriority w:val="33"/>
    <w:semiHidden/>
    <w:rsid w:val="007268F9"/>
    <w:rPr>
      <w:b/>
      <w:bCs/>
      <w:smallCaps/>
      <w:spacing w:val="5"/>
    </w:rPr>
  </w:style>
  <w:style w:type="paragraph" w:styleId="ab">
    <w:name w:val="Balloon Text"/>
    <w:basedOn w:val="a"/>
    <w:link w:val="Char3"/>
    <w:uiPriority w:val="99"/>
    <w:semiHidden/>
    <w:unhideWhenUsed/>
    <w:rsid w:val="00E52109"/>
    <w:pPr>
      <w:spacing w:line="240" w:lineRule="auto"/>
    </w:pPr>
    <w:rPr>
      <w:rFonts w:ascii="Tahoma" w:hAnsi="Tahoma" w:cs="Tahoma"/>
      <w:sz w:val="16"/>
      <w:szCs w:val="16"/>
    </w:rPr>
  </w:style>
  <w:style w:type="character" w:customStyle="1" w:styleId="Char3">
    <w:name w:val="批注框文本 Char"/>
    <w:basedOn w:val="a0"/>
    <w:link w:val="ab"/>
    <w:uiPriority w:val="99"/>
    <w:semiHidden/>
    <w:rsid w:val="00E52109"/>
    <w:rPr>
      <w:rFonts w:ascii="Tahoma" w:eastAsia="Times New Roman" w:hAnsi="Tahoma" w:cs="Tahoma"/>
      <w:sz w:val="16"/>
      <w:szCs w:val="16"/>
      <w:lang w:eastAsia="en-US"/>
    </w:rPr>
  </w:style>
  <w:style w:type="paragraph" w:customStyle="1" w:styleId="Default">
    <w:name w:val="Default"/>
    <w:rsid w:val="00662584"/>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customStyle="1" w:styleId="HChGChar">
    <w:name w:val="_ H _Ch_G Char"/>
    <w:link w:val="HChG"/>
    <w:rsid w:val="00662584"/>
    <w:rPr>
      <w:rFonts w:ascii="Times New Roman" w:eastAsia="Times New Roman" w:hAnsi="Times New Roman" w:cs="Times New Roman"/>
      <w:b/>
      <w:sz w:val="28"/>
      <w:szCs w:val="20"/>
      <w:lang w:eastAsia="en-US"/>
    </w:rPr>
  </w:style>
  <w:style w:type="character" w:customStyle="1" w:styleId="SingleTxtGCar">
    <w:name w:val="_ Single Txt_G Car"/>
    <w:link w:val="SingleTxtG"/>
    <w:rsid w:val="00662584"/>
    <w:rPr>
      <w:rFonts w:ascii="Times New Roman" w:hAnsi="Times New Roman" w:cs="Times New Roman"/>
      <w:sz w:val="20"/>
      <w:szCs w:val="20"/>
    </w:rPr>
  </w:style>
  <w:style w:type="paragraph" w:styleId="20">
    <w:name w:val="toc 2"/>
    <w:basedOn w:val="a"/>
    <w:next w:val="a"/>
    <w:autoRedefine/>
    <w:uiPriority w:val="39"/>
    <w:unhideWhenUsed/>
    <w:rsid w:val="00FF3B8D"/>
    <w:pPr>
      <w:spacing w:after="100"/>
      <w:ind w:left="200"/>
    </w:pPr>
  </w:style>
  <w:style w:type="paragraph" w:styleId="10">
    <w:name w:val="toc 1"/>
    <w:basedOn w:val="a"/>
    <w:next w:val="a"/>
    <w:autoRedefine/>
    <w:uiPriority w:val="39"/>
    <w:unhideWhenUsed/>
    <w:rsid w:val="00FF3B8D"/>
    <w:pPr>
      <w:spacing w:after="100"/>
    </w:pPr>
  </w:style>
  <w:style w:type="character" w:styleId="ac">
    <w:name w:val="Hyperlink"/>
    <w:basedOn w:val="a0"/>
    <w:uiPriority w:val="99"/>
    <w:unhideWhenUsed/>
    <w:rsid w:val="00FF3B8D"/>
    <w:rPr>
      <w:color w:val="0000FF" w:themeColor="hyperlink"/>
      <w:u w:val="single"/>
    </w:rPr>
  </w:style>
  <w:style w:type="paragraph" w:customStyle="1" w:styleId="H1GC">
    <w:name w:val="_ H_1_GC"/>
    <w:basedOn w:val="a"/>
    <w:next w:val="a"/>
    <w:qFormat/>
    <w:rsid w:val="006C009C"/>
    <w:pPr>
      <w:keepNext/>
      <w:keepLines/>
      <w:tabs>
        <w:tab w:val="right" w:pos="851"/>
      </w:tabs>
      <w:suppressAutoHyphens w:val="0"/>
      <w:overflowPunct w:val="0"/>
      <w:adjustRightInd w:val="0"/>
      <w:snapToGrid w:val="0"/>
      <w:spacing w:before="360" w:after="240" w:line="320" w:lineRule="exact"/>
      <w:ind w:left="1134" w:right="1134" w:hanging="1134"/>
      <w:outlineLvl w:val="2"/>
    </w:pPr>
    <w:rPr>
      <w:rFonts w:eastAsia="黑体"/>
      <w:snapToGrid w:val="0"/>
      <w:sz w:val="24"/>
      <w:lang w:val="en-US" w:eastAsia="zh-CN"/>
    </w:rPr>
  </w:style>
  <w:style w:type="paragraph" w:customStyle="1" w:styleId="HChGC">
    <w:name w:val="_ H _Ch_GC"/>
    <w:basedOn w:val="a"/>
    <w:next w:val="a"/>
    <w:qFormat/>
    <w:rsid w:val="006C009C"/>
    <w:pPr>
      <w:keepNext/>
      <w:keepLines/>
      <w:tabs>
        <w:tab w:val="right" w:pos="851"/>
      </w:tabs>
      <w:suppressAutoHyphens w:val="0"/>
      <w:overflowPunct w:val="0"/>
      <w:adjustRightInd w:val="0"/>
      <w:snapToGrid w:val="0"/>
      <w:spacing w:before="360" w:after="240" w:line="400" w:lineRule="exact"/>
      <w:ind w:left="1134" w:right="1134" w:hanging="1134"/>
      <w:outlineLvl w:val="1"/>
    </w:pPr>
    <w:rPr>
      <w:rFonts w:eastAsia="黑体"/>
      <w:snapToGrid w:val="0"/>
      <w:sz w:val="28"/>
      <w:lang w:val="en-US" w:eastAsia="zh-CN"/>
    </w:rPr>
  </w:style>
  <w:style w:type="paragraph" w:customStyle="1" w:styleId="SingleTxtGC">
    <w:name w:val="_ Single Txt_GC"/>
    <w:basedOn w:val="a"/>
    <w:link w:val="SingleTxtGCChar"/>
    <w:qFormat/>
    <w:rsid w:val="006C009C"/>
    <w:pPr>
      <w:tabs>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6C009C"/>
    <w:rPr>
      <w:rFonts w:ascii="Times New Roman" w:hAnsi="Times New Roman" w:cs="Times New Roman"/>
      <w:snapToGrid w:val="0"/>
      <w:sz w:val="21"/>
      <w:szCs w:val="20"/>
      <w:lang w:val="en-US"/>
    </w:rPr>
  </w:style>
  <w:style w:type="paragraph" w:customStyle="1" w:styleId="Bullet1GC">
    <w:name w:val="_Bullet 1_GC"/>
    <w:basedOn w:val="a"/>
    <w:qFormat/>
    <w:rsid w:val="006C009C"/>
    <w:pPr>
      <w:numPr>
        <w:numId w:val="8"/>
      </w:numPr>
      <w:suppressAutoHyphens w:val="0"/>
      <w:overflowPunct w:val="0"/>
      <w:adjustRightInd w:val="0"/>
      <w:snapToGrid w:val="0"/>
      <w:spacing w:after="120" w:line="320" w:lineRule="exact"/>
      <w:ind w:right="1134"/>
    </w:pPr>
    <w:rPr>
      <w:rFonts w:eastAsia="宋体"/>
      <w:snapToGrid w:val="0"/>
      <w:sz w:val="21"/>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E52109"/>
    <w:pPr>
      <w:suppressAutoHyphens/>
      <w:spacing w:after="0" w:line="240" w:lineRule="atLeast"/>
    </w:pPr>
    <w:rPr>
      <w:rFonts w:ascii="Times New Roman" w:eastAsia="Times New Roman" w:hAnsi="Times New Roman" w:cs="Times New Roman"/>
      <w:sz w:val="20"/>
      <w:szCs w:val="20"/>
      <w:lang w:eastAsia="en-US"/>
    </w:rPr>
  </w:style>
  <w:style w:type="paragraph" w:styleId="1">
    <w:name w:val="heading 1"/>
    <w:aliases w:val="Table_G"/>
    <w:basedOn w:val="SingleTxtG"/>
    <w:next w:val="SingleTxtG"/>
    <w:link w:val="1Char"/>
    <w:semiHidden/>
    <w:rsid w:val="007268F9"/>
    <w:pPr>
      <w:spacing w:after="0" w:line="240" w:lineRule="auto"/>
      <w:ind w:right="0"/>
      <w:jc w:val="left"/>
      <w:outlineLvl w:val="0"/>
    </w:pPr>
  </w:style>
  <w:style w:type="paragraph" w:styleId="2">
    <w:name w:val="heading 2"/>
    <w:basedOn w:val="a"/>
    <w:next w:val="a"/>
    <w:link w:val="2Char"/>
    <w:semiHidden/>
    <w:rsid w:val="007268F9"/>
    <w:pPr>
      <w:spacing w:line="240" w:lineRule="auto"/>
      <w:outlineLvl w:val="1"/>
    </w:pPr>
    <w:rPr>
      <w:rFonts w:eastAsia="宋体"/>
      <w:lang w:eastAsia="zh-CN"/>
    </w:rPr>
  </w:style>
  <w:style w:type="paragraph" w:styleId="3">
    <w:name w:val="heading 3"/>
    <w:basedOn w:val="a"/>
    <w:next w:val="a"/>
    <w:link w:val="3Char"/>
    <w:semiHidden/>
    <w:rsid w:val="007268F9"/>
    <w:pPr>
      <w:spacing w:line="240" w:lineRule="auto"/>
      <w:outlineLvl w:val="2"/>
    </w:pPr>
    <w:rPr>
      <w:rFonts w:eastAsia="宋体"/>
      <w:lang w:eastAsia="zh-CN"/>
    </w:rPr>
  </w:style>
  <w:style w:type="paragraph" w:styleId="4">
    <w:name w:val="heading 4"/>
    <w:basedOn w:val="a"/>
    <w:next w:val="a"/>
    <w:link w:val="4Char"/>
    <w:semiHidden/>
    <w:rsid w:val="007268F9"/>
    <w:pPr>
      <w:spacing w:line="240" w:lineRule="auto"/>
      <w:outlineLvl w:val="3"/>
    </w:pPr>
    <w:rPr>
      <w:rFonts w:eastAsia="宋体"/>
      <w:lang w:eastAsia="zh-CN"/>
    </w:rPr>
  </w:style>
  <w:style w:type="paragraph" w:styleId="5">
    <w:name w:val="heading 5"/>
    <w:basedOn w:val="a"/>
    <w:next w:val="a"/>
    <w:link w:val="5Char"/>
    <w:semiHidden/>
    <w:rsid w:val="007268F9"/>
    <w:pPr>
      <w:spacing w:line="240" w:lineRule="auto"/>
      <w:outlineLvl w:val="4"/>
    </w:pPr>
    <w:rPr>
      <w:rFonts w:eastAsia="宋体"/>
      <w:lang w:eastAsia="zh-CN"/>
    </w:rPr>
  </w:style>
  <w:style w:type="paragraph" w:styleId="6">
    <w:name w:val="heading 6"/>
    <w:basedOn w:val="a"/>
    <w:next w:val="a"/>
    <w:link w:val="6Char"/>
    <w:semiHidden/>
    <w:rsid w:val="007268F9"/>
    <w:pPr>
      <w:spacing w:line="240" w:lineRule="auto"/>
      <w:outlineLvl w:val="5"/>
    </w:pPr>
    <w:rPr>
      <w:rFonts w:eastAsia="宋体"/>
      <w:lang w:eastAsia="zh-CN"/>
    </w:rPr>
  </w:style>
  <w:style w:type="paragraph" w:styleId="7">
    <w:name w:val="heading 7"/>
    <w:basedOn w:val="a"/>
    <w:next w:val="a"/>
    <w:link w:val="7Char"/>
    <w:semiHidden/>
    <w:rsid w:val="007268F9"/>
    <w:pPr>
      <w:spacing w:line="240" w:lineRule="auto"/>
      <w:outlineLvl w:val="6"/>
    </w:pPr>
    <w:rPr>
      <w:rFonts w:eastAsia="宋体"/>
      <w:lang w:eastAsia="zh-CN"/>
    </w:rPr>
  </w:style>
  <w:style w:type="paragraph" w:styleId="8">
    <w:name w:val="heading 8"/>
    <w:basedOn w:val="a"/>
    <w:next w:val="a"/>
    <w:link w:val="8Char"/>
    <w:semiHidden/>
    <w:rsid w:val="007268F9"/>
    <w:pPr>
      <w:spacing w:line="240" w:lineRule="auto"/>
      <w:outlineLvl w:val="7"/>
    </w:pPr>
    <w:rPr>
      <w:rFonts w:eastAsia="宋体"/>
      <w:lang w:eastAsia="zh-CN"/>
    </w:rPr>
  </w:style>
  <w:style w:type="paragraph" w:styleId="9">
    <w:name w:val="heading 9"/>
    <w:basedOn w:val="a"/>
    <w:next w:val="a"/>
    <w:link w:val="9Char"/>
    <w:semiHidden/>
    <w:rsid w:val="007268F9"/>
    <w:pPr>
      <w:spacing w:line="240" w:lineRule="auto"/>
      <w:outlineLvl w:val="8"/>
    </w:pPr>
    <w:rPr>
      <w:rFonts w:eastAsia="宋体"/>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Char"/>
    <w:semiHidden/>
    <w:rsid w:val="007268F9"/>
    <w:pPr>
      <w:pBdr>
        <w:bottom w:val="single" w:sz="4" w:space="4" w:color="auto"/>
      </w:pBdr>
      <w:spacing w:line="240" w:lineRule="auto"/>
    </w:pPr>
    <w:rPr>
      <w:rFonts w:eastAsia="宋体"/>
      <w:b/>
      <w:sz w:val="18"/>
      <w:lang w:eastAsia="zh-CN"/>
    </w:rPr>
  </w:style>
  <w:style w:type="character" w:customStyle="1" w:styleId="Char">
    <w:name w:val="页眉 Char"/>
    <w:aliases w:val="6_G Char"/>
    <w:basedOn w:val="a0"/>
    <w:link w:val="a3"/>
    <w:semiHidden/>
    <w:rsid w:val="003B4550"/>
    <w:rPr>
      <w:rFonts w:ascii="Times New Roman" w:hAnsi="Times New Roman" w:cs="Times New Roman"/>
      <w:b/>
      <w:sz w:val="18"/>
      <w:szCs w:val="20"/>
    </w:rPr>
  </w:style>
  <w:style w:type="paragraph" w:styleId="a4">
    <w:name w:val="footer"/>
    <w:aliases w:val="3_G"/>
    <w:basedOn w:val="a"/>
    <w:link w:val="Char0"/>
    <w:qFormat/>
    <w:rsid w:val="007268F9"/>
    <w:pPr>
      <w:spacing w:line="240" w:lineRule="auto"/>
    </w:pPr>
    <w:rPr>
      <w:rFonts w:eastAsia="宋体"/>
      <w:sz w:val="16"/>
      <w:lang w:eastAsia="zh-CN"/>
    </w:rPr>
  </w:style>
  <w:style w:type="character" w:customStyle="1" w:styleId="Char0">
    <w:name w:val="页脚 Char"/>
    <w:aliases w:val="3_G Char"/>
    <w:basedOn w:val="a0"/>
    <w:link w:val="a4"/>
    <w:rsid w:val="00247E2C"/>
    <w:rPr>
      <w:rFonts w:ascii="Times New Roman" w:eastAsia="宋体" w:hAnsi="Times New Roman" w:cs="Times New Roman"/>
      <w:sz w:val="16"/>
      <w:szCs w:val="20"/>
    </w:rPr>
  </w:style>
  <w:style w:type="paragraph" w:customStyle="1" w:styleId="HMG">
    <w:name w:val="_ H __M_G"/>
    <w:basedOn w:val="a"/>
    <w:next w:val="a"/>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7268F9"/>
    <w:pPr>
      <w:keepNext/>
      <w:keepLines/>
      <w:tabs>
        <w:tab w:val="right" w:pos="851"/>
      </w:tabs>
      <w:spacing w:before="240" w:after="120" w:line="240" w:lineRule="exact"/>
      <w:ind w:left="1134" w:right="1134" w:hanging="1134"/>
    </w:pPr>
    <w:rPr>
      <w:rFonts w:eastAsia="宋体"/>
      <w:b/>
      <w:lang w:eastAsia="zh-CN"/>
    </w:rPr>
  </w:style>
  <w:style w:type="paragraph" w:customStyle="1" w:styleId="H4G">
    <w:name w:val="_ H_4_G"/>
    <w:basedOn w:val="a"/>
    <w:next w:val="a"/>
    <w:rsid w:val="007268F9"/>
    <w:pPr>
      <w:keepNext/>
      <w:keepLines/>
      <w:tabs>
        <w:tab w:val="right" w:pos="851"/>
      </w:tabs>
      <w:spacing w:before="240" w:after="120" w:line="240" w:lineRule="exact"/>
      <w:ind w:left="1134" w:right="1134" w:hanging="1134"/>
    </w:pPr>
    <w:rPr>
      <w:rFonts w:eastAsia="宋体"/>
      <w:i/>
      <w:lang w:eastAsia="zh-CN"/>
    </w:rPr>
  </w:style>
  <w:style w:type="paragraph" w:customStyle="1" w:styleId="H56G">
    <w:name w:val="_ H_5/6_G"/>
    <w:basedOn w:val="a"/>
    <w:next w:val="a"/>
    <w:rsid w:val="007268F9"/>
    <w:pPr>
      <w:keepNext/>
      <w:keepLines/>
      <w:tabs>
        <w:tab w:val="right" w:pos="851"/>
      </w:tabs>
      <w:spacing w:before="240" w:after="120" w:line="240" w:lineRule="exact"/>
      <w:ind w:left="1134" w:right="1134" w:hanging="1134"/>
    </w:pPr>
  </w:style>
  <w:style w:type="paragraph" w:customStyle="1" w:styleId="SingleTxtG">
    <w:name w:val="_ Single Txt_G"/>
    <w:basedOn w:val="a"/>
    <w:link w:val="SingleTxtGCar"/>
    <w:rsid w:val="007268F9"/>
    <w:pPr>
      <w:spacing w:after="120"/>
      <w:ind w:left="1134" w:right="1134"/>
      <w:jc w:val="both"/>
    </w:pPr>
    <w:rPr>
      <w:rFonts w:eastAsia="宋体"/>
      <w:lang w:eastAsia="zh-CN"/>
    </w:rPr>
  </w:style>
  <w:style w:type="paragraph" w:customStyle="1" w:styleId="SLG">
    <w:name w:val="__S_L_G"/>
    <w:basedOn w:val="a"/>
    <w:next w:val="a"/>
    <w:rsid w:val="007268F9"/>
    <w:pPr>
      <w:keepNext/>
      <w:keepLines/>
      <w:spacing w:before="240" w:after="240" w:line="580" w:lineRule="exact"/>
      <w:ind w:left="1134" w:right="1134"/>
    </w:pPr>
    <w:rPr>
      <w:b/>
      <w:sz w:val="56"/>
    </w:rPr>
  </w:style>
  <w:style w:type="paragraph" w:customStyle="1" w:styleId="SMG">
    <w:name w:val="__S_M_G"/>
    <w:basedOn w:val="a"/>
    <w:next w:val="a"/>
    <w:rsid w:val="007268F9"/>
    <w:pPr>
      <w:keepNext/>
      <w:keepLines/>
      <w:spacing w:before="240" w:after="240" w:line="420" w:lineRule="exact"/>
      <w:ind w:left="1134" w:right="1134"/>
    </w:pPr>
    <w:rPr>
      <w:b/>
      <w:sz w:val="40"/>
    </w:rPr>
  </w:style>
  <w:style w:type="paragraph" w:customStyle="1" w:styleId="SSG">
    <w:name w:val="__S_S_G"/>
    <w:basedOn w:val="a"/>
    <w:next w:val="a"/>
    <w:rsid w:val="007268F9"/>
    <w:pPr>
      <w:keepNext/>
      <w:keepLines/>
      <w:spacing w:before="240" w:after="240" w:line="300" w:lineRule="exact"/>
      <w:ind w:left="1134" w:right="1134"/>
    </w:pPr>
    <w:rPr>
      <w:b/>
      <w:sz w:val="28"/>
    </w:rPr>
  </w:style>
  <w:style w:type="paragraph" w:customStyle="1" w:styleId="XLargeG">
    <w:name w:val="__XLarge_G"/>
    <w:basedOn w:val="a"/>
    <w:next w:val="a"/>
    <w:rsid w:val="007268F9"/>
    <w:pPr>
      <w:keepNext/>
      <w:keepLines/>
      <w:spacing w:before="240" w:after="240" w:line="420" w:lineRule="exact"/>
      <w:ind w:left="1134" w:right="1134"/>
    </w:pPr>
    <w:rPr>
      <w:b/>
      <w:sz w:val="40"/>
    </w:rPr>
  </w:style>
  <w:style w:type="paragraph" w:customStyle="1" w:styleId="Bullet1G">
    <w:name w:val="_Bullet 1_G"/>
    <w:basedOn w:val="a"/>
    <w:rsid w:val="007268F9"/>
    <w:pPr>
      <w:numPr>
        <w:numId w:val="1"/>
      </w:numPr>
      <w:spacing w:after="120"/>
      <w:ind w:right="1134"/>
      <w:jc w:val="both"/>
    </w:pPr>
  </w:style>
  <w:style w:type="paragraph" w:customStyle="1" w:styleId="Bullet2G">
    <w:name w:val="_Bullet 2_G"/>
    <w:basedOn w:val="a"/>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5">
    <w:name w:val="endnote reference"/>
    <w:aliases w:val="1_G"/>
    <w:rsid w:val="007268F9"/>
    <w:rPr>
      <w:rFonts w:ascii="Times New Roman" w:hAnsi="Times New Roman"/>
      <w:sz w:val="18"/>
      <w:vertAlign w:val="superscript"/>
    </w:rPr>
  </w:style>
  <w:style w:type="paragraph" w:styleId="a6">
    <w:name w:val="footnote text"/>
    <w:aliases w:val="5_G"/>
    <w:basedOn w:val="a"/>
    <w:link w:val="Char1"/>
    <w:qFormat/>
    <w:rsid w:val="007268F9"/>
    <w:pPr>
      <w:tabs>
        <w:tab w:val="right" w:pos="1021"/>
      </w:tabs>
      <w:spacing w:line="220" w:lineRule="exact"/>
      <w:ind w:left="1134" w:right="1134" w:hanging="1134"/>
    </w:pPr>
    <w:rPr>
      <w:rFonts w:eastAsia="宋体"/>
      <w:sz w:val="18"/>
      <w:lang w:eastAsia="zh-CN"/>
    </w:rPr>
  </w:style>
  <w:style w:type="character" w:customStyle="1" w:styleId="Char1">
    <w:name w:val="脚注文本 Char"/>
    <w:aliases w:val="5_G Char"/>
    <w:basedOn w:val="a0"/>
    <w:link w:val="a6"/>
    <w:rsid w:val="007268F9"/>
    <w:rPr>
      <w:rFonts w:ascii="Times New Roman" w:eastAsia="宋体" w:hAnsi="Times New Roman" w:cs="Times New Roman"/>
      <w:sz w:val="18"/>
      <w:szCs w:val="20"/>
    </w:rPr>
  </w:style>
  <w:style w:type="paragraph" w:styleId="a7">
    <w:name w:val="endnote text"/>
    <w:aliases w:val="2_G"/>
    <w:basedOn w:val="a6"/>
    <w:link w:val="Char2"/>
    <w:rsid w:val="007268F9"/>
  </w:style>
  <w:style w:type="character" w:customStyle="1" w:styleId="Char2">
    <w:name w:val="尾注文本 Char"/>
    <w:aliases w:val="2_G Char"/>
    <w:basedOn w:val="a0"/>
    <w:link w:val="a7"/>
    <w:rsid w:val="007268F9"/>
    <w:rPr>
      <w:rFonts w:ascii="Times New Roman" w:eastAsia="宋体" w:hAnsi="Times New Roman" w:cs="Times New Roman"/>
      <w:sz w:val="18"/>
      <w:szCs w:val="20"/>
    </w:rPr>
  </w:style>
  <w:style w:type="character" w:styleId="a8">
    <w:name w:val="footnote reference"/>
    <w:aliases w:val="4_G"/>
    <w:qFormat/>
    <w:rsid w:val="007268F9"/>
    <w:rPr>
      <w:rFonts w:ascii="Times New Roman" w:hAnsi="Times New Roman"/>
      <w:sz w:val="18"/>
      <w:vertAlign w:val="superscript"/>
    </w:rPr>
  </w:style>
  <w:style w:type="character" w:customStyle="1" w:styleId="1Char">
    <w:name w:val="标题 1 Char"/>
    <w:aliases w:val="Table_G Char"/>
    <w:basedOn w:val="a0"/>
    <w:link w:val="1"/>
    <w:semiHidden/>
    <w:rsid w:val="003B4550"/>
    <w:rPr>
      <w:rFonts w:ascii="Times New Roman" w:hAnsi="Times New Roman" w:cs="Times New Roman"/>
      <w:sz w:val="20"/>
      <w:szCs w:val="20"/>
    </w:rPr>
  </w:style>
  <w:style w:type="character" w:customStyle="1" w:styleId="2Char">
    <w:name w:val="标题 2 Char"/>
    <w:basedOn w:val="a0"/>
    <w:link w:val="2"/>
    <w:semiHidden/>
    <w:rsid w:val="003B4550"/>
    <w:rPr>
      <w:rFonts w:ascii="Times New Roman" w:hAnsi="Times New Roman" w:cs="Times New Roman"/>
      <w:sz w:val="20"/>
      <w:szCs w:val="20"/>
    </w:rPr>
  </w:style>
  <w:style w:type="character" w:customStyle="1" w:styleId="3Char">
    <w:name w:val="标题 3 Char"/>
    <w:basedOn w:val="a0"/>
    <w:link w:val="3"/>
    <w:semiHidden/>
    <w:rsid w:val="003B4550"/>
    <w:rPr>
      <w:rFonts w:ascii="Times New Roman" w:hAnsi="Times New Roman" w:cs="Times New Roman"/>
      <w:sz w:val="20"/>
      <w:szCs w:val="20"/>
    </w:rPr>
  </w:style>
  <w:style w:type="character" w:customStyle="1" w:styleId="4Char">
    <w:name w:val="标题 4 Char"/>
    <w:basedOn w:val="a0"/>
    <w:link w:val="4"/>
    <w:semiHidden/>
    <w:rsid w:val="003B4550"/>
    <w:rPr>
      <w:rFonts w:ascii="Times New Roman" w:hAnsi="Times New Roman" w:cs="Times New Roman"/>
      <w:sz w:val="20"/>
      <w:szCs w:val="20"/>
    </w:rPr>
  </w:style>
  <w:style w:type="character" w:customStyle="1" w:styleId="5Char">
    <w:name w:val="标题 5 Char"/>
    <w:basedOn w:val="a0"/>
    <w:link w:val="5"/>
    <w:semiHidden/>
    <w:rsid w:val="003B4550"/>
    <w:rPr>
      <w:rFonts w:ascii="Times New Roman" w:hAnsi="Times New Roman" w:cs="Times New Roman"/>
      <w:sz w:val="20"/>
      <w:szCs w:val="20"/>
    </w:rPr>
  </w:style>
  <w:style w:type="character" w:customStyle="1" w:styleId="6Char">
    <w:name w:val="标题 6 Char"/>
    <w:basedOn w:val="a0"/>
    <w:link w:val="6"/>
    <w:semiHidden/>
    <w:rsid w:val="003B4550"/>
    <w:rPr>
      <w:rFonts w:ascii="Times New Roman" w:hAnsi="Times New Roman" w:cs="Times New Roman"/>
      <w:sz w:val="20"/>
      <w:szCs w:val="20"/>
    </w:rPr>
  </w:style>
  <w:style w:type="character" w:customStyle="1" w:styleId="7Char">
    <w:name w:val="标题 7 Char"/>
    <w:basedOn w:val="a0"/>
    <w:link w:val="7"/>
    <w:semiHidden/>
    <w:rsid w:val="003B4550"/>
    <w:rPr>
      <w:rFonts w:ascii="Times New Roman" w:hAnsi="Times New Roman" w:cs="Times New Roman"/>
      <w:sz w:val="20"/>
      <w:szCs w:val="20"/>
    </w:rPr>
  </w:style>
  <w:style w:type="character" w:customStyle="1" w:styleId="8Char">
    <w:name w:val="标题 8 Char"/>
    <w:basedOn w:val="a0"/>
    <w:link w:val="8"/>
    <w:semiHidden/>
    <w:rsid w:val="003B4550"/>
    <w:rPr>
      <w:rFonts w:ascii="Times New Roman" w:hAnsi="Times New Roman" w:cs="Times New Roman"/>
      <w:sz w:val="20"/>
      <w:szCs w:val="20"/>
    </w:rPr>
  </w:style>
  <w:style w:type="character" w:customStyle="1" w:styleId="9Char">
    <w:name w:val="标题 9 Char"/>
    <w:basedOn w:val="a0"/>
    <w:link w:val="9"/>
    <w:semiHidden/>
    <w:rsid w:val="003B4550"/>
    <w:rPr>
      <w:rFonts w:ascii="Times New Roman" w:hAnsi="Times New Roman" w:cs="Times New Roman"/>
      <w:sz w:val="20"/>
      <w:szCs w:val="20"/>
    </w:rPr>
  </w:style>
  <w:style w:type="character" w:styleId="a9">
    <w:name w:val="page number"/>
    <w:aliases w:val="7_G"/>
    <w:qFormat/>
    <w:rsid w:val="007268F9"/>
    <w:rPr>
      <w:rFonts w:ascii="Times New Roman" w:hAnsi="Times New Roman"/>
      <w:b/>
      <w:sz w:val="18"/>
    </w:rPr>
  </w:style>
  <w:style w:type="character" w:styleId="aa">
    <w:name w:val="Book Title"/>
    <w:basedOn w:val="a0"/>
    <w:uiPriority w:val="33"/>
    <w:semiHidden/>
    <w:rsid w:val="007268F9"/>
    <w:rPr>
      <w:b/>
      <w:bCs/>
      <w:smallCaps/>
      <w:spacing w:val="5"/>
    </w:rPr>
  </w:style>
  <w:style w:type="paragraph" w:styleId="ab">
    <w:name w:val="Balloon Text"/>
    <w:basedOn w:val="a"/>
    <w:link w:val="Char3"/>
    <w:uiPriority w:val="99"/>
    <w:semiHidden/>
    <w:unhideWhenUsed/>
    <w:rsid w:val="00E52109"/>
    <w:pPr>
      <w:spacing w:line="240" w:lineRule="auto"/>
    </w:pPr>
    <w:rPr>
      <w:rFonts w:ascii="Tahoma" w:hAnsi="Tahoma" w:cs="Tahoma"/>
      <w:sz w:val="16"/>
      <w:szCs w:val="16"/>
    </w:rPr>
  </w:style>
  <w:style w:type="character" w:customStyle="1" w:styleId="Char3">
    <w:name w:val="批注框文本 Char"/>
    <w:basedOn w:val="a0"/>
    <w:link w:val="ab"/>
    <w:uiPriority w:val="99"/>
    <w:semiHidden/>
    <w:rsid w:val="00E52109"/>
    <w:rPr>
      <w:rFonts w:ascii="Tahoma" w:eastAsia="Times New Roman" w:hAnsi="Tahoma" w:cs="Tahoma"/>
      <w:sz w:val="16"/>
      <w:szCs w:val="16"/>
      <w:lang w:eastAsia="en-US"/>
    </w:rPr>
  </w:style>
  <w:style w:type="paragraph" w:customStyle="1" w:styleId="Default">
    <w:name w:val="Default"/>
    <w:rsid w:val="00662584"/>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customStyle="1" w:styleId="HChGChar">
    <w:name w:val="_ H _Ch_G Char"/>
    <w:link w:val="HChG"/>
    <w:rsid w:val="00662584"/>
    <w:rPr>
      <w:rFonts w:ascii="Times New Roman" w:eastAsia="Times New Roman" w:hAnsi="Times New Roman" w:cs="Times New Roman"/>
      <w:b/>
      <w:sz w:val="28"/>
      <w:szCs w:val="20"/>
      <w:lang w:eastAsia="en-US"/>
    </w:rPr>
  </w:style>
  <w:style w:type="character" w:customStyle="1" w:styleId="SingleTxtGCar">
    <w:name w:val="_ Single Txt_G Car"/>
    <w:link w:val="SingleTxtG"/>
    <w:rsid w:val="00662584"/>
    <w:rPr>
      <w:rFonts w:ascii="Times New Roman" w:hAnsi="Times New Roman" w:cs="Times New Roman"/>
      <w:sz w:val="20"/>
      <w:szCs w:val="20"/>
    </w:rPr>
  </w:style>
  <w:style w:type="paragraph" w:styleId="20">
    <w:name w:val="toc 2"/>
    <w:basedOn w:val="a"/>
    <w:next w:val="a"/>
    <w:autoRedefine/>
    <w:uiPriority w:val="39"/>
    <w:unhideWhenUsed/>
    <w:rsid w:val="00FF3B8D"/>
    <w:pPr>
      <w:spacing w:after="100"/>
      <w:ind w:left="200"/>
    </w:pPr>
  </w:style>
  <w:style w:type="paragraph" w:styleId="10">
    <w:name w:val="toc 1"/>
    <w:basedOn w:val="a"/>
    <w:next w:val="a"/>
    <w:autoRedefine/>
    <w:uiPriority w:val="39"/>
    <w:unhideWhenUsed/>
    <w:rsid w:val="00FF3B8D"/>
    <w:pPr>
      <w:spacing w:after="100"/>
    </w:pPr>
  </w:style>
  <w:style w:type="character" w:styleId="ac">
    <w:name w:val="Hyperlink"/>
    <w:basedOn w:val="a0"/>
    <w:uiPriority w:val="99"/>
    <w:unhideWhenUsed/>
    <w:rsid w:val="00FF3B8D"/>
    <w:rPr>
      <w:color w:val="0000FF" w:themeColor="hyperlink"/>
      <w:u w:val="single"/>
    </w:rPr>
  </w:style>
  <w:style w:type="paragraph" w:customStyle="1" w:styleId="H1GC">
    <w:name w:val="_ H_1_GC"/>
    <w:basedOn w:val="a"/>
    <w:next w:val="a"/>
    <w:qFormat/>
    <w:rsid w:val="006C009C"/>
    <w:pPr>
      <w:keepNext/>
      <w:keepLines/>
      <w:tabs>
        <w:tab w:val="right" w:pos="851"/>
      </w:tabs>
      <w:suppressAutoHyphens w:val="0"/>
      <w:overflowPunct w:val="0"/>
      <w:adjustRightInd w:val="0"/>
      <w:snapToGrid w:val="0"/>
      <w:spacing w:before="360" w:after="240" w:line="320" w:lineRule="exact"/>
      <w:ind w:left="1134" w:right="1134" w:hanging="1134"/>
      <w:outlineLvl w:val="2"/>
    </w:pPr>
    <w:rPr>
      <w:rFonts w:eastAsia="黑体"/>
      <w:snapToGrid w:val="0"/>
      <w:sz w:val="24"/>
      <w:lang w:val="en-US" w:eastAsia="zh-CN"/>
    </w:rPr>
  </w:style>
  <w:style w:type="paragraph" w:customStyle="1" w:styleId="HChGC">
    <w:name w:val="_ H _Ch_GC"/>
    <w:basedOn w:val="a"/>
    <w:next w:val="a"/>
    <w:qFormat/>
    <w:rsid w:val="006C009C"/>
    <w:pPr>
      <w:keepNext/>
      <w:keepLines/>
      <w:tabs>
        <w:tab w:val="right" w:pos="851"/>
      </w:tabs>
      <w:suppressAutoHyphens w:val="0"/>
      <w:overflowPunct w:val="0"/>
      <w:adjustRightInd w:val="0"/>
      <w:snapToGrid w:val="0"/>
      <w:spacing w:before="360" w:after="240" w:line="400" w:lineRule="exact"/>
      <w:ind w:left="1134" w:right="1134" w:hanging="1134"/>
      <w:outlineLvl w:val="1"/>
    </w:pPr>
    <w:rPr>
      <w:rFonts w:eastAsia="黑体"/>
      <w:snapToGrid w:val="0"/>
      <w:sz w:val="28"/>
      <w:lang w:val="en-US" w:eastAsia="zh-CN"/>
    </w:rPr>
  </w:style>
  <w:style w:type="paragraph" w:customStyle="1" w:styleId="SingleTxtGC">
    <w:name w:val="_ Single Txt_GC"/>
    <w:basedOn w:val="a"/>
    <w:link w:val="SingleTxtGCChar"/>
    <w:qFormat/>
    <w:rsid w:val="006C009C"/>
    <w:pPr>
      <w:tabs>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6C009C"/>
    <w:rPr>
      <w:rFonts w:ascii="Times New Roman" w:hAnsi="Times New Roman" w:cs="Times New Roman"/>
      <w:snapToGrid w:val="0"/>
      <w:sz w:val="21"/>
      <w:szCs w:val="20"/>
      <w:lang w:val="en-US"/>
    </w:rPr>
  </w:style>
  <w:style w:type="paragraph" w:customStyle="1" w:styleId="Bullet1GC">
    <w:name w:val="_Bullet 1_GC"/>
    <w:basedOn w:val="a"/>
    <w:qFormat/>
    <w:rsid w:val="006C009C"/>
    <w:pPr>
      <w:numPr>
        <w:numId w:val="8"/>
      </w:numPr>
      <w:suppressAutoHyphens w:val="0"/>
      <w:overflowPunct w:val="0"/>
      <w:adjustRightInd w:val="0"/>
      <w:snapToGrid w:val="0"/>
      <w:spacing w:after="120" w:line="320" w:lineRule="exact"/>
      <w:ind w:right="1134"/>
    </w:pPr>
    <w:rPr>
      <w:rFonts w:eastAsia="宋体"/>
      <w:snapToGrid w:val="0"/>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religioustrac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5CDC6-DA94-4F17-A90E-135AECAAE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10004</Words>
  <Characters>57023</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1702341</vt:lpstr>
    </vt:vector>
  </TitlesOfParts>
  <Company>DCM</Company>
  <LinksUpToDate>false</LinksUpToDate>
  <CharactersWithSpaces>66894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1703497</dc:title>
  <dc:subject>A/HRC/34/56/Add.1</dc:subject>
  <dc:creator>Ji</dc:creator>
  <cp:lastModifiedBy>Ji</cp:lastModifiedBy>
  <cp:revision>2</cp:revision>
  <cp:lastPrinted>2017-03-02T15:24:00Z</cp:lastPrinted>
  <dcterms:created xsi:type="dcterms:W3CDTF">2017-03-23T15:10:00Z</dcterms:created>
  <dcterms:modified xsi:type="dcterms:W3CDTF">2017-03-23T15:10:00Z</dcterms:modified>
</cp:coreProperties>
</file>