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F831CC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395DD8" w14:textId="77777777" w:rsidR="002D5AAC" w:rsidRDefault="002D5AAC" w:rsidP="001C61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1D2265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615058F" w14:textId="1E8847F0" w:rsidR="002D5AAC" w:rsidRDefault="001C612C" w:rsidP="001C612C">
            <w:pPr>
              <w:jc w:val="right"/>
            </w:pPr>
            <w:r w:rsidRPr="001C612C">
              <w:rPr>
                <w:sz w:val="40"/>
              </w:rPr>
              <w:t>CRC</w:t>
            </w:r>
            <w:r w:rsidRPr="001C612C">
              <w:t>/C/MKD/CO/3-6</w:t>
            </w:r>
          </w:p>
        </w:tc>
      </w:tr>
      <w:tr w:rsidR="002D5AAC" w14:paraId="76E1682A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F3283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8025C3C" wp14:editId="7D9938C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5A11AF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387EDA" w14:textId="77777777" w:rsidR="002D5AAC" w:rsidRDefault="001C612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D2CF475" w14:textId="77777777" w:rsidR="001C612C" w:rsidRDefault="001C612C" w:rsidP="001C61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October 2022</w:t>
            </w:r>
          </w:p>
          <w:p w14:paraId="12CF7D68" w14:textId="77777777" w:rsidR="001C612C" w:rsidRDefault="001C612C" w:rsidP="001C61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465224B" w14:textId="5D7F69FE" w:rsidR="001C612C" w:rsidRPr="00B937DF" w:rsidRDefault="001C612C" w:rsidP="001C61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1B8EB54" w14:textId="77777777" w:rsidR="001C612C" w:rsidRPr="001C612C" w:rsidRDefault="001C612C" w:rsidP="001C612C">
      <w:pPr>
        <w:spacing w:before="120"/>
        <w:rPr>
          <w:b/>
          <w:sz w:val="24"/>
          <w:szCs w:val="24"/>
        </w:rPr>
      </w:pPr>
      <w:r w:rsidRPr="001C612C">
        <w:rPr>
          <w:b/>
          <w:bCs/>
          <w:sz w:val="24"/>
          <w:szCs w:val="24"/>
        </w:rPr>
        <w:t>Комитет по правам ребенка</w:t>
      </w:r>
    </w:p>
    <w:p w14:paraId="7E28B101" w14:textId="77777777" w:rsidR="001C612C" w:rsidRPr="00670877" w:rsidRDefault="001C612C" w:rsidP="001C612C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третьему–шестому периодическим докладам Северной Македонии</w:t>
      </w:r>
      <w:r w:rsidRPr="00057D9E">
        <w:rPr>
          <w:b w:val="0"/>
          <w:sz w:val="20"/>
        </w:rPr>
        <w:footnoteReference w:customMarkFollows="1" w:id="1"/>
        <w:t>*</w:t>
      </w:r>
    </w:p>
    <w:p w14:paraId="7A1B7C1B" w14:textId="32915733" w:rsidR="001C612C" w:rsidRPr="00670877" w:rsidRDefault="001C612C" w:rsidP="001C612C">
      <w:pPr>
        <w:pStyle w:val="HChG"/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0B7504AF" w14:textId="44A3D5F0" w:rsidR="001C612C" w:rsidRPr="00670877" w:rsidRDefault="001C612C" w:rsidP="001C612C">
      <w:pPr>
        <w:pStyle w:val="SingleTxtG"/>
      </w:pPr>
      <w:r>
        <w:t>1.</w:t>
      </w:r>
      <w:r>
        <w:tab/>
        <w:t>Комитет рассмотрел объединенные третий</w:t>
      </w:r>
      <w:r w:rsidR="00251CA8" w:rsidRPr="00251CA8">
        <w:t>–</w:t>
      </w:r>
      <w:r>
        <w:t>шестой периодические доклады Северной Македонии</w:t>
      </w:r>
      <w:r w:rsidRPr="001C612C">
        <w:rPr>
          <w:rStyle w:val="aa"/>
        </w:rPr>
        <w:footnoteReference w:id="2"/>
      </w:r>
      <w:r w:rsidRPr="001C612C">
        <w:t xml:space="preserve"> </w:t>
      </w:r>
      <w:r>
        <w:t>на своих 2632-м и 2633-м заседаниях</w:t>
      </w:r>
      <w:r w:rsidRPr="001C612C">
        <w:rPr>
          <w:rStyle w:val="aa"/>
        </w:rPr>
        <w:footnoteReference w:id="3"/>
      </w:r>
      <w:r>
        <w:t>,</w:t>
      </w:r>
      <w:r>
        <w:t xml:space="preserve"> состоявшихся </w:t>
      </w:r>
      <w:r>
        <w:br/>
      </w:r>
      <w:r>
        <w:t xml:space="preserve">29 и 30 августа 2022 года, и принял настоящие заключительные замечания на своем 2668-м заседании, состоявшемся 23 сентября 2022 года. </w:t>
      </w:r>
    </w:p>
    <w:p w14:paraId="23415E34" w14:textId="77777777" w:rsidR="001C612C" w:rsidRPr="00670877" w:rsidRDefault="001C612C" w:rsidP="001C612C">
      <w:pPr>
        <w:pStyle w:val="SingleTxtG"/>
      </w:pPr>
      <w:r>
        <w:t>2.</w:t>
      </w:r>
      <w:r>
        <w:tab/>
        <w:t>Комитет приветствует представление объединенных третьего–шестого периодических докладов государства-участника и письменных ответов на перечень вопросов</w:t>
      </w:r>
      <w:r w:rsidRPr="001C612C">
        <w:rPr>
          <w:rStyle w:val="aa"/>
        </w:rPr>
        <w:footnoteReference w:id="4"/>
      </w:r>
      <w:r>
        <w:t>, что позволило лучше понять ситуацию с правами детей в государстве-участнике. Комитет выражает признательность за конструктивный диалог, состоявшийся с высокопоставленной межведомственной делегацией государства-участника.</w:t>
      </w:r>
    </w:p>
    <w:p w14:paraId="1DC7C650" w14:textId="6D3C8060" w:rsidR="001C612C" w:rsidRPr="00670877" w:rsidRDefault="001C612C" w:rsidP="001C612C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40FA13D" w14:textId="2C699F2B" w:rsidR="001C612C" w:rsidRPr="00670877" w:rsidRDefault="001C612C" w:rsidP="001C612C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 частности создание законодательной базы, признающей значительное число статей Конвенции, и поправки, внесенные в Закон об Омбудсмене с целью приведения его в соответствие с принципами, касающимися статуса национальных учреждений, занимающихся поощрением и защитой прав человека (Парижские принципы). Он также приветствует прогресс, достигнутый государством-участником в реализации новой национальной стратегии ювенальной юстиции (2020–2026</w:t>
      </w:r>
      <w:r w:rsidR="00251CA8" w:rsidRPr="00251CA8">
        <w:t xml:space="preserve"> </w:t>
      </w:r>
      <w:r w:rsidR="00251CA8">
        <w:t>годы</w:t>
      </w:r>
      <w:r>
        <w:t>) и</w:t>
      </w:r>
      <w:r w:rsidR="00251CA8">
        <w:t> </w:t>
      </w:r>
      <w:r>
        <w:t>соответствующего плана действий (2020–2023</w:t>
      </w:r>
      <w:r w:rsidR="00251CA8">
        <w:t xml:space="preserve"> годы</w:t>
      </w:r>
      <w:r>
        <w:t>), а также внедрение новой модели оценки инвалидности.</w:t>
      </w:r>
    </w:p>
    <w:p w14:paraId="36A96126" w14:textId="77777777" w:rsidR="001C612C" w:rsidRPr="00670877" w:rsidRDefault="001C612C" w:rsidP="001C612C">
      <w:pPr>
        <w:pStyle w:val="SingleTxtG"/>
      </w:pPr>
      <w:r>
        <w:t>4.</w:t>
      </w:r>
      <w:r>
        <w:tab/>
        <w:t>Комитет также приветствует ратификацию государством-участником в декабре 2011 года Конвенции о правах инвалидов.</w:t>
      </w:r>
    </w:p>
    <w:p w14:paraId="1B00CD4B" w14:textId="7F0A04C8" w:rsidR="001C612C" w:rsidRPr="00670877" w:rsidRDefault="001C612C" w:rsidP="001C612C">
      <w:pPr>
        <w:pStyle w:val="HChG"/>
      </w:pPr>
      <w:r>
        <w:rPr>
          <w:bCs/>
        </w:rPr>
        <w:lastRenderedPageBreak/>
        <w:tab/>
      </w:r>
      <w:r>
        <w:rPr>
          <w:bCs/>
        </w:rPr>
        <w:t>III.</w:t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08D06B99" w14:textId="5016F404" w:rsidR="001C612C" w:rsidRPr="00670877" w:rsidRDefault="001C612C" w:rsidP="001C612C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координация (п. 10); недискриминация (п. 18); насилие в отношении детей (п.</w:t>
      </w:r>
      <w:r>
        <w:t> </w:t>
      </w:r>
      <w:r>
        <w:t>25); дети с инвалидностью (</w:t>
      </w:r>
      <w:r w:rsidR="00251CA8">
        <w:t>п.</w:t>
      </w:r>
      <w:r>
        <w:t xml:space="preserve"> 30); и охрана здоровья и медицинское обслуживание (п. 32).</w:t>
      </w:r>
    </w:p>
    <w:p w14:paraId="3EBC8CA5" w14:textId="77777777" w:rsidR="001C612C" w:rsidRPr="00670877" w:rsidRDefault="001C612C" w:rsidP="001C612C">
      <w:pPr>
        <w:pStyle w:val="SingleTxtG"/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626C7B64" w14:textId="56E1B32C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(ст. 4, 42 и 44 (6))</w:t>
      </w:r>
    </w:p>
    <w:p w14:paraId="76C6A948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3E5915F5" w14:textId="77777777" w:rsidR="001C612C" w:rsidRPr="00670877" w:rsidRDefault="001C612C" w:rsidP="001C612C">
      <w:pPr>
        <w:pStyle w:val="SingleTxtG"/>
        <w:rPr>
          <w:b/>
          <w:bCs/>
        </w:rPr>
      </w:pPr>
      <w:bookmarkStart w:id="0" w:name="_Hlk100233852"/>
      <w:r>
        <w:t>7.</w:t>
      </w:r>
      <w:r>
        <w:tab/>
      </w:r>
      <w:r>
        <w:rPr>
          <w:b/>
          <w:bCs/>
        </w:rPr>
        <w:t>Приветствуя изменения в законодательстве в нескольких областях, охватываемых Конвенцией, Комитет рекомендует государству-участнику:</w:t>
      </w:r>
      <w:r>
        <w:t xml:space="preserve"> </w:t>
      </w:r>
    </w:p>
    <w:p w14:paraId="7AAC39EF" w14:textId="2BA38F4E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полностью соблюдать законодательство, касающееся прав детей, и обеспечить распространение информации о нем среди всех, кто работает с детьми и в интересах детей;</w:t>
      </w:r>
      <w:bookmarkEnd w:id="0"/>
    </w:p>
    <w:p w14:paraId="3C376F2D" w14:textId="54BBED35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обеспечить участие детей в процессе разработки и пересмотра существующих законов, которые касаются их прав и оказывают на них влияние;</w:t>
      </w:r>
      <w:r>
        <w:rPr>
          <w:b/>
          <w:bCs/>
        </w:rPr>
        <w:t xml:space="preserve"> </w:t>
      </w:r>
    </w:p>
    <w:p w14:paraId="35B0D3CF" w14:textId="485348BE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разработать процедуры оценки воздействия на права ребенка для всего национального</w:t>
      </w:r>
      <w:r>
        <w:rPr>
          <w:b/>
          <w:bCs/>
        </w:rPr>
        <w:t xml:space="preserve"> и субнационального законодательства и мер политики, касающихся детей.</w:t>
      </w:r>
    </w:p>
    <w:p w14:paraId="5BBA8A75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1E5E97AD" w14:textId="77777777" w:rsidR="001C612C" w:rsidRPr="00670877" w:rsidRDefault="001C612C" w:rsidP="001C612C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Комитет, будучи обеспокоен тем, что после истечения в 2015 году срока действия Национального плана действий по правам ребенка не было разработано никакого нового плана действий или другого стратегического документа, который конкретно касался бы прав детей, рекомендует государству-участнику:</w:t>
      </w:r>
      <w:r>
        <w:t xml:space="preserve"> </w:t>
      </w:r>
    </w:p>
    <w:p w14:paraId="2DED9447" w14:textId="16C33AA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 xml:space="preserve">активизировать усилия по разработке всеобъемлющей политики и стратегии в области прав детей, охватывающей все области Конвенции; </w:t>
      </w:r>
    </w:p>
    <w:p w14:paraId="0E5E25C3" w14:textId="5AAE2C47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 xml:space="preserve">выделить адекватные людские, технические и финансовые ресурсы для ее реализации; </w:t>
      </w:r>
    </w:p>
    <w:p w14:paraId="4CDB65A2" w14:textId="66E57330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обеспечить участие детей и организаций, занимающихся вопросами прав детей,</w:t>
      </w:r>
      <w:r>
        <w:rPr>
          <w:b/>
          <w:bCs/>
        </w:rPr>
        <w:t xml:space="preserve"> в подготовке, реализации и оценке политики, стратегий и планов действий.</w:t>
      </w:r>
    </w:p>
    <w:p w14:paraId="17D6CFBF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26EC8856" w14:textId="77777777" w:rsidR="001C612C" w:rsidRPr="00670877" w:rsidRDefault="001C612C" w:rsidP="001C612C">
      <w:pPr>
        <w:pStyle w:val="SingleTxtG"/>
        <w:rPr>
          <w:bCs/>
        </w:rPr>
      </w:pPr>
      <w:r>
        <w:t>9.</w:t>
      </w:r>
      <w:r>
        <w:tab/>
        <w:t>Комитет по-прежнему обеспокоен отсутствием национального органа, ответственного за координацию всей политики, связанной с осуществлением Конвенции и факультативных протоколов к ней.</w:t>
      </w:r>
    </w:p>
    <w:p w14:paraId="5B371CB0" w14:textId="77777777" w:rsidR="001C612C" w:rsidRPr="00670877" w:rsidRDefault="001C612C" w:rsidP="001C612C">
      <w:pPr>
        <w:pStyle w:val="SingleTxtG"/>
        <w:rPr>
          <w:b/>
          <w:bCs/>
        </w:rPr>
      </w:pPr>
      <w:bookmarkStart w:id="1" w:name="_Hlk116910846"/>
      <w:r>
        <w:lastRenderedPageBreak/>
        <w:t>10.</w:t>
      </w:r>
      <w:r>
        <w:tab/>
      </w:r>
      <w:r w:rsidRPr="004B5F57">
        <w:rPr>
          <w:b/>
          <w:bCs/>
        </w:rPr>
        <w:t>Комитет повторяет свою предыдущую рекомендацию</w:t>
      </w:r>
      <w:r w:rsidRPr="001C612C">
        <w:rPr>
          <w:rStyle w:val="aa"/>
        </w:rPr>
        <w:footnoteReference w:id="5"/>
      </w:r>
      <w:r w:rsidRPr="004B5F57">
        <w:rPr>
          <w:b/>
          <w:bCs/>
        </w:rPr>
        <w:t xml:space="preserve"> о создании постоянного органа с достаточными полномочиями, необходимыми людскими, техническими и финансовыми ресурсами и мандатом для координации всей деятельности и мониторинга выполнения государством-участником своих обязательств по Конвенции и </w:t>
      </w:r>
      <w:r>
        <w:rPr>
          <w:b/>
          <w:bCs/>
        </w:rPr>
        <w:t>ф</w:t>
      </w:r>
      <w:r w:rsidRPr="004B5F57">
        <w:rPr>
          <w:b/>
          <w:bCs/>
        </w:rPr>
        <w:t>акультативным протоколам к ней</w:t>
      </w:r>
      <w:r>
        <w:t>.</w:t>
      </w:r>
    </w:p>
    <w:bookmarkEnd w:id="1"/>
    <w:p w14:paraId="6C5476C8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  <w:r>
        <w:t xml:space="preserve"> </w:t>
      </w:r>
    </w:p>
    <w:p w14:paraId="7F5DD79B" w14:textId="77777777" w:rsidR="001C612C" w:rsidRPr="00670877" w:rsidRDefault="001C612C" w:rsidP="001C612C">
      <w:pPr>
        <w:pStyle w:val="SingleTxtG"/>
        <w:rPr>
          <w:rFonts w:eastAsia="Calibri"/>
          <w:b/>
        </w:rPr>
      </w:pPr>
      <w:r>
        <w:t>11.</w:t>
      </w:r>
      <w:r>
        <w:tab/>
      </w:r>
      <w:r>
        <w:rPr>
          <w:b/>
          <w:bCs/>
        </w:rPr>
        <w:t>Отмечая создание специальной бюджетной статьи для инклюзивного образования в бюджете Министерства образования и науки и две финансовые программы, направленные на образование детей из числа рома, Комитет, ссылаясь на свое замечание общего порядка № 19 (2016) о государственных бюджетных ассигнованиях для осуществления прав детей, рекомендует государству-участнику:</w:t>
      </w:r>
      <w:r>
        <w:t xml:space="preserve"> </w:t>
      </w:r>
    </w:p>
    <w:p w14:paraId="4E254660" w14:textId="0B80D8A6" w:rsidR="001C612C" w:rsidRPr="00E65563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E65563">
        <w:rPr>
          <w:b/>
          <w:bCs/>
        </w:rPr>
        <w:t>a)</w:t>
      </w:r>
      <w:r w:rsidRPr="00E65563">
        <w:rPr>
          <w:b/>
          <w:bCs/>
        </w:rPr>
        <w:tab/>
        <w:t>увеличить бюджетные ассигнования на реализацию прав детей, уделяя особое внимание детям в уязвимых ситуациях;</w:t>
      </w:r>
    </w:p>
    <w:p w14:paraId="0709AE77" w14:textId="69041478" w:rsidR="001C612C" w:rsidRPr="001C612C" w:rsidRDefault="001C612C" w:rsidP="001C612C">
      <w:pPr>
        <w:pStyle w:val="SingleTxtG"/>
        <w:rPr>
          <w:b/>
          <w:bCs/>
        </w:rPr>
      </w:pPr>
      <w:r w:rsidRPr="00E65563">
        <w:rPr>
          <w:b/>
          <w:bCs/>
        </w:rPr>
        <w:tab/>
      </w:r>
      <w:r w:rsidRPr="00E65563">
        <w:rPr>
          <w:b/>
          <w:bCs/>
        </w:rPr>
        <w:t>b)</w:t>
      </w:r>
      <w:r w:rsidRPr="00E65563">
        <w:rPr>
          <w:b/>
          <w:bCs/>
        </w:rPr>
        <w:tab/>
        <w:t>определить области потенциальных сбережений, по линии которых средства могут быть переведены в бюджеты, касающиеся детей и их семей, уделяя особое внимание детям, находящимся в неблагоприятном положении, включая детей с инвалидностью, детей, живущих в бедности, и детей из числа рома;</w:t>
      </w:r>
    </w:p>
    <w:p w14:paraId="1976B9B0" w14:textId="5C923A53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усилить меры по обеспечению того, чтобы бюджетные ассигнования в сектора, поддерживающие реализацию прав детей, не пострадали от неблагоприятных экономических условий или чрезвычайных ситуаций и могли смягчить негативное воздействие пандемии коронавирусного заболевания (COVID-19);</w:t>
      </w:r>
    </w:p>
    <w:p w14:paraId="7ABE6016" w14:textId="70D47038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внедрить механизмы мониторинга и оценки адекватности, эффективности и равномерности распределения бюджетных ассигнований на осуществление Конвенции;</w:t>
      </w:r>
    </w:p>
    <w:p w14:paraId="7479334F" w14:textId="20E20E08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e)</w:t>
      </w:r>
      <w:r w:rsidRPr="001C612C">
        <w:rPr>
          <w:b/>
          <w:bCs/>
        </w:rPr>
        <w:tab/>
        <w:t>привлекать организации гражданского общества, занимающиеся правами детей, и самих детей к принятию бюджетных решений, которые их затрагивают, и должным</w:t>
      </w:r>
      <w:r>
        <w:rPr>
          <w:b/>
          <w:bCs/>
        </w:rPr>
        <w:t xml:space="preserve"> образом учитывать их мнение.</w:t>
      </w:r>
      <w:r>
        <w:t xml:space="preserve"> </w:t>
      </w:r>
    </w:p>
    <w:p w14:paraId="68B25FB3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Сбор данных</w:t>
      </w:r>
      <w:r>
        <w:t xml:space="preserve"> </w:t>
      </w:r>
    </w:p>
    <w:p w14:paraId="1E0E3590" w14:textId="77777777" w:rsidR="001C612C" w:rsidRPr="00670877" w:rsidRDefault="001C612C" w:rsidP="001C612C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(2003), Комитет повторяет свою предыдущую рекомендацию</w:t>
      </w:r>
      <w:r w:rsidRPr="001C612C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22299F7E" w14:textId="1B40FBC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создать всеобъемлющий и надежный механизм сбора данных с показателями по всем правам, гарантированным Конвенцией и факультативными протоколами к ней;</w:t>
      </w:r>
    </w:p>
    <w:p w14:paraId="31D877DF" w14:textId="32444253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обеспечить возможность дезагрегирования данных по возрасту, полу, инвалидности, географическому положению, этническому происхождению, гражданству и социально-экономическому положению для облегчения анализа положения всех детей, особенно детей младшего возраста, детей, находящихся на альтернативном попечении, детей</w:t>
      </w:r>
      <w:r>
        <w:rPr>
          <w:b/>
          <w:bCs/>
        </w:rPr>
        <w:t xml:space="preserve"> — </w:t>
      </w:r>
      <w:r w:rsidRPr="001C612C">
        <w:rPr>
          <w:b/>
          <w:bCs/>
        </w:rPr>
        <w:t>жертв отсутствия заботы, насилия или жестокого обращения, включая сексуальную эксплуатацию и торговлю людьми, детей с инвалидностью, детей-беженцев и детей</w:t>
      </w:r>
      <w:r>
        <w:rPr>
          <w:b/>
          <w:bCs/>
        </w:rPr>
        <w:t xml:space="preserve"> — </w:t>
      </w:r>
      <w:r w:rsidRPr="001C612C">
        <w:rPr>
          <w:b/>
          <w:bCs/>
        </w:rPr>
        <w:t>просителей убежища, детей c неизвестным гражданством, детей, находящихся в конфликте с законом, работающих детей, беспризорных детей и детей, находящихся в других ситуациях уязвимости;</w:t>
      </w:r>
    </w:p>
    <w:p w14:paraId="587B6A58" w14:textId="7B19C0B1" w:rsidR="001C612C" w:rsidRPr="00670877" w:rsidRDefault="001C612C" w:rsidP="001C612C">
      <w:pPr>
        <w:pStyle w:val="SingleTxtG"/>
        <w:rPr>
          <w:b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содействовать межсекторальной координации между государственными учреждениями</w:t>
      </w:r>
      <w:r>
        <w:rPr>
          <w:b/>
          <w:bCs/>
        </w:rPr>
        <w:t xml:space="preserve">, осуществляющими сбор информации и </w:t>
      </w:r>
      <w:r>
        <w:rPr>
          <w:b/>
          <w:bCs/>
        </w:rPr>
        <w:lastRenderedPageBreak/>
        <w:t>разработку сопоставимой и стандартизированной системы на основе фактических данных для периодического мониторинга достижения Целей в области устойчивого развития, а также для формулирования, мониторинга и оценки политики, программ и проектов, разработанных для эффективного осуществления Конвенции;</w:t>
      </w:r>
    </w:p>
    <w:p w14:paraId="11ABA4FD" w14:textId="73A01D78" w:rsidR="001C612C" w:rsidRPr="00670877" w:rsidRDefault="001C612C" w:rsidP="001C612C">
      <w:pPr>
        <w:pStyle w:val="SingleTxtG"/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учитывать концептуальные и методологические рамки, установленные в до</w:t>
      </w:r>
      <w:r>
        <w:rPr>
          <w:b/>
          <w:bCs/>
        </w:rPr>
        <w:t>кладе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информации.</w:t>
      </w:r>
      <w:r>
        <w:t xml:space="preserve"> </w:t>
      </w:r>
    </w:p>
    <w:p w14:paraId="00E52A6C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729920A9" w14:textId="1771907E" w:rsidR="001C612C" w:rsidRPr="00E65563" w:rsidRDefault="001C612C" w:rsidP="001C612C">
      <w:pPr>
        <w:pStyle w:val="SingleTxtG"/>
        <w:rPr>
          <w:rFonts w:eastAsia="Batang"/>
          <w:b/>
          <w:bCs/>
        </w:rPr>
      </w:pPr>
      <w:r>
        <w:t>13.</w:t>
      </w:r>
      <w:r>
        <w:tab/>
      </w:r>
      <w:r w:rsidRPr="00E65563">
        <w:rPr>
          <w:b/>
          <w:bCs/>
        </w:rPr>
        <w:t xml:space="preserve">Приветствуя поправки к Закону об Омбудсмене с целью приведения его в соответствие с принципами, касающимися статуса национальных учреждений, занимающихся поощрением и защитой прав человека (Парижские принципы), и создание специальных подразделений для мониторинга ситуации с правами детей, Комитет напоминает о своем замечании общего порядка № 2 (2002) о роли независимых национальных правозащитных учреждений в деле поощрения и защиты прав ребенка и рекомендует государству-участнику: </w:t>
      </w:r>
    </w:p>
    <w:p w14:paraId="7786F2C5" w14:textId="60977655" w:rsidR="001C612C" w:rsidRPr="001C612C" w:rsidRDefault="001C612C" w:rsidP="001C612C">
      <w:pPr>
        <w:pStyle w:val="SingleTxtG"/>
        <w:rPr>
          <w:rFonts w:eastAsia="Batang"/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укрепить независимость и мандат Омбудсмена и усилить потенциал, а также кадровые и финансовые ресурсы отделов Управления Омбудсмена для мониторинга и защиты прав ребенка и прав людей с инвалидностью;</w:t>
      </w:r>
    </w:p>
    <w:p w14:paraId="0F1C7338" w14:textId="2DA390E4" w:rsidR="001C612C" w:rsidRPr="00670877" w:rsidRDefault="001C612C" w:rsidP="001C612C">
      <w:pPr>
        <w:pStyle w:val="SingleTxtG"/>
        <w:rPr>
          <w:rFonts w:eastAsia="Batang"/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широко распространить информацию о роли Омбудсмена, особенно среди детей,</w:t>
      </w:r>
      <w:r>
        <w:rPr>
          <w:b/>
          <w:bCs/>
        </w:rPr>
        <w:t xml:space="preserve"> чтобы повысить осведомленность о возможности подачи жалоб в Управление Омбудсмена.</w:t>
      </w:r>
    </w:p>
    <w:p w14:paraId="517CE45D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осведомленность и подготовка кадров</w:t>
      </w:r>
    </w:p>
    <w:p w14:paraId="3F51A664" w14:textId="15FBD39C" w:rsidR="001C612C" w:rsidRPr="00670877" w:rsidRDefault="001C612C" w:rsidP="001C612C">
      <w:pPr>
        <w:pStyle w:val="SingleTxtG"/>
        <w:rPr>
          <w:b/>
          <w:szCs w:val="24"/>
        </w:rPr>
      </w:pPr>
      <w:r>
        <w:t>14.</w:t>
      </w:r>
      <w:r>
        <w:tab/>
      </w:r>
      <w:r w:rsidRPr="00AA16FD">
        <w:rPr>
          <w:b/>
          <w:bCs/>
        </w:rPr>
        <w:t>Комитет повторяет свои предыдущие рекомендации</w:t>
      </w:r>
      <w:r w:rsidRPr="001C612C">
        <w:rPr>
          <w:rStyle w:val="aa"/>
        </w:rPr>
        <w:footnoteReference w:id="7"/>
      </w:r>
      <w:r>
        <w:rPr>
          <w:b/>
          <w:bCs/>
        </w:rPr>
        <w:t xml:space="preserve"> </w:t>
      </w:r>
      <w:r w:rsidRPr="00AA16FD">
        <w:rPr>
          <w:b/>
          <w:bCs/>
        </w:rPr>
        <w:t>и рекомендует государству-участнику:</w:t>
      </w:r>
    </w:p>
    <w:p w14:paraId="3A6925AB" w14:textId="76FA57E3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активизировать свои усилия по распространению информации и повышению осведомленности о Конвенции и факультативных протоколах к ней и повысить осведомленность во всех сферах общества, особенно в семьях и общинах, о том, что дети являются носителями прав;</w:t>
      </w:r>
    </w:p>
    <w:p w14:paraId="6ED6D4B4" w14:textId="7D0A903B" w:rsidR="001C612C" w:rsidRPr="00670877" w:rsidRDefault="001C612C" w:rsidP="001C612C">
      <w:pPr>
        <w:pStyle w:val="SingleTxtG"/>
        <w:rPr>
          <w:b/>
          <w:szCs w:val="24"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обеспечить систематическое, обязательное и непрерывное обучение по вопросам прав детей</w:t>
      </w:r>
      <w:r>
        <w:rPr>
          <w:b/>
          <w:bCs/>
        </w:rPr>
        <w:t xml:space="preserve"> для специалистов, работающих с детьми и в интересах детей.</w:t>
      </w:r>
    </w:p>
    <w:p w14:paraId="42AAF773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33E3CC92" w14:textId="77777777" w:rsidR="001C612C" w:rsidRPr="00670877" w:rsidRDefault="001C612C" w:rsidP="001C612C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Приветствуя принятие правительственной стратегии сотрудничества и развития гражданского общества (2018–2020 годы), Комитет рекомендует государству-участнику обновить эту стратегию и укрепить сотрудничество с неправительственными организациями, включая детей-правозащитников, обеспечив систематичность и всеохватность консультативных процессов и все больший учет вклада гражданского общества.</w:t>
      </w:r>
      <w:r>
        <w:t xml:space="preserve"> </w:t>
      </w:r>
    </w:p>
    <w:p w14:paraId="452BD60E" w14:textId="46BC98C9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Определение понятия «ребенок» (ст. 1)</w:t>
      </w:r>
    </w:p>
    <w:p w14:paraId="3DBFA8D5" w14:textId="77777777" w:rsidR="001C612C" w:rsidRPr="00670877" w:rsidRDefault="001C612C" w:rsidP="001C612C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внести поправки в Закон о семье, чтобы устранить все исключения, допускающие возможность вступления в брак в возрасте до 18 лет.</w:t>
      </w:r>
    </w:p>
    <w:p w14:paraId="7CBCD3BC" w14:textId="4C3E2B63" w:rsidR="001C612C" w:rsidRPr="00670877" w:rsidRDefault="001C612C" w:rsidP="001C612C">
      <w:pPr>
        <w:pStyle w:val="H1G"/>
      </w:pPr>
      <w:r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>Общие принципы (ст. 2, 3, 6 и 12)</w:t>
      </w:r>
    </w:p>
    <w:p w14:paraId="7313C3C3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84A0267" w14:textId="77777777" w:rsidR="001C612C" w:rsidRPr="00670877" w:rsidRDefault="001C612C" w:rsidP="001C612C">
      <w:pPr>
        <w:pStyle w:val="SingleTxtG"/>
      </w:pPr>
      <w:r>
        <w:t>17.</w:t>
      </w:r>
      <w:r>
        <w:tab/>
        <w:t xml:space="preserve">Комитет отмечает создание Комиссии по предупреждению и защите от дискриминации в соответствии с Законом о предупреждении и защите лиц от дискриминации. Однако Комитет по-прежнему серьезно обеспокоен существованием стереотипов и социальных норм, которые увековечивают дискриминацию в отношении детей, в частности детей из числа рома, детей-инвалидов и лесбиянок, геев, бисексуалов, трансгендеров и интерсексов, а также на основе социального статуса детей. </w:t>
      </w:r>
    </w:p>
    <w:p w14:paraId="2A4B1F48" w14:textId="77777777" w:rsidR="001C612C" w:rsidRPr="00670877" w:rsidRDefault="001C612C" w:rsidP="001C612C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1EFBDC48" w14:textId="0813630A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обеспечить полное исполнение существующих законов, запрещающих дискриминацию, и усилить кампании по просвещению общественности с целью поощрения терпимости, сосуществования, уважения разнообразия, диалога и инклюзивности, а также повысить осведомленность общественности о запрете дискриминации;</w:t>
      </w:r>
    </w:p>
    <w:p w14:paraId="3F3E88CD" w14:textId="6ACB2396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укреплять потенциал и эффективность работы Комиссии по предупреждению и защите от дискриминации и учреждений, ответственных за прием жалоб;</w:t>
      </w:r>
    </w:p>
    <w:p w14:paraId="5D1307B9" w14:textId="0E21311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усилить реализацию стратегии равенства и недискриминации на период 2022–2026 годов, обеспечив участие детей и гражданского общества в ее разработке и мониторинге ее эффективности;</w:t>
      </w:r>
    </w:p>
    <w:p w14:paraId="3E1C2996" w14:textId="2A654C72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обеспечить</w:t>
      </w:r>
      <w:r>
        <w:rPr>
          <w:b/>
          <w:bCs/>
        </w:rPr>
        <w:t xml:space="preserve"> расследование случаев дискриминации в отношении детей.</w:t>
      </w:r>
    </w:p>
    <w:p w14:paraId="5974301D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  <w:bookmarkStart w:id="2" w:name="_Hlk104806757"/>
    </w:p>
    <w:p w14:paraId="5966B375" w14:textId="595AA98E" w:rsidR="001C612C" w:rsidRPr="00670877" w:rsidRDefault="001C612C" w:rsidP="001C612C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1C612C">
        <w:rPr>
          <w:rStyle w:val="aa"/>
        </w:rPr>
        <w:footnoteReference w:id="8"/>
      </w:r>
      <w:r w:rsidR="00E65563">
        <w:rPr>
          <w:b/>
          <w:bCs/>
        </w:rPr>
        <w:t xml:space="preserve"> </w:t>
      </w:r>
      <w:r>
        <w:rPr>
          <w:b/>
          <w:bCs/>
        </w:rPr>
        <w:t>и рекомендует государству-участнику:</w:t>
      </w:r>
    </w:p>
    <w:p w14:paraId="53FF710F" w14:textId="0B328C61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принять все надлежащие меры для обеспечения того, чтобы принцип наилучшего обеспечения интересов ребенка был интегрирован в законы, нормативные акты и административные и судебные процедуры;</w:t>
      </w:r>
    </w:p>
    <w:p w14:paraId="09A13953" w14:textId="2D402C5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обеспечить, чтобы наилучшие интересы ребенка были главным соображением при принятии всех решений, касающихся детей, и установить общие руководящие принципы для их адекватного применения во всех областях;</w:t>
      </w:r>
    </w:p>
    <w:p w14:paraId="0920D5B6" w14:textId="11F21446" w:rsidR="001C612C" w:rsidRPr="00670877" w:rsidRDefault="001C612C" w:rsidP="001C612C">
      <w:pPr>
        <w:pStyle w:val="SingleTxtG"/>
        <w:rPr>
          <w:b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обеспечить систематическое обучение всех специалистов, ответственных за</w:t>
      </w:r>
      <w:r>
        <w:rPr>
          <w:b/>
          <w:bCs/>
        </w:rPr>
        <w:t xml:space="preserve"> определение наилучших интересов ребенка, в каждой области, охватываемой Конвенцией.</w:t>
      </w:r>
    </w:p>
    <w:bookmarkEnd w:id="2"/>
    <w:p w14:paraId="4BB34F34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8F25E8D" w14:textId="77777777" w:rsidR="001C612C" w:rsidRPr="00670877" w:rsidRDefault="001C612C" w:rsidP="001C612C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Приветствуя принятие Закона о начальном образовании, предусматривающего создание студенческого парламента и студенческого омбудсмена, и напоминая о своем замечании общего порядка № 12 (2009) о праве ребенка быть заслушанным, Комитет рекомендует государству-участнику:</w:t>
      </w:r>
      <w:r>
        <w:t xml:space="preserve"> </w:t>
      </w:r>
    </w:p>
    <w:p w14:paraId="452206D6" w14:textId="0F006EEA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провести комплексную законодательную реформу, чтобы гарантировать право детей быть заслушанными в ходе всех судебных и административных разбирательств, которые их затрагивают;</w:t>
      </w:r>
    </w:p>
    <w:p w14:paraId="456D21C0" w14:textId="1EABC44D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 xml:space="preserve">продолжать продвигать существующие пространства для участия и периодически оценивать степень принятия во внимание мнений детей в этих пространствах; </w:t>
      </w:r>
    </w:p>
    <w:p w14:paraId="06B48CB5" w14:textId="3E9687C7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поощрять участие детей в жизни семьи, в центрах по уходу за детьми, школах и общинах и способствовать внедрению механизмов и моделей, позволяющих детям участвовать в принятии решений по вопросам, которые их касаются;</w:t>
      </w:r>
    </w:p>
    <w:p w14:paraId="5786B9F1" w14:textId="2FE3B3E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 xml:space="preserve">принять меры по борьбе с преобладающими предрассудками, препятствующими участию детей в жизни общества; </w:t>
      </w:r>
    </w:p>
    <w:p w14:paraId="6698499C" w14:textId="4D79CA95" w:rsidR="001C612C" w:rsidRPr="00670877" w:rsidRDefault="001C612C" w:rsidP="001C612C">
      <w:pPr>
        <w:pStyle w:val="SingleTxtG"/>
        <w:rPr>
          <w:b/>
        </w:rPr>
      </w:pPr>
      <w:r>
        <w:rPr>
          <w:b/>
          <w:bCs/>
        </w:rPr>
        <w:tab/>
      </w:r>
      <w:r w:rsidRPr="001C612C">
        <w:rPr>
          <w:b/>
          <w:bCs/>
        </w:rPr>
        <w:t>e)</w:t>
      </w:r>
      <w:r w:rsidRPr="001C612C">
        <w:rPr>
          <w:b/>
          <w:bCs/>
        </w:rPr>
        <w:tab/>
        <w:t>обеспечить, чтобы все соответствующие специалисты, работающие с детьми и</w:t>
      </w:r>
      <w:r>
        <w:rPr>
          <w:b/>
          <w:bCs/>
        </w:rPr>
        <w:t xml:space="preserve"> в их интересах, включая судей, учителей и специалистов по уходу за молодежью, систематически проходили надлежащую подготовку по вопросам права ребенка быть заслушанным и учитывать его или ее мнение в соответствии с возрастом и зрелостью ребенка.</w:t>
      </w:r>
    </w:p>
    <w:p w14:paraId="7B4CD78F" w14:textId="5A7C2378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Гражданские права и свободы (ст. 7, 8</w:t>
      </w:r>
      <w:r w:rsidR="007D7B67">
        <w:rPr>
          <w:bCs/>
        </w:rPr>
        <w:t xml:space="preserve"> и</w:t>
      </w:r>
      <w:r>
        <w:rPr>
          <w:bCs/>
        </w:rPr>
        <w:t xml:space="preserve"> 13–17)</w:t>
      </w:r>
      <w:r>
        <w:t xml:space="preserve"> </w:t>
      </w:r>
    </w:p>
    <w:p w14:paraId="4DF68CBF" w14:textId="77777777" w:rsidR="001C612C" w:rsidRPr="00670877" w:rsidRDefault="001C612C" w:rsidP="001C612C">
      <w:pPr>
        <w:pStyle w:val="H23G"/>
        <w:rPr>
          <w:color w:val="000000"/>
          <w:sz w:val="24"/>
          <w:szCs w:val="24"/>
        </w:rPr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068268B6" w14:textId="77777777" w:rsidR="001C612C" w:rsidRPr="00670877" w:rsidRDefault="001C612C" w:rsidP="001C612C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Отмечая, что регистрация рождений характеризуется как всеобщая, Комитет рекомендует государству-участнику:</w:t>
      </w:r>
      <w:r>
        <w:t xml:space="preserve"> </w:t>
      </w:r>
    </w:p>
    <w:p w14:paraId="53F7C21E" w14:textId="27E6E68C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обеспечить бесплатную регистрацию рождений и выдачу свидетельств о рождении;</w:t>
      </w:r>
    </w:p>
    <w:p w14:paraId="62DED4FC" w14:textId="60275296" w:rsidR="001C612C" w:rsidRPr="00670877" w:rsidRDefault="001C612C" w:rsidP="001C612C">
      <w:pPr>
        <w:pStyle w:val="SingleTxtG"/>
        <w:rPr>
          <w:b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обеспечить предоставление гражданства детям, проживающим в государстве</w:t>
      </w:r>
      <w:r>
        <w:rPr>
          <w:b/>
          <w:bCs/>
        </w:rPr>
        <w:t>-участнике, которые в противном случае могут быть лицами без гражданства.</w:t>
      </w:r>
      <w:r>
        <w:t xml:space="preserve"> </w:t>
      </w:r>
    </w:p>
    <w:p w14:paraId="199DAA74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Сохранение идентичности</w:t>
      </w:r>
    </w:p>
    <w:p w14:paraId="50A0F4FD" w14:textId="5AE945B5" w:rsidR="001C612C" w:rsidRPr="00670877" w:rsidRDefault="001C612C" w:rsidP="001C612C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Комитет обеспокоен отсутствием информации об искоренении практики тайного усыновления</w:t>
      </w:r>
      <w:r w:rsidR="007D7B67">
        <w:rPr>
          <w:b/>
          <w:bCs/>
        </w:rPr>
        <w:t xml:space="preserve"> </w:t>
      </w:r>
      <w:r>
        <w:rPr>
          <w:b/>
          <w:bCs/>
        </w:rPr>
        <w:t>(удочерения).</w:t>
      </w:r>
      <w:r>
        <w:t xml:space="preserve"> </w:t>
      </w:r>
      <w:r>
        <w:rPr>
          <w:b/>
          <w:bCs/>
        </w:rPr>
        <w:t>Он рекомендует государству-участнику принять законодательство и другие меры для обеспечения сохранения и доступа к информации о происхождении усыновленного (удочеренного)</w:t>
      </w:r>
      <w:r w:rsidR="007D7B67">
        <w:rPr>
          <w:b/>
          <w:bCs/>
        </w:rPr>
        <w:t xml:space="preserve"> </w:t>
      </w:r>
      <w:r>
        <w:rPr>
          <w:b/>
          <w:bCs/>
        </w:rPr>
        <w:t>ребенка и о личности биологических родителей.</w:t>
      </w:r>
    </w:p>
    <w:p w14:paraId="49E36760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3401A312" w14:textId="77777777" w:rsidR="001C612C" w:rsidRPr="00670877" w:rsidRDefault="001C612C" w:rsidP="001C612C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усилить меры по обеспечению доступа детей к соответствующей информации, защите их от информации и материалов, наносящих ущерб их благополучию, и систематически контролировать содержание аудиовизуальных и печатных СМИ с целью удаления вредных материалов.</w:t>
      </w:r>
    </w:p>
    <w:p w14:paraId="3DD9B12C" w14:textId="5F983A81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>Насилие в отношении детей (ст. 19, 24 (3), 28 (2), 34, 37 a) и 39)</w:t>
      </w:r>
    </w:p>
    <w:p w14:paraId="636EB156" w14:textId="747FA580" w:rsidR="001C612C" w:rsidRPr="00670877" w:rsidRDefault="001C612C" w:rsidP="001C612C">
      <w:pPr>
        <w:pStyle w:val="SingleTxtG"/>
        <w:rPr>
          <w:rFonts w:eastAsia="Malgun Gothic"/>
          <w:bCs/>
        </w:rPr>
      </w:pPr>
      <w:r>
        <w:t>24.</w:t>
      </w:r>
      <w:r>
        <w:tab/>
        <w:t>Комитет приветствует меры, принятые для борьбы с насилием в отношении детей, включая правовые реформы, предусматривающие уголовную ответственность за акты физического, психологического и любого другого насилия в отношении ребенка; принятие нового национального плана действий по предотвращению и решению проблемы жестокого обращения с детьми и отсутствия заботы о них и стратегии по предотвращению и защите детей от насилия на 2020</w:t>
      </w:r>
      <w:r w:rsidRPr="00C518BE">
        <w:t>–</w:t>
      </w:r>
      <w:r>
        <w:t>2025 годы; ратификацию Конвенции Совета Европы о защите детей от сексуальной эксплуатации и сексуальных злоупотреблений (Лансаротская конвенция); и ратификацию Конвенции Совета Европы о предотвращении и борьбе с насилием в отношении женщин и домашним насилием (Стамбульская конвенция). Вместе с тем обеспокоенность Комитета вызывают:</w:t>
      </w:r>
    </w:p>
    <w:p w14:paraId="28960D9B" w14:textId="6E0943EC" w:rsidR="001C612C" w:rsidRPr="00670877" w:rsidRDefault="001C612C" w:rsidP="001C612C">
      <w:pPr>
        <w:pStyle w:val="SingleTxtG"/>
      </w:pPr>
      <w:r>
        <w:tab/>
      </w:r>
      <w:r>
        <w:t>a)</w:t>
      </w:r>
      <w:r>
        <w:tab/>
        <w:t>недостаточное количество средств, выделенных на реализацию национального плана действий против насилия;</w:t>
      </w:r>
    </w:p>
    <w:p w14:paraId="1F94B33A" w14:textId="5FFD0793" w:rsidR="001C612C" w:rsidRPr="00670877" w:rsidRDefault="001C612C" w:rsidP="001C612C">
      <w:pPr>
        <w:pStyle w:val="SingleTxtG"/>
      </w:pPr>
      <w:r>
        <w:lastRenderedPageBreak/>
        <w:tab/>
      </w:r>
      <w:r>
        <w:t>b)</w:t>
      </w:r>
      <w:r>
        <w:tab/>
        <w:t>недостатки местной инфраструктуры защиты детей, включая недостаточное количество специалистов, работающих для детей и с детьми;</w:t>
      </w:r>
    </w:p>
    <w:p w14:paraId="26AC693A" w14:textId="091877C9" w:rsidR="001C612C" w:rsidRPr="00670877" w:rsidRDefault="001C612C" w:rsidP="001C612C">
      <w:pPr>
        <w:pStyle w:val="SingleTxtG"/>
      </w:pPr>
      <w:r>
        <w:tab/>
      </w:r>
      <w:r>
        <w:t>c)</w:t>
      </w:r>
      <w:r>
        <w:tab/>
        <w:t>отсутствие скоординированных и четких протоколов и сотрудничества соответствующих учреждений на местном уровне для предотвращения и реагирования на все формы насилия в отношении детей, включая физическое и сексуальное насилие дома, с целью предотвращения вторичной виктимизации;</w:t>
      </w:r>
    </w:p>
    <w:p w14:paraId="3F4D8F8A" w14:textId="0AB80448" w:rsidR="001C612C" w:rsidRPr="00670877" w:rsidRDefault="001C612C" w:rsidP="001C612C">
      <w:pPr>
        <w:pStyle w:val="SingleTxtG"/>
      </w:pPr>
      <w:r>
        <w:tab/>
      </w:r>
      <w:r>
        <w:t>d)</w:t>
      </w:r>
      <w:r>
        <w:tab/>
        <w:t xml:space="preserve">отсутствие сообщений о случаях насилия и необходимость увеличения числа социальных работников, работающих с детьми, подверженными риску насилия, на местном уровне, а также необходимость наращивания потенциала; </w:t>
      </w:r>
    </w:p>
    <w:p w14:paraId="1D888730" w14:textId="508902B7" w:rsidR="001C612C" w:rsidRPr="00670877" w:rsidRDefault="001C612C" w:rsidP="001C612C">
      <w:pPr>
        <w:pStyle w:val="SingleTxtG"/>
      </w:pPr>
      <w:r>
        <w:tab/>
      </w:r>
      <w:r>
        <w:t>e)</w:t>
      </w:r>
      <w:r>
        <w:tab/>
        <w:t>отсутствие информации о расследовании и судебном преследовании по факту случаев сексуального насилия и эксплуатации в отношении детей;</w:t>
      </w:r>
    </w:p>
    <w:p w14:paraId="19B6FF0D" w14:textId="333A080A" w:rsidR="001C612C" w:rsidRPr="00670877" w:rsidRDefault="001C612C" w:rsidP="001C612C">
      <w:pPr>
        <w:pStyle w:val="SingleTxtG"/>
      </w:pPr>
      <w:r>
        <w:tab/>
      </w:r>
      <w:r>
        <w:t>f)</w:t>
      </w:r>
      <w:r>
        <w:tab/>
        <w:t>отсутствие специализированной терапии и дружественной к ребенку реабилитации для детей, ставших жертвами насилия, включая сексуальное насилие, и торговли людьми;</w:t>
      </w:r>
    </w:p>
    <w:p w14:paraId="1C635B8F" w14:textId="54532E24" w:rsidR="001C612C" w:rsidRPr="00670877" w:rsidRDefault="001C612C" w:rsidP="001C612C">
      <w:pPr>
        <w:pStyle w:val="SingleTxtG"/>
      </w:pPr>
      <w:r>
        <w:tab/>
      </w:r>
      <w:r>
        <w:t>g)</w:t>
      </w:r>
      <w:r>
        <w:tab/>
        <w:t>недостаточная образовательная и другая соответствующая поддержка родителей для укрепления позитивных родительских навыков ненасильственного воспитания, в особенности родителей детей, находящихся в уязвимом положении;</w:t>
      </w:r>
    </w:p>
    <w:p w14:paraId="2ABC3B84" w14:textId="161DF1FF" w:rsidR="001C612C" w:rsidRPr="00670877" w:rsidRDefault="001C612C" w:rsidP="001C612C">
      <w:pPr>
        <w:pStyle w:val="SingleTxtG"/>
      </w:pPr>
      <w:r>
        <w:tab/>
      </w:r>
      <w:r>
        <w:t>h)</w:t>
      </w:r>
      <w:r>
        <w:tab/>
        <w:t xml:space="preserve">отсутствие социальной осведомленности о насилии и пассивное принятие насилия по отношению к женщинам и детям, являющееся результатом традиционных взглядов и убеждений относительно гендерных ролей; </w:t>
      </w:r>
    </w:p>
    <w:p w14:paraId="12440422" w14:textId="15D99217" w:rsidR="001C612C" w:rsidRPr="00670877" w:rsidRDefault="001C612C" w:rsidP="001C612C">
      <w:pPr>
        <w:pStyle w:val="SingleTxtG"/>
      </w:pPr>
      <w:bookmarkStart w:id="3" w:name="_Hlk116912985"/>
      <w:r>
        <w:tab/>
      </w:r>
      <w:r>
        <w:t>i)</w:t>
      </w:r>
      <w:r>
        <w:tab/>
        <w:t>недостаточно систематические усилия, направленные на решение проблемы насилия со стороны сверстников в школах, онлайновых издевательств и насилия в отношении лесбиянок, геев, бисексуалов, трансгендеров и интерсексов, детей с инвалидностью и детей из числа рома;</w:t>
      </w:r>
    </w:p>
    <w:bookmarkEnd w:id="3"/>
    <w:p w14:paraId="565F4346" w14:textId="56C636A6" w:rsidR="001C612C" w:rsidRPr="00670877" w:rsidRDefault="001C612C" w:rsidP="001C612C">
      <w:pPr>
        <w:pStyle w:val="SingleTxtG"/>
      </w:pPr>
      <w:r>
        <w:tab/>
      </w:r>
      <w:r>
        <w:t>j)</w:t>
      </w:r>
      <w:r>
        <w:tab/>
        <w:t>отсутствие исследований и достаточной статистической информации о распространенности насилия в отношении детей, включая насилие дома, сексуальное насилие и эксплуатацию, а также онлайновое насилие.</w:t>
      </w:r>
    </w:p>
    <w:p w14:paraId="1FA4B3BE" w14:textId="77777777" w:rsidR="001C612C" w:rsidRPr="00670877" w:rsidRDefault="001C612C" w:rsidP="001C612C">
      <w:pPr>
        <w:pStyle w:val="SingleTxtG"/>
        <w:rPr>
          <w:rFonts w:eastAsia="Malgun Gothic"/>
          <w:b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5.2, 16.1 и 16.2 Целей в области устойчивого развития, Комитет рекомендует государству-участнику:</w:t>
      </w:r>
    </w:p>
    <w:p w14:paraId="0C90354D" w14:textId="0D2B644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обеспечить полную реализацию нового национального плана действий по предотвращению и решению проблемы жестокого обращения с детьми и отсутствия заботы о них, а также стратегии по предотвращению и защите детей от насилия (2020–2025 годы) и выделение на них достаточных людских, технических и финансовых ресурсов;</w:t>
      </w:r>
    </w:p>
    <w:p w14:paraId="13598412" w14:textId="54B3002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укрепить центры социальной работы путем увеличения числа социальных работников и обеспечения их доступности 24 часа в сутки, семь дней в неделю, а также формализовать координацию и сотрудничество с сектором здравоохранения и правоохранительными органами с целью обеспечения единого подхода к оказанию услуг по поддержке детей, подверженных риску насилия;</w:t>
      </w:r>
    </w:p>
    <w:p w14:paraId="6C2C69BF" w14:textId="721A1536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внедрить систему обязательной отчетности и дружественный по отношению к ребенку механизм межведомственного расследования и вмешательства во всех случаях насилия в отношении детей, включая отсутствие заботы и сексуальное насилие, дома и вне его, а также в цифровой среде;</w:t>
      </w:r>
    </w:p>
    <w:p w14:paraId="7EE1C1F7" w14:textId="6DAC9D2B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обеспечить, чтобы дети-жертвы и свидетели всех форм насилия незамедлительно опрашивались обученными судебно-медицинскими экспертами в дружественных к ребенку учреждениях, избегая повторной виктимизации в результате повторных опросов;</w:t>
      </w:r>
    </w:p>
    <w:p w14:paraId="35DB0B0E" w14:textId="121671D6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C612C">
        <w:rPr>
          <w:b/>
          <w:bCs/>
        </w:rPr>
        <w:t>e)</w:t>
      </w:r>
      <w:r w:rsidRPr="001C612C">
        <w:rPr>
          <w:b/>
          <w:bCs/>
        </w:rPr>
        <w:tab/>
        <w:t>ввести в качестве стандартной процедуры принятие аудиовизуальной записи показаний ребенка в качестве основного доказательства с последующим перекрестным допросом без промедления;</w:t>
      </w:r>
    </w:p>
    <w:p w14:paraId="2F43E856" w14:textId="0219D1EC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f)</w:t>
      </w:r>
      <w:r w:rsidRPr="001C612C">
        <w:rPr>
          <w:b/>
          <w:bCs/>
        </w:rPr>
        <w:tab/>
        <w:t>обеспечить, чтобы дети, ставшие жертвами всех форм насилия, имели доступ к терапии, ориентированной на травму, и другой соответствующей реабилитации, включая поддержку членов семьи, не являющихся правонарушителями;</w:t>
      </w:r>
    </w:p>
    <w:p w14:paraId="5B34F352" w14:textId="3E667789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g)</w:t>
      </w:r>
      <w:r w:rsidRPr="001C612C">
        <w:rPr>
          <w:b/>
          <w:bCs/>
        </w:rPr>
        <w:tab/>
        <w:t xml:space="preserve">усилить программы обучения родителей, включая модель </w:t>
      </w:r>
      <w:r>
        <w:rPr>
          <w:b/>
          <w:bCs/>
        </w:rPr>
        <w:t>«</w:t>
      </w:r>
      <w:r w:rsidRPr="001C612C">
        <w:rPr>
          <w:b/>
          <w:bCs/>
        </w:rPr>
        <w:t>Mellow Parenting</w:t>
      </w:r>
      <w:r>
        <w:rPr>
          <w:b/>
          <w:bCs/>
        </w:rPr>
        <w:t>»</w:t>
      </w:r>
      <w:r w:rsidRPr="001C612C">
        <w:rPr>
          <w:b/>
          <w:bCs/>
        </w:rPr>
        <w:t>, для продвижения ненасильственных стратегий воспитания, в том числе для родителей детей с инвалидностью, родителей детей из числа рома и родителей детей с проблемным поведением;</w:t>
      </w:r>
    </w:p>
    <w:p w14:paraId="196786F4" w14:textId="7C04A72C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h)</w:t>
      </w:r>
      <w:r w:rsidRPr="001C612C">
        <w:rPr>
          <w:b/>
          <w:bCs/>
        </w:rPr>
        <w:tab/>
        <w:t>усилить образовательные кампании с участием детей для повышения осведомленности общества о необходимости положить конец насилию в отношении детей, включая сексуальное насилие и эксплуатацию, онлайновое насилие, насилие со стороны сверстников и торговлю людьми;</w:t>
      </w:r>
    </w:p>
    <w:p w14:paraId="33B10347" w14:textId="598E2C1C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i)</w:t>
      </w:r>
      <w:r w:rsidRPr="001C612C">
        <w:rPr>
          <w:b/>
          <w:bCs/>
        </w:rPr>
        <w:tab/>
        <w:t xml:space="preserve">провести комплексное исследование распространенности насилия со стороны сверстников на почве сексуальной ориентации, гендерной идентичности и этнического происхождения, особенно в отношении детей из числа рома, и усилить образовательные меры, направленные на предотвращение такого насилия; </w:t>
      </w:r>
    </w:p>
    <w:p w14:paraId="28D77CF5" w14:textId="123D371C" w:rsidR="001C612C" w:rsidRPr="00670877" w:rsidRDefault="001C612C" w:rsidP="001C612C">
      <w:pPr>
        <w:pStyle w:val="SingleTxtG"/>
      </w:pPr>
      <w:r>
        <w:rPr>
          <w:b/>
          <w:bCs/>
        </w:rPr>
        <w:tab/>
      </w:r>
      <w:r w:rsidRPr="001C612C">
        <w:rPr>
          <w:b/>
          <w:bCs/>
        </w:rPr>
        <w:t>j)</w:t>
      </w:r>
      <w:r w:rsidRPr="001C612C">
        <w:rPr>
          <w:b/>
          <w:bCs/>
        </w:rPr>
        <w:tab/>
        <w:t>провести национальный опрос о насилии в отношении детей, включая сбор данных о сексуальной эксплуатации и надругательствах над детьми и случаях, о которых было сообщено властям, а также о случаях, по которым были проведены расследования</w:t>
      </w:r>
      <w:r w:rsidRPr="00AF035A">
        <w:rPr>
          <w:b/>
          <w:bCs/>
        </w:rPr>
        <w:t xml:space="preserve"> и судебное преследование, и о санкциях, которые были применены к виновным.</w:t>
      </w:r>
    </w:p>
    <w:p w14:paraId="6DE18563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  <w:bookmarkStart w:id="4" w:name="_Hlk104811042"/>
    </w:p>
    <w:p w14:paraId="7FC7249E" w14:textId="6EC2E687" w:rsidR="001C612C" w:rsidRPr="00670877" w:rsidRDefault="001C612C" w:rsidP="001C612C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>
        <w:rPr>
          <w:b/>
          <w:bCs/>
        </w:rPr>
        <w:t> </w:t>
      </w:r>
      <w:r>
        <w:rPr>
          <w:b/>
          <w:bCs/>
        </w:rPr>
        <w:t>18 Комитета по правам ребенка (2019) о вредной практике, Комитет рекомендует государству-участнику:</w:t>
      </w:r>
      <w:r>
        <w:t xml:space="preserve"> </w:t>
      </w:r>
      <w:bookmarkStart w:id="5" w:name="_Hlk104898435"/>
    </w:p>
    <w:p w14:paraId="15D4B2C5" w14:textId="059FC0A2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осуществлять целенаправленные меры по искоренению детских браков и повышать осведомленность о негативном воздействии такой вредной традиционной практики на детей, особенно среди населения рома;</w:t>
      </w:r>
    </w:p>
    <w:p w14:paraId="1BDADC4D" w14:textId="4612AD12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не подвергать интерсексных детей ненужному медицинскому или хирургическому лечению в соответствии с правами ребенка на физическую неприкосновенность</w:t>
      </w:r>
      <w:r>
        <w:rPr>
          <w:b/>
          <w:bCs/>
        </w:rPr>
        <w:t>, самостоятельность и самоопределение, обеспечивать возмещение ущерба жертвам такого лечения, включая соответствующую компенсацию, и предоставлять адекватные социальные, медицинские и психологические услуги, консультации и поддержку интерсексным детям и их семьям.</w:t>
      </w:r>
    </w:p>
    <w:bookmarkEnd w:id="4"/>
    <w:bookmarkEnd w:id="5"/>
    <w:p w14:paraId="36423A4F" w14:textId="7C1BA1BA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Семейное окружение и альтернативный уход (ст. 5, 9–11, 18 (1) и</w:t>
      </w:r>
      <w:r>
        <w:rPr>
          <w:bCs/>
        </w:rPr>
        <w:t> </w:t>
      </w:r>
      <w:r>
        <w:rPr>
          <w:bCs/>
        </w:rPr>
        <w:t>(2), 20, 21, 25 и 27 (4))</w:t>
      </w:r>
    </w:p>
    <w:p w14:paraId="25C3B55A" w14:textId="77777777" w:rsidR="001C612C" w:rsidRPr="00670877" w:rsidRDefault="001C612C" w:rsidP="001C612C">
      <w:pPr>
        <w:pStyle w:val="H23G"/>
      </w:pPr>
      <w:r>
        <w:tab/>
      </w:r>
      <w:r>
        <w:tab/>
      </w:r>
      <w:r>
        <w:tab/>
      </w:r>
      <w:r>
        <w:rPr>
          <w:bCs/>
        </w:rPr>
        <w:t>Семейное окружение</w:t>
      </w:r>
    </w:p>
    <w:p w14:paraId="60111090" w14:textId="77777777" w:rsidR="001C612C" w:rsidRPr="00670877" w:rsidRDefault="001C612C" w:rsidP="001C612C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приветствует реформу социальных пособий, в том числе в отношении пособия на ребенка, и улучшение услуг по социальной поддержке и уходу.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09B56079" w14:textId="35561105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продолжать укреплять базовые социальные услуги на местном уровне и</w:t>
      </w:r>
      <w:r>
        <w:rPr>
          <w:b/>
          <w:bCs/>
        </w:rPr>
        <w:t xml:space="preserve"> </w:t>
      </w:r>
      <w:r w:rsidRPr="001C612C">
        <w:rPr>
          <w:b/>
          <w:bCs/>
        </w:rPr>
        <w:t>приорит</w:t>
      </w:r>
      <w:r w:rsidR="00D27537">
        <w:rPr>
          <w:b/>
          <w:bCs/>
        </w:rPr>
        <w:t>и</w:t>
      </w:r>
      <w:r w:rsidRPr="001C612C">
        <w:rPr>
          <w:b/>
          <w:bCs/>
        </w:rPr>
        <w:t>зировать</w:t>
      </w:r>
      <w:r>
        <w:rPr>
          <w:b/>
          <w:bCs/>
        </w:rPr>
        <w:t xml:space="preserve"> </w:t>
      </w:r>
      <w:r w:rsidRPr="001C612C">
        <w:rPr>
          <w:b/>
          <w:bCs/>
        </w:rPr>
        <w:t xml:space="preserve">предоставление социальных услуг в соответствии с потребностями детей, находящихся в уязвимом положении, в частности детей из </w:t>
      </w:r>
      <w:r w:rsidRPr="001C612C">
        <w:rPr>
          <w:b/>
          <w:bCs/>
        </w:rPr>
        <w:lastRenderedPageBreak/>
        <w:t xml:space="preserve">числа рома и детей из семей, сталкивающихся с бедностью, инвалидностью, социальной изоляцией и стигмой; </w:t>
      </w:r>
    </w:p>
    <w:p w14:paraId="0E42B49D" w14:textId="00ABE9AE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усилить меры, позволяющие работающим родителям и лицам, осуществляющим уход, сбалансировать свои профессиональные и семейные обязанности, такие как отпуск по уходу за ребенком и варианты дошкольного образования;</w:t>
      </w:r>
    </w:p>
    <w:p w14:paraId="3017966C" w14:textId="5E307234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>принять меры по повышению ответственности отцов за воспитание детей и внести поправки в Закон о семье с целью введения совместного воспитания детей после развода;</w:t>
      </w:r>
    </w:p>
    <w:p w14:paraId="13F2673B" w14:textId="039A255D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обеспечить оперативное разрешение разбирательств, касающихся опеки над детьми и других семейных вопросов, в том числе путем усиления профессионального консультирования и посредничества в конфликтах, возникающих в контексте развода или раздельного проживания, а также путем увеличения числа профессионально подготовленных сотрудников и других вспомогательных служб;</w:t>
      </w:r>
    </w:p>
    <w:p w14:paraId="556F0C89" w14:textId="4B981203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e)</w:t>
      </w:r>
      <w:r w:rsidRPr="001C612C">
        <w:rPr>
          <w:b/>
          <w:bCs/>
        </w:rPr>
        <w:tab/>
        <w:t>расширить охват семейных социальных услуг, включая программы для родителей, на все географические районы путем выделения достаточных финансовых,</w:t>
      </w:r>
      <w:r>
        <w:rPr>
          <w:b/>
          <w:bCs/>
        </w:rPr>
        <w:t xml:space="preserve"> технических и людских ресурсов.</w:t>
      </w:r>
    </w:p>
    <w:p w14:paraId="2040D643" w14:textId="77777777" w:rsidR="001C612C" w:rsidRPr="00670877" w:rsidRDefault="001C612C" w:rsidP="001C612C">
      <w:pPr>
        <w:pStyle w:val="H23G"/>
        <w:ind w:left="0" w:firstLine="0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726890CB" w14:textId="47786C93" w:rsidR="001C612C" w:rsidRPr="00670877" w:rsidRDefault="001C612C" w:rsidP="001C612C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с удовлетворением отмечает деинституционализацию детей в системе альтернативного ухода, закрытие крупных учреждений и соответствующее создание системы патронатного воспитания.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Руководящие указания по альтернативному уходу за детьми (резолюция </w:t>
      </w:r>
      <w:hyperlink r:id="rId9" w:history="1">
        <w:r w:rsidRPr="00D27537">
          <w:rPr>
            <w:rStyle w:val="af1"/>
            <w:b/>
            <w:bCs/>
          </w:rPr>
          <w:t>64/142</w:t>
        </w:r>
      </w:hyperlink>
      <w:r>
        <w:rPr>
          <w:b/>
          <w:bCs/>
        </w:rPr>
        <w:t xml:space="preserve"> Генеральной Ассамблеи) и</w:t>
      </w:r>
      <w:r w:rsidR="00FE393B">
        <w:rPr>
          <w:b/>
          <w:bCs/>
        </w:rPr>
        <w:t> </w:t>
      </w:r>
      <w:r>
        <w:rPr>
          <w:b/>
          <w:bCs/>
        </w:rPr>
        <w:t>рекомендует государству-участнику:</w:t>
      </w:r>
    </w:p>
    <w:p w14:paraId="3087AE63" w14:textId="23F7E3E5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a)</w:t>
      </w:r>
      <w:r w:rsidRPr="001C612C">
        <w:rPr>
          <w:b/>
          <w:bCs/>
        </w:rPr>
        <w:tab/>
        <w:t>ввести систему контроля за альтернативным уходом с целью сокращения числа детей, находящихся на воспитании вне дома, предотвращения попадания в систему институционального ухода тех детей, которые в этом не нуждаются, и обеспечения целесообразности помещения на воспитание;</w:t>
      </w:r>
    </w:p>
    <w:p w14:paraId="6039E281" w14:textId="77EE83C2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b)</w:t>
      </w:r>
      <w:r w:rsidRPr="001C612C">
        <w:rPr>
          <w:b/>
          <w:bCs/>
        </w:rPr>
        <w:tab/>
        <w:t>избегать лишения родительских прав и уголовного преследования родителей в качестве общей меры, ограничивая их случаями, когда они отвечают наилучшим интересам ребенка;</w:t>
      </w:r>
    </w:p>
    <w:p w14:paraId="27B36733" w14:textId="55867842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c)</w:t>
      </w:r>
      <w:r w:rsidRPr="001C612C">
        <w:rPr>
          <w:b/>
          <w:bCs/>
        </w:rPr>
        <w:tab/>
        <w:t xml:space="preserve">продолжать уделять приоритетное внимание реформам системы защиты детей, в том числе путем замены размещения в небольших домах для коллективного проживания помещением на воспитание в семью, в частности для маленьких детей и детей с инвалидностью; </w:t>
      </w:r>
    </w:p>
    <w:p w14:paraId="288ADE6E" w14:textId="32AA917A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d)</w:t>
      </w:r>
      <w:r w:rsidRPr="001C612C">
        <w:rPr>
          <w:b/>
          <w:bCs/>
        </w:rPr>
        <w:tab/>
        <w:t>обеспечить, чтобы бедность, инвалидность или этническое происхождение не принимались в качестве уважительных причин для помещения детей на воспитание вне дома;</w:t>
      </w:r>
    </w:p>
    <w:p w14:paraId="7283DFB3" w14:textId="549BD394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e)</w:t>
      </w:r>
      <w:r w:rsidRPr="001C612C">
        <w:rPr>
          <w:b/>
          <w:bCs/>
        </w:rPr>
        <w:tab/>
        <w:t>разработать стандарты качества, включая систему мониторинга и четкие руководящие принципы для служб защиты детей, и обеспечить, чтобы дети в системе ухода были услышаны, а все специалисты прошли обучение по правам детей;</w:t>
      </w:r>
    </w:p>
    <w:p w14:paraId="4829C9A4" w14:textId="7910C1EF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f)</w:t>
      </w:r>
      <w:r w:rsidRPr="001C612C">
        <w:rPr>
          <w:b/>
          <w:bCs/>
        </w:rPr>
        <w:tab/>
        <w:t>продолжать укреплять систему патронатного воспитания, в том числе путем наращивания потенциала, предварительной подготовки и предоставления услуг в рамках патронатного воспитания с целью размещения детей с особыми потребностями;</w:t>
      </w:r>
    </w:p>
    <w:p w14:paraId="06297CE9" w14:textId="12ECE09E" w:rsidR="001C612C" w:rsidRPr="001C612C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g)</w:t>
      </w:r>
      <w:r w:rsidRPr="001C612C">
        <w:rPr>
          <w:b/>
          <w:bCs/>
        </w:rPr>
        <w:tab/>
        <w:t>внедрить услуги по поддержке детей и осуществляющих за ними уход лиц, находящихся в родственных связях, с целью повышения стабильности и непрерывности ухода;</w:t>
      </w:r>
    </w:p>
    <w:p w14:paraId="00A9B271" w14:textId="2471CB5E" w:rsidR="001C612C" w:rsidRPr="001C612C" w:rsidRDefault="001C612C" w:rsidP="00FE393B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Pr="001C612C">
        <w:rPr>
          <w:b/>
          <w:bCs/>
        </w:rPr>
        <w:t>h)</w:t>
      </w:r>
      <w:r w:rsidRPr="001C612C">
        <w:rPr>
          <w:b/>
          <w:bCs/>
        </w:rPr>
        <w:tab/>
        <w:t xml:space="preserve">обеспечить регулярный пересмотр условий размещения и поддержание регулярных контактов между детьми и их биологическими родителями во время размещения с конечной целью достижения реинтеграции семьи; </w:t>
      </w:r>
    </w:p>
    <w:p w14:paraId="092F4A95" w14:textId="3C9390F1" w:rsidR="001C612C" w:rsidRPr="00670877" w:rsidRDefault="001C612C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Pr="001C612C">
        <w:rPr>
          <w:b/>
          <w:bCs/>
        </w:rPr>
        <w:t>i)</w:t>
      </w:r>
      <w:r w:rsidRPr="001C612C">
        <w:rPr>
          <w:b/>
          <w:bCs/>
        </w:rPr>
        <w:tab/>
        <w:t>усилить меры, направленные на предоставление образования, навыков и возможностей</w:t>
      </w:r>
      <w:r>
        <w:rPr>
          <w:b/>
          <w:bCs/>
        </w:rPr>
        <w:t xml:space="preserve"> для самостоятельной жизни детям, покидающим учреждения альтернативного ухода, включая индивидуальные планы их продвижения по жизненному пути, чтобы максимально облегчить социальную реинтеграцию.</w:t>
      </w:r>
    </w:p>
    <w:p w14:paraId="764CEC13" w14:textId="042C4572" w:rsidR="001C612C" w:rsidRPr="00670877" w:rsidRDefault="001C612C" w:rsidP="001C612C">
      <w:pPr>
        <w:pStyle w:val="H1G"/>
      </w:pPr>
      <w:r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Дети с инвалидностью (ст. 23)</w:t>
      </w:r>
    </w:p>
    <w:p w14:paraId="00099838" w14:textId="3170DC5D" w:rsidR="001C612C" w:rsidRPr="00670877" w:rsidRDefault="001C612C" w:rsidP="001C612C">
      <w:pPr>
        <w:pStyle w:val="SingleTxtG"/>
      </w:pPr>
      <w:r>
        <w:t>29.</w:t>
      </w:r>
      <w:r>
        <w:tab/>
        <w:t xml:space="preserve">Комитет приветствует внедрение новой модели оценки инвалидности с применением правозащитного подхода, основанного на Международной классификации функционирования, ограничений жизнедеятельности и здоровья, Национальной стратегии деинституционализации (2018–2027 годы) и принятие Закона о начальном образовании в качестве правовой основы для инклюзии учащихся с инвалидностью в систему общего образования. Вместе с тем обеспокоенность Комитета вызывают: </w:t>
      </w:r>
    </w:p>
    <w:p w14:paraId="0B21493B" w14:textId="55CCF058" w:rsidR="001C612C" w:rsidRPr="00670877" w:rsidRDefault="00FE393B" w:rsidP="001C612C">
      <w:pPr>
        <w:pStyle w:val="SingleTxtG"/>
      </w:pPr>
      <w:r>
        <w:tab/>
      </w:r>
      <w:r w:rsidR="001C612C">
        <w:t>a)</w:t>
      </w:r>
      <w:r w:rsidR="001C612C">
        <w:tab/>
        <w:t>пробелы в сборе централизованных дезагрегированных данных о детях с инвалидностью;</w:t>
      </w:r>
    </w:p>
    <w:p w14:paraId="17030859" w14:textId="322D4473" w:rsidR="001C612C" w:rsidRPr="00670877" w:rsidRDefault="00FE393B" w:rsidP="001C612C">
      <w:pPr>
        <w:pStyle w:val="SingleTxtG"/>
      </w:pPr>
      <w:r>
        <w:tab/>
      </w:r>
      <w:r w:rsidR="001C612C">
        <w:t>b)</w:t>
      </w:r>
      <w:r w:rsidR="001C612C">
        <w:tab/>
        <w:t xml:space="preserve">недостаточные финансовые и людские ресурсы, выделяемые для достижения прогресса в деинституционализации детей с инвалидностью, и их продолжающееся длительное пребывание в небольших </w:t>
      </w:r>
      <w:r w:rsidR="001C612C" w:rsidRPr="006F4594">
        <w:t>домах для коллективного проживания</w:t>
      </w:r>
      <w:r w:rsidR="001C612C">
        <w:t xml:space="preserve"> и центрах дневного ухода;</w:t>
      </w:r>
    </w:p>
    <w:p w14:paraId="6A63EA08" w14:textId="0DA7B983" w:rsidR="001C612C" w:rsidRPr="00670877" w:rsidRDefault="00FE393B" w:rsidP="001C612C">
      <w:pPr>
        <w:pStyle w:val="SingleTxtG"/>
      </w:pPr>
      <w:r>
        <w:tab/>
      </w:r>
      <w:r w:rsidR="001C612C">
        <w:t>c)</w:t>
      </w:r>
      <w:r w:rsidR="001C612C">
        <w:tab/>
        <w:t xml:space="preserve">недостаточные финансовые и людские ресурсы, выделенные на реализацию Закона о начальном образовании и модели оценки инвалидности, основанной на Международной классификации функционирования, ограничений жизнедеятельности и здоровья; </w:t>
      </w:r>
    </w:p>
    <w:p w14:paraId="1616294B" w14:textId="76847FDF" w:rsidR="001C612C" w:rsidRPr="00670877" w:rsidRDefault="00FE393B" w:rsidP="001C612C">
      <w:pPr>
        <w:pStyle w:val="SingleTxtG"/>
      </w:pPr>
      <w:r>
        <w:tab/>
      </w:r>
      <w:r w:rsidR="001C612C">
        <w:t>d)</w:t>
      </w:r>
      <w:r w:rsidR="001C612C">
        <w:tab/>
        <w:t>нехватка и неадекватность школ, зданий, транспорта и помещений для детей с инвалидностью, что препятствует их доступу к образованию;</w:t>
      </w:r>
    </w:p>
    <w:p w14:paraId="6B3AD139" w14:textId="542A916F" w:rsidR="001C612C" w:rsidRPr="00670877" w:rsidRDefault="00FE393B" w:rsidP="001C612C">
      <w:pPr>
        <w:pStyle w:val="SingleTxtG"/>
      </w:pPr>
      <w:r>
        <w:tab/>
      </w:r>
      <w:r w:rsidR="001C612C">
        <w:t>e)</w:t>
      </w:r>
      <w:r w:rsidR="001C612C">
        <w:tab/>
        <w:t>отсутствие доступа к общинным услугам для детей с инвалидностью;</w:t>
      </w:r>
    </w:p>
    <w:p w14:paraId="4A7973A3" w14:textId="001A403F" w:rsidR="001C612C" w:rsidRPr="00670877" w:rsidRDefault="00FE393B" w:rsidP="001C612C">
      <w:pPr>
        <w:pStyle w:val="SingleTxtG"/>
        <w:rPr>
          <w:b/>
          <w:bCs/>
        </w:rPr>
      </w:pPr>
      <w:r>
        <w:tab/>
      </w:r>
      <w:r w:rsidR="001C612C">
        <w:t>f)</w:t>
      </w:r>
      <w:r w:rsidR="001C612C">
        <w:tab/>
        <w:t>существование предрассудков, которые приводят к маргинализации и дискриминации детей с инвалидностью в плане доступа к услугам здравоохранения, образования и защиты.</w:t>
      </w:r>
    </w:p>
    <w:p w14:paraId="30561ED7" w14:textId="77777777" w:rsidR="001C612C" w:rsidRPr="00670877" w:rsidRDefault="001C612C" w:rsidP="001C612C">
      <w:pPr>
        <w:pStyle w:val="SingleTxtG"/>
        <w:rPr>
          <w:b/>
        </w:rPr>
      </w:pPr>
      <w:bookmarkStart w:id="6" w:name="_Hlk116914274"/>
      <w:r>
        <w:t>30.</w:t>
      </w:r>
      <w:r>
        <w:tab/>
      </w:r>
      <w:r w:rsidRPr="00D3637D">
        <w:rPr>
          <w:b/>
          <w:bCs/>
        </w:rPr>
        <w:t>Ссылаясь на свое замечание общего порядка № 9 (2006) и совместное заявление Комитета по правам ребенка и Комитета по правам инвалидов о правах детей</w:t>
      </w:r>
      <w:r>
        <w:rPr>
          <w:b/>
          <w:bCs/>
        </w:rPr>
        <w:t xml:space="preserve"> с инвалидностью</w:t>
      </w:r>
      <w:r w:rsidRPr="001C612C">
        <w:rPr>
          <w:rStyle w:val="aa"/>
        </w:rPr>
        <w:footnoteReference w:id="9"/>
      </w:r>
      <w:r w:rsidRPr="00D3637D">
        <w:rPr>
          <w:b/>
          <w:bCs/>
        </w:rPr>
        <w:t>, Комитет рекомендует государству-участнику:</w:t>
      </w:r>
    </w:p>
    <w:bookmarkEnd w:id="6"/>
    <w:p w14:paraId="72E9E3C9" w14:textId="0A1F5A1A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создать систему регулярного и систематического сбора всеобъемлющих и дезагрегированных данных о детях с инвалидностью, укрепить программы раннего выявления и вмешательства, улучшить специализированную медицинскую помощь и соответствующую возрасту реабилитацию;</w:t>
      </w:r>
    </w:p>
    <w:p w14:paraId="11D49361" w14:textId="6FD0472C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увеличить финансовые и людские ресурсы для усиления процесса деинституционализации и расширения ухода, услуг и поддержки на базе семьи и сообщества;</w:t>
      </w:r>
    </w:p>
    <w:p w14:paraId="23269F5F" w14:textId="24476640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увеличить финансовые и людские ресурсы для усиления осуществления Закона о начальном образовании как способа обеспечения полной инклюзии детей с инвалидностью в основную систему образования;</w:t>
      </w:r>
    </w:p>
    <w:p w14:paraId="1BBCBCA8" w14:textId="25D112E2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способствовать внедрению модели оценки инвалидности на основе Международной классификации функционирования, ограничений жизнедеятельности и здоровья;</w:t>
      </w:r>
    </w:p>
    <w:p w14:paraId="329E34E6" w14:textId="3B5698A5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e)</w:t>
      </w:r>
      <w:r w:rsidR="001C612C" w:rsidRPr="00FE393B">
        <w:rPr>
          <w:b/>
          <w:bCs/>
        </w:rPr>
        <w:tab/>
        <w:t xml:space="preserve">поощрять универсальный дизайн для всех школ, зданий, услуг и общественного транспорта, чтобы облегчить доступ для детей с инвалидностью; </w:t>
      </w:r>
    </w:p>
    <w:p w14:paraId="7A603A69" w14:textId="22C06B52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f)</w:t>
      </w:r>
      <w:r w:rsidR="001C612C" w:rsidRPr="00FE393B">
        <w:rPr>
          <w:b/>
          <w:bCs/>
        </w:rPr>
        <w:tab/>
        <w:t>реализовать меры по борьбе с множественной и интерсекционной дискриминацией</w:t>
      </w:r>
      <w:r w:rsidR="001C612C">
        <w:rPr>
          <w:b/>
          <w:bCs/>
        </w:rPr>
        <w:t xml:space="preserve"> в отношении детей с инвалидностью и усилить меры по содействию инклюзии детей с инвалидностью в сообщество и обеспечить их равный доступ ко всем общинным услугам, особенно к культурным, спортивным и рекреационным мероприятиям.</w:t>
      </w:r>
    </w:p>
    <w:p w14:paraId="58ADCCB2" w14:textId="148CA4F9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H.</w:t>
      </w:r>
      <w:r w:rsidR="001C612C">
        <w:tab/>
      </w:r>
      <w:r w:rsidR="001C612C">
        <w:rPr>
          <w:bCs/>
        </w:rPr>
        <w:t>Базовое медицинское обслуживание и социальное обеспечение (ст.</w:t>
      </w:r>
      <w:r>
        <w:rPr>
          <w:bCs/>
        </w:rPr>
        <w:t> </w:t>
      </w:r>
      <w:r w:rsidR="001C612C">
        <w:rPr>
          <w:bCs/>
        </w:rPr>
        <w:t>6, 18 (3), 24, 26, 27 (1–3) и 33)</w:t>
      </w:r>
    </w:p>
    <w:p w14:paraId="1E92C0ED" w14:textId="77777777" w:rsidR="001C612C" w:rsidRPr="00670877" w:rsidRDefault="001C612C" w:rsidP="001C612C">
      <w:pPr>
        <w:pStyle w:val="H23G"/>
        <w:outlineLvl w:val="9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7F000C06" w14:textId="77777777" w:rsidR="001C612C" w:rsidRPr="00670877" w:rsidRDefault="001C612C" w:rsidP="001C612C">
      <w:pPr>
        <w:pStyle w:val="SingleTxtG"/>
        <w:rPr>
          <w:color w:val="000000"/>
        </w:rPr>
      </w:pPr>
      <w:r>
        <w:t>31.</w:t>
      </w:r>
      <w:r>
        <w:tab/>
        <w:t xml:space="preserve">Хотя Комитет принимает к сведению увеличение охвата дородовым и послеродовым медицинским обслуживанием, его обеспокоенность вызывают: </w:t>
      </w:r>
    </w:p>
    <w:p w14:paraId="3FDA50C5" w14:textId="72A19F6C" w:rsidR="001C612C" w:rsidRPr="00670877" w:rsidRDefault="00FE393B" w:rsidP="001C612C">
      <w:pPr>
        <w:pStyle w:val="SingleTxtG"/>
        <w:rPr>
          <w:b/>
        </w:rPr>
      </w:pPr>
      <w:r>
        <w:tab/>
      </w:r>
      <w:r w:rsidR="001C612C">
        <w:t>a)</w:t>
      </w:r>
      <w:r w:rsidR="001C612C">
        <w:tab/>
        <w:t xml:space="preserve">постоянное сокращение инвестиций в сектор здравоохранения и снижение качества специализированных услуг по охране здоровья матери и ребенка; </w:t>
      </w:r>
    </w:p>
    <w:p w14:paraId="35596285" w14:textId="3D6DF090" w:rsidR="001C612C" w:rsidRPr="00670877" w:rsidRDefault="00FE393B" w:rsidP="001C612C">
      <w:pPr>
        <w:pStyle w:val="SingleTxtG"/>
      </w:pPr>
      <w:r>
        <w:tab/>
      </w:r>
      <w:r w:rsidR="001C612C">
        <w:t>b)</w:t>
      </w:r>
      <w:r w:rsidR="001C612C">
        <w:tab/>
        <w:t xml:space="preserve">рост перинатальной смертности и смертности детей в возрасте до 1 года и детей в возрасте до 5 лет; </w:t>
      </w:r>
    </w:p>
    <w:p w14:paraId="412550B3" w14:textId="3DB2A7BE" w:rsidR="001C612C" w:rsidRPr="00670877" w:rsidRDefault="00FE393B" w:rsidP="001C612C">
      <w:pPr>
        <w:pStyle w:val="SingleTxtG"/>
        <w:rPr>
          <w:b/>
        </w:rPr>
      </w:pPr>
      <w:r>
        <w:tab/>
      </w:r>
      <w:r w:rsidR="001C612C">
        <w:t>c)</w:t>
      </w:r>
      <w:r w:rsidR="001C612C">
        <w:tab/>
        <w:t>снижение охвата детей вакцинацией;</w:t>
      </w:r>
    </w:p>
    <w:p w14:paraId="4F95A856" w14:textId="09D9FF4A" w:rsidR="001C612C" w:rsidRPr="00670877" w:rsidRDefault="00FE393B" w:rsidP="001C612C">
      <w:pPr>
        <w:pStyle w:val="SingleTxtG"/>
        <w:rPr>
          <w:b/>
        </w:rPr>
      </w:pPr>
      <w:r>
        <w:tab/>
      </w:r>
      <w:r w:rsidR="001C612C">
        <w:t>d)</w:t>
      </w:r>
      <w:r w:rsidR="001C612C">
        <w:tab/>
        <w:t>плохая отчетность о результатах в отношении поощрения грудного вскармливания и в отношении выполнения обновленных планов действий;</w:t>
      </w:r>
    </w:p>
    <w:p w14:paraId="3B67C5C2" w14:textId="0B237681" w:rsidR="001C612C" w:rsidRPr="00670877" w:rsidRDefault="00FE393B" w:rsidP="001C612C">
      <w:pPr>
        <w:pStyle w:val="SingleTxtG"/>
        <w:rPr>
          <w:b/>
        </w:rPr>
      </w:pPr>
      <w:r>
        <w:tab/>
      </w:r>
      <w:r w:rsidR="001C612C">
        <w:t>e)</w:t>
      </w:r>
      <w:r w:rsidR="001C612C">
        <w:tab/>
        <w:t>увеличение числа детей школьного возраста с избыточным весом и ожирением.</w:t>
      </w:r>
    </w:p>
    <w:p w14:paraId="171A6724" w14:textId="0AD2E83B" w:rsidR="001C612C" w:rsidRPr="00670877" w:rsidRDefault="001C612C" w:rsidP="001C612C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задачу 3.8 Целей в области устойчивого развития, Комитет рекомендует государству-участнику:</w:t>
      </w:r>
      <w:r>
        <w:t xml:space="preserve"> </w:t>
      </w:r>
    </w:p>
    <w:p w14:paraId="6AF38460" w14:textId="6A85E450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выделять достаточные бюджетные ресурсы сектору здравоохранения для повышения качества и расширения охвата специализированными услугами по охране здоровья матери и ребенка;</w:t>
      </w:r>
    </w:p>
    <w:p w14:paraId="1B2A4ED6" w14:textId="2D94CCC5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выявить основные причины показателей перинатальной смертности и смертности детей в возрасте до 1 года и детей в возрасте до 5 лет с целью разработки научно обоснованных программ по снижению смертности от предотвратимых причин;</w:t>
      </w:r>
    </w:p>
    <w:p w14:paraId="411F3A3D" w14:textId="40807723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увеличить охват детей вакцинацией, повышая осведомленность о пользе вакцин и предоставляя адекватную информацию антивакцинальным движениям, в основном в социальных сетях;</w:t>
      </w:r>
    </w:p>
    <w:p w14:paraId="660A0F79" w14:textId="1B673DD4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усилить деятельность Комиссии по поощрению и поддержке грудного вскармливания и контролировать выполнение Международного свода правил по сбыту заменителей грудного молока;</w:t>
      </w:r>
    </w:p>
    <w:p w14:paraId="2B008294" w14:textId="62BBA5C3" w:rsidR="001C612C" w:rsidRPr="00670877" w:rsidRDefault="00FE393B" w:rsidP="001C612C">
      <w:pPr>
        <w:pStyle w:val="SingleTxtG"/>
        <w:rPr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e)</w:t>
      </w:r>
      <w:r w:rsidR="001C612C" w:rsidRPr="00FE393B">
        <w:rPr>
          <w:b/>
          <w:bCs/>
        </w:rPr>
        <w:tab/>
        <w:t>проводить кампании по снижению числа детей с избыточным весом и ожирением</w:t>
      </w:r>
      <w:r w:rsidR="001C612C">
        <w:rPr>
          <w:b/>
          <w:bCs/>
        </w:rPr>
        <w:t xml:space="preserve"> путем повышения осведомленности о вопросах питания и практике здорового питания.</w:t>
      </w:r>
    </w:p>
    <w:p w14:paraId="4D9E37A4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49C95A2E" w14:textId="77777777" w:rsidR="001C612C" w:rsidRPr="00670877" w:rsidRDefault="001C612C" w:rsidP="001C612C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отмечает усилия государства-участника по комплексному решению вопросов сексуального и репродуктивного здоровья в сотрудничестве с гражданским обществом и учреждениями Организации Объединенных Наций.</w:t>
      </w:r>
      <w:r>
        <w:t xml:space="preserve"> </w:t>
      </w:r>
      <w:r>
        <w:rPr>
          <w:b/>
          <w:bCs/>
        </w:rPr>
        <w:lastRenderedPageBreak/>
        <w:t>Напоминая о своих замечаниях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о задачах 3.5 и 3.7 Целей в области устойчивого развития, Комитет рекомендует государству-участнику:</w:t>
      </w:r>
    </w:p>
    <w:p w14:paraId="4C957B1D" w14:textId="53D30913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содействовать расширению доступа к комплексному, соответствующему возрасту, научно обоснованному просвещению по вопросам сексуального и репродуктивного здоровья и прав, включая информацию о профилактике подростковой беременности и рискованного сексуального поведения, а также по вопросам сексуальной ориентации и гендерной идентичности, планирования семьи и контрацептивов, а также профилактики и лечения инфекций, передающихся половым путем. При реализации этих мер особое внимание следует уделять детям, находящимся в уязвимом положении;</w:t>
      </w:r>
    </w:p>
    <w:p w14:paraId="1DA0F0A9" w14:textId="620FF292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решать проблему распространенности употребления наркотиков детьми и подростками, в частности, путем обеспечения для них информации и просвещения по вопросам профилактики злоупотребления психоактивными веществами, включая табак и алкоголь, и разработать доступные и дружественные к молодежи программы и меры по лечению зависимости;</w:t>
      </w:r>
    </w:p>
    <w:p w14:paraId="423D572A" w14:textId="18D9AE9F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разработать программы профилактики самоповреждения и самоубийств;</w:t>
      </w:r>
    </w:p>
    <w:p w14:paraId="4645C2F2" w14:textId="720CCC98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гарантировать подросткам доступ к безопасному аборту при любых обстоятельствах</w:t>
      </w:r>
      <w:r w:rsidR="001C612C">
        <w:rPr>
          <w:b/>
          <w:bCs/>
        </w:rPr>
        <w:t xml:space="preserve"> и услугам по уходу после аборта, обеспечивая, чтобы их мнения всегда выслушивались и должным образом учитывались в процессе принятия решений.</w:t>
      </w:r>
    </w:p>
    <w:p w14:paraId="7D548BD6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2F858D59" w14:textId="77777777" w:rsidR="001C612C" w:rsidRPr="00670877" w:rsidRDefault="001C612C" w:rsidP="001C612C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Отмечая комплексные реформы систем социального обеспечения и социальной защиты государства-участника и принятие нового Закона о социальной защите, Комитет сожалеет об отсутствии обновленной информации о мерах, принятых для борьбы с детской бедностью и укрепления мер социальной защиты.</w:t>
      </w:r>
      <w:r>
        <w:t xml:space="preserve"> </w:t>
      </w:r>
      <w:r>
        <w:rPr>
          <w:b/>
          <w:bCs/>
        </w:rPr>
        <w:t>С учетом задачи 1.3 Целей в области устойчивого развития Комитет рекомендует государству-участнику:</w:t>
      </w:r>
    </w:p>
    <w:p w14:paraId="318C6BDF" w14:textId="7011E451" w:rsidR="001C612C" w:rsidRPr="00FE393B" w:rsidRDefault="00FE393B" w:rsidP="001C612C">
      <w:pPr>
        <w:pStyle w:val="SingleTxtG"/>
        <w:rPr>
          <w:b/>
          <w:bCs/>
          <w:szCs w:val="24"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проанализировать результаты комплексной реформы системы социального обеспечения и социальной защиты и влияние Закона о социальной защите и принять новые стратегии взамен устаревших;</w:t>
      </w:r>
    </w:p>
    <w:p w14:paraId="731309FF" w14:textId="7970F66D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обеспечить адекватный и устойчивый уровень жизни для всех детей на своей территории, в особенности для семей, принадлежащих к группам этнических меньшинств и проживающих в сельской местности;</w:t>
      </w:r>
    </w:p>
    <w:p w14:paraId="3C73807C" w14:textId="7DAAAF4D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усилить меры по предотвращению и смягчению последствий детской нищеты, особенно в результате пандемии COVID-19;</w:t>
      </w:r>
    </w:p>
    <w:p w14:paraId="3614F0D6" w14:textId="181418FB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изучать коренные причины детской бедности путем, среди прочих мер, сбора</w:t>
      </w:r>
      <w:r w:rsidR="001C612C">
        <w:rPr>
          <w:b/>
          <w:bCs/>
        </w:rPr>
        <w:t xml:space="preserve"> данных в разбивке по возрасту, полу, инвалидности, географическому положению, этническому происхождению, гражданству и социально-экономическому происхождению для облегчения разработки, мониторинга и оценки политики, программ и проектов по борьбе с детской бедностью.</w:t>
      </w:r>
      <w:r w:rsidR="001C612C">
        <w:t xml:space="preserve"> </w:t>
      </w:r>
      <w:bookmarkStart w:id="7" w:name="_Hlk102721224"/>
    </w:p>
    <w:bookmarkEnd w:id="7"/>
    <w:p w14:paraId="5C6808C6" w14:textId="560F2056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I.</w:t>
      </w:r>
      <w:r w:rsidR="001C612C">
        <w:tab/>
      </w:r>
      <w:r w:rsidR="001C612C">
        <w:rPr>
          <w:bCs/>
        </w:rPr>
        <w:t>Образование, досуг и культурная деятельность (ст. 28–31)</w:t>
      </w:r>
    </w:p>
    <w:p w14:paraId="1E257544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Образование, цели образования и образование в области прав человека</w:t>
      </w:r>
    </w:p>
    <w:p w14:paraId="1E10634F" w14:textId="77777777" w:rsidR="001C612C" w:rsidRPr="00670877" w:rsidRDefault="001C612C" w:rsidP="001C612C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5BE8A9D" w14:textId="1D586434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принять необходимые меры для обеспечения бесплатного образования, уделяя особое внимание детям с инвалидностью и детям из уязвимых слоев населения;</w:t>
      </w:r>
    </w:p>
    <w:p w14:paraId="29D89CBA" w14:textId="6308D403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внедрить стратегию, позволяющую детям из маргинализированных сообществ и детям, подвергающимся эксплуатации и практике попрошайничества, продолжить обучение в школе;</w:t>
      </w:r>
    </w:p>
    <w:p w14:paraId="7601506D" w14:textId="64BA6EF9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принять необходимые меры для оказания технической и финансовой поддержки малоимущим семьям с целью стимулирования охвата обязательным средним образованием и обеспечения наличия и доступности профессионального обучения;</w:t>
      </w:r>
    </w:p>
    <w:p w14:paraId="2B776307" w14:textId="5F403846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разработать программу информирования и повышения осведомленности родителей о важности удержания детей в школе с целью снижения уровня отсева;</w:t>
      </w:r>
    </w:p>
    <w:p w14:paraId="1E1EE015" w14:textId="3DBBABE6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e)</w:t>
      </w:r>
      <w:r w:rsidR="001C612C" w:rsidRPr="00FE393B">
        <w:rPr>
          <w:b/>
          <w:bCs/>
        </w:rPr>
        <w:tab/>
        <w:t>разработать систему подготовки учителей, позволяющую им отвечать потребностям и интересам преподавателей и учащихся;</w:t>
      </w:r>
    </w:p>
    <w:p w14:paraId="2187459F" w14:textId="63BE618E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f)</w:t>
      </w:r>
      <w:r w:rsidR="001C612C" w:rsidRPr="00FE393B">
        <w:rPr>
          <w:b/>
          <w:bCs/>
        </w:rPr>
        <w:tab/>
        <w:t>создать механизм мониторинга прогресса в достижении образовательных результатов и предложить корректирующие действия и рекомендации в случае неравенства;</w:t>
      </w:r>
    </w:p>
    <w:p w14:paraId="5D869CE2" w14:textId="19B17DF9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g)</w:t>
      </w:r>
      <w:r w:rsidR="001C612C" w:rsidRPr="00FE393B">
        <w:rPr>
          <w:b/>
          <w:bCs/>
        </w:rPr>
        <w:tab/>
        <w:t>принять необходимые меры для обеспечения доступности дошкольного образования для детей из малообеспеченных слоев населения и для тех, чьи родители работают, а также создать структуры по уходу за детьми (детские сады), способствующие когнитивному, психомоторному, социальному и эмоциональному развитию детей;</w:t>
      </w:r>
    </w:p>
    <w:p w14:paraId="103D65D1" w14:textId="493A76D3" w:rsidR="001C612C" w:rsidRPr="00670877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h)</w:t>
      </w:r>
      <w:r w:rsidR="001C612C" w:rsidRPr="00FE393B">
        <w:rPr>
          <w:b/>
          <w:bCs/>
        </w:rPr>
        <w:tab/>
        <w:t>создать необходимую инфраструктуру для реализации прав детей на досуг, культурные и рекреационные</w:t>
      </w:r>
      <w:r w:rsidR="001C612C">
        <w:rPr>
          <w:b/>
          <w:bCs/>
        </w:rPr>
        <w:t xml:space="preserve"> мероприятия.</w:t>
      </w:r>
    </w:p>
    <w:p w14:paraId="1E77C2FE" w14:textId="62ED4D6C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J.</w:t>
      </w:r>
      <w:r w:rsidR="001C612C">
        <w:tab/>
      </w:r>
      <w:r w:rsidR="001C612C">
        <w:rPr>
          <w:bCs/>
        </w:rPr>
        <w:t>Особые меры защиты (ст. 22, 30, 32–33, 35–36, 37 b)–d) и 38–40)</w:t>
      </w:r>
      <w:r w:rsidR="001C612C">
        <w:t xml:space="preserve"> </w:t>
      </w:r>
    </w:p>
    <w:p w14:paraId="7380495C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1B8B4C61" w14:textId="016DBA5D" w:rsidR="001C612C" w:rsidRPr="00670877" w:rsidRDefault="001C612C" w:rsidP="001C612C">
      <w:pPr>
        <w:pStyle w:val="SingleTxtG"/>
        <w:rPr>
          <w:b/>
          <w:bCs/>
        </w:rPr>
      </w:pPr>
      <w:r>
        <w:t>36.</w:t>
      </w:r>
      <w:r>
        <w:tab/>
      </w:r>
      <w:r w:rsidRPr="007F1BE5">
        <w:rPr>
          <w:b/>
          <w:bCs/>
        </w:rPr>
        <w:t>Отмечая принятие в 2018 году закона о международной и временной защите и</w:t>
      </w:r>
      <w:r>
        <w:rPr>
          <w:b/>
          <w:bCs/>
        </w:rPr>
        <w:t xml:space="preserve"> </w:t>
      </w:r>
      <w:r w:rsidRPr="007F1BE5">
        <w:rPr>
          <w:b/>
          <w:bCs/>
        </w:rPr>
        <w:t>ссылаясь на совместные замечания общего порядка № 3 и 4 Комитета по защите прав всех трудящихся-мигрантов и членов их семей/№ 22 и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49FDE5C0" w14:textId="44C02118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ускорить процесс воссоединения семей для лиц, которым предоставлена дополнительная защита;</w:t>
      </w:r>
    </w:p>
    <w:p w14:paraId="2C63DFA7" w14:textId="17A879E5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отменить помещение несопровождаемых детей в центры приема и обеспечить свободу передвижения детей, ищущих убежищ</w:t>
      </w:r>
      <w:r w:rsidR="004510FC">
        <w:rPr>
          <w:b/>
          <w:bCs/>
        </w:rPr>
        <w:t>а</w:t>
      </w:r>
      <w:r w:rsidR="001C612C" w:rsidRPr="00FE393B">
        <w:rPr>
          <w:b/>
          <w:bCs/>
        </w:rPr>
        <w:t>;</w:t>
      </w:r>
    </w:p>
    <w:p w14:paraId="0E87C889" w14:textId="64888196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отменить практику содержания под стражей детей</w:t>
      </w:r>
      <w:r w:rsidR="004510FC">
        <w:rPr>
          <w:b/>
          <w:bCs/>
        </w:rPr>
        <w:t xml:space="preserve"> — </w:t>
      </w:r>
      <w:r w:rsidR="001C612C" w:rsidRPr="00FE393B">
        <w:rPr>
          <w:b/>
          <w:bCs/>
        </w:rPr>
        <w:t>просителей убежища, которые проходят в качестве свидетелей при рассмотрении уголовных дел против контрабандистов;</w:t>
      </w:r>
    </w:p>
    <w:p w14:paraId="0A24F276" w14:textId="1E9ED1EB" w:rsidR="001C612C" w:rsidRPr="00670877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предоставлять детям из числа беженцев и просителей убежища необходимые</w:t>
      </w:r>
      <w:r w:rsidR="001C612C">
        <w:rPr>
          <w:b/>
          <w:bCs/>
        </w:rPr>
        <w:t xml:space="preserve"> услуги и средства, такие как образование и медицинское обслуживание.</w:t>
      </w:r>
    </w:p>
    <w:p w14:paraId="46763F4E" w14:textId="77777777" w:rsidR="001C612C" w:rsidRPr="00670877" w:rsidRDefault="001C612C" w:rsidP="001C612C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41677425" w14:textId="77777777" w:rsidR="001C612C" w:rsidRPr="00670877" w:rsidRDefault="001C612C" w:rsidP="001C612C">
      <w:pPr>
        <w:pStyle w:val="SingleTxtG"/>
        <w:rPr>
          <w:b/>
          <w:bCs/>
          <w:color w:val="000000"/>
        </w:rPr>
      </w:pPr>
      <w:r>
        <w:t>37.</w:t>
      </w:r>
      <w:r>
        <w:tab/>
      </w:r>
      <w:r>
        <w:rPr>
          <w:b/>
          <w:bCs/>
        </w:rPr>
        <w:t>Со ссылкой на свое замечание общего порядка № 21 (2017) о детях в ситуациях улицы Комитет рекомендует государству-участнику:</w:t>
      </w:r>
    </w:p>
    <w:p w14:paraId="38DF7CFE" w14:textId="55EE07DC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защитить детей в ситуациях улицы от жестокого обращения и насилия со стороны сотрудников полиции и других членов сообщества;</w:t>
      </w:r>
    </w:p>
    <w:p w14:paraId="70CAF609" w14:textId="27B06C0C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предоставлять детям в ситуациях улицы необходимые услуги и средства, такие как образование, здравоохранение и другие социальные услуги;</w:t>
      </w:r>
    </w:p>
    <w:p w14:paraId="354DA856" w14:textId="362DDC21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 xml:space="preserve">устранить коренные причины, которые приводят к тому, что дети оказываются в ситуациях улицы, и разработать программы, способствующие </w:t>
      </w:r>
      <w:r w:rsidR="001C612C" w:rsidRPr="00FE393B">
        <w:rPr>
          <w:b/>
          <w:bCs/>
        </w:rPr>
        <w:lastRenderedPageBreak/>
        <w:t>воссоединению детей с их семьями, когда это возможно, с учетом наилучших интересов ребенка</w:t>
      </w:r>
      <w:r w:rsidR="001C612C">
        <w:rPr>
          <w:b/>
          <w:bCs/>
        </w:rPr>
        <w:t>.</w:t>
      </w:r>
    </w:p>
    <w:p w14:paraId="7F3FC8D3" w14:textId="77777777" w:rsidR="001C612C" w:rsidRPr="00670877" w:rsidRDefault="001C612C" w:rsidP="001C612C">
      <w:pPr>
        <w:pStyle w:val="H23G"/>
        <w:ind w:firstLine="0"/>
      </w:pPr>
      <w:r>
        <w:rPr>
          <w:bCs/>
        </w:rPr>
        <w:t>Детский труд</w:t>
      </w:r>
    </w:p>
    <w:p w14:paraId="4D0841D5" w14:textId="77777777" w:rsidR="001C612C" w:rsidRPr="00670877" w:rsidRDefault="001C612C" w:rsidP="001C612C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решить проблему детского труда, особенно в неформальном секторе, включая эксплуатацию детей в целях попрошайничества, особенно среди детей из беднейшего квинтиля населения, и создать программы обучения для трудовых инспекторов.</w:t>
      </w:r>
    </w:p>
    <w:p w14:paraId="50D279E5" w14:textId="77777777" w:rsidR="001C612C" w:rsidRPr="00670877" w:rsidRDefault="001C612C" w:rsidP="001C612C">
      <w:pPr>
        <w:pStyle w:val="H23G"/>
        <w:ind w:left="0" w:firstLine="0"/>
        <w:rPr>
          <w:rFonts w:eastAsia="Malgun Gothic"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359B2726" w14:textId="77777777" w:rsidR="001C612C" w:rsidRPr="00670877" w:rsidRDefault="001C612C" w:rsidP="001C612C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рекомендует государству-участнику:</w:t>
      </w:r>
    </w:p>
    <w:p w14:paraId="1C39B84B" w14:textId="1862BAAD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 xml:space="preserve">обеспечивать оказание качественной, бесплатной юридической помощи детям, которые, как утверждается, нарушили уголовное законодательство, обвиняются или признаются виновными в его нарушении, на ранней стадии процедуры и на всем протяжении судебного разбирательства; </w:t>
      </w:r>
    </w:p>
    <w:p w14:paraId="6D5FE6C4" w14:textId="1EA04CC7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 xml:space="preserve">назначить специализированных судей по делам детей и обеспечить, чтобы такие специализированные судьи проходили соответствующую подготовку по правам детей; </w:t>
      </w:r>
    </w:p>
    <w:p w14:paraId="1324DF06" w14:textId="06AE1E2D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прекратить практику одиночного заключения и расследовать случаи применения физической силы против задержанных детей сотрудниками службы безопасности;</w:t>
      </w:r>
    </w:p>
    <w:p w14:paraId="088C995D" w14:textId="60C85A72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регулярно контролировать и инспектировать учебно-исправительные учреждения</w:t>
      </w:r>
      <w:r w:rsidR="001C612C">
        <w:rPr>
          <w:b/>
          <w:bCs/>
        </w:rPr>
        <w:t xml:space="preserve"> в тюрьмах Тетово и Охрида для обеспечения защиты задержанных детей и предоставления им необходимых услуг.</w:t>
      </w:r>
    </w:p>
    <w:p w14:paraId="14E43065" w14:textId="77777777" w:rsidR="001C612C" w:rsidRPr="00670877" w:rsidRDefault="001C612C" w:rsidP="001C612C">
      <w:pPr>
        <w:pStyle w:val="SingleTxtG"/>
        <w:keepNext/>
        <w:ind w:left="1138" w:right="1138"/>
        <w:rPr>
          <w:b/>
        </w:rPr>
      </w:pPr>
      <w:r>
        <w:rPr>
          <w:b/>
          <w:bCs/>
        </w:rPr>
        <w:t>Дети, ставшие жертвами и свидетелями преступлений</w:t>
      </w:r>
    </w:p>
    <w:p w14:paraId="11216198" w14:textId="77777777" w:rsidR="001C612C" w:rsidRPr="00670877" w:rsidRDefault="001C612C" w:rsidP="001C612C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создать механизм защиты детей-жертв и свидетелей в ходе судебных разбирательств и предоставлять им бесплатную юридическую помощь, когда это необходимо.</w:t>
      </w:r>
      <w:r>
        <w:t xml:space="preserve"> </w:t>
      </w:r>
    </w:p>
    <w:p w14:paraId="48A9C1F6" w14:textId="0142A6CD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K.</w:t>
      </w:r>
      <w:r w:rsidR="001C612C">
        <w:tab/>
      </w:r>
      <w:r w:rsidR="001C612C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  <w:r w:rsidR="001C612C">
        <w:t xml:space="preserve"> </w:t>
      </w:r>
    </w:p>
    <w:p w14:paraId="3382C79F" w14:textId="77777777" w:rsidR="001C612C" w:rsidRPr="00670877" w:rsidRDefault="001C612C" w:rsidP="001C612C">
      <w:pPr>
        <w:pStyle w:val="H23G"/>
      </w:pPr>
      <w:r>
        <w:tab/>
      </w: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3B30DCA7" w14:textId="77777777" w:rsidR="001C612C" w:rsidRPr="00670877" w:rsidRDefault="001C612C" w:rsidP="001C612C">
      <w:pPr>
        <w:pStyle w:val="SingleTxtG"/>
        <w:rPr>
          <w:b/>
        </w:rPr>
      </w:pPr>
      <w:r>
        <w:t>41.</w:t>
      </w:r>
      <w:r>
        <w:tab/>
      </w:r>
      <w:r w:rsidRPr="007666BD">
        <w:rPr>
          <w:b/>
          <w:bCs/>
        </w:rPr>
        <w:t>Комитет рекомендует государству-участнику выполнить предыдущие рекомендации Комитета по первоначальному докладу по Факультативному протоколу</w:t>
      </w:r>
      <w:r w:rsidRPr="001C612C">
        <w:rPr>
          <w:rStyle w:val="aa"/>
        </w:rPr>
        <w:footnoteReference w:id="10"/>
      </w:r>
      <w:r w:rsidRPr="007666BD">
        <w:rPr>
          <w:b/>
          <w:bCs/>
        </w:rPr>
        <w:t>, в частности:</w:t>
      </w:r>
    </w:p>
    <w:p w14:paraId="5C8DCDDB" w14:textId="7505C2B6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четко определить и криминализировать все преступления, указанные в статьях 2 и 3 Факультативного протокола, учитывая, что контрабанда схожа, но не идентична торговле детьми;</w:t>
      </w:r>
    </w:p>
    <w:p w14:paraId="471F2692" w14:textId="740CFB20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оказывать эффективную поддержку детям</w:t>
      </w:r>
      <w:r w:rsidR="00D27537">
        <w:rPr>
          <w:b/>
          <w:bCs/>
        </w:rPr>
        <w:t xml:space="preserve"> — </w:t>
      </w:r>
      <w:r w:rsidR="001C612C" w:rsidRPr="00FE393B">
        <w:rPr>
          <w:b/>
          <w:bCs/>
        </w:rPr>
        <w:t>жертвам преступлений, предусмотренных Факультативным протоколом, и обеспечивать их реабилитацию и реинтеграцию в общество;</w:t>
      </w:r>
    </w:p>
    <w:p w14:paraId="11178AFB" w14:textId="5317647D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c)</w:t>
      </w:r>
      <w:r w:rsidR="001C612C" w:rsidRPr="00FE393B">
        <w:rPr>
          <w:b/>
          <w:bCs/>
        </w:rPr>
        <w:tab/>
        <w:t>отменить</w:t>
      </w:r>
      <w:r w:rsidR="001C612C">
        <w:rPr>
          <w:b/>
          <w:bCs/>
        </w:rPr>
        <w:t xml:space="preserve"> требование двойной наказуемости в условиях экстерриториальной юрисдикции за преступления, охватываемые Факультативным протоколом;</w:t>
      </w:r>
      <w:r w:rsidR="001C612C">
        <w:t xml:space="preserve"> </w:t>
      </w:r>
    </w:p>
    <w:p w14:paraId="4F3B6DCA" w14:textId="4376E919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1C612C" w:rsidRPr="00FE393B">
        <w:rPr>
          <w:b/>
          <w:bCs/>
        </w:rPr>
        <w:t>d)</w:t>
      </w:r>
      <w:r w:rsidR="001C612C" w:rsidRPr="00FE393B">
        <w:rPr>
          <w:b/>
          <w:bCs/>
        </w:rPr>
        <w:tab/>
        <w:t>принять меры по регистрации всех выявленных случаев детской проституции, детской порнографии и/или торговли детьми и наладить межсекторальное сотрудничество для выявления таких случаев;</w:t>
      </w:r>
    </w:p>
    <w:p w14:paraId="35EFB779" w14:textId="431AB37A" w:rsidR="001C612C" w:rsidRPr="00CE2197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e)</w:t>
      </w:r>
      <w:r w:rsidR="001C612C" w:rsidRPr="00FE393B">
        <w:rPr>
          <w:b/>
          <w:bCs/>
        </w:rPr>
        <w:tab/>
        <w:t>усилить меры по оказанию эффективной поддержки детям</w:t>
      </w:r>
      <w:r w:rsidR="00D27537">
        <w:rPr>
          <w:b/>
          <w:bCs/>
        </w:rPr>
        <w:t xml:space="preserve"> — </w:t>
      </w:r>
      <w:r w:rsidR="001C612C" w:rsidRPr="00FE393B">
        <w:rPr>
          <w:b/>
          <w:bCs/>
        </w:rPr>
        <w:t>жертвам коммерческой</w:t>
      </w:r>
      <w:r w:rsidR="001C612C" w:rsidRPr="00CE2197">
        <w:rPr>
          <w:b/>
          <w:bCs/>
        </w:rPr>
        <w:t xml:space="preserve"> сексуальной эксплуатации и торговли людьми для обеспечения их реабилитации, ресоциализации и реинтеграции.</w:t>
      </w:r>
    </w:p>
    <w:p w14:paraId="485E75AC" w14:textId="77777777" w:rsidR="001C612C" w:rsidRPr="00670877" w:rsidRDefault="001C612C" w:rsidP="001C612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r>
        <w:t xml:space="preserve"> </w:t>
      </w:r>
    </w:p>
    <w:p w14:paraId="6AD523B8" w14:textId="77777777" w:rsidR="001C612C" w:rsidRPr="00670877" w:rsidRDefault="001C612C" w:rsidP="001C612C">
      <w:pPr>
        <w:pStyle w:val="SingleTxtG"/>
        <w:rPr>
          <w:b/>
        </w:rPr>
      </w:pPr>
      <w:r>
        <w:t>42.</w:t>
      </w:r>
      <w:r>
        <w:tab/>
      </w:r>
      <w:r w:rsidRPr="00C40698">
        <w:rPr>
          <w:b/>
          <w:bCs/>
        </w:rPr>
        <w:t>Комитет рекомендует государству-участнику выполнить предыдущие рекомендации Комитета по первоначальному докладу по Факультативному протоколу</w:t>
      </w:r>
      <w:r w:rsidRPr="001C612C">
        <w:rPr>
          <w:rStyle w:val="aa"/>
        </w:rPr>
        <w:footnoteReference w:id="11"/>
      </w:r>
      <w:r w:rsidRPr="00C40698">
        <w:rPr>
          <w:b/>
          <w:bCs/>
        </w:rPr>
        <w:t>, в частности:</w:t>
      </w:r>
    </w:p>
    <w:p w14:paraId="0DC83AB0" w14:textId="02991C59" w:rsidR="001C612C" w:rsidRPr="00FE393B" w:rsidRDefault="00FE393B" w:rsidP="001C612C">
      <w:pPr>
        <w:pStyle w:val="SingleTxtG"/>
        <w:rPr>
          <w:b/>
          <w:bCs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предусмотреть конкретную уголовную ответственность за вербовку детей негосударственными вооруженными группировками;</w:t>
      </w:r>
    </w:p>
    <w:p w14:paraId="55803AB1" w14:textId="46E12972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  <w:t>создать систему раннего выявления въезжающих в государство-участник иностранных</w:t>
      </w:r>
      <w:r w:rsidR="001C612C">
        <w:rPr>
          <w:b/>
          <w:bCs/>
        </w:rPr>
        <w:t xml:space="preserve"> детей, которые могли быть вовлечены в вооруженный конфликт за рубежом.</w:t>
      </w:r>
    </w:p>
    <w:p w14:paraId="33588074" w14:textId="46FFCD36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L.</w:t>
      </w:r>
      <w:r w:rsidR="001C612C">
        <w:tab/>
      </w:r>
      <w:r w:rsidR="001C612C">
        <w:rPr>
          <w:bCs/>
        </w:rPr>
        <w:t>Ратификация Факультативного протокола, касающегося процедуры сообщений</w:t>
      </w:r>
      <w:r w:rsidR="001C612C">
        <w:t xml:space="preserve"> </w:t>
      </w:r>
    </w:p>
    <w:p w14:paraId="6544A80C" w14:textId="77777777" w:rsidR="001C612C" w:rsidRPr="00670877" w:rsidRDefault="001C612C" w:rsidP="001C612C">
      <w:pPr>
        <w:pStyle w:val="SingleTxtG"/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сообщений, который оно подписало 23 мая 2012 года.</w:t>
      </w:r>
    </w:p>
    <w:p w14:paraId="15EFC042" w14:textId="5E707671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M.</w:t>
      </w:r>
      <w:r w:rsidR="001C612C">
        <w:tab/>
      </w:r>
      <w:r w:rsidR="001C612C">
        <w:rPr>
          <w:bCs/>
        </w:rPr>
        <w:t>Ратификация международных договоров по правам человека</w:t>
      </w:r>
    </w:p>
    <w:p w14:paraId="29AF6D09" w14:textId="77777777" w:rsidR="001C612C" w:rsidRPr="00670877" w:rsidRDefault="001C612C" w:rsidP="001C612C">
      <w:pPr>
        <w:pStyle w:val="SingleTxtG"/>
        <w:rPr>
          <w:b/>
        </w:rPr>
      </w:pPr>
      <w:bookmarkStart w:id="8" w:name="_Hlk112321348"/>
      <w:r>
        <w:t>44.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ратифицировать следующие основные договоры по правам человека:</w:t>
      </w:r>
    </w:p>
    <w:p w14:paraId="49F6A991" w14:textId="1B7CC77C" w:rsidR="001C612C" w:rsidRPr="00FE393B" w:rsidRDefault="00FE393B" w:rsidP="001C612C">
      <w:pPr>
        <w:pStyle w:val="SingleTxtG"/>
        <w:rPr>
          <w:b/>
          <w:bCs/>
          <w:color w:val="000000"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a)</w:t>
      </w:r>
      <w:r w:rsidR="001C612C" w:rsidRPr="00FE393B">
        <w:rPr>
          <w:b/>
          <w:bCs/>
        </w:rPr>
        <w:tab/>
        <w:t>Международная конвенция о защите прав всех трудящихся-мигрантов и членов их семей;</w:t>
      </w:r>
    </w:p>
    <w:p w14:paraId="16D3FB77" w14:textId="1CFDB23F" w:rsidR="001C612C" w:rsidRPr="00670877" w:rsidRDefault="00FE393B" w:rsidP="001C612C">
      <w:pPr>
        <w:pStyle w:val="SingleTxtG"/>
        <w:rPr>
          <w:b/>
        </w:rPr>
      </w:pPr>
      <w:r>
        <w:rPr>
          <w:b/>
          <w:bCs/>
        </w:rPr>
        <w:tab/>
      </w:r>
      <w:r w:rsidR="001C612C" w:rsidRPr="00FE393B">
        <w:rPr>
          <w:b/>
          <w:bCs/>
        </w:rPr>
        <w:t>b)</w:t>
      </w:r>
      <w:r w:rsidR="001C612C" w:rsidRPr="00FE393B">
        <w:rPr>
          <w:b/>
          <w:bCs/>
        </w:rPr>
        <w:tab/>
      </w:r>
      <w:r w:rsidR="001C612C">
        <w:rPr>
          <w:b/>
          <w:bCs/>
        </w:rPr>
        <w:t>Международная конвенция для защиты всех лиц от насильственных исчезновений.</w:t>
      </w:r>
    </w:p>
    <w:bookmarkEnd w:id="8"/>
    <w:p w14:paraId="5D62CB43" w14:textId="4BABD854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N.</w:t>
      </w:r>
      <w:r w:rsidR="001C612C">
        <w:tab/>
      </w:r>
      <w:r w:rsidR="001C612C">
        <w:rPr>
          <w:bCs/>
        </w:rPr>
        <w:t>Сотрудничество с региональными органами</w:t>
      </w:r>
      <w:bookmarkStart w:id="9" w:name="_Hlk113366061"/>
    </w:p>
    <w:p w14:paraId="321CAAAC" w14:textId="06864757" w:rsidR="001C612C" w:rsidRPr="00670877" w:rsidRDefault="001C612C" w:rsidP="001C612C">
      <w:pPr>
        <w:pStyle w:val="SingleTxtG"/>
        <w:rPr>
          <w:b/>
        </w:rPr>
      </w:pPr>
      <w:bookmarkStart w:id="10" w:name="_Hlk102733986"/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сотрудничать с Советом Европы по вопросам осуществления Конвенции и других международных договоров по правам человека как на территории государства-участника, так и в других государствах </w:t>
      </w:r>
      <w:r w:rsidR="00D27537">
        <w:rPr>
          <w:b/>
          <w:bCs/>
        </w:rPr>
        <w:t>—</w:t>
      </w:r>
      <w:r>
        <w:rPr>
          <w:b/>
          <w:bCs/>
        </w:rPr>
        <w:t xml:space="preserve"> членах Совета Европы.</w:t>
      </w:r>
      <w:r>
        <w:t xml:space="preserve"> </w:t>
      </w:r>
    </w:p>
    <w:bookmarkEnd w:id="9"/>
    <w:bookmarkEnd w:id="10"/>
    <w:p w14:paraId="10CC6074" w14:textId="1A96E642" w:rsidR="001C612C" w:rsidRPr="00670877" w:rsidRDefault="00FE393B" w:rsidP="001C612C">
      <w:pPr>
        <w:pStyle w:val="HChG"/>
      </w:pPr>
      <w:r>
        <w:rPr>
          <w:bCs/>
        </w:rPr>
        <w:tab/>
      </w:r>
      <w:r w:rsidR="001C612C">
        <w:rPr>
          <w:bCs/>
        </w:rPr>
        <w:t>IV.</w:t>
      </w:r>
      <w:r w:rsidR="001C612C">
        <w:tab/>
      </w:r>
      <w:r w:rsidR="001C612C">
        <w:rPr>
          <w:bCs/>
        </w:rPr>
        <w:t>Осуществление и представление докладов</w:t>
      </w:r>
    </w:p>
    <w:p w14:paraId="0B9CFF10" w14:textId="2A0C405A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A.</w:t>
      </w:r>
      <w:r w:rsidR="001C612C">
        <w:tab/>
      </w:r>
      <w:r w:rsidR="001C612C">
        <w:rPr>
          <w:bCs/>
        </w:rPr>
        <w:t>Последующие меры и распространение информации</w:t>
      </w:r>
    </w:p>
    <w:p w14:paraId="20F1AFC7" w14:textId="77777777" w:rsidR="001C612C" w:rsidRPr="00670877" w:rsidRDefault="001C612C" w:rsidP="001C612C">
      <w:pPr>
        <w:pStyle w:val="SingleTxtG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 xml:space="preserve">Комитет также рекомендует, чтобы объединенные третий–шестой периодические доклады, </w:t>
      </w:r>
      <w:r>
        <w:rPr>
          <w:b/>
          <w:bCs/>
        </w:rPr>
        <w:lastRenderedPageBreak/>
        <w:t>письменные ответы на перечень вопросов и настоящие заключительные замечания были широко распространены на языках страны.</w:t>
      </w:r>
    </w:p>
    <w:p w14:paraId="72F12A26" w14:textId="330D9663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B.</w:t>
      </w:r>
      <w:r w:rsidR="001C612C">
        <w:tab/>
      </w:r>
      <w:r w:rsidR="001C612C">
        <w:rPr>
          <w:bCs/>
        </w:rPr>
        <w:t>Национальный механизм представления докладов и последующей деятельности</w:t>
      </w:r>
      <w:r w:rsidR="001C612C">
        <w:t xml:space="preserve"> </w:t>
      </w:r>
      <w:bookmarkStart w:id="11" w:name="_Hlk106225581"/>
    </w:p>
    <w:p w14:paraId="28EAF13D" w14:textId="77777777" w:rsidR="001C612C" w:rsidRPr="00670877" w:rsidRDefault="001C612C" w:rsidP="001C612C">
      <w:pPr>
        <w:pStyle w:val="SingleTxtG"/>
        <w:rPr>
          <w:b/>
        </w:rPr>
      </w:pPr>
      <w:bookmarkStart w:id="12" w:name="_Hlk100580465"/>
      <w:r>
        <w:t>47.</w:t>
      </w:r>
      <w:r>
        <w:tab/>
      </w:r>
      <w:r>
        <w:rPr>
          <w:b/>
          <w:bCs/>
        </w:rPr>
        <w:t>Комитет рекомендует государству-участнику укрепить свой национальный механизм представления докладов и последующей деятельности в качестве постоянной государственной структуры, в мандат которой входит координация и подготовка докладов международным и региональным правозащитным механизмам и взаимодействие с ними, а также координация и отслеживание национальной последующей деятельности и выполнение договорных обязательств, рекомендаций и решений, выносимых этими механизмами.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сотрудников, должна разрабатывать эффективные инструменты для отслеживания и сбора информации и должна иметь возможность проводить систематические консультации с национальным правозащитным учреждением и гражданским обществом.</w:t>
      </w:r>
    </w:p>
    <w:bookmarkEnd w:id="11"/>
    <w:bookmarkEnd w:id="12"/>
    <w:p w14:paraId="58356755" w14:textId="2B4F17B4" w:rsidR="001C612C" w:rsidRPr="00670877" w:rsidRDefault="00FE393B" w:rsidP="001C612C">
      <w:pPr>
        <w:pStyle w:val="H1G"/>
      </w:pPr>
      <w:r>
        <w:rPr>
          <w:bCs/>
        </w:rPr>
        <w:tab/>
      </w:r>
      <w:r w:rsidR="001C612C">
        <w:rPr>
          <w:bCs/>
        </w:rPr>
        <w:t>C.</w:t>
      </w:r>
      <w:r w:rsidR="001C612C">
        <w:tab/>
      </w:r>
      <w:r w:rsidR="001C612C">
        <w:rPr>
          <w:bCs/>
        </w:rPr>
        <w:t>Следующий доклад</w:t>
      </w:r>
      <w:r w:rsidR="001C612C">
        <w:t xml:space="preserve"> </w:t>
      </w:r>
    </w:p>
    <w:p w14:paraId="62374793" w14:textId="676A953E" w:rsidR="00FE393B" w:rsidRDefault="001C612C" w:rsidP="00FE393B">
      <w:pPr>
        <w:pStyle w:val="SingleTxtG"/>
        <w:rPr>
          <w:b/>
          <w:bCs/>
        </w:rPr>
      </w:pPr>
      <w:r>
        <w:t>48.</w:t>
      </w:r>
      <w:r>
        <w:tab/>
      </w:r>
      <w:r w:rsidRPr="00FE393B"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16 сентября 2027 года и включить в них информацию о последующей деятельности по осуществлению настоящих заключительных замечаний. 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251CA8">
        <w:rPr>
          <w:rStyle w:val="aa"/>
        </w:rPr>
        <w:footnoteReference w:id="12"/>
      </w:r>
      <w:r w:rsidR="00FE393B" w:rsidRPr="00FE393B">
        <w:rPr>
          <w:b/>
          <w:bCs/>
        </w:rPr>
        <w:t>,</w:t>
      </w:r>
      <w:r w:rsidRPr="00FE393B">
        <w:rPr>
          <w:b/>
          <w:bCs/>
        </w:rPr>
        <w:t xml:space="preserve"> а его объем не должен превышать 21</w:t>
      </w:r>
      <w:r w:rsidR="00FE393B">
        <w:rPr>
          <w:b/>
          <w:bCs/>
        </w:rPr>
        <w:t> </w:t>
      </w:r>
      <w:r w:rsidRPr="00FE393B">
        <w:rPr>
          <w:b/>
          <w:bCs/>
        </w:rPr>
        <w:t>200</w:t>
      </w:r>
      <w:r w:rsidR="00FE393B">
        <w:rPr>
          <w:b/>
          <w:bCs/>
        </w:rPr>
        <w:t> </w:t>
      </w:r>
      <w:r w:rsidRPr="00FE393B">
        <w:rPr>
          <w:b/>
          <w:bCs/>
        </w:rPr>
        <w:t>слов</w:t>
      </w:r>
      <w:r w:rsidRPr="00251CA8">
        <w:rPr>
          <w:rStyle w:val="aa"/>
        </w:rPr>
        <w:footnoteReference w:id="13"/>
      </w:r>
      <w:r w:rsidR="00FE393B" w:rsidRPr="00FE393B">
        <w:rPr>
          <w:b/>
          <w:bCs/>
        </w:rPr>
        <w:t>.</w:t>
      </w:r>
      <w:r w:rsidRPr="00FE393B">
        <w:rPr>
          <w:b/>
          <w:bCs/>
        </w:rPr>
        <w:t xml:space="preserve">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14:paraId="716F8C6F" w14:textId="6401FA97" w:rsidR="001C612C" w:rsidRDefault="001C612C" w:rsidP="00FE393B">
      <w:pPr>
        <w:pStyle w:val="SingleTxtG"/>
      </w:pPr>
      <w:r>
        <w:t>49.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1C612C">
        <w:rPr>
          <w:rStyle w:val="aa"/>
        </w:rPr>
        <w:footnoteReference w:id="14"/>
      </w:r>
      <w:r w:rsidR="00D27537">
        <w:rPr>
          <w:b/>
          <w:bCs/>
        </w:rPr>
        <w:t xml:space="preserve"> </w:t>
      </w:r>
      <w:r>
        <w:rPr>
          <w:b/>
          <w:bCs/>
        </w:rPr>
        <w:t xml:space="preserve">и пункте 16 резолюции </w:t>
      </w:r>
      <w:hyperlink r:id="rId10" w:history="1">
        <w:r w:rsidRPr="00D27537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</w:t>
      </w:r>
    </w:p>
    <w:p w14:paraId="0E3DDE4E" w14:textId="7C0A750E" w:rsidR="00381C24" w:rsidRPr="00FE393B" w:rsidRDefault="00FE393B" w:rsidP="00FE393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E393B" w:rsidSect="001C612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1B90" w14:textId="77777777" w:rsidR="001B5955" w:rsidRPr="00A312BC" w:rsidRDefault="001B5955" w:rsidP="00A312BC"/>
  </w:endnote>
  <w:endnote w:type="continuationSeparator" w:id="0">
    <w:p w14:paraId="2B082F5B" w14:textId="77777777" w:rsidR="001B5955" w:rsidRPr="00A312BC" w:rsidRDefault="001B595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18AB4" w14:textId="05B06F35" w:rsidR="001C612C" w:rsidRPr="001C612C" w:rsidRDefault="001C612C">
    <w:pPr>
      <w:pStyle w:val="a8"/>
    </w:pPr>
    <w:r w:rsidRPr="001C612C">
      <w:rPr>
        <w:b/>
        <w:sz w:val="18"/>
      </w:rPr>
      <w:fldChar w:fldCharType="begin"/>
    </w:r>
    <w:r w:rsidRPr="001C612C">
      <w:rPr>
        <w:b/>
        <w:sz w:val="18"/>
      </w:rPr>
      <w:instrText xml:space="preserve"> PAGE  \* MERGEFORMAT </w:instrText>
    </w:r>
    <w:r w:rsidRPr="001C612C">
      <w:rPr>
        <w:b/>
        <w:sz w:val="18"/>
      </w:rPr>
      <w:fldChar w:fldCharType="separate"/>
    </w:r>
    <w:r w:rsidRPr="001C612C">
      <w:rPr>
        <w:b/>
        <w:noProof/>
        <w:sz w:val="18"/>
      </w:rPr>
      <w:t>2</w:t>
    </w:r>
    <w:r w:rsidRPr="001C612C">
      <w:rPr>
        <w:b/>
        <w:sz w:val="18"/>
      </w:rPr>
      <w:fldChar w:fldCharType="end"/>
    </w:r>
    <w:r>
      <w:rPr>
        <w:b/>
        <w:sz w:val="18"/>
      </w:rPr>
      <w:tab/>
    </w:r>
    <w:r>
      <w:t>GE.22-17163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B99A1" w14:textId="4A0F992B" w:rsidR="001C612C" w:rsidRPr="001C612C" w:rsidRDefault="001C612C" w:rsidP="001C612C">
    <w:pPr>
      <w:pStyle w:val="a8"/>
      <w:tabs>
        <w:tab w:val="clear" w:pos="9639"/>
        <w:tab w:val="right" w:pos="9638"/>
      </w:tabs>
      <w:rPr>
        <w:b/>
        <w:sz w:val="18"/>
      </w:rPr>
    </w:pPr>
    <w:r>
      <w:t>GE.22-17163</w:t>
    </w:r>
    <w:r>
      <w:tab/>
    </w:r>
    <w:r w:rsidRPr="001C612C">
      <w:rPr>
        <w:b/>
        <w:sz w:val="18"/>
      </w:rPr>
      <w:fldChar w:fldCharType="begin"/>
    </w:r>
    <w:r w:rsidRPr="001C612C">
      <w:rPr>
        <w:b/>
        <w:sz w:val="18"/>
      </w:rPr>
      <w:instrText xml:space="preserve"> PAGE  \* MERGEFORMAT </w:instrText>
    </w:r>
    <w:r w:rsidRPr="001C612C">
      <w:rPr>
        <w:b/>
        <w:sz w:val="18"/>
      </w:rPr>
      <w:fldChar w:fldCharType="separate"/>
    </w:r>
    <w:r w:rsidRPr="001C612C">
      <w:rPr>
        <w:b/>
        <w:noProof/>
        <w:sz w:val="18"/>
      </w:rPr>
      <w:t>3</w:t>
    </w:r>
    <w:r w:rsidRPr="001C61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9331" w14:textId="6A7C32CC" w:rsidR="00042B72" w:rsidRPr="001C612C" w:rsidRDefault="001C612C" w:rsidP="001C612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14D318A" wp14:editId="0BF546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22-17163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DDC65E" wp14:editId="10D340C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081223  020323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3C8A3" w14:textId="77777777" w:rsidR="001B5955" w:rsidRPr="001075E9" w:rsidRDefault="001B595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255855" w14:textId="77777777" w:rsidR="001B5955" w:rsidRDefault="001B595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EBD215" w14:textId="77777777" w:rsidR="001C612C" w:rsidRPr="00670877" w:rsidRDefault="001C612C" w:rsidP="001C612C">
      <w:pPr>
        <w:pStyle w:val="ad"/>
      </w:pPr>
      <w:r>
        <w:tab/>
        <w:t>*</w:t>
      </w:r>
      <w:r>
        <w:tab/>
        <w:t>Приняты Комитетом на его девяносто первой сессии (29 августа — 23 сентября 2022 года).</w:t>
      </w:r>
    </w:p>
  </w:footnote>
  <w:footnote w:id="2">
    <w:p w14:paraId="3BE7560E" w14:textId="5638931F" w:rsidR="001C612C" w:rsidRPr="00670877" w:rsidRDefault="001C612C" w:rsidP="001C612C">
      <w:pPr>
        <w:pStyle w:val="ad"/>
      </w:pPr>
      <w:r>
        <w:tab/>
      </w:r>
      <w:r w:rsidRPr="001C612C">
        <w:rPr>
          <w:rStyle w:val="aa"/>
        </w:rPr>
        <w:footnoteRef/>
      </w:r>
      <w:r>
        <w:tab/>
      </w:r>
      <w:hyperlink r:id="rId1" w:history="1">
        <w:r w:rsidRPr="001C612C">
          <w:rPr>
            <w:rStyle w:val="af1"/>
          </w:rPr>
          <w:t>CRC/C/MKD/3-6</w:t>
        </w:r>
      </w:hyperlink>
      <w:r>
        <w:t xml:space="preserve">. </w:t>
      </w:r>
    </w:p>
  </w:footnote>
  <w:footnote w:id="3">
    <w:p w14:paraId="34DD3C8A" w14:textId="5C3F1B5C" w:rsidR="001C612C" w:rsidRPr="001C612C" w:rsidRDefault="001C612C" w:rsidP="001C612C">
      <w:pPr>
        <w:pStyle w:val="ad"/>
        <w:rPr>
          <w:lang w:val="de-CH"/>
        </w:rPr>
      </w:pPr>
      <w:r>
        <w:tab/>
      </w:r>
      <w:r w:rsidRPr="001C612C">
        <w:rPr>
          <w:rStyle w:val="aa"/>
        </w:rPr>
        <w:footnoteRef/>
      </w:r>
      <w:r>
        <w:tab/>
        <w:t xml:space="preserve">См. </w:t>
      </w:r>
      <w:hyperlink r:id="rId2" w:history="1">
        <w:r w:rsidRPr="001C612C">
          <w:rPr>
            <w:rStyle w:val="af1"/>
            <w:lang w:val="de-CH"/>
          </w:rPr>
          <w:t>CRC/C/SR.2632</w:t>
        </w:r>
      </w:hyperlink>
      <w:r w:rsidRPr="001C612C">
        <w:rPr>
          <w:lang w:val="de-CH"/>
        </w:rPr>
        <w:t xml:space="preserve"> </w:t>
      </w:r>
      <w:r>
        <w:t>и</w:t>
      </w:r>
      <w:r w:rsidRPr="001C612C">
        <w:rPr>
          <w:lang w:val="de-CH"/>
        </w:rPr>
        <w:t xml:space="preserve"> </w:t>
      </w:r>
      <w:hyperlink r:id="rId3" w:history="1">
        <w:r w:rsidRPr="001C612C">
          <w:rPr>
            <w:rStyle w:val="af1"/>
            <w:lang w:val="de-CH"/>
          </w:rPr>
          <w:t>CRC/C/SR.2633</w:t>
        </w:r>
      </w:hyperlink>
      <w:r w:rsidRPr="001C612C">
        <w:rPr>
          <w:lang w:val="de-CH"/>
        </w:rPr>
        <w:t xml:space="preserve">. </w:t>
      </w:r>
    </w:p>
  </w:footnote>
  <w:footnote w:id="4">
    <w:p w14:paraId="266851BA" w14:textId="11DB25DD" w:rsidR="001C612C" w:rsidRPr="001C612C" w:rsidRDefault="001C612C" w:rsidP="001C612C">
      <w:pPr>
        <w:pStyle w:val="ad"/>
        <w:rPr>
          <w:lang w:val="en-US"/>
        </w:rPr>
      </w:pPr>
      <w:r w:rsidRPr="001C612C">
        <w:rPr>
          <w:lang w:val="de-CH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4" w:history="1">
        <w:r w:rsidRPr="001C612C">
          <w:rPr>
            <w:rStyle w:val="af1"/>
            <w:lang w:val="en-US"/>
          </w:rPr>
          <w:t>CRC/C/MKD/RQ/3-6</w:t>
        </w:r>
      </w:hyperlink>
      <w:r w:rsidRPr="00670877">
        <w:rPr>
          <w:lang w:val="en-US"/>
        </w:rPr>
        <w:t xml:space="preserve">. </w:t>
      </w:r>
    </w:p>
  </w:footnote>
  <w:footnote w:id="5">
    <w:p w14:paraId="0B140D03" w14:textId="6D8BE4E6" w:rsidR="001C612C" w:rsidRPr="001C612C" w:rsidRDefault="001C612C" w:rsidP="001C612C">
      <w:pPr>
        <w:pStyle w:val="ad"/>
        <w:rPr>
          <w:lang w:val="en-US"/>
        </w:rPr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5" w:history="1">
        <w:r w:rsidRPr="001C612C">
          <w:rPr>
            <w:rStyle w:val="af1"/>
            <w:lang w:val="en-US"/>
          </w:rPr>
          <w:t>CRC/C/MKD/CO/2</w:t>
        </w:r>
      </w:hyperlink>
      <w:r w:rsidRPr="00670877">
        <w:rPr>
          <w:lang w:val="en-US"/>
        </w:rPr>
        <w:t xml:space="preserve">, </w:t>
      </w:r>
      <w:r>
        <w:t>п</w:t>
      </w:r>
      <w:r w:rsidRPr="00670877">
        <w:rPr>
          <w:lang w:val="en-US"/>
        </w:rPr>
        <w:t xml:space="preserve">. </w:t>
      </w:r>
      <w:proofErr w:type="gramStart"/>
      <w:r w:rsidRPr="00670877">
        <w:rPr>
          <w:lang w:val="en-US"/>
        </w:rPr>
        <w:t>11</w:t>
      </w:r>
      <w:proofErr w:type="gramEnd"/>
      <w:r w:rsidRPr="00670877">
        <w:rPr>
          <w:lang w:val="en-US"/>
        </w:rPr>
        <w:t>.</w:t>
      </w:r>
    </w:p>
  </w:footnote>
  <w:footnote w:id="6">
    <w:p w14:paraId="1B43E7A9" w14:textId="30D0EBB3" w:rsidR="001C612C" w:rsidRPr="001C612C" w:rsidRDefault="001C612C" w:rsidP="001C612C">
      <w:pPr>
        <w:pStyle w:val="ad"/>
        <w:rPr>
          <w:lang w:val="en-US"/>
        </w:rPr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6" w:history="1">
        <w:r w:rsidRPr="001C612C">
          <w:rPr>
            <w:rStyle w:val="af1"/>
            <w:lang w:val="en-US"/>
          </w:rPr>
          <w:t>CRC/C/MKD/CO/2</w:t>
        </w:r>
      </w:hyperlink>
      <w:r w:rsidRPr="00670877">
        <w:rPr>
          <w:lang w:val="en-US"/>
        </w:rPr>
        <w:t xml:space="preserve">, </w:t>
      </w:r>
      <w:r>
        <w:t>п</w:t>
      </w:r>
      <w:r w:rsidRPr="00670877">
        <w:rPr>
          <w:lang w:val="en-US"/>
        </w:rPr>
        <w:t xml:space="preserve">. </w:t>
      </w:r>
      <w:proofErr w:type="gramStart"/>
      <w:r w:rsidRPr="00670877">
        <w:rPr>
          <w:lang w:val="en-US"/>
        </w:rPr>
        <w:t>19</w:t>
      </w:r>
      <w:proofErr w:type="gramEnd"/>
      <w:r w:rsidRPr="00670877">
        <w:rPr>
          <w:lang w:val="en-US"/>
        </w:rPr>
        <w:t>.</w:t>
      </w:r>
    </w:p>
  </w:footnote>
  <w:footnote w:id="7">
    <w:p w14:paraId="171B0162" w14:textId="08F15EC5" w:rsidR="001C612C" w:rsidRPr="001C612C" w:rsidRDefault="001C612C" w:rsidP="001C612C">
      <w:pPr>
        <w:pStyle w:val="ad"/>
        <w:rPr>
          <w:lang w:val="en-US"/>
        </w:rPr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7" w:history="1">
        <w:r w:rsidRPr="001C612C">
          <w:rPr>
            <w:rStyle w:val="af1"/>
            <w:lang w:val="en-US"/>
          </w:rPr>
          <w:t>CRC/C/MKD/CO/2</w:t>
        </w:r>
      </w:hyperlink>
      <w:r w:rsidRPr="00670877">
        <w:rPr>
          <w:lang w:val="en-US"/>
        </w:rPr>
        <w:t xml:space="preserve">, </w:t>
      </w:r>
      <w:r>
        <w:t>п</w:t>
      </w:r>
      <w:r w:rsidRPr="00670877">
        <w:rPr>
          <w:lang w:val="en-US"/>
        </w:rPr>
        <w:t xml:space="preserve">. </w:t>
      </w:r>
      <w:proofErr w:type="gramStart"/>
      <w:r w:rsidRPr="00670877">
        <w:rPr>
          <w:lang w:val="en-US"/>
        </w:rPr>
        <w:t>21</w:t>
      </w:r>
      <w:proofErr w:type="gramEnd"/>
      <w:r w:rsidRPr="00670877">
        <w:rPr>
          <w:lang w:val="en-US"/>
        </w:rPr>
        <w:t>.</w:t>
      </w:r>
    </w:p>
  </w:footnote>
  <w:footnote w:id="8">
    <w:p w14:paraId="0210CEEB" w14:textId="0A982D28" w:rsidR="001C612C" w:rsidRPr="001C612C" w:rsidRDefault="001C612C" w:rsidP="001C612C">
      <w:pPr>
        <w:pStyle w:val="ad"/>
        <w:rPr>
          <w:lang w:val="en-US"/>
        </w:rPr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8" w:history="1">
        <w:r w:rsidRPr="001C612C">
          <w:rPr>
            <w:rStyle w:val="af1"/>
            <w:lang w:val="en-US"/>
          </w:rPr>
          <w:t>CRC/C/MKD/CO/2</w:t>
        </w:r>
      </w:hyperlink>
      <w:r w:rsidRPr="00670877">
        <w:rPr>
          <w:lang w:val="en-US"/>
        </w:rPr>
        <w:t xml:space="preserve">, </w:t>
      </w:r>
      <w:r>
        <w:t>п</w:t>
      </w:r>
      <w:r w:rsidRPr="00670877">
        <w:rPr>
          <w:lang w:val="en-US"/>
        </w:rPr>
        <w:t xml:space="preserve">. </w:t>
      </w:r>
      <w:proofErr w:type="gramStart"/>
      <w:r w:rsidRPr="00670877">
        <w:rPr>
          <w:lang w:val="en-US"/>
        </w:rPr>
        <w:t>29</w:t>
      </w:r>
      <w:proofErr w:type="gramEnd"/>
      <w:r w:rsidRPr="00670877">
        <w:rPr>
          <w:lang w:val="en-US"/>
        </w:rPr>
        <w:t>.</w:t>
      </w:r>
    </w:p>
  </w:footnote>
  <w:footnote w:id="9">
    <w:p w14:paraId="59DEB754" w14:textId="40DDB1CC" w:rsidR="001C612C" w:rsidRPr="00670877" w:rsidRDefault="001C612C" w:rsidP="001C612C">
      <w:pPr>
        <w:pStyle w:val="ad"/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>
        <w:tab/>
        <w:t xml:space="preserve">См. </w:t>
      </w:r>
      <w:hyperlink r:id="rId9" w:history="1">
        <w:r w:rsidR="00FE393B" w:rsidRPr="006E3BA0">
          <w:rPr>
            <w:rStyle w:val="af1"/>
          </w:rPr>
          <w:t>https://www.ohchr.org/sites/default/files/2022-03/CRC-CRPD-joint-statement_18March2022.docx</w:t>
        </w:r>
      </w:hyperlink>
      <w:r>
        <w:t>.</w:t>
      </w:r>
      <w:r w:rsidR="00FE393B">
        <w:t xml:space="preserve"> </w:t>
      </w:r>
    </w:p>
  </w:footnote>
  <w:footnote w:id="10">
    <w:p w14:paraId="502C06EE" w14:textId="178FD792" w:rsidR="001C612C" w:rsidRPr="001C612C" w:rsidRDefault="001C612C" w:rsidP="001C612C">
      <w:pPr>
        <w:pStyle w:val="ad"/>
        <w:rPr>
          <w:lang w:val="en-US"/>
        </w:rPr>
      </w:pPr>
      <w: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10" w:history="1">
        <w:r w:rsidRPr="001C612C">
          <w:rPr>
            <w:rStyle w:val="af1"/>
            <w:lang w:val="en-US"/>
          </w:rPr>
          <w:t>CRC/C/OPSC/MKD/CO/1</w:t>
        </w:r>
      </w:hyperlink>
      <w:r w:rsidRPr="00670877">
        <w:rPr>
          <w:lang w:val="en-US"/>
        </w:rPr>
        <w:t>.</w:t>
      </w:r>
    </w:p>
  </w:footnote>
  <w:footnote w:id="11">
    <w:p w14:paraId="4412BB24" w14:textId="258E9251" w:rsidR="001C612C" w:rsidRPr="001C612C" w:rsidRDefault="001C612C" w:rsidP="001C612C">
      <w:pPr>
        <w:pStyle w:val="ad"/>
        <w:rPr>
          <w:lang w:val="en-US"/>
        </w:rPr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 w:rsidRPr="00670877">
        <w:rPr>
          <w:lang w:val="en-US"/>
        </w:rPr>
        <w:tab/>
      </w:r>
      <w:hyperlink r:id="rId11" w:history="1">
        <w:r w:rsidRPr="001C612C">
          <w:rPr>
            <w:rStyle w:val="af1"/>
            <w:lang w:val="en-US"/>
          </w:rPr>
          <w:t>CRC/C/OPAC/MKD/CO/1</w:t>
        </w:r>
      </w:hyperlink>
      <w:r w:rsidRPr="00670877">
        <w:rPr>
          <w:lang w:val="en-US"/>
        </w:rPr>
        <w:t>.</w:t>
      </w:r>
    </w:p>
  </w:footnote>
  <w:footnote w:id="12">
    <w:p w14:paraId="1DA23663" w14:textId="73EEE298" w:rsidR="001C612C" w:rsidRPr="00670877" w:rsidRDefault="001C612C" w:rsidP="001C612C">
      <w:pPr>
        <w:pStyle w:val="ad"/>
      </w:pPr>
      <w:r w:rsidRPr="00670877">
        <w:rPr>
          <w:lang w:val="en-US"/>
        </w:rPr>
        <w:tab/>
      </w:r>
      <w:r w:rsidRPr="001C612C">
        <w:rPr>
          <w:rStyle w:val="aa"/>
        </w:rPr>
        <w:footnoteRef/>
      </w:r>
      <w:r>
        <w:tab/>
      </w:r>
      <w:hyperlink r:id="rId12" w:history="1">
        <w:r w:rsidRPr="001C612C">
          <w:rPr>
            <w:rStyle w:val="af1"/>
          </w:rPr>
          <w:t>CRC/C/58/Rev.3</w:t>
        </w:r>
      </w:hyperlink>
      <w:r>
        <w:t xml:space="preserve">. </w:t>
      </w:r>
    </w:p>
  </w:footnote>
  <w:footnote w:id="13">
    <w:p w14:paraId="730D336D" w14:textId="142A202F" w:rsidR="001C612C" w:rsidRPr="00670877" w:rsidRDefault="001C612C" w:rsidP="001C612C">
      <w:pPr>
        <w:pStyle w:val="ad"/>
      </w:pPr>
      <w:r>
        <w:tab/>
      </w:r>
      <w:r w:rsidRPr="001C612C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D27537">
          <w:rPr>
            <w:rStyle w:val="af1"/>
          </w:rPr>
          <w:t>68/268</w:t>
        </w:r>
      </w:hyperlink>
      <w:r>
        <w:t xml:space="preserve"> Генеральной Ассамблеи, п. 16. </w:t>
      </w:r>
      <w:bookmarkStart w:id="13" w:name="_Hlk116579905"/>
      <w:bookmarkEnd w:id="13"/>
    </w:p>
  </w:footnote>
  <w:footnote w:id="14">
    <w:p w14:paraId="5C7AD707" w14:textId="19CDE9BA" w:rsidR="001C612C" w:rsidRPr="001C612C" w:rsidRDefault="001C612C" w:rsidP="001C612C">
      <w:pPr>
        <w:pStyle w:val="ad"/>
        <w:rPr>
          <w:lang w:val="en-US"/>
        </w:rPr>
      </w:pPr>
      <w:r>
        <w:tab/>
      </w:r>
      <w:r w:rsidRPr="001C612C">
        <w:rPr>
          <w:rStyle w:val="aa"/>
        </w:rPr>
        <w:footnoteRef/>
      </w:r>
      <w:r w:rsidRPr="009257FA">
        <w:tab/>
      </w:r>
      <w:hyperlink r:id="rId14" w:history="1">
        <w:r w:rsidRPr="001C612C">
          <w:rPr>
            <w:rStyle w:val="af1"/>
            <w:lang w:val="en-US"/>
          </w:rPr>
          <w:t>HRI</w:t>
        </w:r>
        <w:r w:rsidRPr="009257FA">
          <w:rPr>
            <w:rStyle w:val="af1"/>
          </w:rPr>
          <w:t>/</w:t>
        </w:r>
        <w:r w:rsidRPr="001C612C">
          <w:rPr>
            <w:rStyle w:val="af1"/>
            <w:lang w:val="en-US"/>
          </w:rPr>
          <w:t>GEN</w:t>
        </w:r>
        <w:r w:rsidRPr="009257FA">
          <w:rPr>
            <w:rStyle w:val="af1"/>
          </w:rPr>
          <w:t>/2/</w:t>
        </w:r>
        <w:r w:rsidRPr="001C612C">
          <w:rPr>
            <w:rStyle w:val="af1"/>
            <w:lang w:val="en-US"/>
          </w:rPr>
          <w:t>Rev</w:t>
        </w:r>
        <w:r w:rsidRPr="009257FA">
          <w:rPr>
            <w:rStyle w:val="af1"/>
          </w:rPr>
          <w:t>.6</w:t>
        </w:r>
      </w:hyperlink>
      <w:r w:rsidRPr="009257FA">
        <w:t xml:space="preserve">, </w:t>
      </w:r>
      <w:r>
        <w:t>гл</w:t>
      </w:r>
      <w:r w:rsidRPr="009257FA">
        <w:t xml:space="preserve">. </w:t>
      </w:r>
      <w:r w:rsidRPr="00670877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7618A" w14:textId="475EEE46" w:rsidR="001C612C" w:rsidRPr="001C612C" w:rsidRDefault="001C612C">
    <w:pPr>
      <w:pStyle w:val="a5"/>
    </w:pPr>
    <w:fldSimple w:instr=" TITLE  \* MERGEFORMAT ">
      <w:r w:rsidR="009257FA">
        <w:t>CRC/C/MKD/CO/3-6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85A17" w14:textId="1978B03A" w:rsidR="001C612C" w:rsidRPr="001C612C" w:rsidRDefault="001C612C" w:rsidP="001C612C">
    <w:pPr>
      <w:pStyle w:val="a5"/>
      <w:jc w:val="right"/>
    </w:pPr>
    <w:fldSimple w:instr=" TITLE  \* MERGEFORMAT ">
      <w:r w:rsidR="009257FA">
        <w:t>CRC/C/MKD/CO/3-6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40071291">
    <w:abstractNumId w:val="16"/>
  </w:num>
  <w:num w:numId="2" w16cid:durableId="974262565">
    <w:abstractNumId w:val="11"/>
  </w:num>
  <w:num w:numId="3" w16cid:durableId="1817717746">
    <w:abstractNumId w:val="10"/>
  </w:num>
  <w:num w:numId="4" w16cid:durableId="991757948">
    <w:abstractNumId w:val="17"/>
  </w:num>
  <w:num w:numId="5" w16cid:durableId="2047437983">
    <w:abstractNumId w:val="13"/>
  </w:num>
  <w:num w:numId="6" w16cid:durableId="1399480792">
    <w:abstractNumId w:val="8"/>
  </w:num>
  <w:num w:numId="7" w16cid:durableId="260996280">
    <w:abstractNumId w:val="3"/>
  </w:num>
  <w:num w:numId="8" w16cid:durableId="2055931071">
    <w:abstractNumId w:val="2"/>
  </w:num>
  <w:num w:numId="9" w16cid:durableId="1241674167">
    <w:abstractNumId w:val="1"/>
  </w:num>
  <w:num w:numId="10" w16cid:durableId="1361467877">
    <w:abstractNumId w:val="0"/>
  </w:num>
  <w:num w:numId="11" w16cid:durableId="271865855">
    <w:abstractNumId w:val="9"/>
  </w:num>
  <w:num w:numId="12" w16cid:durableId="718209316">
    <w:abstractNumId w:val="7"/>
  </w:num>
  <w:num w:numId="13" w16cid:durableId="1742101613">
    <w:abstractNumId w:val="6"/>
  </w:num>
  <w:num w:numId="14" w16cid:durableId="707997068">
    <w:abstractNumId w:val="5"/>
  </w:num>
  <w:num w:numId="15" w16cid:durableId="874392794">
    <w:abstractNumId w:val="4"/>
  </w:num>
  <w:num w:numId="16" w16cid:durableId="1143542198">
    <w:abstractNumId w:val="15"/>
  </w:num>
  <w:num w:numId="17" w16cid:durableId="332028686">
    <w:abstractNumId w:val="12"/>
  </w:num>
  <w:num w:numId="18" w16cid:durableId="1523594655">
    <w:abstractNumId w:val="14"/>
  </w:num>
  <w:num w:numId="19" w16cid:durableId="1510169947">
    <w:abstractNumId w:val="15"/>
  </w:num>
  <w:num w:numId="20" w16cid:durableId="778991618">
    <w:abstractNumId w:val="12"/>
  </w:num>
  <w:num w:numId="21" w16cid:durableId="86718505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955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B5955"/>
    <w:rsid w:val="001C612C"/>
    <w:rsid w:val="001C7A89"/>
    <w:rsid w:val="00251CA8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E3B70"/>
    <w:rsid w:val="00407B78"/>
    <w:rsid w:val="00424203"/>
    <w:rsid w:val="004510FC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28CF"/>
    <w:rsid w:val="00654AB1"/>
    <w:rsid w:val="00681A10"/>
    <w:rsid w:val="006A1ED8"/>
    <w:rsid w:val="006C2031"/>
    <w:rsid w:val="006D2401"/>
    <w:rsid w:val="006D461A"/>
    <w:rsid w:val="006F35EE"/>
    <w:rsid w:val="007021FF"/>
    <w:rsid w:val="00712895"/>
    <w:rsid w:val="00757357"/>
    <w:rsid w:val="007B4656"/>
    <w:rsid w:val="007D7B67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257FA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27537"/>
    <w:rsid w:val="00D33D63"/>
    <w:rsid w:val="00D53C43"/>
    <w:rsid w:val="00D90028"/>
    <w:rsid w:val="00D90138"/>
    <w:rsid w:val="00DD78D1"/>
    <w:rsid w:val="00DE32CD"/>
    <w:rsid w:val="00DF71B9"/>
    <w:rsid w:val="00E65563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393B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523DD"/>
  <w15:docId w15:val="{E9040F9A-0422-41D5-A2E7-F268C3F4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C612C"/>
    <w:rPr>
      <w:lang w:val="ru-RU" w:eastAsia="en-US"/>
    </w:rPr>
  </w:style>
  <w:style w:type="character" w:customStyle="1" w:styleId="H1GChar">
    <w:name w:val="_ H_1_G Char"/>
    <w:link w:val="H1G"/>
    <w:locked/>
    <w:rsid w:val="001C612C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1C61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undocs.org/ru/A/RES/68/26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ndocs.org/ru/A/RES/64/142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MKD/CO/2" TargetMode="External"/><Relationship Id="rId13" Type="http://schemas.openxmlformats.org/officeDocument/2006/relationships/hyperlink" Target="http://undocs.org/ru/A/RES/68/268" TargetMode="External"/><Relationship Id="rId3" Type="http://schemas.openxmlformats.org/officeDocument/2006/relationships/hyperlink" Target="http://undocs.org/en/CRC/C/SR.2633" TargetMode="External"/><Relationship Id="rId7" Type="http://schemas.openxmlformats.org/officeDocument/2006/relationships/hyperlink" Target="http://undocs.org/ru/CRC/C/MKD/CO/2" TargetMode="External"/><Relationship Id="rId12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en/CRC/C/SR.2632" TargetMode="External"/><Relationship Id="rId1" Type="http://schemas.openxmlformats.org/officeDocument/2006/relationships/hyperlink" Target="http://undocs.org/en/CRC/C/MKD/3-6" TargetMode="External"/><Relationship Id="rId6" Type="http://schemas.openxmlformats.org/officeDocument/2006/relationships/hyperlink" Target="http://undocs.org/ru/CRC/C/MKD/CO/2" TargetMode="External"/><Relationship Id="rId11" Type="http://schemas.openxmlformats.org/officeDocument/2006/relationships/hyperlink" Target="http://undocs.org/ru/CRC/C/OPAC/MKD/CO/1" TargetMode="External"/><Relationship Id="rId5" Type="http://schemas.openxmlformats.org/officeDocument/2006/relationships/hyperlink" Target="http://undocs.org/ru/CRC/C/MKD/CO/2" TargetMode="External"/><Relationship Id="rId10" Type="http://schemas.openxmlformats.org/officeDocument/2006/relationships/hyperlink" Target="http://undocs.org/ru/CRC/C/OPSC/MKD/CO/1" TargetMode="External"/><Relationship Id="rId4" Type="http://schemas.openxmlformats.org/officeDocument/2006/relationships/hyperlink" Target="http://undocs.org/en/CRC/C/MKD/RQ/3-6" TargetMode="External"/><Relationship Id="rId9" Type="http://schemas.openxmlformats.org/officeDocument/2006/relationships/hyperlink" Target="https://www.ohchr.org/sites/default/files/2022-03/CRC-CRPD-joint-statement_18March2022.docx" TargetMode="External"/><Relationship Id="rId14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1470D-42B6-4476-AF71-F9F3DABF1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17</TotalTime>
  <Pages>16</Pages>
  <Words>5377</Words>
  <Characters>37802</Characters>
  <Application>Microsoft Office Word</Application>
  <DocSecurity>0</DocSecurity>
  <Lines>756</Lines>
  <Paragraphs>268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CRC/C/MKD/CO/3-6</vt:lpstr>
      <vt:lpstr>A/</vt:lpstr>
      <vt:lpstr>A/</vt:lpstr>
    </vt:vector>
  </TitlesOfParts>
  <Company>DCM</Company>
  <LinksUpToDate>false</LinksUpToDate>
  <CharactersWithSpaces>42911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CRC/C/MKD/CO/3-6</dc:title>
  <dc:subject/>
  <dc:creator>Anna BLAGODATSKIKH</dc:creator>
  <cp:keywords/>
  <cp:lastModifiedBy>Anna Blagodatskikh</cp:lastModifiedBy>
  <cp:revision>3</cp:revision>
  <cp:lastPrinted>2023-03-02T13:42:00Z</cp:lastPrinted>
  <dcterms:created xsi:type="dcterms:W3CDTF">2023-03-02T13:42:00Z</dcterms:created>
  <dcterms:modified xsi:type="dcterms:W3CDTF">2023-03-02T13:47:00Z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