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44300</w:t>
                  </w:r>
                  <w:r>
                    <w:rPr>
                      <w:lang w:val="en-US"/>
                    </w:rPr>
                    <w:fldChar w:fldCharType="end"/>
                  </w:r>
                  <w:r>
                    <w:rPr>
                      <w:lang w:val="en-US"/>
                    </w:rPr>
                    <w:t xml:space="preserve">   (R)</w:t>
                  </w:r>
                  <w:r>
                    <w:t xml:space="preserve">    </w:t>
                  </w:r>
                  <w:r>
                    <w:rPr>
                      <w:lang w:val="en-US"/>
                    </w:rPr>
                    <w:t>311002    081102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CAT/C/21/Add.4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30 August 2002</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8"/>
          <w:headerReference w:type="default" r:id="rId9"/>
          <w:type w:val="continuous"/>
          <w:pgSz w:w="11906" w:h="16838"/>
          <w:pgMar w:top="851" w:right="851" w:bottom="1701" w:left="1701" w:header="851" w:footer="851" w:gutter="0"/>
          <w:pgNumType w:start="1"/>
          <w:cols w:space="720"/>
          <w:noEndnote/>
          <w:titlePg/>
        </w:sectPr>
      </w:pPr>
    </w:p>
    <w:p w:rsidR="00000000" w:rsidRDefault="00000000"/>
    <w:p w:rsidR="00000000" w:rsidRDefault="00000000">
      <w:r>
        <w:t>КОМИТЕТ ПРОТИВ ПЫТОК</w:t>
      </w:r>
    </w:p>
    <w:p w:rsidR="00000000" w:rsidRDefault="00000000">
      <w:r>
        <w:t>Тридцатая сессия</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РАССМОТРЕНИЕ ДОКЛАДОВ, ПРЕДСТАВЛЕННЫХ ГОСУДАРСТВАМИ-УЧАСТНИКАМИ В СООТВЕТСТВИИ СО СТАТЬЕЙ 19 КОНВЕНЦИИ</w:t>
      </w:r>
    </w:p>
    <w:p w:rsidR="00000000" w:rsidRDefault="00000000">
      <w:pPr>
        <w:jc w:val="center"/>
      </w:pPr>
    </w:p>
    <w:p w:rsidR="00000000" w:rsidRDefault="00000000">
      <w:pPr>
        <w:jc w:val="center"/>
      </w:pPr>
      <w:r>
        <w:t>Первоначальные доклады государств-участников, подлежавшие</w:t>
      </w:r>
    </w:p>
    <w:p w:rsidR="00000000" w:rsidRDefault="00000000">
      <w:pPr>
        <w:jc w:val="center"/>
      </w:pPr>
      <w:r>
        <w:t>представлению в 1993 году</w:t>
      </w:r>
    </w:p>
    <w:p w:rsidR="00000000" w:rsidRDefault="00000000">
      <w:pPr>
        <w:jc w:val="center"/>
      </w:pPr>
    </w:p>
    <w:p w:rsidR="00000000" w:rsidRDefault="00000000">
      <w:pPr>
        <w:jc w:val="center"/>
      </w:pPr>
      <w:r>
        <w:t>Добавление</w:t>
      </w:r>
    </w:p>
    <w:p w:rsidR="00000000" w:rsidRDefault="00000000">
      <w:pPr>
        <w:jc w:val="center"/>
      </w:pPr>
    </w:p>
    <w:p w:rsidR="00000000" w:rsidRDefault="00000000">
      <w:pPr>
        <w:jc w:val="center"/>
      </w:pPr>
      <w:r>
        <w:t>Латвия</w:t>
      </w:r>
    </w:p>
    <w:p w:rsidR="00000000" w:rsidRDefault="00000000">
      <w:pPr>
        <w:jc w:val="center"/>
      </w:pPr>
    </w:p>
    <w:p w:rsidR="00000000" w:rsidRDefault="00000000">
      <w:pPr>
        <w:jc w:val="right"/>
      </w:pPr>
      <w:r>
        <w:t>[25 июня 2002 года]</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Введение </w:t>
      </w:r>
      <w:r>
        <w:tab/>
      </w:r>
      <w:r>
        <w:tab/>
        <w:t>1 - 2</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 </w:t>
      </w:r>
      <w:r>
        <w:tab/>
      </w:r>
      <w:r>
        <w:tab/>
        <w:t xml:space="preserve">  3 - 14</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2 </w:t>
      </w:r>
      <w:r>
        <w:tab/>
      </w:r>
      <w:r>
        <w:tab/>
        <w:t>15 - 22</w:t>
      </w:r>
      <w:r>
        <w:tab/>
        <w:t>7</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3 </w:t>
      </w:r>
      <w:r>
        <w:tab/>
      </w:r>
      <w:r>
        <w:tab/>
        <w:t>23 - 34</w:t>
      </w:r>
      <w:r>
        <w:tab/>
        <w:t>10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4 </w:t>
      </w:r>
      <w:r>
        <w:tab/>
      </w:r>
      <w:r>
        <w:tab/>
        <w:t>35 - 43</w:t>
      </w:r>
      <w:r>
        <w:tab/>
        <w:t>14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5 </w:t>
      </w:r>
      <w:r>
        <w:tab/>
      </w:r>
      <w:r>
        <w:tab/>
        <w:t>44 - 48</w:t>
      </w:r>
      <w:r>
        <w:tab/>
        <w:t>16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6 </w:t>
      </w:r>
      <w:r>
        <w:tab/>
      </w:r>
      <w:r>
        <w:tab/>
        <w:t>49 - 52</w:t>
      </w:r>
      <w:r>
        <w:tab/>
        <w:t>18</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7 </w:t>
      </w:r>
      <w:r>
        <w:tab/>
      </w:r>
      <w:r>
        <w:tab/>
        <w:t>53 - 54</w:t>
      </w:r>
      <w:r>
        <w:tab/>
        <w:t>19</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8 </w:t>
      </w:r>
      <w:r>
        <w:tab/>
      </w:r>
      <w:r>
        <w:tab/>
        <w:t>55 - 58</w:t>
      </w:r>
      <w:r>
        <w:tab/>
        <w:t>20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9 </w:t>
      </w:r>
      <w:r>
        <w:tab/>
      </w:r>
      <w:r>
        <w:tab/>
        <w:t>59 - 61</w:t>
      </w:r>
      <w:r>
        <w:tab/>
        <w:t>22</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10 </w:t>
      </w:r>
      <w:r>
        <w:tab/>
      </w:r>
      <w:r>
        <w:tab/>
        <w:t>62 - 67</w:t>
      </w:r>
      <w:r>
        <w:tab/>
        <w:t>22</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11 </w:t>
      </w:r>
      <w:r>
        <w:tab/>
      </w:r>
      <w:r>
        <w:tab/>
        <w:t>68 - 74</w:t>
      </w:r>
      <w:r>
        <w:tab/>
        <w:t>24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12 </w:t>
      </w:r>
      <w:r>
        <w:tab/>
      </w:r>
      <w:r>
        <w:tab/>
        <w:t>75 - 77</w:t>
      </w:r>
      <w:r>
        <w:tab/>
        <w:t>26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13 </w:t>
      </w:r>
      <w:r>
        <w:tab/>
      </w:r>
      <w:r>
        <w:tab/>
        <w:t>78 - 79</w:t>
      </w:r>
      <w:r>
        <w:tab/>
        <w:t>26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14 </w:t>
      </w:r>
      <w:r>
        <w:tab/>
      </w:r>
      <w:r>
        <w:tab/>
        <w:t>80 - 82</w:t>
      </w:r>
      <w:r>
        <w:tab/>
        <w:t>27</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15 </w:t>
      </w:r>
      <w:r>
        <w:tab/>
      </w:r>
      <w:r>
        <w:tab/>
        <w:t>83 - 86</w:t>
      </w:r>
      <w:r>
        <w:tab/>
        <w:t>27</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16 </w:t>
      </w:r>
      <w:r>
        <w:tab/>
      </w:r>
      <w:r>
        <w:tab/>
        <w:t>87 - 94</w:t>
      </w:r>
      <w:r>
        <w:tab/>
        <w:t>28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br w:type="page"/>
      </w:r>
      <w:r>
        <w:rPr>
          <w:b/>
          <w:bCs/>
        </w:rPr>
        <w:t>Введение</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p>
    <w:p w:rsidR="00000000" w:rsidRDefault="00000000">
      <w:r>
        <w:t>1.</w:t>
      </w:r>
      <w:r>
        <w:tab/>
        <w:t>Первоначальный доклад Латвии об осуществлении принятой в 1984 году Конвенции против пыток и других жестоких, бесчеловечных или унижающих достоинство видов обращения и наказания (называемой впоследствии "Конвенцией"), которая действует в отношении Латвии с 14 июля 1992 года, подготовлен в соответствии со статьей 19 Конвенции.  В настоящем докладе содержится информация, охватывающая период до 1 января 2002 года.  Доклад составлен в соответствии с Руководящими принципами в отношении формы и содержания первоначальных докладов, которые были приняты Комитетом против пыток (ниже именуется "Комитетом") в 1991 году.</w:t>
      </w:r>
    </w:p>
    <w:p w:rsidR="00000000" w:rsidRDefault="00000000"/>
    <w:p w:rsidR="00000000" w:rsidRDefault="00000000">
      <w:r>
        <w:t>2.</w:t>
      </w:r>
      <w:r>
        <w:tab/>
        <w:t>Для подготовки настоящего доклада была учреждена специальная рабочая группа, в состав которой вошли представители министерства иностранных дел, министерства внутренних дел, министерства благосостояния, министерства юстиции и Национального центра по защите прав ребенка и которую возглавил представитель Кабинета министров, назначенный в соответствии с "Правилами представительства Кабинета министров в международных правозащитных учреждениях" от 17 марта 1998 года.  11 июня 2002 года Кабинет министров рассмотрел и утвердил настоящий доклад.</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r>
        <w:t>3.</w:t>
      </w:r>
      <w:r>
        <w:tab/>
        <w:t>Статья 89 Конституции Латвии гласит, что "государство признает и защищает основные права человека согласно настоящей Конституции, законам и обязательным для Латвии международным договорам".  Статья 95, в свою очередь, предусматривает, что истязание, иное безжалостное или унижающее достоинство отношение к человеку запрещается и что никого не разрешается подвергать жестокому или унижающему достоинство человека наказанию.</w:t>
      </w:r>
    </w:p>
    <w:p w:rsidR="00000000" w:rsidRDefault="00000000"/>
    <w:p w:rsidR="00000000" w:rsidRDefault="00000000">
      <w:r>
        <w:t>4.</w:t>
      </w:r>
      <w:r>
        <w:tab/>
        <w:t>Латвия является государством-участником нескольких международных соглашений о запрещении пыток и других жестоких или унижающих достоинство видов обращения и наказания.  14 июля 1992 года вступил в действие для Латвии принятый в 1966 году Международный пакт о гражданских и политических правах;  27 июня 1997 года </w:t>
      </w:r>
      <w:r>
        <w:noBreakHyphen/>
        <w:t xml:space="preserve"> Европейская конвенция о защите прав человека и основных свобод, а также Протоколы № 1 и 4 к ней (1 июня 1999 года </w:t>
      </w:r>
      <w:r>
        <w:noBreakHyphen/>
        <w:t xml:space="preserve"> Протокол № 6, а 1 сентября 1997 года </w:t>
      </w:r>
      <w:r>
        <w:noBreakHyphen/>
        <w:t xml:space="preserve"> Протокол № 7);  1 июня 1998 года </w:t>
      </w:r>
      <w:r>
        <w:noBreakHyphen/>
        <w:t xml:space="preserve"> Европейская конвенция по предупреждению пыток и бесчеловечного или унижающего достоинство обращения или наказания, а также Протоколы № 1 и 2 к ней.</w:t>
      </w:r>
    </w:p>
    <w:p w:rsidR="00000000" w:rsidRDefault="00000000"/>
    <w:p w:rsidR="00000000" w:rsidRDefault="00000000">
      <w:r>
        <w:t>5.</w:t>
      </w:r>
      <w:r>
        <w:tab/>
        <w:t>В основу правовой системы Латвии положена теория монизма:  акты международного права, если они прошли соответствующую процедуру (т.е. были утверждены правительством и парламентом), признаются частью национальной правовой системы.  Кроме того, нормы и принципы международного права имеют приоритет над нормами национального законодательства.  Этот принцип был утвержден еще в Декларации от 4 мая 1990 года "О восстановлении независимости Латвийской Республики", статья 1 которой закрепляет примат основополагающих принципов международного права над национальными законами.  В соответствии со статьей 13 Закона от 13 января 1994 года "О международных соглашениях Латвийской Республики", если какое-либо международное соглашение, утвержденное сеймом (парламентом), содержит положения, которые отличаются от норм, закрепленных в законодательных актах Латвийской Республики, то действуют положения этого международного соглашения.  Согласно законам и основным правовым принципам Латвии положения международных соглашений, ратифицированных в соответствии с установленной процедурой, могут непосредственно применяться в рамках судебного разбирательства.</w:t>
      </w:r>
    </w:p>
    <w:p w:rsidR="00000000" w:rsidRDefault="00000000"/>
    <w:p w:rsidR="00000000" w:rsidRDefault="00000000">
      <w:r>
        <w:t>6.</w:t>
      </w:r>
      <w:r>
        <w:tab/>
        <w:t>Верховный суд разъяснил значение термина "пытка" в своем решении "О применении уголовного законодательства в случаях умышленного нанесения телесных повреждений", которое было принято на пленарном заседании 1 марта 1993 года и в котором отмечается, что "под истязанием следует понимать действия, совершенные умышленно виновным лицом, которые причиняют другому лицу особенно сильную боль, физические или моральные страдания (например, лишение какого-либо лица пищи, питья, тепла в течение продолжительного периода времени, а также размещение или оставление какого</w:t>
      </w:r>
      <w:r>
        <w:noBreakHyphen/>
        <w:t>либо лица в условиях, опасных для его здоровья), а под пыткой следует понимать действия, совершенные умышленно виновным лицом, для которых характерны неоднократное или продолжительное причинение жертвам особо сильной боли или страданий (например, избиение хлыстом, физическое насилие, причинение страданий посредством воздействия холодом или жарой, укалывание острыми предметами и т.д.)".</w:t>
      </w:r>
    </w:p>
    <w:p w:rsidR="00000000" w:rsidRDefault="00000000"/>
    <w:p w:rsidR="00000000" w:rsidRDefault="00000000">
      <w:r>
        <w:t>7.</w:t>
      </w:r>
      <w:r>
        <w:tab/>
        <w:t>В свете статьи 89 Конституции, где говорится о том, что в Латвии обеспечивается защита прав человека в соответствии с международными договорами, обязательными для Латвии, и с учетом того, что международные договоры имеют в Латвии прямое применение, определение термина "пытка", содержащееся в статье 1 Конвенции, применяется непосредственно и является обязательным для всех государственных учреждений Латвии.</w:t>
      </w:r>
    </w:p>
    <w:p w:rsidR="00000000" w:rsidRDefault="00000000"/>
    <w:p w:rsidR="00000000" w:rsidRDefault="00000000">
      <w:r>
        <w:t>8.</w:t>
      </w:r>
      <w:r>
        <w:tab/>
        <w:t>Применение пыток запрещено рядом других действующих нормативных актов.  Так, в соответствии с Уголовным кодексом во время исполнения какого-либо уголовного наказания осужденному должны обеспечиваться предусмотренные законом гарантии защиты от пыток, бесчеловечного или унижающего достоинство обращения и наказания;  цель наказания не заключается в причинении виновному лицу физических страданий, в унижении его человеческого достоинства или в его изоляции от общества.  Все осужденные равны перед законом:  запрещается дискриминация осужденных по признакам расы, национальности, языка, пола, социального и материального положения, политических убеждений, религиозной принадлежности или по иным признакам.</w:t>
      </w:r>
    </w:p>
    <w:p w:rsidR="00000000" w:rsidRDefault="00000000"/>
    <w:p w:rsidR="00000000" w:rsidRDefault="00000000">
      <w:r>
        <w:t>9.</w:t>
      </w:r>
      <w:r>
        <w:tab/>
        <w:t>Закон "О полиции" запрещает сотрудникам полиции совершать или поддерживать любые действия, которые связаны с применением пыток или иных видов жестокого, бесчеловечного или унижающего достоинство обращения и наказания.  Никто из сотрудников полиции не может ссылаться на приказ вышестоящего начальника или на такие чрезвычайные ситуации, как состояние войны или угроза войны, угроза национальной безопасности, внутренняя политическая нестабильность или исключительные обстоятельства, в оправдание пыток и других жестоких, бесчеловечных или унижающих достоинство видов обращения и наказания.  Кроме того, Закон предусматривает, что сотрудник полиции привлекается к ответственности за противозаконные действия в соответствии с установленной законодательством процедурой и служебными инструкциями.  Внутренние инструкции для сотрудников полиции содержат нормы, запрещающие бесчеловечное или унижающее достоинство обращение.  Дисциплинарный устав определяет дисциплинарную ответственность сотрудников за различные нарушения служебной дисциплины.  Руководители структурных подразделений несут личную ответственность за выполнение должностных обязанностей их подчиненными.</w:t>
      </w:r>
    </w:p>
    <w:p w:rsidR="00000000" w:rsidRDefault="00000000"/>
    <w:p w:rsidR="00000000" w:rsidRDefault="00000000">
      <w:r>
        <w:t>10.</w:t>
      </w:r>
      <w:r>
        <w:tab/>
        <w:t>Закон "О медицинском обслуживании" 1997 года предусматривает, что больной имеет право на качественное, корректное и уважительное медицинское обслуживание и уход.  В Законе, в частности, подчеркивается, что все гражданские, политические, экономические и социальные права, предусмотренные законодательством, должны обеспечиваться также лицам с психическими и умственными расстройствами и что такие расстройства не могут быть основанием для дискриминации.  Кроме того, Закон предусматривает, что душевнобольные имеют право на качественную медицинскую помощь и уход, которые соответствуют общепринятым нормам медицинского обслуживания.  Статья 155 Уголовного закона предусматривает ответственность за незаконное помещение какого-либо лица в психиатрический стационар.  Такое помещение может караться лишением свободы на срок до двух лет или арестом или штрафом в размере до 40 минимальных ежемесячных размеров оплаты труда и лишением права занимать определенные должности на срок до пяти лет.  С 1995 года не было отмечено ни одного преступления, упоминаемого в статье 155 Уголовного закона.  Помимо Закона "О медицинском обслуживании" был подготовлен и представлен на рассмотрение Кабинета министра Закон "О психиатрической помощи".  Следует отметить, что полный текст проекта этого Закона прилагается к рассмотренным в Страсбурге 22 ноября 2001 года ответам правительства на тот доклад Европейского комитета по предупреждению пыток и бесчеловечных или унижающих достоинство видов обращения или наказания, который касается визита представителей Комитета в Латвию 24 января -3 февраля 1999 года.</w:t>
      </w:r>
    </w:p>
    <w:p w:rsidR="00000000" w:rsidRDefault="00000000"/>
    <w:p w:rsidR="00000000" w:rsidRDefault="00000000">
      <w:r>
        <w:t>11.</w:t>
      </w:r>
      <w:r>
        <w:tab/>
        <w:t>Уголовный закон предусматривает также ответственность за преступления, связанные с применением насилия или пыток:  статья 74 Уголовного закона устанавливает пожизненное заключение или лишение свободы на срок до 20 лет за совершение военных преступлений, т.е. за нарушение правил и обычаев ведения войны, которое запрещено международными договорами, действующими в отношении Латвии, и которое выражается в убийстве, пытках, ограблении, депортации или принудительном труде гражданских лиц, заложников и военнопленных на оккупированной территории, либо в неоправданном разрушении городов и других объектов.</w:t>
      </w:r>
    </w:p>
    <w:p w:rsidR="00000000" w:rsidRDefault="00000000"/>
    <w:p w:rsidR="00000000" w:rsidRDefault="00000000">
      <w:r>
        <w:t>12.</w:t>
      </w:r>
      <w:r>
        <w:tab/>
        <w:t>Статьи 125 и 126 Уголовного закона устанавливают ответственность за умышленное причинение тяжкого вреда здоровью или умышленное причинение средней тяжести вреда здоровью, если они носят характер истязания или пытки.  Статья 125 определяет наказание в виде лишения свободы на срок от трех до двенадцати лет, а статья 126 </w:t>
      </w:r>
      <w:r>
        <w:noBreakHyphen/>
        <w:t xml:space="preserve"> наказание в виде лишения свободы на срок до восьми лет.  В соответствии со статьей 130 Уголовного закона, озаглавленной "Умышленное причинение легкого вреда здоровью", нанесение регулярных побоев, которые носят характер пытки, или любой иной вид пытки, при условии, что эти действия не повлекли за собой последствия, указанные в статьях 125 и 126 Закона, наказываются лишением свободы на срок до трех лет или арестом или обязательными общественными работами или штрафом в размере до 60 минимальных ежемесячных размеров оплаты труда.</w:t>
      </w:r>
    </w:p>
    <w:p w:rsidR="00000000" w:rsidRDefault="00000000"/>
    <w:p w:rsidR="00000000" w:rsidRDefault="00000000">
      <w:r>
        <w:t>13.</w:t>
      </w:r>
      <w:r>
        <w:tab/>
        <w:t xml:space="preserve">Статья 294 Уголовного закона предусматривает наказание в виде лишения свободы на срок до десяти лет за принуждение к даче показаний, если это деяние соединено с применением насилия, угрозой насилия, унижением достоинства допрашиваемого лица или совершено каким-либо иным образом, а также если оно совершено лицом, производящим дознание.  В свою очередь, статья 338 "Насилие в отношении подчиненного" главы </w:t>
      </w:r>
      <w:r>
        <w:rPr>
          <w:lang w:val="en-US"/>
        </w:rPr>
        <w:t>XXV</w:t>
      </w:r>
      <w:r>
        <w:t xml:space="preserve"> Уголовного закона, озаглавленной "Уголовные преступления, совершенные во время военной службы", устанавливает ответственность за умышленное причинение средней тяжести вреда здоровью подчиненным, а также за совершение других деяний, носящих характер пытки.  Такие деяния наказывается лишением свободы на срок до восьми лет.  В 2001 году было отмечено совершение трех преступлений, предусмотренных в статье 338 Уголовного закона.  Статья 340 Уголовного закона устанавливает уголовную ответственность за применение побоев и пыток в отношении военнослужащих.  Максимальным наказанием за такие действия, если они совершены с причинением тяжкого вреда здоровью, является лишение свободы на срок до 12 лет.</w:t>
      </w:r>
    </w:p>
    <w:p w:rsidR="00000000" w:rsidRDefault="00000000"/>
    <w:p w:rsidR="00000000" w:rsidRDefault="00000000">
      <w:r>
        <w:t>14.</w:t>
      </w:r>
      <w:r>
        <w:tab/>
        <w:t>Компенсация, выплачиваемая лицам, которые считают себя жертвами пыток, а также право обращаться с жалобой в компетентные органы, описываются в пунктах 78-82 настоящего доклада (в разделе, касающемся статей 13-14).</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r>
        <w:t>15.</w:t>
      </w:r>
      <w:r>
        <w:tab/>
        <w:t>Обзор действующих нормативных актов, которые запрещают применение пыток и предусматривают наказание за подобные деяния, содержится в пунктах 3 и 8-13 настоящего доклада.  В соответствии с этими действующими актами право не подвергаться пыткам не подлежит никаким ограничениям.</w:t>
      </w:r>
    </w:p>
    <w:p w:rsidR="00000000" w:rsidRDefault="00000000"/>
    <w:p w:rsidR="00000000" w:rsidRDefault="00000000">
      <w:r>
        <w:t>16.</w:t>
      </w:r>
      <w:r>
        <w:tab/>
        <w:t>Статья 116 Конституции содержит исчерпывающий перечень прав человека, которые могут быть ограничены в предусмотренных законом случаях для защиты прав других лиц, демократического устройства государства, общественной безопасности, благосостояния и нравственности.  К этим правам относятся право каждого на неприкосновенность частной жизни, жилища и корреспонденции, право свободно перемещаться по территории Латвии и выбирать место жительства, право свободно выехать из Латвии, право на свободу слова и выражения своих мнений, право свободного получения и распространения информации, право на свободу ассоциаций и собраний, право свободно избирать род занятий, право на забастовку, а также право на свободу выражать свои религиозные убеждения.  В дополнение статьи 116 статья 105 Конституции устанавливает ограничения в отношении права собственности.  Таким образом, право не подвергаться пыткам, предусмотренное в статье 95 Конституции, не подлежит никаким ограничениям.</w:t>
      </w:r>
    </w:p>
    <w:p w:rsidR="00000000" w:rsidRDefault="00000000"/>
    <w:p w:rsidR="00000000" w:rsidRDefault="00000000">
      <w:r>
        <w:t>17.</w:t>
      </w:r>
      <w:r>
        <w:tab/>
        <w:t>Кроме того, принятый в 1992 году Закон "О чрезвычайном положении" исчерпывающим образом определяет допустимые ограничения, которые вводятся в случае объявления чрезвычайного положения.  Закон допускает следующие ограничения:</w:t>
      </w:r>
    </w:p>
    <w:p w:rsidR="00000000" w:rsidRDefault="00000000"/>
    <w:p w:rsidR="00000000" w:rsidRDefault="00000000">
      <w:r>
        <w:tab/>
        <w:t>а)</w:t>
      </w:r>
      <w:r>
        <w:tab/>
        <w:t>введение особого режима въезда и выезда из страны, а также ограничение свободы передвижения;</w:t>
      </w:r>
    </w:p>
    <w:p w:rsidR="00000000" w:rsidRDefault="00000000">
      <w:pPr>
        <w:ind w:left="1134" w:hanging="1134"/>
      </w:pPr>
    </w:p>
    <w:p w:rsidR="00000000" w:rsidRDefault="00000000">
      <w:r>
        <w:tab/>
      </w:r>
      <w:r>
        <w:rPr>
          <w:lang w:val="en-US"/>
        </w:rPr>
        <w:t>b</w:t>
      </w:r>
      <w:r>
        <w:t>)</w:t>
      </w:r>
      <w:r>
        <w:tab/>
        <w:t>усиление охраны общественного порядка и объектов, обеспечивающих жизнедеятельность населения;</w:t>
      </w:r>
    </w:p>
    <w:p w:rsidR="00000000" w:rsidRDefault="00000000">
      <w:pPr>
        <w:ind w:left="1134" w:hanging="1134"/>
      </w:pPr>
    </w:p>
    <w:p w:rsidR="00000000" w:rsidRDefault="00000000">
      <w:r>
        <w:tab/>
        <w:t>с)</w:t>
      </w:r>
      <w:r>
        <w:tab/>
        <w:t>запрещение проведения собраний, митингов, уличных шествий и демонстраций, а также иных массовых мероприятий;</w:t>
      </w:r>
    </w:p>
    <w:p w:rsidR="00000000" w:rsidRDefault="00000000">
      <w:pPr>
        <w:ind w:left="1134" w:hanging="1134"/>
      </w:pPr>
    </w:p>
    <w:p w:rsidR="00000000" w:rsidRDefault="00000000">
      <w:pPr>
        <w:ind w:left="1134" w:hanging="1134"/>
      </w:pPr>
      <w:r>
        <w:tab/>
      </w:r>
      <w:r>
        <w:rPr>
          <w:lang w:val="en-US"/>
        </w:rPr>
        <w:t>d</w:t>
      </w:r>
      <w:r>
        <w:t>)</w:t>
      </w:r>
      <w:r>
        <w:tab/>
        <w:t>запрещение забастовок;</w:t>
      </w:r>
    </w:p>
    <w:p w:rsidR="00000000" w:rsidRDefault="00000000">
      <w:pPr>
        <w:ind w:left="1134" w:hanging="1134"/>
      </w:pPr>
    </w:p>
    <w:p w:rsidR="00000000" w:rsidRDefault="00000000">
      <w:pPr>
        <w:ind w:left="1134" w:hanging="1134"/>
      </w:pPr>
      <w:r>
        <w:tab/>
        <w:t>е)</w:t>
      </w:r>
      <w:r>
        <w:tab/>
        <w:t>ограничение движения транспортных средств и их досмотр;</w:t>
      </w:r>
    </w:p>
    <w:p w:rsidR="00000000" w:rsidRDefault="00000000">
      <w:pPr>
        <w:ind w:left="1134" w:hanging="1134"/>
      </w:pPr>
    </w:p>
    <w:p w:rsidR="00000000" w:rsidRDefault="00000000">
      <w:r>
        <w:t>Если основанием для введения чрезвычайного положения являются массовые беспорядки, которые уже возникли или могут возникнуть, то в дополнение к указанным выше мерам могут быть установлены следующие ограничения:</w:t>
      </w:r>
    </w:p>
    <w:p w:rsidR="00000000" w:rsidRDefault="00000000"/>
    <w:p w:rsidR="00000000" w:rsidRDefault="00000000">
      <w:r>
        <w:tab/>
      </w:r>
      <w:r>
        <w:rPr>
          <w:lang w:val="en-US"/>
        </w:rPr>
        <w:t>f</w:t>
      </w:r>
      <w:r>
        <w:t>)</w:t>
      </w:r>
      <w:r>
        <w:tab/>
        <w:t>введение комендантского часа;</w:t>
      </w:r>
    </w:p>
    <w:p w:rsidR="00000000" w:rsidRDefault="00000000"/>
    <w:p w:rsidR="00000000" w:rsidRDefault="00000000">
      <w:r>
        <w:tab/>
      </w:r>
      <w:r>
        <w:rPr>
          <w:lang w:val="en-US"/>
        </w:rPr>
        <w:t>g</w:t>
      </w:r>
      <w:r>
        <w:t>)</w:t>
      </w:r>
      <w:r>
        <w:tab/>
        <w:t>введение цензуры средств массовой информации или приостановление их деятельности;  арест их печатной продукции, типографского оборудования и множительной техники;</w:t>
      </w:r>
    </w:p>
    <w:p w:rsidR="00000000" w:rsidRDefault="00000000">
      <w:pPr>
        <w:ind w:left="1134" w:hanging="1134"/>
      </w:pPr>
    </w:p>
    <w:p w:rsidR="00000000" w:rsidRDefault="00000000">
      <w:r>
        <w:tab/>
      </w:r>
      <w:r>
        <w:rPr>
          <w:lang w:val="en-US"/>
        </w:rPr>
        <w:t>h</w:t>
      </w:r>
      <w:r>
        <w:t>)</w:t>
      </w:r>
      <w:r>
        <w:tab/>
        <w:t>приостановление деятельности политических партий и других неправительственных организаций, препятствующих введению чрезвычайного положения;</w:t>
      </w:r>
    </w:p>
    <w:p w:rsidR="00000000" w:rsidRDefault="00000000">
      <w:pPr>
        <w:ind w:left="1134" w:hanging="1134"/>
      </w:pPr>
    </w:p>
    <w:p w:rsidR="00000000" w:rsidRDefault="00000000">
      <w:r>
        <w:tab/>
      </w:r>
      <w:r>
        <w:rPr>
          <w:lang w:val="en-US"/>
        </w:rPr>
        <w:t>i</w:t>
      </w:r>
      <w:r>
        <w:t>)</w:t>
      </w:r>
      <w:r>
        <w:tab/>
        <w:t>проверка документов граждан;  при имеющихся данных о наличии у граждан оружия - проведение личного досмотра и досмотра их вещей;</w:t>
      </w:r>
    </w:p>
    <w:p w:rsidR="00000000" w:rsidRDefault="00000000">
      <w:pPr>
        <w:ind w:left="1134" w:hanging="1134"/>
      </w:pPr>
    </w:p>
    <w:p w:rsidR="00000000" w:rsidRDefault="00000000">
      <w:r>
        <w:tab/>
      </w:r>
      <w:r>
        <w:rPr>
          <w:lang w:val="en-US"/>
        </w:rPr>
        <w:t>j</w:t>
      </w:r>
      <w:r>
        <w:t>)</w:t>
      </w:r>
      <w:r>
        <w:tab/>
        <w:t>ограничение или запрещение продажи оружия, сильнодействующих химических и ядовитых веществ, алкогольных напитков, а также временное изъятие этих предметов у юридических и физических лиц;</w:t>
      </w:r>
    </w:p>
    <w:p w:rsidR="00000000" w:rsidRDefault="00000000">
      <w:pPr>
        <w:ind w:left="1134" w:hanging="1134"/>
      </w:pPr>
    </w:p>
    <w:p w:rsidR="00000000" w:rsidRDefault="00000000">
      <w:r>
        <w:tab/>
      </w:r>
      <w:r>
        <w:rPr>
          <w:lang w:val="en-US"/>
        </w:rPr>
        <w:t>k</w:t>
      </w:r>
      <w:r>
        <w:t>)</w:t>
      </w:r>
      <w:r>
        <w:tab/>
        <w:t>выдворение нарушителей общественного порядка, не являющихся жителями территории, на которой введено чрезвычайное положение.</w:t>
      </w:r>
    </w:p>
    <w:p w:rsidR="00000000" w:rsidRDefault="00000000">
      <w:pPr>
        <w:ind w:left="1134" w:hanging="1134"/>
      </w:pPr>
    </w:p>
    <w:p w:rsidR="00000000" w:rsidRDefault="00000000">
      <w:r>
        <w:t>18.</w:t>
      </w:r>
      <w:r>
        <w:tab/>
        <w:t>В Законе особо подчеркивается, что объявление чрезвычайного положения не отменяет действия тех законов, которые регулируют применение физической силы, спецсредств и огнестрельного оружия в отношении физических лиц.  Должностные и иные лица несут в установленном законом порядке уголовную, административную и дисциплинарную ответственность за нарушение закона и требований режима чрезвычайного положения.  Надзор за соблюдением законодательства в период действия чрезвычайного положения осуществляют Генеральный прокурор Латвийской Республики и сотрудники Прокуратуры.</w:t>
      </w:r>
    </w:p>
    <w:p w:rsidR="00000000" w:rsidRDefault="00000000"/>
    <w:p w:rsidR="00000000" w:rsidRDefault="00000000">
      <w:r>
        <w:t>19.</w:t>
      </w:r>
      <w:r>
        <w:tab/>
        <w:t>Следует подчеркнуть, что после восстановления независимости Латвии чрезвычайное положение ни разу не объявлялось.</w:t>
      </w:r>
    </w:p>
    <w:p w:rsidR="00000000" w:rsidRDefault="00000000"/>
    <w:p w:rsidR="00000000" w:rsidRDefault="00000000">
      <w:r>
        <w:t>20.</w:t>
      </w:r>
      <w:r>
        <w:tab/>
        <w:t>В соответствии со статьей 34 Уголовного закона исполнение незаконного приказа или распоряжения исключает уголовную ответственность, если лицо, исполняющее такой приказ или распоряжение, не знало, что этот приказ или распоряжение является заведомо незаконным.  В то же время в указанной статье подчеркивается, что уголовную ответственность несут лица, совершившие преступление против человечности и мира либо военное преступление или геноцид.</w:t>
      </w:r>
    </w:p>
    <w:p w:rsidR="00000000" w:rsidRDefault="00000000"/>
    <w:p w:rsidR="00000000" w:rsidRDefault="00000000">
      <w:r>
        <w:t>21.</w:t>
      </w:r>
      <w:r>
        <w:tab/>
        <w:t>Аналогичное положение было также включено в Закон "О полиции", в статье 27 которого говорится о том, что умышленное исполнение незаконного приказа или распоряжения не освобождает сотрудника полиции от уголовной ответственности.  В той же статье подчеркивается, что никакой сотрудник полиции не может ссылаться на приказ вышестоящего начальника или на такие исключительные обстоятельства, как состояние войны или угроза войны, угроза национальной безопасности, внутренняя политическая нестабильность или иное чрезвычайное положение, в оправдание применения пыток или других жестоких, бесчеловечных или унижающих достоинство видов обращения и наказания.</w:t>
      </w:r>
    </w:p>
    <w:p w:rsidR="00000000" w:rsidRDefault="00000000"/>
    <w:p w:rsidR="00000000" w:rsidRDefault="00000000">
      <w:r>
        <w:t>22.</w:t>
      </w:r>
      <w:r>
        <w:tab/>
        <w:t>В приведенной ниже таблице содержится информация о зарегистрированных и выявленных в период между 1995 и 2001 годами преступлениях, которые предусмотрены в упоминаемых в настоящем докладе статьях Уголовного кодекса (УК) и Уголовного закона (УЗ).</w:t>
      </w:r>
    </w:p>
    <w:p w:rsidR="00000000" w:rsidRDefault="00000000"/>
    <w:tbl>
      <w:tblPr>
        <w:tblW w:w="9537" w:type="dxa"/>
        <w:tblInd w:w="40" w:type="dxa"/>
        <w:tblLayout w:type="fixed"/>
        <w:tblCellMar>
          <w:left w:w="28" w:type="dxa"/>
          <w:right w:w="28" w:type="dxa"/>
        </w:tblCellMar>
        <w:tblLook w:val="0000" w:firstRow="0" w:lastRow="0" w:firstColumn="0" w:lastColumn="0" w:noHBand="0" w:noVBand="0"/>
      </w:tblPr>
      <w:tblGrid>
        <w:gridCol w:w="1297"/>
        <w:gridCol w:w="588"/>
        <w:gridCol w:w="589"/>
        <w:gridCol w:w="588"/>
        <w:gridCol w:w="589"/>
        <w:gridCol w:w="588"/>
        <w:gridCol w:w="589"/>
        <w:gridCol w:w="589"/>
        <w:gridCol w:w="588"/>
        <w:gridCol w:w="589"/>
        <w:gridCol w:w="588"/>
        <w:gridCol w:w="589"/>
        <w:gridCol w:w="588"/>
        <w:gridCol w:w="589"/>
        <w:gridCol w:w="589"/>
      </w:tblGrid>
      <w:tr w:rsidR="00000000">
        <w:tblPrEx>
          <w:tblCellMar>
            <w:top w:w="0" w:type="dxa"/>
            <w:bottom w:w="0" w:type="dxa"/>
          </w:tblCellMar>
        </w:tblPrEx>
        <w:trPr>
          <w:trHeight w:val="354"/>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pPr>
          </w:p>
        </w:tc>
        <w:tc>
          <w:tcPr>
            <w:tcW w:w="1177"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14"/>
                <w:szCs w:val="19"/>
                <w:lang w:val="en-US"/>
              </w:rPr>
              <w:t>1995</w:t>
            </w:r>
          </w:p>
        </w:tc>
        <w:tc>
          <w:tcPr>
            <w:tcW w:w="1177"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18"/>
                <w:lang w:val="en-US"/>
              </w:rPr>
              <w:t>1996</w:t>
            </w:r>
          </w:p>
        </w:tc>
        <w:tc>
          <w:tcPr>
            <w:tcW w:w="1177"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21"/>
                <w:lang w:val="en-US"/>
              </w:rPr>
              <w:t>1997</w:t>
            </w:r>
          </w:p>
        </w:tc>
        <w:tc>
          <w:tcPr>
            <w:tcW w:w="1177"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21"/>
                <w:lang w:val="en-US"/>
              </w:rPr>
              <w:t>1998</w:t>
            </w:r>
          </w:p>
        </w:tc>
        <w:tc>
          <w:tcPr>
            <w:tcW w:w="1177"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11"/>
                <w:szCs w:val="19"/>
                <w:lang w:val="en-US"/>
              </w:rPr>
              <w:t>1999</w:t>
            </w:r>
          </w:p>
        </w:tc>
        <w:tc>
          <w:tcPr>
            <w:tcW w:w="1177"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7"/>
                <w:szCs w:val="19"/>
                <w:lang w:val="en-US"/>
              </w:rPr>
              <w:t>2000</w:t>
            </w:r>
          </w:p>
        </w:tc>
        <w:tc>
          <w:tcPr>
            <w:tcW w:w="1178"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center"/>
              <w:rPr>
                <w:lang w:val="en-US"/>
              </w:rPr>
            </w:pPr>
            <w:r>
              <w:rPr>
                <w:color w:val="000000"/>
                <w:spacing w:val="-14"/>
                <w:szCs w:val="19"/>
                <w:lang w:val="en-US"/>
              </w:rPr>
              <w:t>2001</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1"/>
                <w:sz w:val="22"/>
              </w:rPr>
              <w:t>УЗ/УК</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3"/>
                <w:sz w:val="22"/>
              </w:rPr>
              <w:t>зарег.</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9"/>
                <w:w w:val="102"/>
                <w:sz w:val="22"/>
                <w:szCs w:val="19"/>
              </w:rPr>
              <w:t>выяв.</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1"/>
                <w:w w:val="101"/>
                <w:sz w:val="22"/>
                <w:szCs w:val="19"/>
              </w:rPr>
              <w:t>зарег.</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2"/>
                <w:sz w:val="22"/>
              </w:rPr>
              <w:t>выяв.</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5"/>
                <w:sz w:val="22"/>
              </w:rPr>
              <w:t>зарег.</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1"/>
                <w:w w:val="105"/>
                <w:sz w:val="22"/>
                <w:szCs w:val="19"/>
              </w:rPr>
              <w:t>выяв.</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5"/>
                <w:sz w:val="22"/>
              </w:rPr>
              <w:t>зарег.</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2"/>
                <w:sz w:val="22"/>
              </w:rPr>
              <w:t>выяв.</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5"/>
                <w:sz w:val="22"/>
              </w:rPr>
              <w:t>зарег.</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9"/>
                <w:w w:val="102"/>
                <w:sz w:val="22"/>
                <w:szCs w:val="19"/>
              </w:rPr>
              <w:t>выяв.</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1"/>
                <w:w w:val="101"/>
                <w:sz w:val="22"/>
                <w:szCs w:val="19"/>
              </w:rPr>
              <w:t>зарег.</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lang w:val="en-US"/>
              </w:rPr>
            </w:pPr>
            <w:r>
              <w:rPr>
                <w:color w:val="000000"/>
                <w:spacing w:val="-7"/>
                <w:sz w:val="22"/>
                <w:szCs w:val="19"/>
              </w:rPr>
              <w:t>выя</w:t>
            </w:r>
            <w:r>
              <w:rPr>
                <w:sz w:val="22"/>
              </w:rPr>
              <w:t>в</w:t>
            </w:r>
            <w:r>
              <w:rPr>
                <w:sz w:val="22"/>
                <w:lang w:val="en-US"/>
              </w:rPr>
              <w:t>.</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rPr>
            </w:pPr>
            <w:r>
              <w:rPr>
                <w:color w:val="000000"/>
                <w:spacing w:val="-15"/>
                <w:sz w:val="22"/>
              </w:rPr>
              <w:t>зарег.</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sz w:val="22"/>
                <w:lang w:val="en-US"/>
              </w:rPr>
            </w:pPr>
            <w:r>
              <w:rPr>
                <w:color w:val="000000"/>
                <w:sz w:val="22"/>
                <w:szCs w:val="19"/>
                <w:lang w:val="en-US"/>
              </w:rPr>
              <w:t>выяв.</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pPr>
            <w:r>
              <w:rPr>
                <w:color w:val="000000"/>
                <w:spacing w:val="-5"/>
                <w:lang w:val="en-US"/>
              </w:rPr>
              <w:t>Ст. 74/68.3</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pPr>
            <w:r>
              <w:rPr>
                <w:color w:val="000000"/>
                <w:spacing w:val="-5"/>
                <w:lang w:val="en-US"/>
              </w:rPr>
              <w:t>Ст. 125/105</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597</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341</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467</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298</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500</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349</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427</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305</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429</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pacing w:val="-23"/>
                <w:lang w:val="en-US"/>
              </w:rPr>
              <w:t>27</w:t>
            </w:r>
            <w:r>
              <w:rPr>
                <w:color w:val="000000"/>
                <w:lang w:val="en-US"/>
              </w:rPr>
              <w:t>9</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424</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272</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367</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238</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lang w:val="en-US"/>
              </w:rPr>
            </w:pPr>
            <w:r>
              <w:rPr>
                <w:color w:val="000000"/>
                <w:spacing w:val="-5"/>
                <w:lang w:val="en-US"/>
              </w:rPr>
              <w:t>Ст. 126/106</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414</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189</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394</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210</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372</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226</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395</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245</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393</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pacing w:val="-23"/>
                <w:lang w:val="en-US"/>
              </w:rPr>
              <w:t>23</w:t>
            </w:r>
            <w:r>
              <w:rPr>
                <w:color w:val="000000"/>
                <w:lang w:val="en-US"/>
              </w:rPr>
              <w:t>9</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421</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225</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462</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250</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lang w:val="en-US"/>
              </w:rPr>
            </w:pPr>
            <w:r>
              <w:rPr>
                <w:color w:val="000000"/>
                <w:spacing w:val="-1"/>
                <w:szCs w:val="19"/>
                <w:lang w:val="en-US"/>
              </w:rPr>
              <w:t>Ст. 130/109</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25</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18</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28</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16</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18</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17</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62</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57</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124</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78</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128</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95</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184</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146</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lang w:val="en-US"/>
              </w:rPr>
            </w:pPr>
            <w:r>
              <w:rPr>
                <w:color w:val="000000"/>
                <w:spacing w:val="-1"/>
                <w:szCs w:val="19"/>
                <w:lang w:val="en-US"/>
              </w:rPr>
              <w:t>Ст. 139/223</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lang w:val="en-US"/>
              </w:rPr>
            </w:pPr>
            <w:r>
              <w:rPr>
                <w:color w:val="000000"/>
                <w:spacing w:val="-1"/>
                <w:szCs w:val="19"/>
                <w:lang w:val="en-US"/>
              </w:rPr>
              <w:t>Ст. 155/125</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rPr>
                <w:lang w:val="en-US"/>
              </w:rPr>
            </w:pPr>
            <w:r>
              <w:rPr>
                <w:color w:val="000000"/>
                <w:spacing w:val="-1"/>
                <w:szCs w:val="19"/>
                <w:lang w:val="en-US"/>
              </w:rPr>
              <w:t>Ст. 294/172</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lang w:val="en-US"/>
              </w:rPr>
              <w:t>1</w:t>
            </w:r>
            <w:r>
              <w:rPr>
                <w:lang w:val="en-US"/>
              </w:rP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rPr>
                <w:lang w:val="en-US"/>
              </w:rPr>
            </w:pPr>
            <w:r>
              <w:rPr>
                <w:color w:val="000000"/>
                <w:szCs w:val="19"/>
                <w:lang w:val="en-US"/>
              </w:rPr>
              <w:t>-</w:t>
            </w:r>
            <w:r>
              <w:rPr>
                <w:lang w:val="en-US"/>
              </w:rP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pPr>
            <w:r>
              <w:rPr>
                <w:color w:val="000000"/>
                <w:spacing w:val="-3"/>
                <w:szCs w:val="19"/>
                <w:lang w:val="en-US"/>
              </w:rPr>
              <w:t xml:space="preserve">Ст. </w:t>
            </w:r>
            <w:r>
              <w:rPr>
                <w:color w:val="000000"/>
                <w:spacing w:val="-3"/>
                <w:szCs w:val="19"/>
              </w:rPr>
              <w:t>338</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3</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3</w:t>
            </w:r>
            <w:r>
              <w:t xml:space="preserve"> </w:t>
            </w:r>
          </w:p>
        </w:tc>
      </w:tr>
      <w:tr w:rsidR="00000000">
        <w:tblPrEx>
          <w:tblCellMar>
            <w:top w:w="0" w:type="dxa"/>
            <w:bottom w:w="0" w:type="dxa"/>
          </w:tblCellMar>
        </w:tblPrEx>
        <w:trPr>
          <w:trHeight w:val="347"/>
        </w:trPr>
        <w:tc>
          <w:tcPr>
            <w:tcW w:w="129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pPr>
            <w:r>
              <w:rPr>
                <w:color w:val="000000"/>
                <w:spacing w:val="-1"/>
                <w:szCs w:val="19"/>
                <w:lang w:val="en-US"/>
              </w:rPr>
              <w:t xml:space="preserve">Ст. </w:t>
            </w:r>
            <w:r>
              <w:rPr>
                <w:color w:val="000000"/>
                <w:spacing w:val="-1"/>
                <w:szCs w:val="19"/>
              </w:rPr>
              <w:t>340/235</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5</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2</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31</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17</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36</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30</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26</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22</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16</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9</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16</w:t>
            </w:r>
            <w:r>
              <w:t xml:space="preserve"> </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pacing w:val="-3"/>
                <w:szCs w:val="9"/>
              </w:rPr>
              <w:t>7</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rPr>
              <w:t>18</w:t>
            </w:r>
            <w:r>
              <w:t xml:space="preserve"> </w:t>
            </w:r>
          </w:p>
        </w:tc>
        <w:tc>
          <w:tcPr>
            <w:tcW w:w="58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jc w:val="right"/>
            </w:pPr>
            <w:r>
              <w:rPr>
                <w:color w:val="000000"/>
                <w:szCs w:val="19"/>
              </w:rPr>
              <w:t>9</w:t>
            </w:r>
            <w:r>
              <w:t xml:space="preserve"> </w:t>
            </w:r>
          </w:p>
        </w:tc>
      </w:tr>
    </w:tbl>
    <w:p w:rsidR="00000000" w:rsidRDefault="00000000"/>
    <w:p w:rsidR="00000000" w:rsidRDefault="00000000">
      <w:pPr>
        <w:ind w:left="1701" w:hanging="1701"/>
      </w:pPr>
      <w:r>
        <w:rPr>
          <w:u w:val="single"/>
        </w:rPr>
        <w:t>Примечание</w:t>
      </w:r>
      <w:r>
        <w:t>:</w:t>
      </w:r>
    </w:p>
    <w:p w:rsidR="00000000" w:rsidRDefault="00000000">
      <w:pPr>
        <w:ind w:left="1701" w:hanging="1701"/>
      </w:pPr>
    </w:p>
    <w:p w:rsidR="00000000" w:rsidRDefault="00000000">
      <w:pPr>
        <w:ind w:left="567" w:hanging="567"/>
      </w:pPr>
      <w:r>
        <w:t>-</w:t>
      </w:r>
      <w:r>
        <w:tab/>
        <w:t>статья 74 Уголовного закона, статья 68.3 Уголовного кодекса </w:t>
      </w:r>
      <w:r>
        <w:noBreakHyphen/>
        <w:t xml:space="preserve"> "Военные преступления";</w:t>
      </w:r>
    </w:p>
    <w:p w:rsidR="00000000" w:rsidRDefault="00000000">
      <w:pPr>
        <w:ind w:left="1701" w:hanging="1701"/>
      </w:pPr>
    </w:p>
    <w:p w:rsidR="00000000" w:rsidRDefault="00000000">
      <w:pPr>
        <w:ind w:left="567" w:hanging="567"/>
      </w:pPr>
      <w:r>
        <w:t>-</w:t>
      </w:r>
      <w:r>
        <w:tab/>
        <w:t>статья 125 Уголовного закона, статья 105 Уголовного кодекса </w:t>
      </w:r>
      <w:r>
        <w:noBreakHyphen/>
        <w:t xml:space="preserve"> "Умышленное причинение тяжкого вреда здоровью";</w:t>
      </w:r>
    </w:p>
    <w:p w:rsidR="00000000" w:rsidRDefault="00000000">
      <w:pPr>
        <w:ind w:left="567" w:hanging="567"/>
      </w:pPr>
    </w:p>
    <w:p w:rsidR="00000000" w:rsidRDefault="00000000">
      <w:pPr>
        <w:ind w:left="567" w:hanging="567"/>
      </w:pPr>
      <w:r>
        <w:t>-</w:t>
      </w:r>
      <w:r>
        <w:tab/>
        <w:t>статья 126 Уголовного закона, статья 106 Уголовного кодекса </w:t>
      </w:r>
      <w:r>
        <w:noBreakHyphen/>
        <w:t xml:space="preserve"> "Умышленное причинение средней тяжести вреда здоровью";</w:t>
      </w:r>
    </w:p>
    <w:p w:rsidR="00000000" w:rsidRDefault="00000000">
      <w:pPr>
        <w:ind w:left="567" w:hanging="567"/>
      </w:pPr>
    </w:p>
    <w:p w:rsidR="00000000" w:rsidRDefault="00000000">
      <w:pPr>
        <w:ind w:left="567" w:hanging="567"/>
      </w:pPr>
      <w:r>
        <w:t>-</w:t>
      </w:r>
      <w:r>
        <w:tab/>
        <w:t>статья 130 Уголовного закона </w:t>
      </w:r>
      <w:r>
        <w:noBreakHyphen/>
        <w:t xml:space="preserve"> "Умышленное причинение легкого вреда здоровью", статья 109 Уголовного кодекса </w:t>
      </w:r>
      <w:r>
        <w:noBreakHyphen/>
        <w:t xml:space="preserve"> "Сознательное (умышленное) причинение легкого вреда здоровью";</w:t>
      </w:r>
    </w:p>
    <w:p w:rsidR="00000000" w:rsidRDefault="00000000">
      <w:pPr>
        <w:ind w:left="567" w:hanging="567"/>
      </w:pPr>
    </w:p>
    <w:p w:rsidR="00000000" w:rsidRDefault="00000000">
      <w:pPr>
        <w:ind w:left="567" w:hanging="567"/>
      </w:pPr>
      <w:r>
        <w:t>-</w:t>
      </w:r>
      <w:r>
        <w:tab/>
        <w:t>статья 139 Уголовного кодекса </w:t>
      </w:r>
      <w:r>
        <w:noBreakHyphen/>
        <w:t xml:space="preserve"> "Незаконное изъятие органов или тканей человека", статья 223.1 Уголовного кодекса </w:t>
      </w:r>
      <w:r>
        <w:noBreakHyphen/>
        <w:t xml:space="preserve"> "Незаконное изъятие органов или тканей у живого человека или трупа";</w:t>
      </w:r>
    </w:p>
    <w:p w:rsidR="00000000" w:rsidRDefault="00000000">
      <w:pPr>
        <w:ind w:left="567" w:hanging="567"/>
      </w:pPr>
    </w:p>
    <w:p w:rsidR="00000000" w:rsidRDefault="00000000">
      <w:pPr>
        <w:ind w:left="567" w:hanging="567"/>
      </w:pPr>
      <w:r>
        <w:t>-</w:t>
      </w:r>
      <w:r>
        <w:tab/>
        <w:t>статья 155 Уголовного закона, статья 125.2 Уголовного кодекса </w:t>
      </w:r>
      <w:r>
        <w:noBreakHyphen/>
        <w:t xml:space="preserve"> "Незаконное помещение в психиатрический стационар";</w:t>
      </w:r>
    </w:p>
    <w:p w:rsidR="00000000" w:rsidRDefault="00000000">
      <w:pPr>
        <w:ind w:left="567" w:hanging="567"/>
      </w:pPr>
    </w:p>
    <w:p w:rsidR="00000000" w:rsidRDefault="00000000">
      <w:pPr>
        <w:ind w:left="567" w:hanging="567"/>
      </w:pPr>
      <w:r>
        <w:t>-</w:t>
      </w:r>
      <w:r>
        <w:tab/>
        <w:t>статья 294 Уголовного закона, статья 172 Уголовного кодекса </w:t>
      </w:r>
      <w:r>
        <w:noBreakHyphen/>
        <w:t xml:space="preserve"> "Принуждение к даче показаний";</w:t>
      </w:r>
    </w:p>
    <w:p w:rsidR="00000000" w:rsidRDefault="00000000">
      <w:pPr>
        <w:ind w:left="567" w:hanging="567"/>
      </w:pPr>
    </w:p>
    <w:p w:rsidR="00000000" w:rsidRDefault="00000000">
      <w:pPr>
        <w:ind w:left="567" w:hanging="567"/>
      </w:pPr>
      <w:r>
        <w:t>-</w:t>
      </w:r>
      <w:r>
        <w:tab/>
        <w:t>статья 338 Уголовного закона </w:t>
      </w:r>
      <w:r>
        <w:noBreakHyphen/>
        <w:t xml:space="preserve"> "Применение насилия в отношении подчиненного";</w:t>
      </w:r>
    </w:p>
    <w:p w:rsidR="00000000" w:rsidRDefault="00000000">
      <w:pPr>
        <w:ind w:left="567" w:hanging="567"/>
      </w:pPr>
    </w:p>
    <w:p w:rsidR="00000000" w:rsidRDefault="00000000">
      <w:pPr>
        <w:ind w:left="567" w:hanging="567"/>
      </w:pPr>
      <w:r>
        <w:t>-</w:t>
      </w:r>
      <w:r>
        <w:tab/>
        <w:t>статья 340 Уголовного закона </w:t>
      </w:r>
      <w:r>
        <w:noBreakHyphen/>
        <w:t xml:space="preserve"> "Применение побоев и пыток в отношении военнослужащего";</w:t>
      </w:r>
    </w:p>
    <w:p w:rsidR="00000000" w:rsidRDefault="00000000">
      <w:pPr>
        <w:ind w:left="567" w:hanging="567"/>
      </w:pPr>
    </w:p>
    <w:p w:rsidR="00000000" w:rsidRDefault="00000000">
      <w:pPr>
        <w:ind w:left="567" w:hanging="567"/>
      </w:pPr>
      <w:r>
        <w:t>-</w:t>
      </w:r>
      <w:r>
        <w:tab/>
        <w:t>статья 235 Уголовного кодекса </w:t>
      </w:r>
      <w:r>
        <w:noBreakHyphen/>
        <w:t xml:space="preserve"> "Применение побоев и пыток в отношении рядовых военнослужащих".</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23.</w:t>
      </w:r>
      <w:r>
        <w:tab/>
        <w:t>В соответствии с действующим законодательством находящееся в Латвии лицо может быть выдано другой стране и выслано для целей уголовного преследования, судебного разбирательства или отбытия наказания;  может быть также возвращено лицо, прибывшее в Латвию или находившееся в Латвии нелегально.</w:t>
      </w:r>
    </w:p>
    <w:p w:rsidR="00000000" w:rsidRDefault="00000000"/>
    <w:p w:rsidR="00000000" w:rsidRDefault="00000000">
      <w:r>
        <w:t>24.</w:t>
      </w:r>
      <w:r>
        <w:tab/>
        <w:t>Согласно действующему законодательству лицо подлежит высылке, если в рамках установленной законом процедуры принято решение о его высылке или если суд определил высылку в качестве дополнительного наказания.  Статья 36 Уголовного закона предусматривает, что высылка из Латвии является одним из возможных наказаний, которые выносятся лицам, признанным виновными в совершении того или иного преступления.  Применение этого наказания регулируется статьей 43 Уголовного закона, которая гласит, что гражданин другой страны или лицо, постоянно проживающее в другой стране, может быть выслано из Латвийской Республики, если суд установит, что с учетом обстоятельств дела и личности правонарушителя он не может находиться на территории Латвии.  Эта же статья также предусматривает, что такая мера наказания </w:t>
      </w:r>
      <w:r>
        <w:noBreakHyphen/>
        <w:t xml:space="preserve"> высылка из страны </w:t>
      </w:r>
      <w:r>
        <w:noBreakHyphen/>
        <w:t xml:space="preserve"> выносится в качестве дополнительного наказания и подлежит исполнению лишь после отбытия основного наказания.</w:t>
      </w:r>
    </w:p>
    <w:p w:rsidR="00000000" w:rsidRDefault="00000000"/>
    <w:p w:rsidR="00000000" w:rsidRDefault="00000000">
      <w:r>
        <w:t>25.</w:t>
      </w:r>
      <w:r>
        <w:tab/>
        <w:t>Закон "О въезде и пребывании иностранцев и лиц без гражданства в Латвийской Республике" (статья 38) регулирует высылку иностранцев и лиц без гражданства в тех случаях, когда иностранец или лицо без гражданства находится в стране, не имея действующей визы или вида на жительство, либо когда данное лицо нарушило иным образом визовый режим, либо вид на жительство, выданный данному иностранцу или лицу без гражданства, аннулирован по следующим причинам:</w:t>
      </w:r>
    </w:p>
    <w:p w:rsidR="00000000" w:rsidRDefault="00000000"/>
    <w:p w:rsidR="00000000" w:rsidRDefault="00000000">
      <w:r>
        <w:tab/>
        <w:t>а)</w:t>
      </w:r>
      <w:r>
        <w:tab/>
        <w:t>данное лицо представило заведомо ложные сведения Управлению по вопросам гражданства и миграции, нарушило правила иммиграционного режима или не имеет более законных оснований для пребывания в Латвии;</w:t>
      </w:r>
    </w:p>
    <w:p w:rsidR="00000000" w:rsidRDefault="00000000"/>
    <w:p w:rsidR="00000000" w:rsidRDefault="00000000">
      <w:r>
        <w:tab/>
      </w:r>
      <w:r>
        <w:rPr>
          <w:lang w:val="en-US"/>
        </w:rPr>
        <w:t>b</w:t>
      </w:r>
      <w:r>
        <w:t>)</w:t>
      </w:r>
      <w:r>
        <w:tab/>
        <w:t>данное лицо признано виновным в совершении преступления в соответствии со вступившим в силу судебным решением;</w:t>
      </w:r>
    </w:p>
    <w:p w:rsidR="00000000" w:rsidRDefault="00000000"/>
    <w:p w:rsidR="00000000" w:rsidRDefault="00000000">
      <w:r>
        <w:tab/>
        <w:t>с)</w:t>
      </w:r>
      <w:r>
        <w:tab/>
        <w:t>компетентные государственные учреждения имеют разумные основания подозревать, что данное лицо представляет угрозу для общественного порядка и безопасности или для национальной безопасности;</w:t>
      </w:r>
    </w:p>
    <w:p w:rsidR="00000000" w:rsidRDefault="00000000"/>
    <w:p w:rsidR="00000000" w:rsidRDefault="00000000">
      <w:r>
        <w:tab/>
      </w:r>
      <w:r>
        <w:rPr>
          <w:lang w:val="en-US"/>
        </w:rPr>
        <w:t>d</w:t>
      </w:r>
      <w:r>
        <w:t>)</w:t>
      </w:r>
      <w:r>
        <w:tab/>
        <w:t>данное лицо не имеет никаких законных источников дохода;</w:t>
      </w:r>
    </w:p>
    <w:p w:rsidR="00000000" w:rsidRDefault="00000000"/>
    <w:p w:rsidR="00000000" w:rsidRDefault="00000000">
      <w:r>
        <w:tab/>
      </w:r>
      <w:r>
        <w:rPr>
          <w:lang w:val="en-US"/>
        </w:rPr>
        <w:t>e</w:t>
      </w:r>
      <w:r>
        <w:t>)</w:t>
      </w:r>
      <w:r>
        <w:tab/>
        <w:t>данное лицо является членом тоталитарной, террористической или иной организации, которая использует насильственные методы и не признает государственный строй Латвийской Республики, либо является членом тайной антиправительственной или преступной организации;</w:t>
      </w:r>
    </w:p>
    <w:p w:rsidR="00000000" w:rsidRDefault="00000000"/>
    <w:p w:rsidR="00000000" w:rsidRDefault="00000000">
      <w:r>
        <w:tab/>
      </w:r>
      <w:r>
        <w:rPr>
          <w:lang w:val="en-US"/>
        </w:rPr>
        <w:t>f</w:t>
      </w:r>
      <w:r>
        <w:t>)</w:t>
      </w:r>
      <w:r>
        <w:tab/>
        <w:t>данное лицо состоит на военной или иной государственной службе иностранного государства, за исключением случаев, предусмотренных в международных договорах;</w:t>
      </w:r>
    </w:p>
    <w:p w:rsidR="00000000" w:rsidRDefault="00000000"/>
    <w:p w:rsidR="00000000" w:rsidRDefault="00000000">
      <w:r>
        <w:tab/>
      </w:r>
      <w:r>
        <w:rPr>
          <w:lang w:val="en-US"/>
        </w:rPr>
        <w:t>g</w:t>
      </w:r>
      <w:r>
        <w:t>)</w:t>
      </w:r>
      <w:r>
        <w:tab/>
        <w:t>данное лицо неоднократно нарушало правила регистрации вида на жительство;</w:t>
      </w:r>
    </w:p>
    <w:p w:rsidR="00000000" w:rsidRDefault="00000000"/>
    <w:p w:rsidR="00000000" w:rsidRDefault="00000000">
      <w:r>
        <w:tab/>
      </w:r>
      <w:r>
        <w:rPr>
          <w:lang w:val="en-US"/>
        </w:rPr>
        <w:t>h</w:t>
      </w:r>
      <w:r>
        <w:t>)</w:t>
      </w:r>
      <w:r>
        <w:tab/>
        <w:t>данное лицо вступило в фиктивный брак с гражданином или негражданином Латвии либо с иностранцем или лицом без гражданства, имеющим постоянный вид на жительство, чтобы иметь основания для получения постоянного вида на жительство;</w:t>
      </w:r>
    </w:p>
    <w:p w:rsidR="00000000" w:rsidRDefault="00000000"/>
    <w:p w:rsidR="00000000" w:rsidRDefault="00000000">
      <w:r>
        <w:tab/>
      </w:r>
      <w:r>
        <w:rPr>
          <w:lang w:val="en-US"/>
        </w:rPr>
        <w:t>i</w:t>
      </w:r>
      <w:r>
        <w:t>)</w:t>
      </w:r>
      <w:r>
        <w:tab/>
        <w:t>данное лицо завершило учебу или профессиональную подготовку, которая служила основанием для выдачи временного вида на жительство;</w:t>
      </w:r>
    </w:p>
    <w:p w:rsidR="00000000" w:rsidRDefault="00000000"/>
    <w:p w:rsidR="00000000" w:rsidRDefault="00000000">
      <w:r>
        <w:tab/>
      </w:r>
      <w:r>
        <w:rPr>
          <w:lang w:val="en-US"/>
        </w:rPr>
        <w:t>j</w:t>
      </w:r>
      <w:r>
        <w:t>)</w:t>
      </w:r>
      <w:r>
        <w:tab/>
        <w:t>данное лицо прекратило трудовые отношения, которые служили основанием для получения вида на жительство;</w:t>
      </w:r>
    </w:p>
    <w:p w:rsidR="00000000" w:rsidRDefault="00000000"/>
    <w:p w:rsidR="00000000" w:rsidRDefault="00000000">
      <w:r>
        <w:tab/>
      </w:r>
      <w:r>
        <w:rPr>
          <w:lang w:val="en-US"/>
        </w:rPr>
        <w:t>k</w:t>
      </w:r>
      <w:r>
        <w:t>)</w:t>
      </w:r>
      <w:r>
        <w:tab/>
        <w:t>данное лицо расторгло брак с гражданином или негражданином Латвии либо с иностранцем или лицом без гражданства, получившим постоянный вид на жительство;</w:t>
      </w:r>
    </w:p>
    <w:p w:rsidR="00000000" w:rsidRDefault="00000000"/>
    <w:p w:rsidR="00000000" w:rsidRDefault="00000000">
      <w:r>
        <w:tab/>
      </w:r>
      <w:r>
        <w:rPr>
          <w:lang w:val="en-US"/>
        </w:rPr>
        <w:t>l</w:t>
      </w:r>
      <w:r>
        <w:t>)</w:t>
      </w:r>
      <w:r>
        <w:tab/>
        <w:t>данное лицо было нанято на работу без надлежащего разрешения;</w:t>
      </w:r>
    </w:p>
    <w:p w:rsidR="00000000" w:rsidRDefault="00000000"/>
    <w:p w:rsidR="00000000" w:rsidRDefault="00000000">
      <w:r>
        <w:tab/>
      </w:r>
      <w:r>
        <w:rPr>
          <w:lang w:val="en-US"/>
        </w:rPr>
        <w:t>m</w:t>
      </w:r>
      <w:r>
        <w:t>)</w:t>
      </w:r>
      <w:r>
        <w:tab/>
        <w:t>данное лицо получило компенсацию для выезда из Латвии на постоянное место жительства за границей независимо от того, была ли эта компенсация выплачена государственными или муниципальными учреждениями Латвии либо международными (иностранными) фондами или учреждениями.</w:t>
      </w:r>
    </w:p>
    <w:p w:rsidR="00000000" w:rsidRDefault="00000000"/>
    <w:p w:rsidR="00000000" w:rsidRDefault="00000000">
      <w:r>
        <w:t>26.</w:t>
      </w:r>
      <w:r>
        <w:tab/>
        <w:t>Соответствующее лицо обязано покинуть Латвию самостоятельно в течение семи дней после ознакомления с постановлением о его высылке, если это постановление не было обжаловано у начальника Управления по вопросам гражданства и миграции, на решение которого можно затем подать апелляцию в суд.</w:t>
      </w:r>
    </w:p>
    <w:p w:rsidR="00000000" w:rsidRDefault="00000000"/>
    <w:p w:rsidR="00000000" w:rsidRDefault="00000000">
      <w:r>
        <w:t>27.</w:t>
      </w:r>
      <w:r>
        <w:tab/>
        <w:t>В тех случаях, когда соответствующее лицо не обжалует постановление о высылке или его апелляция отклоняется, но оно остается на территории Латвии, начальник Управления по вопросам гражданства и миграции или руководитель территориального отделения этого Управления может принять решение о принудительной высылке такого лица.  Национальная пограничная служба вправе задержать соответствующее лицо для исполнения решения о его принудительной высылке.  В тех случаях, когда имеются разумные основания полагать, что данное лицо скроется или будет представлять угрозу для общественного порядка или безопасности либо данное лицо не имеет постоянного места жительства в Латвии, Государственная полиция и Национальная пограничная служба вправе подвергнуть такое лицо задержанию до принятия решения о его принудительной высылке.  Задержанное или арестованное лицо имеет по закону право на получение юридической помощи с момента его ареста.</w:t>
      </w:r>
    </w:p>
    <w:p w:rsidR="00000000" w:rsidRDefault="00000000"/>
    <w:p w:rsidR="00000000" w:rsidRDefault="00000000">
      <w:r>
        <w:t>28.</w:t>
      </w:r>
      <w:r>
        <w:tab/>
        <w:t>Если то или иное лицо проникло на территорию Латвии нелегально, то руководитель территориального отделения Национальной пограничной службы или его заместитель вправе принять решение о принудительной высылке такого лица.  Осуществление принудительной высылки обеспечивает Национальная пограничная служба.</w:t>
      </w:r>
    </w:p>
    <w:p w:rsidR="00000000" w:rsidRDefault="00000000"/>
    <w:p w:rsidR="00000000" w:rsidRDefault="00000000">
      <w:r>
        <w:t>29.</w:t>
      </w:r>
      <w:r>
        <w:tab/>
        <w:t>Для устранения существующих недостатков и обеспечения оперативного и эффективного порядка высылки иностранцев учреждена специальная рабочая группа, которая подготовила новую инструкцию "О принудительной высылке иностранцев и лиц без гражданства", вступившую в силу 15 марта 2002 года.</w:t>
      </w:r>
    </w:p>
    <w:p w:rsidR="00000000" w:rsidRDefault="00000000"/>
    <w:p w:rsidR="00000000" w:rsidRDefault="00000000">
      <w:r>
        <w:t>30.</w:t>
      </w:r>
      <w:r>
        <w:tab/>
        <w:t>Действующие правовые нормы, которые регулируют высылку лиц для целей уголовного преследования, судебного разбирательства или отбытия наказания, описаны в пунктах 55</w:t>
      </w:r>
      <w:r>
        <w:noBreakHyphen/>
        <w:t>58 настоящего доклада (в разделе, посвященном статье 8).</w:t>
      </w:r>
    </w:p>
    <w:p w:rsidR="00000000" w:rsidRDefault="00000000"/>
    <w:p w:rsidR="00000000" w:rsidRDefault="00000000">
      <w:r>
        <w:t>31.</w:t>
      </w:r>
      <w:r>
        <w:tab/>
        <w:t>При принятии решения о высылке какого-либо лица учитывается принятое Европейским судом по правам человека толкование положений Европейской конвенции о правах человека, в соответствии с которым выдача лица государству, где данному лицу может угрожать применение пыток и других жестоких, бесчеловечных или унижающих достоинство видов обращения и наказания, является нарушением его прав человека и, следовательно, запрещается.</w:t>
      </w:r>
    </w:p>
    <w:p w:rsidR="00000000" w:rsidRDefault="00000000"/>
    <w:p w:rsidR="00000000" w:rsidRDefault="00000000">
      <w:r>
        <w:t>32.</w:t>
      </w:r>
      <w:r>
        <w:tab/>
        <w:t>На 1 января 2002 года Латвия имела договоры о возвращении лиц, нелегально приехавших в страну или проживающих в ней, с 23 государствами:  Австрией, Балтийскими государствами, Бенилюксом, Венгрией, Германией, Грецией, Данией, Исландией, Испанией, Италией, Лихтенштейном, Норвегией, Португалией, Словенией, Украиной, Финляндией, Францией, Хорватией, Швейцарией и Швецией.</w:t>
      </w:r>
    </w:p>
    <w:p w:rsidR="00000000" w:rsidRDefault="00000000"/>
    <w:p w:rsidR="00000000" w:rsidRDefault="00000000">
      <w:r>
        <w:t>33.</w:t>
      </w:r>
      <w:r>
        <w:tab/>
        <w:t>Национальная пограничная служба не располагает никакой информацией о возможных нарушениях положений Конвенции ее сотрудниками, которая дала бы основания подозревать, что то или иное лицо было подвергнуто пыткам.  Кроме того, в практике Национальной пограничной службы не было еще ни одного случая, когда какое-либо лицо, заявившее, что в стране назначения оно может быть подвергнуто пыткам, возвращалось бы в эту страну или высылалось бы из Латвии.  Принимая решение о высылке какого-либо лица, Национальная пограничная служба не только учитывает информацию, предоставленную самим лицом, но и оценивает все обстоятельства конкретного дела.</w:t>
      </w:r>
    </w:p>
    <w:p w:rsidR="00000000" w:rsidRDefault="00000000"/>
    <w:p w:rsidR="00000000" w:rsidRDefault="00000000">
      <w:r>
        <w:t>34.</w:t>
      </w:r>
      <w:r>
        <w:tab/>
        <w:t>В соответствии с принятым в 1997 году Законом "О просителях убежища и беженцах в Латвийской Республике" лицо, получившее статус беженца, не может быть выдано или выслано в страну, где ему угрожает преследование по признаку его расы, религии, национальности, социальной принадлежности или политических убеждений.  Если какое-либо лицо не получило статуса беженца по решению Центра по делам беженцев при Управлении по вопросам гражданства и миграции, то это лицо также нельзя высылать в страну, где ему может угрожать применение пыток, как то предусмотрено в статье 3 Конвенции и в статье 3 Европейской конвенции о защите прав человека и основных свобод.  На практике эти лица получают вид на жительство или им разрешается проживать в Центре по размещению просителей убежища.  В целях введения четкого порядка защиты таких лиц был подготовлен новый Закон о беженцах, предусматривающий предоставление альтернативного статуса лицам, которым угрожает смертная казнь или телесные наказания, пытки, бесчеловечное или унижающее достоинство обращение либо унизительное наказание.  В настоящее время этот законопроект обсуждается в парламенте.  Согласно информации, представленной министерством внутренних дел, в 2001 году не было ни одного случая выдачи или передачи другой стране лица, которому угрожало применение пыток.</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35.</w:t>
      </w:r>
      <w:r>
        <w:tab/>
        <w:t>В пункте 2 статьи 15 Уголовного закона приготовление к преступлению и покушение на преступление квалифицируются как отдельные неоконченные уголовные преступления.</w:t>
      </w:r>
    </w:p>
    <w:p w:rsidR="00000000" w:rsidRDefault="00000000"/>
    <w:p w:rsidR="00000000" w:rsidRDefault="00000000">
      <w:r>
        <w:t>36.</w:t>
      </w:r>
      <w:r>
        <w:tab/>
        <w:t>В пункте 3 статьи 15 Уголовного закона говорится о том, что приготовлением к преступлению признаются приискание, изготовление или приспособление лицом средств или орудий совершения преступления или иное умышленное создание условий для совершения преступления, которое не было доведено до конца по независящим от этого лица обстоятельствам.  В соответствии с пунктом 4 статьи 15 Уголовного закона умышленные действия (бездействие) лица, непосредственно направленные на совершение преступления, которое не было доведено до конца по независящим от этого лица обстоятельства, признаются покушением на преступление.  Ответственность за подготовку преступления или за покушение на преступление устанавливается в той же статье Уголовного закона, которая определяет ответственность за совершение конкретного правонарушения.  В то же время следует подчеркнуть, что уголовная ответственность наступает за покушение на преступление средней тяжести, тяжкое и особо тяжкое преступление, а также за приготовление к тяжкому и особо тяжкому преступлениям.  В Уголовном законе различаются четыре категории уголовных преступлений по степени их тяжести:  преступления небольшой тяжести, преступления средней тяжести, тяжкие преступления и особо тяжкие преступления.  Это различие определяется в зависимости от наказаний, предусмотренных в Уголовном законе</w:t>
      </w:r>
      <w:r>
        <w:rPr>
          <w:rStyle w:val="FootnoteReference"/>
        </w:rPr>
        <w:footnoteReference w:id="1"/>
      </w:r>
      <w:r>
        <w:t>.</w:t>
      </w:r>
    </w:p>
    <w:p w:rsidR="00000000" w:rsidRDefault="00000000"/>
    <w:p w:rsidR="00000000" w:rsidRDefault="00000000">
      <w:r>
        <w:t>37.</w:t>
      </w:r>
      <w:r>
        <w:tab/>
        <w:t>Поскольку преступления, упомянутые в пунктах 11-13 настоящего доклада, наказываются лишением свободы на срок, превышающий два года, согласно Уголовному закону за покушение на эти преступления наступает уголовная ответственность.  Уголовная ответственность также наступает за приготовление к этим преступлениям, за исключением преступления, упоминаемого в статье 130 Уголовного закона, - умышленного причинения легкого вреда здоровью.</w:t>
      </w:r>
    </w:p>
    <w:p w:rsidR="00000000" w:rsidRDefault="00000000"/>
    <w:p w:rsidR="00000000" w:rsidRDefault="00000000">
      <w:r>
        <w:t>38.</w:t>
      </w:r>
      <w:r>
        <w:tab/>
        <w:t>Статья 18 Уголовного закона регулирует ответственность соучастников преступления, оценивая фактическое участие каждого из них, совершенные деяния и субъективное отношение к уголовному преступлению.  Таким образом, в законодательстве Латвии соучастием в преступлении признается совместное участие двух или более лиц в умышленном совершении преступления.</w:t>
      </w:r>
    </w:p>
    <w:p w:rsidR="00000000" w:rsidRDefault="00000000"/>
    <w:p w:rsidR="00000000" w:rsidRDefault="00000000">
      <w:r>
        <w:t>39.</w:t>
      </w:r>
      <w:r>
        <w:tab/>
        <w:t>В статье 19 Уголовного закона определяется понятие "соучастие".  Соучастием (совместным совершением преступления) считается сознательное совместное совершение уголовно наказуемого деяния двумя или более лицами (т.е. группой лиц), посредством которого они, таким образом, умышленно совершают уголовное правонарушение.  Каждое из этих лиц является соучастником (соисполнителем) уголовного правонарушения и несет уголовную ответственность.  Кроме того, соучастием признается совершенное сознательно действие или бездействие, посредством которого лицо (соучастник) совместно с другим лицом (исполнителем) приняло участие в умышленном совершении уголовного преступления, не являясь непосредственным исполнителем этого преступления.  В соответствии со статьей 20 Уголовного закона соучастниками преступления признаются организатор, подстрекатель и пособник.</w:t>
      </w:r>
    </w:p>
    <w:p w:rsidR="00000000" w:rsidRDefault="00000000"/>
    <w:p w:rsidR="00000000" w:rsidRDefault="00000000">
      <w:r>
        <w:t>40.</w:t>
      </w:r>
      <w:r>
        <w:tab/>
        <w:t>Организатором признается лицо, организовавшее совершение преступления или руководившее его исполнением.  Подстрекателем признается лицо, склонившее другое лицо к совершению уголовного преступления.  Пособником признается лицо, сознательно содействовавшее совершению преступления советами, указаниями, предоставлением средств или устранением препятствий для совершения такого преступления, а также лицо, заранее обещавшее скрыть исполнителя или соучастника, средства или орудия совершения преступления, следы преступления, либо предметы, добытые преступным путем, а равно лицо, заранее обещавшее приобрести или сбыть такие предметы.  Соучастник несет ответственность по той же статье Уголовного закона, которая определяет ответственность исполнителя преступления.</w:t>
      </w:r>
    </w:p>
    <w:p w:rsidR="00000000" w:rsidRDefault="00000000"/>
    <w:p w:rsidR="00000000" w:rsidRDefault="00000000">
      <w:r>
        <w:t>41.</w:t>
      </w:r>
      <w:r>
        <w:tab/>
        <w:t>В соответствии с законодательством Латвии отдельные составляющие элементы уголовного преступления, которые касаются исполнителя или соучастника, не влияют на ответственность других участников или соучастников.  Если соучастник ничего не знал о том или ином преступлении, совершенном исполнителем или другими соучастниками, то он не несет уголовной ответственности за это преступление.</w:t>
      </w:r>
    </w:p>
    <w:p w:rsidR="00000000" w:rsidRDefault="00000000"/>
    <w:p w:rsidR="00000000" w:rsidRDefault="00000000">
      <w:r>
        <w:t>42.</w:t>
      </w:r>
      <w:r>
        <w:tab/>
        <w:t>В случае недоведения исполнителем преступления до конца по не зависящим от него обстоятельствам остальные соучастники несут уголовную ответственность за приготовление к преступлению или покушение на преступление.  Если исполнитель не приступил к совершению преступления, соучастники несут уголовную ответственность за приготовление к этому преступлению.</w:t>
      </w:r>
    </w:p>
    <w:p w:rsidR="00000000" w:rsidRDefault="00000000"/>
    <w:p w:rsidR="00000000" w:rsidRDefault="00000000">
      <w:r>
        <w:t>43.</w:t>
      </w:r>
      <w:r>
        <w:tab/>
        <w:t>Отказ организатора или подстрекателя от совершения уголовного преступления признается в качестве добровольного лишь в тех случаях, когда они своевременно предприняли все зависящие от них меры, чтобы предотвратить совершение запланированного преступления с их соучастием и это преступления не было совершено.  Пособник не подлежит уголовной ответственности в том случае, если он добровольно отказался предоставить обещанную помощь до начала совершения уголовного преступления.</w:t>
      </w:r>
    </w:p>
    <w:p w:rsidR="00000000" w:rsidRDefault="00000000"/>
    <w:p w:rsidR="00000000" w:rsidRDefault="00000000">
      <w:pPr>
        <w:jc w:val="center"/>
        <w:rPr>
          <w:b/>
          <w:bCs/>
        </w:rPr>
      </w:pPr>
      <w:r>
        <w:rPr>
          <w:b/>
          <w:bCs/>
        </w:rPr>
        <w:t>СТАТЬЯ 5</w:t>
      </w:r>
    </w:p>
    <w:p w:rsidR="00000000" w:rsidRDefault="00000000">
      <w:pPr>
        <w:pStyle w:val="16"/>
      </w:pPr>
    </w:p>
    <w:p w:rsidR="00000000" w:rsidRDefault="00000000">
      <w:r>
        <w:t>44.</w:t>
      </w:r>
      <w:r>
        <w:rPr>
          <w:b/>
          <w:bCs/>
        </w:rPr>
        <w:tab/>
      </w:r>
      <w:r>
        <w:t>Обязательство государства устанавливать свою юрисдикцию в отношении уголовных преступлений - актов пытки, - совершенных на его территории или его гражданами, как то предусмотрено в статье 5 Конвенции, закреплено в статьях главы I действующего Уголовного закона.  В соответствии со статьей 2 Уголовного закона лицо, совершившее уголовное преступление на территории Латвии, несет ответственность согласно положениям уголовного законодательства.  В случае совершения уголовного преступления на территории Латвии иностранным дипломатическим представителем или любым иным лицом, на которое в соответствии с действующими законами или обязательными для Латвии международными договорами не распространяется юрисдикция Латвии, уголовная ответственность такого лица определяется согласно дипломатическим процедурам или на основании двусторонних договоров.</w:t>
      </w:r>
    </w:p>
    <w:p w:rsidR="00000000" w:rsidRDefault="00000000"/>
    <w:p w:rsidR="00000000" w:rsidRDefault="00000000">
      <w:r>
        <w:t>45.</w:t>
      </w:r>
      <w:r>
        <w:tab/>
        <w:t>В соответствии со статьей 3 Уголовного закона лицо, совершившее преступление вне территории Латвии, на воздушном, морском или речном судне или ином плавающем транспортном средстве, если это средство зарегистрировано в Латвийской Республике и если иного не предусмотрено в обязательных для Латвийской Республики международных договорах, несет ответственность согласно положениям уголовного законодательства Латвии.</w:t>
      </w:r>
    </w:p>
    <w:p w:rsidR="00000000" w:rsidRDefault="00000000"/>
    <w:p w:rsidR="00000000" w:rsidRDefault="00000000">
      <w:r>
        <w:t>46.</w:t>
      </w:r>
      <w:r>
        <w:tab/>
        <w:t>В статье 4 Уголовного закона говорится о том, что латвийские граждане и неграждане, а также иностранцы и лица без гражданства, которые имеют вид на постоянное жительство в Латвии, несут ответственность по упомянутому закону за совершение уголовного преступления на территории другого государства.  Военнослужащие воинских частей Латвии, дислоцирующихся за пределами Латвийской Республики, несут ответственность по уголовному законодательству Латвии за совершение уголовных преступлений, если иное не предусмотрено в обязательных для Латвийской Республики международных договорах.  Иностранные граждане и лица без гражданства, не проживающие постоянно в Латвии, совершившие в другом государстве особо тяжкие преступления, которые направлены против Латвии или против интересов ее жителей, несут уголовную ответственность согласно уголовному законодательству Латвии независимо от законодательства государства, в котором было совершено преступление, если их уголовная ответственность не установлена или они не были осуждены в соответствии с законодательством государства, где было совершено преступление.  В случаях, предусмотренных в обязательных для Латвии международных договорах, и независимо от законодательства государства, где было совершено преступление, иностранные граждане и лица без гражданства, не имеющие вид на постоянное жительство в Латвии и совершившие уголовное преступление на территории другого государства, несут ответственность согласно уголовному законодательству Латвии, если их уголовная ответственность за такое преступление не установлена или они не были осуждены на территории другого государства.</w:t>
      </w:r>
    </w:p>
    <w:p w:rsidR="00000000" w:rsidRDefault="00000000">
      <w:r>
        <w:br w:type="page"/>
      </w:r>
    </w:p>
    <w:p w:rsidR="00000000" w:rsidRDefault="00000000">
      <w:r>
        <w:t>47.</w:t>
      </w:r>
      <w:r>
        <w:tab/>
        <w:t>В соответствии со статьей 100 Уголовно-процессуального кодекса Латвии потерпевшим признается любое физическое или юридическое лицо, которому преступлением причинен моральный или физический вред или материальный ущерб.  Из этого следует, что любое лицо, которому причинен вред преступлением, относящимся к юрисдикции Латвии, должен быть признан потерпевшим согласно процедуре, определенной в Уголовно-процессуальном кодексе Латвии.</w:t>
      </w:r>
    </w:p>
    <w:p w:rsidR="00000000" w:rsidRDefault="00000000"/>
    <w:p w:rsidR="00000000" w:rsidRDefault="00000000">
      <w:r>
        <w:t>48.</w:t>
      </w:r>
      <w:r>
        <w:tab/>
        <w:t>Если какое-либо лицо, предположительно совершившее преступления, упомянутые в Конвенции, находится на территории Латвии, но не выдается государству, которое в соответствии со статьей 5 Конвенции установило свою юрисдикцию в отношении совершенного преступления, то это лицо несет уголовную ответственность на основании действующего в Латвии законодательства.</w:t>
      </w:r>
    </w:p>
    <w:p w:rsidR="00000000" w:rsidRDefault="00000000"/>
    <w:p w:rsidR="00000000" w:rsidRDefault="00000000">
      <w:pPr>
        <w:pStyle w:val="10"/>
        <w:rPr>
          <w:bCs/>
        </w:rPr>
      </w:pPr>
      <w:r>
        <w:rPr>
          <w:bCs/>
        </w:rPr>
        <w:t>СТАТЬЯ 6</w:t>
      </w:r>
    </w:p>
    <w:p w:rsidR="00000000" w:rsidRDefault="00000000">
      <w:pPr>
        <w:pStyle w:val="10"/>
        <w:rPr>
          <w:b w:val="0"/>
        </w:rPr>
      </w:pPr>
    </w:p>
    <w:p w:rsidR="00000000" w:rsidRDefault="00000000">
      <w:r>
        <w:t>49.</w:t>
      </w:r>
      <w:r>
        <w:tab/>
        <w:t>Присутствие лица, которое подозревается в совершении преступления, указанного в Конвенции, или которое пытается совершить такое преступление, обеспечивается в соответствии с положениями Уголовно-процессуального кодекса Латвии, действующими в отношении расследования и судебного разбирательства по любым иным преступлениям, включая положения о применении мер пресечения.  Согласно статье 68 Уголовно-процессуального кодекса при наличии достаточных оснований полагать, что обвиняемый или подозреваемый, будучи оставленным на свободе, скроется от предварительного следствия или суда, или воспрепятствует восстановлению истины по уголовному делу, или будет заниматься преступной деятельностью, а также для обеспечения исполнения приговора следователь, прокурор и суд (судья) вправе применить в отношении обвиняемого или подозреваемого одну из мер пресечения.  К возможным мерам пресечения относятся:  подписка о невыезде, личное поручительство, залог, надзор со стороны полиции, домашний арест, заключение под стражу, наблюдение командования воинской части за подозреваемым или обвиняемым, военнослужащим и присмотр за несовершеннолетними со стороны родителей, опекунов или доверенных лиц.</w:t>
      </w:r>
    </w:p>
    <w:p w:rsidR="00000000" w:rsidRDefault="00000000"/>
    <w:p w:rsidR="00000000" w:rsidRDefault="00000000">
      <w:r>
        <w:t>50.</w:t>
      </w:r>
      <w:r>
        <w:tab/>
        <w:t xml:space="preserve">С 14 марта 1992 года в отношении Латвии действует принятая в 1963 году Венская конвенция о консульских сношениях, в которой закреплено право лиц, задержанных в другой стране, сноситься с должностными лицами консульского учреждения страны их гражданства или постоянного проживания.  Латвия заключила несколько двусторонних договоров о консульских сношениях, которые в целом отражают нормы Венской </w:t>
      </w:r>
    </w:p>
    <w:p w:rsidR="00000000" w:rsidRDefault="00000000">
      <w:r>
        <w:br w:type="page"/>
      </w:r>
    </w:p>
    <w:p w:rsidR="00000000" w:rsidRDefault="00000000">
      <w:r>
        <w:t>конвенции, одновременно конкретизируя вопросы, представляющие важность для обеих сторон.  Одно из наиболее важных положений таких двусторонних договоров закрепляет обязательство принимающего государства информировать компетентного консульского работника о задержании или аресте гражданина представляемого государства, что расширяет сферу действия положений Венской конвенции.  Такие двусторонние договоры заключены с Эстонией и Латвией, а также с Россией и Польшей.</w:t>
      </w:r>
    </w:p>
    <w:p w:rsidR="00000000" w:rsidRDefault="00000000"/>
    <w:p w:rsidR="00000000" w:rsidRDefault="00000000">
      <w:r>
        <w:t>51.</w:t>
      </w:r>
      <w:r>
        <w:tab/>
        <w:t>Всем задержанным иностранцам, включая лиц, подвергшихся задержанию на государственной границе в течение более трех часов, предоставляется возможность снестись по телефону с посольством их страны.  В тех случаях, когда такие лица выражают желание встретиться с представителями их посольства, принимаются меры для выполнения этой просьбы.</w:t>
      </w:r>
    </w:p>
    <w:p w:rsidR="00000000" w:rsidRDefault="00000000"/>
    <w:p w:rsidR="00000000" w:rsidRDefault="00000000">
      <w:r>
        <w:t>52.</w:t>
      </w:r>
      <w:r>
        <w:tab/>
        <w:t>Национальная полиция в течение 24 часов информирует Консульское управление министерства иностранных дел Латвии о всех случаях, когда гражданин другого государства был задержан или арестован в качестве подозреваемого.  В соответствии с пунктом 2 статьи 78 Уголовно-процессуального кодекса в случае задержания иностранного гражданина в качестве подозреваемого, обвиняемого или ответчика копия постановления о задержании направляется министерству иностранных дел.  После помещения иностранного гражданина в следственный изолятор он информируется о его праве письменно обратиться в посольство страны, гражданином которой он является.  Лиц, чьи страны гражданства не имеют в Латвии дипломатического или консульского представительства, а также беженцев информируют об их праве письменно обратиться в посольство государства, уполномоченного представлять их, или в латвийские государственные или международные учреждения, призванные защищать их интересы.</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10"/>
        <w:jc w:val="left"/>
        <w:rPr>
          <w:b w:val="0"/>
        </w:rPr>
      </w:pPr>
      <w:r>
        <w:rPr>
          <w:b w:val="0"/>
        </w:rPr>
        <w:t>53.</w:t>
      </w:r>
      <w:r>
        <w:rPr>
          <w:b w:val="0"/>
        </w:rPr>
        <w:tab/>
        <w:t>При расследовании и судебном преследовании преступлений, упомянутых в Конвенции, применяются те же принципы Уголовно-процессуального кодекса Латвии, которые являются обязательными для расследования и судебного преследования всех иных преступлений как с точки зрения процедуры получения, рассмотрения и оценки доказательств, так и с точки зрения обязанности правоохранительных органов объективно, тщательно и всесторонне расследовать обстоятельства дела.</w:t>
      </w:r>
    </w:p>
    <w:p w:rsidR="00000000" w:rsidRDefault="00000000">
      <w:pPr>
        <w:pStyle w:val="10"/>
        <w:jc w:val="left"/>
        <w:rPr>
          <w:b w:val="0"/>
        </w:rPr>
      </w:pPr>
    </w:p>
    <w:p w:rsidR="00000000" w:rsidRDefault="00000000">
      <w:pPr>
        <w:pStyle w:val="10"/>
        <w:jc w:val="left"/>
        <w:rPr>
          <w:b w:val="0"/>
        </w:rPr>
      </w:pPr>
      <w:r>
        <w:rPr>
          <w:b w:val="0"/>
        </w:rPr>
        <w:br w:type="page"/>
      </w:r>
    </w:p>
    <w:p w:rsidR="00000000" w:rsidRDefault="00000000">
      <w:pPr>
        <w:pStyle w:val="10"/>
        <w:jc w:val="left"/>
        <w:rPr>
          <w:b w:val="0"/>
        </w:rPr>
      </w:pPr>
      <w:r>
        <w:rPr>
          <w:b w:val="0"/>
        </w:rPr>
        <w:t>54.</w:t>
      </w:r>
      <w:r>
        <w:rPr>
          <w:b w:val="0"/>
        </w:rPr>
        <w:tab/>
        <w:t xml:space="preserve">Ни в одном из правовых актов, действующих в Латвии, не отменяется запрещение </w:t>
      </w:r>
    </w:p>
    <w:p w:rsidR="00000000" w:rsidRDefault="00000000">
      <w:pPr>
        <w:pStyle w:val="10"/>
        <w:jc w:val="left"/>
        <w:rPr>
          <w:b w:val="0"/>
        </w:rPr>
      </w:pPr>
      <w:r>
        <w:rPr>
          <w:b w:val="0"/>
        </w:rPr>
        <w:t xml:space="preserve">применения пыток и бесчеловечного или унижающего достоинство обращения на любой стадии расследования или судебного преследования уголовных преступлений.  В статье 1 </w:t>
      </w:r>
    </w:p>
    <w:p w:rsidR="00000000" w:rsidRDefault="00000000">
      <w:pPr>
        <w:pStyle w:val="10"/>
        <w:jc w:val="left"/>
        <w:rPr>
          <w:b w:val="0"/>
        </w:rPr>
      </w:pPr>
      <w:r>
        <w:rPr>
          <w:b w:val="0"/>
        </w:rPr>
        <w:t xml:space="preserve">Уголовно-процессуального кодекса Латвии говорится о том, что установленный порядок </w:t>
      </w:r>
    </w:p>
    <w:p w:rsidR="00000000" w:rsidRDefault="00000000">
      <w:pPr>
        <w:pStyle w:val="10"/>
        <w:jc w:val="left"/>
        <w:rPr>
          <w:b w:val="0"/>
        </w:rPr>
      </w:pPr>
      <w:r>
        <w:rPr>
          <w:b w:val="0"/>
        </w:rPr>
        <w:t>судопроизводства является единым и обязательным по всем уголовным делам и для всех судов, органов прокуратуры и предварительного следствия.</w:t>
      </w:r>
    </w:p>
    <w:p w:rsidR="00000000" w:rsidRDefault="00000000">
      <w:pPr>
        <w:pStyle w:val="10"/>
        <w:jc w:val="left"/>
        <w:rPr>
          <w:b w:val="0"/>
        </w:rPr>
      </w:pPr>
    </w:p>
    <w:p w:rsidR="00000000" w:rsidRDefault="00000000">
      <w:pPr>
        <w:jc w:val="center"/>
        <w:rPr>
          <w:b/>
          <w:bCs/>
        </w:rPr>
      </w:pPr>
      <w:r>
        <w:rPr>
          <w:b/>
          <w:bCs/>
        </w:rPr>
        <w:t>СТАТЬЯ 8</w:t>
      </w:r>
    </w:p>
    <w:p w:rsidR="00000000" w:rsidRDefault="00000000">
      <w:pPr>
        <w:jc w:val="center"/>
        <w:rPr>
          <w:b/>
          <w:bCs/>
        </w:rPr>
      </w:pPr>
    </w:p>
    <w:p w:rsidR="00000000" w:rsidRDefault="00000000">
      <w:r>
        <w:t>55.</w:t>
      </w:r>
      <w:r>
        <w:tab/>
        <w:t>В соответствии с действующим законодательством Латвии выдача осуществляется на основании положений международных соглашений.</w:t>
      </w:r>
    </w:p>
    <w:p w:rsidR="00000000" w:rsidRDefault="00000000"/>
    <w:p w:rsidR="00000000" w:rsidRDefault="00000000">
      <w:r>
        <w:t>56.</w:t>
      </w:r>
      <w:r>
        <w:tab/>
        <w:t>В соответствии со статьей 23.6 Уголовно-процессуального кодекса Латвии, если на территории Латвии скрывается какое-либо лицо, которое совершило преступление в другом государстве, где было возбуждено уголовное дело или начато уголовное преследование или было осуждено или в отношении этого лица вступил в силу обвинительный приговор, то в случаях, предусмотренных в международных договорах, Генеральный прокурор Латвийской Республики, получив от соответствующего государства ходатайство о выдаче упомянутого лица, принимает, исходя из полученных документов, решение о выдаче и направляет принятое решение в министерство внутренних для приведения его в исполнение.  В решении о выдаче должны быть указаны фамилия и имя данного лица, год рождения, причины высылки, когда и кто постановил привести решение в исполнение, а также приложены соответствующие документы и удостоверенный в надлежащем порядке перевод на соответствующий иностранный язык.</w:t>
      </w:r>
    </w:p>
    <w:p w:rsidR="00000000" w:rsidRDefault="00000000"/>
    <w:p w:rsidR="00000000" w:rsidRDefault="00000000">
      <w:r>
        <w:t>57.</w:t>
      </w:r>
      <w:r>
        <w:tab/>
        <w:t>31 июля 1997 года Латвия стала государством-участником принятой 13 декабря 1957 года Европейской конвенции о выдаче, а также обоих Дополнительных протоколов к ней.  В соответствии с этой Конвенцией выдача осуществляется в отношении преступлений, наказуемых лишением свободы на срок не менее одного года или более серьезным наказанием.  Кроме того, на Латвию распространяются положения нескольких двусторонних договоров, касающихся как конкретно выдачи (договоры с Соединенными Штатами Америки и Соединенным Королевством), так и оказания правовой помощи в целом и правовых отношений (см. пункты 59-61 настоящего доклада - раздел, посвященный статье 9).</w:t>
      </w:r>
    </w:p>
    <w:p w:rsidR="00000000" w:rsidRDefault="00000000"/>
    <w:p w:rsidR="00000000" w:rsidRDefault="00000000">
      <w:r>
        <w:br w:type="page"/>
      </w:r>
    </w:p>
    <w:p w:rsidR="00000000" w:rsidRDefault="00000000">
      <w:r>
        <w:t>58.</w:t>
      </w:r>
      <w:r>
        <w:tab/>
        <w:t>В тех случаях, когда выдача Латвией какого-либо лица невозможна</w:t>
      </w:r>
      <w:r>
        <w:rPr>
          <w:rStyle w:val="FootnoteReference"/>
        </w:rPr>
        <w:footnoteReference w:id="2"/>
      </w:r>
      <w:r>
        <w:t>, это лицо подлежит уголовной ответственности в соответствии с действующим в Латвии законодательством.  В статье 4 Уголовного закона говорится о том, что граждане Латвии, совершившие преступление на территории иностранного государства, подлежат уголовной ответственности в Латвии в соответствии с латвийским уголовным законодательством.  В отношении таких случаев действует статья 2 Уголовно-процессуального кодекса, которая предусматривает, что задачами компетентных учреждений являются "быстрое и полное раскрытие преступлений, изобличение виновных и обеспечение правильного применения закона с тем, чтобы каждый совершивший преступление был подвергнут справедливому наказанию и ни один невиновный не был привлечен к уголовной ответственности и осужден, при соблюдении законодательства и основополагающих принципов уголовного судопроизводства".  В соответствии со статьей 23.3 Уголовно-процессуального кодекса просьба иностранного государства о возбуждении уголовного дела или о начале либо осуществлении (продолжении) уголовного преследования лица, совершившего преступление в этой стране и затем возвратившегося в Латвию, рассматривается Генеральной прокуратурой Латвийской Республики, которая проверяет ее обоснованность.  Результаты проверки доводятся до сведения учреждения, представившего просьбу.</w:t>
      </w:r>
    </w:p>
    <w:p w:rsidR="00000000" w:rsidRDefault="00000000"/>
    <w:p w:rsidR="00000000" w:rsidRDefault="00000000">
      <w:pPr>
        <w:jc w:val="center"/>
        <w:rPr>
          <w:b/>
          <w:bCs/>
        </w:rPr>
      </w:pPr>
      <w:r>
        <w:rPr>
          <w:b/>
          <w:bCs/>
        </w:rPr>
        <w:br w:type="page"/>
        <w:t>СТАТЬЯ 9</w:t>
      </w:r>
    </w:p>
    <w:p w:rsidR="00000000" w:rsidRDefault="00000000">
      <w:pPr>
        <w:jc w:val="center"/>
        <w:rPr>
          <w:b/>
          <w:bCs/>
        </w:rPr>
      </w:pPr>
    </w:p>
    <w:p w:rsidR="00000000" w:rsidRDefault="00000000">
      <w:r>
        <w:t>59.</w:t>
      </w:r>
      <w:r>
        <w:tab/>
        <w:t>Правовая помощь в связи с расследованием и судебным преследованием преступлений, предусмотренных в Конвенции, основана на тех же принципах, что и правовая помощь в рамках расследования и судебного преследования всех иных преступлений.  В статье 23 Уголовно-процессуального кодекса Латвии говорится о том, что контакты суда, органов прокуратуры и предварительного следствия с правоохранительными учреждениями иностранных государств, а также исполнение просьб этих иностранных учреждений осуществляются на основе действующих в отношении Латвии международных договоров, а также в соответствии с нормами Уголовно-процессуального кодекса.  Следует, однако, отметить, что Генеральная прокуратура Латвийской Республики еще не получала ни одной просьбы о выдаче какого-либо лица, которое подозревается в совершении предусмотренного в Конвенции преступления, преследуется или осуждено в связи с таким преступлением.</w:t>
      </w:r>
    </w:p>
    <w:p w:rsidR="00000000" w:rsidRDefault="00000000"/>
    <w:p w:rsidR="00000000" w:rsidRDefault="00000000">
      <w:r>
        <w:t>60.</w:t>
      </w:r>
      <w:r>
        <w:tab/>
        <w:t>31 августа 1997 года в отношении Латвии вступила в силу принятая 20 апреля 1959 года Европейская конвенция о взаимной правовой помощи по уголовным делам, а также Дополнительные протоколы к ней.  Руководствуясь пунктом 6 статьи 15 этой Конвенции, Латвия сообщила о том, что просьбы об оказании правовой помощи по уголовным делам направляют и получают в Латвии министерство внутренних дел (на стадии предварительного следствия до направления уголовного дела в суд), Генеральная прокуратура (на стадии предварительного следствия до направления дела в суд) и министерство юстиции (на стадии судебного разбирательства).  Латвия также присоединилась к принятой 15 мая 1972 года Европейской конвенции о передаче производства по уголовным делам.</w:t>
      </w:r>
    </w:p>
    <w:p w:rsidR="00000000" w:rsidRDefault="00000000"/>
    <w:p w:rsidR="00000000" w:rsidRDefault="00000000">
      <w:r>
        <w:t>61.</w:t>
      </w:r>
      <w:r>
        <w:tab/>
        <w:t>Кроме того, Латвия заключила двусторонние договоры об оказании правовой помощи и правовых отношениях.  В настоящее время такие договоры действуют с Соединенными Штатами Америки, Балтийскими государствами, Беларусью, Россией, Польшей, Молдовой, Украиной, Узбекистаном и Кыргызстаном.</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62.</w:t>
      </w:r>
      <w:r>
        <w:tab/>
        <w:t>После восстановления независимости Латвии в 1991 году учебные заведения уделяют все больше внимания образованию в области прав человека.  Базовый курс по правам человека, в том числе по нормам Конвенции, включен в учебную программу Латвийского университета и Латвийской полицейской академии.</w:t>
      </w:r>
    </w:p>
    <w:p w:rsidR="00000000" w:rsidRDefault="00000000"/>
    <w:p w:rsidR="00000000" w:rsidRDefault="00000000">
      <w:r>
        <w:t>63.</w:t>
      </w:r>
      <w:r>
        <w:tab/>
        <w:t>Слушатели Латвийской полицейской академии изучают в рамках ряда учебных курсов нормы, запрещающие применение пыток.  При изучении курса "Методы ведения допроса" подробно разъясняется недопустимость применения пыток и любых иных форм физического или психического насилия.  Курс "Порядок производства задержания и ареста" предусматривает разъяснение допустимости применения физической силы и огнестрельного оружия только и исключительно в целях преодоления сопротивления лица, которое подлежит задержанию или аресту.  В рамках курса "Уголовное преследование" разъясняется норма Закона "Об оперативной деятельности", которая запрещает любые оперативные мероприятия или применение любых средств, если они угрожают жизни и здоровью людей.  При изучении курса "Профессиональная физическая подготовка" обсуждаются, в частности, методы практического соблюдения норм, содержащихся в Конвенции.  Так, например, перед началом учебного курса о применении спецсредств при задержании преступника учащимся разъясняются правовые требования, касающиеся применения этих средств, и при этом подчеркивается, что бесчеловечные, жестокие и неадекватные действия сотрудника полиции недопустимы.  В ходе изучения курса "Законодательство об исполнении уголовных наказаний" и "Права полиции" обсуждаются права и обязанности сотрудников полиции, пенитенциарных учреждений и пограничной полиции с акцентом на обязательное уважение прав каждого человека.</w:t>
      </w:r>
    </w:p>
    <w:p w:rsidR="00000000" w:rsidRDefault="00000000"/>
    <w:p w:rsidR="00000000" w:rsidRDefault="00000000">
      <w:r>
        <w:t>64.</w:t>
      </w:r>
      <w:r>
        <w:tab/>
        <w:t>В 1999 году в программу Латвийской полицейской академии и в Национальной полицейской школе был ключ курс "Полиция и права человека", который охватывает вопросы, связанные с искоренением практики применения полицейскими пыток и других жестоких или унижающих достоинство видов обращения.  Ежегодно по распоряжению начальника Национальной полиции проводится (дважды в месяц) подготовка по месту службы, в программу которой включаются упомянутые выше вопросы с рассмотрением практических примеров и проведением обсуждений с сотрудниками Национального бюро по правам человека.</w:t>
      </w:r>
    </w:p>
    <w:p w:rsidR="00000000" w:rsidRDefault="00000000"/>
    <w:p w:rsidR="00000000" w:rsidRDefault="00000000">
      <w:r>
        <w:t>65.</w:t>
      </w:r>
      <w:r>
        <w:tab/>
        <w:t>Неотъемлемым элементом программ учебных заведений Национальной полиции, а также программ профессиональной подготовки и повышения квалификации сотрудников ее структурных подразделений является информирование сотрудников полиции и изучение ими вопросов, касающихся полномочий полиции, методов допроса, задержания и ареста, недопустимости неоправданного применения физической силы, спецсредств и оружия, а также жестокого, бесчеловечного и унижающего достоинство обращения.</w:t>
      </w:r>
    </w:p>
    <w:p w:rsidR="00000000" w:rsidRDefault="00000000"/>
    <w:p w:rsidR="00000000" w:rsidRDefault="00000000">
      <w:r>
        <w:t>66.</w:t>
      </w:r>
      <w:r>
        <w:tab/>
        <w:t>Подготовка сотрудников Государственной пограничной службы осуществляется в Школе пограничников в Резекне, где в рамках профессиональной подготовки учащиеся изучают требования действующего законодательства - Кодекса административных правонарушений, Уголовного закона, Уголовно-процессуального кодекса - и требований, касающихся порядка производства задержания, ареста и допроса.</w:t>
      </w:r>
    </w:p>
    <w:p w:rsidR="00000000" w:rsidRDefault="00000000"/>
    <w:p w:rsidR="00000000" w:rsidRDefault="00000000">
      <w:r>
        <w:t>67.</w:t>
      </w:r>
      <w:r>
        <w:tab/>
        <w:t>С учетом требований, предъявляемых к квалификации военнослужащих, в рамках программы подготовки и учебных курсов в Академии национальной обороны изучаются нормы действующего законодательства, касающиеся военнослужащих.  Изучение положений Декларации о защите всех лиц от пыток и других жестоких, бесчеловечных или унижающих достоинство видов обращения и наказания, принятой резолюцией 3452(ХХХ) Генеральной Ассамблеи от 9 декабря 1975 года, и Конвенции включено в программу в качестве дополнительной учебной дисциплины для командного состава.  Рассматривается возможность включения в программу вопроса о запрещении пыток, а также об ответственности за нарушение соответствующих норм Уголовного закона Латвии.  Значение понятия "пытка" исследуется в контексте соответствующей статьи Конвенции, а также изучаются ответственность командира, порядок проведения предварительного расследования выявленных актов пытки и меры по искоренению пыток.</w:t>
      </w:r>
    </w:p>
    <w:p w:rsidR="00000000" w:rsidRDefault="00000000"/>
    <w:p w:rsidR="00000000" w:rsidRDefault="00000000">
      <w:pPr>
        <w:pStyle w:val="Title"/>
        <w:rPr>
          <w:bCs/>
        </w:rPr>
      </w:pPr>
      <w:r>
        <w:rPr>
          <w:bCs/>
        </w:rPr>
        <w:t>СТАТЬЯ 11</w:t>
      </w:r>
    </w:p>
    <w:p w:rsidR="00000000" w:rsidRDefault="00000000">
      <w:pPr>
        <w:pStyle w:val="Title"/>
        <w:rPr>
          <w:bCs/>
        </w:rPr>
      </w:pPr>
    </w:p>
    <w:p w:rsidR="00000000" w:rsidRDefault="00000000">
      <w:pPr>
        <w:pStyle w:val="FootnoteText"/>
        <w:spacing w:line="288" w:lineRule="auto"/>
      </w:pPr>
      <w:r>
        <w:t>68.</w:t>
      </w:r>
      <w:r>
        <w:tab/>
        <w:t>За уважением прав лиц, подвергнутых задержанию и тюремному заключению, наблюдают как латвийские учреждения, так и учреждения компетентных международных организаций.</w:t>
      </w:r>
    </w:p>
    <w:p w:rsidR="00000000" w:rsidRDefault="00000000">
      <w:pPr>
        <w:pStyle w:val="FootnoteText"/>
        <w:spacing w:line="288" w:lineRule="auto"/>
      </w:pPr>
    </w:p>
    <w:p w:rsidR="00000000" w:rsidRDefault="00000000">
      <w:pPr>
        <w:pStyle w:val="FootnoteText"/>
        <w:spacing w:line="288" w:lineRule="auto"/>
      </w:pPr>
      <w:r>
        <w:t>69.</w:t>
      </w:r>
      <w:r>
        <w:tab/>
        <w:t>Национальная полиция располагает 28 изоляторами временного содержания, которые в 1999 году посетили эксперты из Европейского комитета по предотвращению пыток.  В ряде изоляторов эксперты констатировали несоблюдение требований, предъявляемых к условиям содержания задержанных лиц.  Прокуратура также проинспектировала изоляторы в отдельных районах Латвии и была вынуждена закрыть один из них.</w:t>
      </w:r>
    </w:p>
    <w:p w:rsidR="00000000" w:rsidRDefault="00000000">
      <w:pPr>
        <w:pStyle w:val="FootnoteText"/>
        <w:spacing w:line="288" w:lineRule="auto"/>
      </w:pPr>
    </w:p>
    <w:p w:rsidR="00000000" w:rsidRDefault="00000000">
      <w:pPr>
        <w:pStyle w:val="FootnoteText"/>
        <w:spacing w:line="288" w:lineRule="auto"/>
      </w:pPr>
      <w:r>
        <w:t>70.</w:t>
      </w:r>
      <w:r>
        <w:tab/>
        <w:t>Принят ряд мер для улучшения условий содержания задержанных лиц в изоляторах Национальной полиции.  Так, например, выделены необходимые финансовые средства на осуществление проекта по строительству изолятора временного содержания и гаражей Районного управления полиции Добеле, и 27 декабря 2001 года изолятор начал работать;  в 2002 году выделены бюджетные ассигнования на строительство административных зданий Районного управления полиции в Вентспилсе.</w:t>
      </w:r>
    </w:p>
    <w:p w:rsidR="00000000" w:rsidRDefault="00000000">
      <w:pPr>
        <w:pStyle w:val="FootnoteText"/>
        <w:spacing w:line="288" w:lineRule="auto"/>
      </w:pPr>
    </w:p>
    <w:p w:rsidR="00000000" w:rsidRDefault="00000000">
      <w:pPr>
        <w:pStyle w:val="FootnoteText"/>
        <w:spacing w:line="288" w:lineRule="auto"/>
      </w:pPr>
      <w:r>
        <w:t>71.</w:t>
      </w:r>
      <w:r>
        <w:tab/>
        <w:t>Чтобы обеспечить соответствие тем требованиям, которые в настоящее время предъявляются к условиям содержания задержанных лиц в изоляторах Национальной полиции, необходимо отремонтировать и обновить помещения изоляторов, а также оборудовать места для прогулок и закупить необходимую технику.  Решение этих задач, однако, тормозит нехватка необходимых финансовых средств.</w:t>
      </w:r>
    </w:p>
    <w:p w:rsidR="00000000" w:rsidRDefault="00000000">
      <w:pPr>
        <w:pStyle w:val="FootnoteText"/>
        <w:spacing w:line="288" w:lineRule="auto"/>
      </w:pPr>
    </w:p>
    <w:p w:rsidR="00000000" w:rsidRDefault="00000000">
      <w:pPr>
        <w:pStyle w:val="FootnoteText"/>
        <w:spacing w:line="288" w:lineRule="auto"/>
      </w:pPr>
      <w:r>
        <w:t>72.</w:t>
      </w:r>
      <w:r>
        <w:tab/>
        <w:t>В соответствии с действующим законодательством и установившейся практикой применяются различные методы контроля за соблюдением запрещения применения пыток должностными лицами.  Так, например, при периодической (раз в два года) аттестации сотрудников Национальной полиции учитывается соблюдение ими профессиональных этических норм.  Частные лица могут направить жалобы на действия сотрудников полиции в несколько учреждений - в вышестоящую полицейскую инстанцию, министерство внутренних дел, прокуратуру, суд, а также в Национальное бюро по правам человека, Канцелярию Президента Латвии или парламент.  В рамках Национальной полиции действует специальный орган - Кадровая инспекция, призванная рассматривать жалобы частных лиц.  В 1998 году Инспекция рассмотрела 33 жалобы, в 1999 году - 37, а в 2000 году - 67 жалоб на неправомерные действия сотрудников полиции, включая незаконный арест и применение силы или спецсредств.  В результате проведенных разбирательств в 1998 году три правонарушения, о которых шла речь в жалобах, были подтверждены и материалы по ним направлены в следственные органы для принятия процессуальных решений;  в 1999 году таких случаев было шесть, а в 2000 году - семь.  В 2001 году была рассмотрена 21 жалоба и подтверждено семь правонарушений.</w:t>
      </w:r>
    </w:p>
    <w:p w:rsidR="00000000" w:rsidRDefault="00000000">
      <w:pPr>
        <w:pStyle w:val="FootnoteText"/>
        <w:spacing w:line="288" w:lineRule="auto"/>
      </w:pPr>
    </w:p>
    <w:p w:rsidR="00000000" w:rsidRDefault="00000000">
      <w:pPr>
        <w:pStyle w:val="FootnoteText"/>
        <w:spacing w:line="288" w:lineRule="auto"/>
      </w:pPr>
      <w:r>
        <w:t>73.</w:t>
      </w:r>
      <w:r>
        <w:tab/>
        <w:t>Ежегодно Национальная полиция сводит воедино статистические данные о дисциплинарных наказаниях.  Согласно этим данным, в 1998 году 36 сотрудникам полиции было предъявлено обвинение в совершении должностных преступлений, в 1999 году - 20, а в 2000 году - 17.  В 1998 году за такие преступления были осуждены 10 сотрудников, в 1999 - 17, а в 2000 году - 5.  В 2001 году 21 сотруднику было предъявлено обвинение в совершении должностного преступления и семь были осуждены.  К сожалению, в этих данных точно не указывается число лиц, которым было предъявлено обвинение и которые были осуждены в связи с совершением преступлений, предусмотренных в статьях 125, 126 и 130 Уголовного закона.</w:t>
      </w:r>
    </w:p>
    <w:p w:rsidR="00000000" w:rsidRDefault="00000000">
      <w:pPr>
        <w:pStyle w:val="FootnoteText"/>
        <w:spacing w:line="288" w:lineRule="auto"/>
      </w:pPr>
    </w:p>
    <w:p w:rsidR="00000000" w:rsidRDefault="00000000">
      <w:pPr>
        <w:pStyle w:val="FootnoteText"/>
        <w:spacing w:line="288" w:lineRule="auto"/>
      </w:pPr>
      <w:r>
        <w:t>74.</w:t>
      </w:r>
      <w:r>
        <w:tab/>
        <w:t>Со второй половины 1999 года, когда при Национальной пограничной службе был создан Отдел по расследованиям, сотрудники которого уполномочены проводить предварительное расследование преступлений, относящихся к компетенции Национальной пограничной службы, не было выявлено ни одного акта пытки, не было получено ни одной индивидуальной жалобы и ни разу вышестоящие инстанции не упрекнули сотрудников Национальной пограничной службы в нарушении запрещения применять пытки.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br w:type="page"/>
        <w:t>СТАТЬЯ 12</w:t>
      </w:r>
    </w:p>
    <w:p w:rsidR="00000000" w:rsidRDefault="00000000">
      <w:pPr>
        <w:pStyle w:val="FootnoteText"/>
        <w:spacing w:line="288" w:lineRule="auto"/>
        <w:jc w:val="center"/>
        <w:rPr>
          <w:b/>
          <w:bCs/>
        </w:rPr>
      </w:pPr>
    </w:p>
    <w:p w:rsidR="00000000" w:rsidRDefault="00000000">
      <w:pPr>
        <w:pStyle w:val="FootnoteText"/>
        <w:spacing w:line="288" w:lineRule="auto"/>
      </w:pPr>
      <w:r>
        <w:t>75.</w:t>
      </w:r>
      <w:r>
        <w:tab/>
        <w:t>Статья 3 Уголовно-процессуального кодекса Латвии предусматривает, что суд, прокурор и орган дознания обязаны в пределах своей компетенции возбудить уголовное дело в каждом случае обнаружения признаков преступления, принять предусмотренные законом меры к установлению события преступления, лиц, виновных в совершении преступления, и к их наказанию.</w:t>
      </w:r>
    </w:p>
    <w:p w:rsidR="00000000" w:rsidRDefault="00000000">
      <w:pPr>
        <w:pStyle w:val="FootnoteText"/>
        <w:spacing w:line="288" w:lineRule="auto"/>
      </w:pPr>
    </w:p>
    <w:p w:rsidR="00000000" w:rsidRDefault="00000000">
      <w:pPr>
        <w:pStyle w:val="FootnoteText"/>
        <w:spacing w:line="288" w:lineRule="auto"/>
      </w:pPr>
      <w:r>
        <w:t>76.</w:t>
      </w:r>
      <w:r>
        <w:tab/>
        <w:t>В соответствии со статьей 19 Уголовно-процессуального кодекса Латвии суд, судья и следователь обязаны всесторонне, полно и объективно расследовать обстоятельства дела и выявить виновное лицо, а также установить все иные обстоятельства, которые имеют отношение к надлежащему рассмотрению уголовного дела.</w:t>
      </w:r>
    </w:p>
    <w:p w:rsidR="00000000" w:rsidRDefault="00000000">
      <w:pPr>
        <w:pStyle w:val="FootnoteText"/>
        <w:spacing w:line="288" w:lineRule="auto"/>
      </w:pPr>
    </w:p>
    <w:p w:rsidR="00000000" w:rsidRDefault="00000000">
      <w:pPr>
        <w:pStyle w:val="FootnoteText"/>
        <w:spacing w:line="288" w:lineRule="auto"/>
      </w:pPr>
      <w:r>
        <w:t>77.</w:t>
      </w:r>
      <w:r>
        <w:tab/>
        <w:t>Упомянутые выше принципы, закрепленные в Уголовно-процессуальном кодексе Латвии, применяются в отношении расследования и судебного преследования всех уголовных преступлений, включая преступления, упомянутые в Конвенции.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13</w:t>
      </w:r>
    </w:p>
    <w:p w:rsidR="00000000" w:rsidRDefault="00000000">
      <w:pPr>
        <w:pStyle w:val="FootnoteText"/>
        <w:spacing w:line="288" w:lineRule="auto"/>
        <w:jc w:val="center"/>
        <w:rPr>
          <w:b/>
          <w:bCs/>
        </w:rPr>
      </w:pPr>
    </w:p>
    <w:p w:rsidR="00000000" w:rsidRDefault="00000000">
      <w:pPr>
        <w:pStyle w:val="FootnoteText"/>
        <w:spacing w:line="288" w:lineRule="auto"/>
      </w:pPr>
      <w:r>
        <w:t>78.</w:t>
      </w:r>
      <w:r>
        <w:tab/>
        <w:t>В статье 92 Конституции Латвии говорится о том, что каждый может защищать свои права и законные интересы в справедливом суде, а статья 107 Уголовно-процессуального кодекса предусматривает, что одним из оснований для возбуждения уголовного дела является письменное или устное заявление гражданина.  Следственные органы, прокурор, судья или суд обязаны незамедлительно рассмотреть такое заявление в срок, не превышающий 10 суток с момента его получения.  Если необходимо экспертное или аудиторское заключение, то предельный срок для рассмотрения заявления продлевается до 30 суток.  Если есть достаточные основания предполагать совершение преступления, то возбуждается уголовное дело, проводится расследование и осуществляется судебное преследование на основании положений Уголовно-процессуального кодекса Латвии.</w:t>
      </w:r>
    </w:p>
    <w:p w:rsidR="00000000" w:rsidRDefault="00000000">
      <w:pPr>
        <w:pStyle w:val="FootnoteText"/>
        <w:spacing w:line="288" w:lineRule="auto"/>
      </w:pPr>
    </w:p>
    <w:p w:rsidR="00000000" w:rsidRDefault="00000000">
      <w:pPr>
        <w:pStyle w:val="FootnoteText"/>
        <w:spacing w:line="288" w:lineRule="auto"/>
      </w:pPr>
      <w:r>
        <w:t>79.</w:t>
      </w:r>
      <w:r>
        <w:tab/>
        <w:t>Как предусмотрено в главе 9 А Уголовно-процессуального кодекса Латвии могут быть приняты специальные процессуальные меры безопасности в отношении потерпевших, свидетелей, подозреваемых, обвиняемых, ответчиков и осужденных, если они дают показания по уголовным делам, касающимся совершения тяжких и особо тяжких преступлений, а также в отношении лиц, угроза которым может повлиять на упомянутых выше лиц.  Специальные процессуальные меры безопасности принимаются в тех случаях, когда в связи с показаниями свидетелей возникает реальная угроза их жизни, здоровью, имуществу или законным интересам либо они получили такие угрозы либо имеются достаточные основания предполагать такие угрозы.  Решение об осуществлении специальных процессуальных мер безопасности принимает Генеральный прокурор по инициативе должностного лица, занимающегося уголовным судопроизводством, после рассмотрения всех материалов дела и заслушивания лица, над которым нависла угроза.</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14</w:t>
      </w:r>
    </w:p>
    <w:p w:rsidR="00000000" w:rsidRDefault="00000000">
      <w:pPr>
        <w:pStyle w:val="FootnoteText"/>
        <w:spacing w:line="288" w:lineRule="auto"/>
        <w:jc w:val="center"/>
        <w:rPr>
          <w:b/>
          <w:bCs/>
        </w:rPr>
      </w:pPr>
    </w:p>
    <w:p w:rsidR="00000000" w:rsidRDefault="00000000">
      <w:pPr>
        <w:pStyle w:val="FootnoteText"/>
        <w:spacing w:line="288" w:lineRule="auto"/>
      </w:pPr>
      <w:r>
        <w:t>80.</w:t>
      </w:r>
      <w:r>
        <w:tab/>
        <w:t>Лицо, ставшее жертвой пытки, вправе потребовать компенсацию в соответствии со статьей 101 Уголовно-процессуального кодекса, которая предусматривает, что лицо, которому преступление причинило материальный ущерб, может возбудить гражданский иск в рамках уголовного судопроизводства против ответчика или лица, несущего материальную ответственность за действия ответчика.  Кроме того, в этой же статье говорится, что лицо, не возбудившее гражданский иск в рамках производства по уголовному делу, а также лицо, гражданский иск которого не был рассмотрен ввиду прекращения уголовного дела или вынесения оправдательного приговора, вправе возбудить такой иск в рамках гражданского судопроизводства.</w:t>
      </w:r>
    </w:p>
    <w:p w:rsidR="00000000" w:rsidRDefault="00000000">
      <w:pPr>
        <w:pStyle w:val="FootnoteText"/>
        <w:spacing w:line="288" w:lineRule="auto"/>
      </w:pPr>
    </w:p>
    <w:p w:rsidR="00000000" w:rsidRDefault="00000000">
      <w:pPr>
        <w:pStyle w:val="FootnoteText"/>
        <w:spacing w:line="288" w:lineRule="auto"/>
      </w:pPr>
      <w:r>
        <w:t>81.</w:t>
      </w:r>
      <w:r>
        <w:tab/>
        <w:t>В свою очередь Гражданский кодекс обязывает лицо, которое нарушило закон и нанесло ущерб здоровью другого лица, компенсировать жертве медицинские расходы.  Жертва также вправе потребовать компенсацию за упущенную выгоду.  Если потерпевший утратил трудоспособность или стал инвалидом, то виновная сторона должна дополнительно компенсировать доходы, которые жертва получила бы в будущем, а также выплатить компенсацию за причиненные телесные повреждения.</w:t>
      </w:r>
    </w:p>
    <w:p w:rsidR="00000000" w:rsidRDefault="00000000"/>
    <w:p w:rsidR="00000000" w:rsidRDefault="00000000">
      <w:r>
        <w:t>82.</w:t>
      </w:r>
      <w:r>
        <w:tab/>
        <w:t>Гражданский кодекс предусматривает также, что лицо, виновное в смерти другого лица, обязано возместить наследникам покойного медицинские расходы и затраты на похороны.  Кроме того, в соответствии с Гражданским кодексом виновная сторона обязана выплатить иждивенцам покойного соответствующую компенсацию.</w:t>
      </w:r>
    </w:p>
    <w:p w:rsidR="00000000" w:rsidRDefault="00000000"/>
    <w:p w:rsidR="00000000" w:rsidRDefault="00000000">
      <w:pPr>
        <w:pStyle w:val="Heading1"/>
        <w:jc w:val="center"/>
        <w:rPr>
          <w:bCs/>
        </w:rPr>
      </w:pPr>
      <w:r>
        <w:rPr>
          <w:bCs/>
        </w:rPr>
        <w:t>СТАТЬЯ 15</w:t>
      </w:r>
    </w:p>
    <w:p w:rsidR="00000000" w:rsidRDefault="00000000">
      <w:pPr>
        <w:pStyle w:val="Heading1"/>
        <w:rPr>
          <w:bCs/>
        </w:rPr>
      </w:pPr>
    </w:p>
    <w:p w:rsidR="00000000" w:rsidRDefault="00000000">
      <w:r>
        <w:t>83.</w:t>
      </w:r>
      <w:r>
        <w:tab/>
        <w:t>Действующее в Латвии законодательство закрепляет предусмотренный в статье 15 Конвенции принцип, в соответствии с которым заявления, сделанные под пыткой, запрещено использовать в качестве доказательства.</w:t>
      </w:r>
    </w:p>
    <w:p w:rsidR="00000000" w:rsidRDefault="00000000"/>
    <w:p w:rsidR="00000000" w:rsidRDefault="00000000">
      <w:r>
        <w:t>84.</w:t>
      </w:r>
      <w:r>
        <w:tab/>
        <w:t xml:space="preserve">Так, в статье 19 Уголовно-процессуального кодекса говорится о том, что для установления обстоятельств дела можно использовать лишь доказательства, которые были получены, проверены и оценены в установленном законом порядке.  В соответствии со статьей 49 Уголовно-процессуального кодекса доказательствами по уголовному делу являются любые фактические данные, на основе которых в определенном законом порядке орган дознания, прокурор, судья и суд устанавливают наличие или отсутствие </w:t>
      </w:r>
      <w:r>
        <w:rPr>
          <w:i/>
          <w:iCs/>
          <w:lang w:val="en-US"/>
        </w:rPr>
        <w:t>corpus</w:t>
      </w:r>
      <w:r>
        <w:rPr>
          <w:i/>
          <w:iCs/>
        </w:rPr>
        <w:t xml:space="preserve"> </w:t>
      </w:r>
      <w:r>
        <w:rPr>
          <w:i/>
          <w:iCs/>
          <w:lang w:val="en-US"/>
        </w:rPr>
        <w:t>delicti</w:t>
      </w:r>
      <w:r>
        <w:t xml:space="preserve"> - состава преступления, виновность лица, совершившего это деяние, и иные обстоятельства, имеющие значение для правильного разрешения дела.  Эти данные устанавливаются:  показаниями свидетелей, показаниями потерпевшего, показаниями подозреваемого, показаниями обвиняемого, заключением эксперта, вещественными доказательствами, протоколами следственных и судебных действий и иными документами.  Информацию, полученную в ходе оперативной деятельности, а также информацию, собранную с помощью технических средств, можно использовать в качестве доказательств лишь в том случае, если их можно проверить в порядке, определенном в упомянутом выше Кодексе.</w:t>
      </w:r>
    </w:p>
    <w:p w:rsidR="00000000" w:rsidRDefault="00000000"/>
    <w:p w:rsidR="00000000" w:rsidRDefault="00000000">
      <w:r>
        <w:t>85.</w:t>
      </w:r>
      <w:r>
        <w:tab/>
        <w:t>В соответствии со статьей 294 Уголовного закона принуждение к даче показаний, в совокупности с применением насилия, угрозы насилия, унижением допрашиваемого лица или совершенное каким</w:t>
      </w:r>
      <w:r>
        <w:noBreakHyphen/>
        <w:t>либо иным образом, а также совершенное лицом, осуществляющим предварительное расследование, наказывается лишением свободы на срок до 10 лет.</w:t>
      </w:r>
    </w:p>
    <w:p w:rsidR="00000000" w:rsidRDefault="00000000"/>
    <w:p w:rsidR="00000000" w:rsidRDefault="00000000">
      <w:r>
        <w:t>86.</w:t>
      </w:r>
      <w:r>
        <w:tab/>
        <w:t>По информации компетентных органов, в 2001 году зарегистрировано лишь одно преступление, предусмотренное в статье 294 Уголовного закона.</w:t>
      </w:r>
    </w:p>
    <w:p w:rsidR="00000000" w:rsidRDefault="00000000"/>
    <w:p w:rsidR="00000000" w:rsidRDefault="00000000">
      <w:pPr>
        <w:pStyle w:val="Heading1"/>
        <w:jc w:val="center"/>
        <w:rPr>
          <w:bCs/>
        </w:rPr>
      </w:pPr>
      <w:r>
        <w:rPr>
          <w:bCs/>
        </w:rPr>
        <w:t>СТАТЬЯ 16</w:t>
      </w:r>
    </w:p>
    <w:p w:rsidR="00000000" w:rsidRDefault="00000000">
      <w:pPr>
        <w:pStyle w:val="Heading1"/>
        <w:rPr>
          <w:bCs/>
        </w:rPr>
      </w:pPr>
    </w:p>
    <w:p w:rsidR="00000000" w:rsidRDefault="00000000">
      <w:r>
        <w:t>87.</w:t>
      </w:r>
      <w:r>
        <w:tab/>
        <w:t>Как уже отмечалось в пункте 3 настоящего доклада, статья 95 Конституции запрещает не только применение пыток, но и жестокое или унижающее достоинство обращение и наказание.  Реализацию этого принципа в конкретных областях обеспечивают несколько действующих нормативных актов.</w:t>
      </w:r>
    </w:p>
    <w:p w:rsidR="00000000" w:rsidRDefault="00000000"/>
    <w:p w:rsidR="00000000" w:rsidRDefault="00000000">
      <w:r>
        <w:t>88.</w:t>
      </w:r>
      <w:r>
        <w:tab/>
        <w:t>Закон об образовании определяет права и обязанности преподавателей и учащихся.  Так, в статье 51 Закона говорится о том, что преподаватель, в частности, обязан соблюдать нормы профессиональной этики, уважать права ребенка и нести ответственность за свою работу, методы, приемы и результаты.  Кроме того, в статье 55 закреплено право учащихся свободно выражать и отстаивать свои убеждения и мнения во время учебного процесса, право на условия, которые не угрожают их здоровью и жизни в учебном заведении и во время мероприятий, организуемых этим заведением, и т.д.  Эти нормы действуют в отношении всех учебных заведений, включая специальные учебные заведения, которые предоставляют общее и профессиональное образование учащимся с умственными и психическими расстройствами и с особыми потребностями.</w:t>
      </w:r>
    </w:p>
    <w:p w:rsidR="00000000" w:rsidRDefault="00000000"/>
    <w:p w:rsidR="00000000" w:rsidRDefault="00000000">
      <w:r>
        <w:t>89.</w:t>
      </w:r>
      <w:r>
        <w:tab/>
        <w:t>В соответствии со статьями 66 и 67 Уголовного закона, с положениями принятого в 1993 году Закона "О применении принудительных мер воспитательного воздействия в отношении несовершеннолетних" и со статьей 8 Уголовно-процессуального кодекса Латвии принудительные меры могут применяться в отношении несовершеннолетних, признанных виновными в совершении преступления.  Одна из возможных мер заключается в помещении несовершеннолетнего в специальное учебно-воспитательное учреждение, занятия в котором направлены на перевоспитание несовершеннолетних преступников.  Деятельность этих учреждений регулируется Законом об образовании.</w:t>
      </w:r>
    </w:p>
    <w:p w:rsidR="00000000" w:rsidRDefault="00000000"/>
    <w:p w:rsidR="00000000" w:rsidRDefault="00000000">
      <w:r>
        <w:t>90.</w:t>
      </w:r>
      <w:r>
        <w:tab/>
        <w:t>Латвия подписала принятую в 1997 году Европейскую конвенцию о защите прав и достоинства человека в связи с применением достижений биологии и медицины, а также принятый в 1998 году Дополнительный протокол относительно запрещения клонирования людей.  Оба этих документа обсуждаются в настоящее время в Сейме (парламенте) и будут, как ожидается, ратифицированы в ближайшем будущем.</w:t>
      </w:r>
    </w:p>
    <w:p w:rsidR="00000000" w:rsidRDefault="00000000"/>
    <w:p w:rsidR="00000000" w:rsidRDefault="00000000">
      <w:r>
        <w:t>91.</w:t>
      </w:r>
      <w:r>
        <w:tab/>
        <w:t>В статье 139 Уголовного закона определяется ответственность за незаконное изъятие медицинским работником органов или тканей у живого человека или трупа для использования в медицинских целях.  Такое деяние может наказываться лишением свободы на срок до пяти лет и лишением данного лица права заниматься врачебной деятельностью в течение периода до пяти лет.</w:t>
      </w:r>
    </w:p>
    <w:p w:rsidR="00000000" w:rsidRDefault="00000000"/>
    <w:p w:rsidR="00000000" w:rsidRDefault="00000000">
      <w:r>
        <w:t>92.</w:t>
      </w:r>
      <w:r>
        <w:tab/>
        <w:t>В соответствии с Законом о медицинском обслуживании учрежден и действует Центральный комитет по врачебной этике - коллегиальный консультативный орган, который рассматривает этические аспекты биомедицинского прогресса, связанные с социальными проблемами, т.е. комплекс моральных принципов и норм в биомедицине, связанных с защитой прав и достоинства человека в рамках генетических исследований, выбора пола, трансплантации и других исследований.  Комитет призван, в частности, стимулировать, в сотрудничестве с учебными и медицинскими учреждениями Латвии, включение вопросов медицинской этики в учебную программу по социальной медицине, психологии и коммуникации в упомянутых учреждениях;  давать государственным административным структурам, органам местной власти, учреждениям здравоохранения и учебным медицинским учреждениям, а также другим организациям консультативные заключения по соблюдению упомянутыми выше учреждениями и организациями действующих правовых актов о нормах медицинской этики, рассматривать любые жалобы и ходатайства физических или юридических лиц и давать конфиденциальные заключения относительно этических аспектов биомедицинского прогресса в ответ на просьбу Комитета по врачебной этике, медицинских учреждений и ассоциаций медицинских работников.</w:t>
      </w:r>
    </w:p>
    <w:p w:rsidR="00000000" w:rsidRDefault="00000000"/>
    <w:p w:rsidR="00000000" w:rsidRDefault="00000000">
      <w:r>
        <w:t>93.</w:t>
      </w:r>
      <w:r>
        <w:tab/>
        <w:t>В соответствии с принятым в 1992 году Законом о научной деятельности научный работник обязан прекратить научные исследования, если он пришел к заключению, что в результате этого исследования может возникнуть угроза для человечества, общества или природы, и проинформировать об этом общественность.  Закон предписывает создание Научного совета Латвии, призванного определить этические критерии научных исследований.</w:t>
      </w:r>
    </w:p>
    <w:p w:rsidR="00000000" w:rsidRDefault="00000000"/>
    <w:p w:rsidR="00000000" w:rsidRDefault="00000000">
      <w:r>
        <w:t>94.</w:t>
      </w:r>
      <w:r>
        <w:tab/>
        <w:t>В конце 2001 года Конституционный суд объявил о своем решении по делу, которое касается соответствия утвержденных министерством юстиции Временных правил "О порядке содержания подозреваемых, обвиняемых, ответчиков и осужденных в следственных тюрьмах" статье 95 (о запрещении пыток и бесчеловечного или унижающего достоинство обращения) и статье 111 (о праве на здоровье и гарантируемый минимум медицинской помощи) Конституции.  По мнению стороны, представившей жалобу в Конституционный суд, установленный запрет на продовольственные передачи противоречил упомянутым выше статьям Конституции.  В своем решении Конституционный суд заявил, что Внутренний регламент следственных тюрем, принятый на основе указанных выше Правил, противоречит Конституции в той части, которая касается запрещения продовольственных передач.</w:t>
      </w:r>
    </w:p>
    <w:p w:rsidR="00000000" w:rsidRDefault="00000000"/>
    <w:p w:rsidR="00000000" w:rsidRDefault="00000000"/>
    <w:p w:rsidR="00000000" w:rsidRDefault="00000000">
      <w:pPr>
        <w:pStyle w:val="16"/>
      </w:pPr>
      <w:r>
        <w:t>-------</w:t>
      </w:r>
    </w:p>
    <w:sectPr w:rsidR="00000000">
      <w:headerReference w:type="even" r:id="rId10"/>
      <w:headerReference w:type="default" r:id="rId11"/>
      <w:foot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Преступлениями небольшой тяжести признаются преступления, за совершение которых максимальное наказание, предусмотренное законом, не превышает двух лет лишения свободы, или выносится менее суровое наказание.  Преступлениями средней тяжести признаются умышленные деяния, подлежащие наказанию в виде лишения свободы на срок от двух до пяти лет, а также неосторожные деяния, подлежащие в соответствии с Уголовным законом наказанию в виде лишения свободы на срок, превышающий два года.  Тяжкими преступлениями признаются преступления, подлежащие наказанию в виде лишения свободы на срок свыше пяти лет, но не более десяти лет.  Особо тяжкими преступлениями признаются умышленные деяния, подлежащие в соответствии с Уголовным законом наказанию в виде лишения свободы на срок свыше десяти лет, пожизненного тюремного заключения или смертной казни.</w:t>
      </w:r>
    </w:p>
  </w:footnote>
  <w:footnote w:id="2">
    <w:p w:rsidR="00000000" w:rsidRDefault="00000000">
      <w:pPr>
        <w:pStyle w:val="FootnoteText"/>
      </w:pPr>
      <w:r>
        <w:rPr>
          <w:rStyle w:val="FootnoteReference"/>
        </w:rPr>
        <w:footnoteRef/>
      </w:r>
      <w:r>
        <w:t xml:space="preserve"> </w:t>
      </w:r>
      <w:r>
        <w:tab/>
        <w:t>Согласно действующему законодательству выдача Латвией какого-либо лица невозможна, если:</w:t>
      </w:r>
    </w:p>
    <w:p w:rsidR="00000000" w:rsidRDefault="00000000">
      <w:pPr>
        <w:pStyle w:val="FootnoteText"/>
      </w:pPr>
    </w:p>
    <w:p w:rsidR="00000000" w:rsidRDefault="00000000">
      <w:pPr>
        <w:pStyle w:val="FootnoteText"/>
      </w:pPr>
      <w:r>
        <w:tab/>
        <w:t>а)</w:t>
      </w:r>
      <w:r>
        <w:tab/>
        <w:t>это лицо является гражданином Латвии;</w:t>
      </w:r>
    </w:p>
    <w:p w:rsidR="00000000" w:rsidRDefault="00000000">
      <w:pPr>
        <w:pStyle w:val="FootnoteText"/>
      </w:pPr>
    </w:p>
    <w:p w:rsidR="00000000" w:rsidRDefault="00000000">
      <w:pPr>
        <w:pStyle w:val="FootnoteText"/>
      </w:pPr>
      <w:r>
        <w:tab/>
      </w:r>
      <w:r>
        <w:rPr>
          <w:lang w:val="en-US"/>
        </w:rPr>
        <w:t>b</w:t>
      </w:r>
      <w:r>
        <w:t>)</w:t>
      </w:r>
      <w:r>
        <w:tab/>
        <w:t>уголовное преступление совершено на территории Латвии;</w:t>
      </w:r>
    </w:p>
    <w:p w:rsidR="00000000" w:rsidRDefault="00000000">
      <w:pPr>
        <w:pStyle w:val="FootnoteText"/>
      </w:pPr>
    </w:p>
    <w:p w:rsidR="00000000" w:rsidRDefault="00000000">
      <w:pPr>
        <w:pStyle w:val="FootnoteText"/>
      </w:pPr>
      <w:r>
        <w:tab/>
        <w:t>с)</w:t>
      </w:r>
      <w:r>
        <w:tab/>
        <w:t>решение суда по уголовному преступлению, в связи с которым запрашивается выдача, уже принято и вступило в действие, а также когда дело по предъявленным обвинениям закрыто;</w:t>
      </w:r>
    </w:p>
    <w:p w:rsidR="00000000" w:rsidRDefault="00000000">
      <w:pPr>
        <w:pStyle w:val="FootnoteText"/>
      </w:pPr>
    </w:p>
    <w:p w:rsidR="00000000" w:rsidRDefault="00000000">
      <w:pPr>
        <w:pStyle w:val="FootnoteText"/>
      </w:pPr>
      <w:r>
        <w:tab/>
      </w:r>
      <w:r>
        <w:rPr>
          <w:lang w:val="en-US"/>
        </w:rPr>
        <w:t>d</w:t>
      </w:r>
      <w:r>
        <w:t>)</w:t>
      </w:r>
      <w:r>
        <w:tab/>
        <w:t>согласно законодательству Латвии данное лицо не несет уголовной ответственности ввиду истечения срока давности или по каким-либо иным обоснованным причинам;</w:t>
      </w:r>
    </w:p>
    <w:p w:rsidR="00000000" w:rsidRDefault="00000000">
      <w:pPr>
        <w:pStyle w:val="FootnoteText"/>
        <w:ind w:left="1134" w:hanging="1134"/>
      </w:pPr>
    </w:p>
    <w:p w:rsidR="00000000" w:rsidRDefault="00000000">
      <w:pPr>
        <w:pStyle w:val="FootnoteText"/>
      </w:pPr>
      <w:r>
        <w:tab/>
        <w:t>е)</w:t>
      </w:r>
      <w:r>
        <w:tab/>
        <w:t>деяние, в связи с которым запрашивается выдача данного лица, не является преступлением по Уголовному закону;</w:t>
      </w:r>
    </w:p>
    <w:p w:rsidR="00000000" w:rsidRDefault="00000000">
      <w:pPr>
        <w:pStyle w:val="FootnoteText"/>
        <w:ind w:left="1134" w:hanging="1134"/>
      </w:pPr>
    </w:p>
    <w:p w:rsidR="00000000" w:rsidRDefault="00000000">
      <w:pPr>
        <w:pStyle w:val="FootnoteText"/>
        <w:ind w:left="1134" w:hanging="1134"/>
      </w:pPr>
      <w:r>
        <w:tab/>
      </w:r>
      <w:r>
        <w:rPr>
          <w:lang w:val="en-US"/>
        </w:rPr>
        <w:t>f</w:t>
      </w:r>
      <w:r>
        <w:t>)</w:t>
      </w:r>
      <w:r>
        <w:tab/>
        <w:t>данному лицу предоставлено политическое убежище на территории Латвии.</w:t>
      </w:r>
    </w:p>
    <w:p w:rsidR="00000000" w:rsidRDefault="00000000">
      <w:pPr>
        <w:pStyle w:val="FootnoteText"/>
        <w:ind w:left="1134" w:hanging="1134"/>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txbxContent>
          </v:textbox>
        </v:shape>
      </w:pict>
    </w:r>
    <w:r>
      <w:rPr>
        <w:lang w:val="en-US"/>
      </w:rPr>
      <w:t>CAT/C/21/Add.4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rPr>
        <w:lang w:val="en-US"/>
      </w:rPr>
    </w:pPr>
    <w:r>
      <w:rPr>
        <w:lang w:val="en-US"/>
      </w:rPr>
      <w:tab/>
      <w:t>CAT/C/21/Add.4</w:t>
    </w:r>
  </w:p>
  <w:p w:rsidR="00000000" w:rsidRDefault="00000000">
    <w:pPr>
      <w:pStyle w:val="Header"/>
      <w:tabs>
        <w:tab w:val="clear" w:pos="4153"/>
        <w:tab w:val="clear" w:pos="8306"/>
        <w:tab w:val="left" w:pos="7371"/>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9373</Words>
  <Characters>53427</Characters>
  <Application>Microsoft Office Word</Application>
  <DocSecurity>4</DocSecurity>
  <Lines>445</Lines>
  <Paragraphs>106</Paragraphs>
  <ScaleCrop>false</ScaleCrop>
  <HeadingPairs>
    <vt:vector size="2" baseType="variant">
      <vt:variant>
        <vt:lpstr>Название</vt:lpstr>
      </vt:variant>
      <vt:variant>
        <vt:i4>1</vt:i4>
      </vt:variant>
    </vt:vector>
  </HeadingPairs>
  <TitlesOfParts>
    <vt:vector size="1" baseType="lpstr">
      <vt:lpstr>44300.01.doc</vt:lpstr>
    </vt:vector>
  </TitlesOfParts>
  <Company> </Company>
  <LinksUpToDate>false</LinksUpToDate>
  <CharactersWithSpaces>65612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0244300.doc</dc:title>
  <dc:subject>Grigoriev</dc:subject>
  <dc:creator>Tatiana Dmitrieva</dc:creator>
  <cp:keywords/>
  <dc:description/>
  <cp:lastModifiedBy>Tatiana Dmitrieva</cp:lastModifiedBy>
  <cp:revision>4</cp:revision>
  <cp:lastPrinted>2002-11-08T08:40:00Z</cp:lastPrinted>
  <dcterms:created xsi:type="dcterms:W3CDTF">2002-11-08T08:39:00Z</dcterms:created>
  <dcterms:modified xsi:type="dcterms:W3CDTF">2002-11-08T08:41:00Z</dcterms:modified>
</cp:coreProperties>
</file>