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85.05pt;margin-top:119.05pt;width:68.05pt;height:63.9pt;z-index:6;visibility:visible;mso-wrap-edited:f;mso-position-horizontal:absolute;mso-position-horizontal-relative:page;mso-position-vertical:absolute;mso-position-vertical-relative:page" o:allowincell="f">
            <v:imagedata r:id="rId6" o:title=""/>
            <w10:wrap anchorx="page" anchory="page"/>
          </v:shape>
          <o:OLEObject Type="Embed" ProgID="Word.Picture.8" ShapeID="_x0000_s1031" DrawAspect="Content" ObjectID="_1392476570" r:id="rId7"/>
        </w:pict>
      </w:r>
      <w:r>
        <w:rPr>
          <w:noProof/>
        </w:rPr>
        <w:pict>
          <v:rect id="_x0000_s1030" style="position:absolute;margin-left:165.6pt;margin-top:124.75pt;width:158.4pt;height:59.6pt;z-index:-2;mso-position-horizontal:absolute;mso-position-horizontal-relative:page;mso-position-vertical:absolute;mso-position-vertical-relative:page" o:allowincell="f" filled="f" stroked="f" strokeweight="0">
            <v:textbox style="mso-next-textbox:#_x0000_s1030" inset="0,0,0,0">
              <w:txbxContent>
                <w:p w:rsidR="00000000" w:rsidRDefault="00000000">
                  <w:pPr>
                    <w:pStyle w:val="Heading2"/>
                  </w:pPr>
                  <w:r>
                    <w:t>Pacto Internacional de Derechos Civiles</w:t>
                  </w:r>
                </w:p>
                <w:p w:rsidR="00000000" w:rsidRDefault="00000000">
                  <w:pPr>
                    <w:pStyle w:val="Heading2"/>
                  </w:pPr>
                  <w:r>
                    <w:t xml:space="preserve">y Políticos 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39.2pt;margin-top:51.05pt;width:113.6pt;height:44.2pt;z-index:2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000000" w:rsidRDefault="00000000">
                  <w:pPr>
                    <w:pStyle w:val="BodyText"/>
                    <w:rPr>
                      <w:sz w:val="72"/>
                    </w:rPr>
                  </w:pPr>
                  <w:r>
                    <w:rPr>
                      <w:sz w:val="72"/>
                    </w:rPr>
                    <w:t>CCPR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85.05pt;margin-top:56.7pt;width:94.95pt;height:36.3pt;z-index:1;mso-position-horizontal:absolute;mso-position-horizontal-relative:page;mso-position-vertical:absolute;mso-position-vertical-relative:page" o:allowincell="f" filled="f" stroked="f">
            <v:textbox inset="0">
              <w:txbxContent>
                <w:p w:rsidR="00000000" w:rsidRDefault="00000000">
                  <w:pPr>
                    <w:pStyle w:val="BodyText"/>
                  </w:pPr>
                  <w:r>
                    <w:t>NACIONES UNIDAS</w:t>
                  </w:r>
                </w:p>
              </w:txbxContent>
            </v:textbox>
            <w10:wrap anchorx="page" anchory="page"/>
          </v:shape>
        </w:pict>
      </w:r>
    </w:p>
    <w:p w:rsidR="00000000" w:rsidRDefault="00000000">
      <w:pPr>
        <w:rPr>
          <w:lang w:val="es-ES_tradnl"/>
        </w:rPr>
      </w:pPr>
      <w:r>
        <w:rPr>
          <w:noProof/>
        </w:rPr>
        <w:pict>
          <v:rect id="_x0000_s1029" style="position:absolute;margin-left:.05pt;margin-top:249.5pt;width:467.7pt;height:4.25pt;z-index:-3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  <w:r>
        <w:rPr>
          <w:noProof/>
        </w:rPr>
        <w:pict>
          <v:rect id="_x0000_s1028" style="position:absolute;margin-left:-.1pt;margin-top:104.9pt;width:467.7pt;height:.95pt;z-index:-4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tabs>
          <w:tab w:val="left" w:pos="6804"/>
        </w:tabs>
        <w:rPr>
          <w:lang w:val="es-ES_tradnl"/>
        </w:rPr>
      </w:pPr>
      <w:r>
        <w:rPr>
          <w:lang w:val="es-ES_tradnl"/>
        </w:rPr>
        <w:tab/>
        <w:t>Distr.</w:t>
      </w:r>
    </w:p>
    <w:p w:rsidR="00000000" w:rsidRDefault="00000000">
      <w:pPr>
        <w:tabs>
          <w:tab w:val="left" w:pos="6804"/>
        </w:tabs>
        <w:spacing w:after="240"/>
        <w:rPr>
          <w:lang w:val="es-ES_tradnl"/>
        </w:rPr>
      </w:pPr>
      <w:r>
        <w:rPr>
          <w:lang w:val="es-ES_tradnl"/>
        </w:rPr>
        <w:tab/>
        <w:t>GENERAL</w:t>
      </w:r>
    </w:p>
    <w:p w:rsidR="00000000" w:rsidRDefault="00000000">
      <w:pPr>
        <w:tabs>
          <w:tab w:val="left" w:pos="6804"/>
        </w:tabs>
        <w:rPr>
          <w:lang w:val="es-ES_tradnl"/>
        </w:rPr>
      </w:pPr>
      <w:r>
        <w:rPr>
          <w:lang w:val="es-ES_tradnl"/>
        </w:rPr>
        <w:tab/>
        <w:t>CCPR/C/68/L/COG</w:t>
      </w:r>
    </w:p>
    <w:p w:rsidR="00000000" w:rsidRDefault="00000000">
      <w:pPr>
        <w:tabs>
          <w:tab w:val="left" w:pos="6804"/>
        </w:tabs>
        <w:spacing w:after="240"/>
        <w:rPr>
          <w:lang w:val="es-ES_tradnl"/>
        </w:rPr>
      </w:pPr>
      <w:r>
        <w:rPr>
          <w:lang w:val="es-ES_tradnl"/>
        </w:rPr>
        <w:tab/>
        <w:t>3 de diciembre de 1999</w:t>
      </w:r>
    </w:p>
    <w:p w:rsidR="00000000" w:rsidRDefault="00000000">
      <w:pPr>
        <w:tabs>
          <w:tab w:val="left" w:pos="6804"/>
        </w:tabs>
        <w:rPr>
          <w:lang w:val="es-ES_tradnl"/>
        </w:rPr>
      </w:pPr>
      <w:r>
        <w:rPr>
          <w:lang w:val="es-ES_tradnl"/>
        </w:rPr>
        <w:tab/>
        <w:t>ESPAÑOL</w:t>
      </w:r>
    </w:p>
    <w:p w:rsidR="00000000" w:rsidRDefault="00000000">
      <w:pPr>
        <w:tabs>
          <w:tab w:val="left" w:pos="6804"/>
        </w:tabs>
        <w:spacing w:after="240"/>
        <w:rPr>
          <w:lang w:val="es-ES_tradnl"/>
        </w:rPr>
      </w:pPr>
      <w:r>
        <w:rPr>
          <w:lang w:val="es-ES_tradnl"/>
        </w:rPr>
        <w:tab/>
        <w:t>Original:  INGLÉS</w:t>
      </w: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COMITÉ DE DERECHOS HUMANOS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68º período de sesiones</w:t>
      </w: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spacing w:after="360"/>
        <w:jc w:val="center"/>
        <w:rPr>
          <w:lang w:val="es-ES_tradnl"/>
        </w:rPr>
      </w:pPr>
      <w:r>
        <w:rPr>
          <w:lang w:val="es-ES_tradnl"/>
        </w:rPr>
        <w:t>LISTA DE CUESTIONES QUE DEBEN EXAMINARSE EN RELACIÓN</w:t>
      </w:r>
      <w:r>
        <w:rPr>
          <w:lang w:val="es-ES_tradnl"/>
        </w:rPr>
        <w:br/>
        <w:t>CON EL EXAMEN DEL SEGUNDO INFORME PERIÓDICO DE LA</w:t>
      </w:r>
      <w:r>
        <w:rPr>
          <w:lang w:val="es-ES_tradnl"/>
        </w:rPr>
        <w:br/>
        <w:t>REPÚBLICA DEL CONGO</w:t>
      </w:r>
      <w:r>
        <w:rPr>
          <w:lang w:val="es-ES_tradnl"/>
        </w:rPr>
        <w:br/>
        <w:t>(CCPR/C/63/Add.5)</w:t>
      </w:r>
    </w:p>
    <w:p w:rsidR="00000000" w:rsidRDefault="00000000">
      <w:pPr>
        <w:spacing w:after="36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>Aprobada por el Comité de Derechos Humanos el 4 de noviembre de 1999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Marco constitucional y jurídico en que se aplica el Pacto (artículo 2)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Sírvanse proporcionar información sobre el período transitorio iniciado en octubre de 1997 y sobre el proceso que debe conducir al establecimiento de una nueva constitución y a la organización de elecciones generales, tanto presidenciales como legislativas.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¿Qué lugar ocupa el Pacto en el derecho congoleño?  ¿Puede invocarse ante los tribunales?  ¿Es aplicado por los tribunales?  Sírvanse dar ejemplos concretos.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¿Existe algún mecanismo independiente de vigilancia de las violaciones de los derechos humanos y de examen de las denuncias?  ¿Tropieza con trabas el Observatorio Congoleño de Derechos Humanos en el desempeño de sus actividades, como se ha sostenido frecuentemente y de ser así, por qué razón?</w:t>
      </w: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GE.99-46073  (S)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Suminístrese información sobre las actividades de sensibilización y de formación destinadas a dar a conocer el Pacto a los funcionarios de la administración pública, profesores, jueces, abogados, miembros de la fuerza pública y las fuerzas armadas y a otras personas.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Sírvanse proporcionar información sobre la forma en que el disfrute de los derechos humanos enunciados en el Pacto se ha visto afectado por la acción de las milicias privadas y la intervención armada extranjera.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Derecho a la vida; desapariciones; tratamiento de los detenidos y otras personas; derecho a la libertad y seguridad de la persona (artículos 6, 7, 9, 10 y 16)</w:t>
      </w:r>
    </w:p>
    <w:p w:rsidR="00000000" w:rsidRDefault="00000000">
      <w:pPr>
        <w:spacing w:after="240"/>
        <w:rPr>
          <w:lang w:val="es-ES_tradnl"/>
        </w:rPr>
      </w:pPr>
      <w:r>
        <w:rPr>
          <w:rStyle w:val="Interlineado"/>
          <w:lang w:val="es-ES_tradnl"/>
        </w:rPr>
        <w:t>6.</w:t>
      </w:r>
      <w:r>
        <w:rPr>
          <w:rStyle w:val="Interlineado"/>
          <w:lang w:val="es-ES_tradnl"/>
        </w:rPr>
        <w:tab/>
        <w:t>¿Cuáles son la</w:t>
      </w:r>
      <w:r>
        <w:rPr>
          <w:lang w:val="es-ES_tradnl"/>
        </w:rPr>
        <w:t>s medidas jurídicas y prácticas tendentes a impedir las violaciones de los derechos humanos por las fuerza de seguridad, incluidas las fuerzas armadas tanto nacionales como extranjeras, y las milicias, violaciones que se manifiestan, en particular, por ejecuciones extrajudiciales, desapariciones, secuestros, torturas, detenciones arbitrarias y violaciones?  ¿Ha realizado o piensa realizar el Estado Parte las investigaciones apropiadas a tal fin y traducir en justicia a los autores de esos delitos?  Sírvanse proporcionar las informaciones detalladas pertinentes al respecto.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  <w:t>Sírvanse dar precisiones sobre las condiciones actuales de detención en los establecimientos penitenciarios y otros lugares de detención, comprendidos los centros de detención privados.  ¿Qué medidas prevé adoptar el Estado Parte para cumplir el conjunto de Reglas mínimas para el tratamiento de los reclusos?</w:t>
      </w:r>
    </w:p>
    <w:p w:rsidR="00000000" w:rsidRDefault="00000000">
      <w:pPr>
        <w:widowControl w:val="0"/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Igualdad entre los géneros y principio de no discriminación (artículos 3 y 26)</w:t>
      </w:r>
    </w:p>
    <w:p w:rsidR="00000000" w:rsidRDefault="00000000">
      <w:pPr>
        <w:tabs>
          <w:tab w:val="left" w:pos="567"/>
          <w:tab w:val="left" w:pos="1134"/>
        </w:tabs>
        <w:spacing w:after="240"/>
        <w:ind w:left="1134" w:hanging="1134"/>
        <w:rPr>
          <w:lang w:val="es-ES_tradnl"/>
        </w:rPr>
      </w:pPr>
      <w:r>
        <w:rPr>
          <w:rStyle w:val="Interlineado"/>
          <w:lang w:val="es-ES_tradnl"/>
        </w:rPr>
        <w:t>8.</w:t>
      </w:r>
      <w:r>
        <w:rPr>
          <w:rStyle w:val="Interlineado"/>
          <w:lang w:val="es-ES_tradnl"/>
        </w:rPr>
        <w:tab/>
        <w:t>a)</w:t>
      </w:r>
      <w:r>
        <w:rPr>
          <w:rStyle w:val="Interlineado"/>
          <w:lang w:val="es-ES_tradnl"/>
        </w:rPr>
        <w:tab/>
        <w:t xml:space="preserve">¿Qué medidas ha adoptado </w:t>
      </w:r>
      <w:r>
        <w:rPr>
          <w:lang w:val="es-ES_tradnl"/>
        </w:rPr>
        <w:t>el Estado Parte para eliminar todas las formas de discriminación de la mujer?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b)</w:t>
      </w:r>
      <w:r>
        <w:rPr>
          <w:lang w:val="es-ES_tradnl"/>
        </w:rPr>
        <w:tab/>
        <w:t>¿Qué medidas ha adoptado o prevé adoptar el Estado Parte para combatir todo tipo de abusos contra la mujer, incluidas la violencia en el hogar y las violaciones, especialmente las cometidas por las fuerzas armadas y las milicias?  ¿De qué recursos disponen las víctimas?</w:t>
      </w:r>
    </w:p>
    <w:p w:rsidR="00000000" w:rsidRDefault="00000000">
      <w:pPr>
        <w:spacing w:after="240"/>
        <w:ind w:left="1134" w:hanging="567"/>
        <w:rPr>
          <w:rStyle w:val="Interlineado"/>
          <w:lang w:val="es-ES_tradnl"/>
        </w:rPr>
      </w:pPr>
      <w:r>
        <w:rPr>
          <w:lang w:val="es-ES_tradnl"/>
        </w:rPr>
        <w:t>c)</w:t>
      </w:r>
      <w:r>
        <w:rPr>
          <w:lang w:val="es-ES_tradnl"/>
        </w:rPr>
        <w:tab/>
        <w:t>¿Qué medidas prevé adoptar el Estado Parte para fomentar la participación de la mujer en la vida política, económica y social del país?  Sírvanse señalar porcentajes.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Derecho a la libertad de circulación (artículo 12)</w:t>
      </w:r>
    </w:p>
    <w:p w:rsidR="00000000" w:rsidRDefault="00000000">
      <w:pPr>
        <w:tabs>
          <w:tab w:val="left" w:pos="567"/>
          <w:tab w:val="left" w:pos="1134"/>
        </w:tabs>
        <w:spacing w:after="240"/>
        <w:ind w:left="1134" w:hanging="1134"/>
        <w:rPr>
          <w:lang w:val="es-ES_tradnl"/>
        </w:rPr>
      </w:pPr>
      <w:r>
        <w:rPr>
          <w:rStyle w:val="Interlineado"/>
          <w:lang w:val="es-ES_tradnl"/>
        </w:rPr>
        <w:t>9.</w:t>
      </w:r>
      <w:r>
        <w:rPr>
          <w:rStyle w:val="Interlineado"/>
          <w:lang w:val="es-ES_tradnl"/>
        </w:rPr>
        <w:tab/>
        <w:t>a)</w:t>
      </w:r>
      <w:r>
        <w:rPr>
          <w:rStyle w:val="Interlineado"/>
          <w:lang w:val="es-ES_tradnl"/>
        </w:rPr>
        <w:tab/>
        <w:t>Suminístrese inform</w:t>
      </w:r>
      <w:r>
        <w:rPr>
          <w:lang w:val="es-ES_tradnl"/>
        </w:rPr>
        <w:t>ación sobre los desplazamientos de población y los medios de proteger a las personas desplazadas, sobre todo en Brazzaville y Pointe Noire.</w:t>
      </w:r>
    </w:p>
    <w:p w:rsidR="00000000" w:rsidRDefault="00000000">
      <w:pPr>
        <w:spacing w:after="240"/>
        <w:ind w:left="1134" w:hanging="567"/>
        <w:rPr>
          <w:rStyle w:val="Interlineado"/>
          <w:lang w:val="es-ES_tradnl"/>
        </w:rPr>
      </w:pPr>
      <w:r>
        <w:rPr>
          <w:lang w:val="es-ES_tradnl"/>
        </w:rPr>
        <w:t>b)</w:t>
      </w:r>
      <w:r>
        <w:rPr>
          <w:lang w:val="es-ES_tradnl"/>
        </w:rPr>
        <w:tab/>
        <w:t>Suminístrese, asimismo, información sobre las condiciones del retorno de los refugiados a su propio país.</w:t>
      </w:r>
    </w:p>
    <w:p w:rsidR="00000000" w:rsidRDefault="00000000">
      <w:pPr>
        <w:keepNext/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Derecho a un juicio equitativo (artículo 14)</w:t>
      </w:r>
    </w:p>
    <w:p w:rsidR="00000000" w:rsidRDefault="00000000">
      <w:pPr>
        <w:keepLines/>
        <w:spacing w:after="240"/>
        <w:rPr>
          <w:lang w:val="es-ES_tradnl"/>
        </w:rPr>
      </w:pPr>
      <w:r>
        <w:rPr>
          <w:rStyle w:val="Interlineado"/>
          <w:lang w:val="es-ES_tradnl"/>
        </w:rPr>
        <w:t>10.</w:t>
      </w:r>
      <w:r>
        <w:rPr>
          <w:rStyle w:val="Interlineado"/>
          <w:lang w:val="es-ES_tradnl"/>
        </w:rPr>
        <w:tab/>
        <w:t>¿Qué medidas prácticas prevé adoptar el</w:t>
      </w:r>
      <w:r>
        <w:rPr>
          <w:lang w:val="es-ES_tradnl"/>
        </w:rPr>
        <w:t xml:space="preserve"> Estado Parte para garantizar la efectiva independencia de la magistratura y poner a la justicia al abrigo de todas las interferencias, entre ellas las interferencias políticas?  Suminístrense precisiones sobre las garantías reales de la condición de los jueces.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lang w:val="es-ES_tradnl"/>
        </w:rPr>
        <w:t>11.</w:t>
      </w:r>
      <w:r>
        <w:rPr>
          <w:lang w:val="es-ES_tradnl"/>
        </w:rPr>
        <w:tab/>
        <w:t>¿En qué condiciones puede levantarse la inviolabilidad de la correspondencia?  ¿Cuál es la práctica en la materia?  Precísese si se siguen utilizando las escuchas telefónicas y en qué casos.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Derecho a la libertad de expresión y de reunión (artículos 19 y 21)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lang w:val="es-ES_tradnl"/>
        </w:rPr>
        <w:t>12.</w:t>
      </w:r>
      <w:r>
        <w:rPr>
          <w:rStyle w:val="Interlineado"/>
          <w:lang w:val="es-ES_tradnl"/>
        </w:rPr>
        <w:tab/>
        <w:t>¿Qué medidas prevé adoptar el Estado Parte par</w:t>
      </w:r>
      <w:r>
        <w:rPr>
          <w:lang w:val="es-ES_tradnl"/>
        </w:rPr>
        <w:t>a garantizar las libertades de reunión y de expresión, comprendida la libertad de prensa y la protección de los periodistas contra presiones e intimidaciones?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Protección de la infancia (artículo 24)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lang w:val="es-ES_tradnl"/>
        </w:rPr>
        <w:t>13.</w:t>
      </w:r>
      <w:r>
        <w:rPr>
          <w:rStyle w:val="Interlineado"/>
          <w:lang w:val="es-ES_tradnl"/>
        </w:rPr>
        <w:tab/>
        <w:t>¿Cuáles son las reglas y mecanismos de protecció</w:t>
      </w:r>
      <w:r>
        <w:rPr>
          <w:lang w:val="es-ES_tradnl"/>
        </w:rPr>
        <w:t>n de los niños, especialmente de los niños abandonados y, en general, de los que se encuentran en situación de vulnerabilidad?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lang w:val="es-ES_tradnl"/>
        </w:rPr>
        <w:t>14.</w:t>
      </w:r>
      <w:r>
        <w:rPr>
          <w:rStyle w:val="Interlineado"/>
          <w:lang w:val="es-ES_tradnl"/>
        </w:rPr>
        <w:tab/>
        <w:t>Sírvanse suministrar información sobre el reclutamiento y la participación de niños en las milicias privadas.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Derecho a la igualdad y la no discriminación; derechos de las personas que pertenecen a minorías (artículos 8, 26 y 27)</w:t>
      </w:r>
    </w:p>
    <w:p w:rsidR="00000000" w:rsidRDefault="00000000">
      <w:pPr>
        <w:spacing w:after="240"/>
        <w:rPr>
          <w:rStyle w:val="Interlineado"/>
          <w:lang w:val="es-ES_tradnl"/>
        </w:rPr>
      </w:pPr>
      <w:r>
        <w:rPr>
          <w:rStyle w:val="Interlineado"/>
          <w:lang w:val="es-ES_tradnl"/>
        </w:rPr>
        <w:t>15.</w:t>
      </w:r>
      <w:r>
        <w:rPr>
          <w:rStyle w:val="Interlineado"/>
          <w:lang w:val="es-ES_tradnl"/>
        </w:rPr>
        <w:tab/>
        <w:t>Sírvanse dar explicaciones sobre la c</w:t>
      </w:r>
      <w:r>
        <w:rPr>
          <w:lang w:val="es-ES_tradnl"/>
        </w:rPr>
        <w:t>ondición de los grupos étnicos, especialmente sobre la población pigmea que al parecer se encuentra marginada en los ámbitos de salud y empleo, y que seguiría estando sometida a un sistema de esclavitud.</w:t>
      </w:r>
    </w:p>
    <w:p w:rsidR="00000000" w:rsidRDefault="00000000">
      <w:pPr>
        <w:spacing w:after="240"/>
        <w:jc w:val="center"/>
        <w:rPr>
          <w:rStyle w:val="Interlineado"/>
          <w:lang w:val="es-ES_tradnl"/>
        </w:rPr>
      </w:pPr>
      <w:r>
        <w:rPr>
          <w:rStyle w:val="Interlineado"/>
          <w:lang w:val="es-ES_tradnl"/>
        </w:rPr>
        <w:t>-----</w:t>
      </w:r>
    </w:p>
    <w:p w:rsidR="00000000" w:rsidRDefault="00000000">
      <w:pPr>
        <w:rPr>
          <w:lang w:val="es-ES_tradnl"/>
        </w:rPr>
      </w:pPr>
    </w:p>
    <w:sectPr w:rsidR="00000000">
      <w:headerReference w:type="even" r:id="rId8"/>
      <w:headerReference w:type="default" r:id="rId9"/>
      <w:pgSz w:w="11906" w:h="16838"/>
      <w:pgMar w:top="1701" w:right="850" w:bottom="1984" w:left="1701" w:header="850" w:footer="19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CCPR/C/68/L/COG</w:t>
    </w:r>
  </w:p>
  <w:p w:rsidR="00000000" w:rsidRDefault="00000000">
    <w:pPr>
      <w:pStyle w:val="Header"/>
    </w:pPr>
    <w:r>
      <w:t xml:space="preserve">página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clear" w:pos="8504"/>
        <w:tab w:val="left" w:pos="6803"/>
      </w:tabs>
    </w:pPr>
    <w:r>
      <w:tab/>
      <w:t>CCPR/C/68/L/COG</w:t>
    </w:r>
  </w:p>
  <w:p w:rsidR="00000000" w:rsidRDefault="00000000">
    <w:pPr>
      <w:pStyle w:val="Header"/>
      <w:tabs>
        <w:tab w:val="clear" w:pos="4252"/>
        <w:tab w:val="clear" w:pos="8504"/>
        <w:tab w:val="left" w:pos="6803"/>
      </w:tabs>
    </w:pPr>
    <w:r>
      <w:tab/>
      <w:t xml:space="preserve">página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ttachedTemplate r:id="rId1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s-ES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566"/>
        <w:tab w:val="left" w:pos="1134"/>
        <w:tab w:val="left" w:pos="1700"/>
        <w:tab w:val="left" w:pos="2268"/>
        <w:tab w:val="left" w:pos="2834"/>
        <w:tab w:val="left" w:pos="3402"/>
        <w:tab w:val="left" w:pos="3968"/>
        <w:tab w:val="left" w:pos="4534"/>
        <w:tab w:val="left" w:pos="5102"/>
        <w:tab w:val="left" w:pos="5668"/>
        <w:tab w:val="left" w:pos="6236"/>
        <w:tab w:val="left" w:pos="6802"/>
        <w:tab w:val="left" w:pos="7370"/>
        <w:tab w:val="left" w:pos="7936"/>
        <w:tab w:val="left" w:pos="8504"/>
        <w:tab w:val="left" w:pos="9070"/>
        <w:tab w:val="left" w:pos="9637"/>
        <w:tab w:val="left" w:pos="10204"/>
        <w:tab w:val="left" w:pos="10771"/>
        <w:tab w:val="left" w:pos="11338"/>
        <w:tab w:val="left" w:pos="11905"/>
      </w:tabs>
      <w:outlineLvl w:val="1"/>
    </w:pPr>
    <w:rPr>
      <w:rFonts w:ascii="Arial" w:hAnsi="Arial"/>
      <w:b/>
      <w:snapToGrid w:val="0"/>
      <w:sz w:val="32"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/>
      <w:b/>
      <w:sz w:val="28"/>
      <w:lang w:val="es-ES_tradnl"/>
    </w:rPr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Interlineado">
    <w:name w:val="Interlineado"/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97\plan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15</TotalTime>
  <Pages>1</Pages>
  <Words>753</Words>
  <Characters>4294</Characters>
  <Application>Microsoft Office Word</Application>
  <DocSecurity>4</DocSecurity>
  <Lines>35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CRC/C/68/L/COG   -  99-46073</vt:lpstr>
    </vt:vector>
  </TitlesOfParts>
  <Company>ONU</Company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CRC/C/68/L/COG   -  99-46073</dc:title>
  <dc:subject/>
  <dc:creator>RS</dc:creator>
  <cp:keywords/>
  <dc:description/>
  <cp:lastModifiedBy>Luisa</cp:lastModifiedBy>
  <cp:revision>7</cp:revision>
  <cp:lastPrinted>1999-12-07T15:31:00Z</cp:lastPrinted>
  <dcterms:created xsi:type="dcterms:W3CDTF">1999-12-07T15:15:00Z</dcterms:created>
  <dcterms:modified xsi:type="dcterms:W3CDTF">1999-12-08T07:55:00Z</dcterms:modified>
</cp:coreProperties>
</file>