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93F13">
        <w:trPr>
          <w:trHeight w:hRule="exact" w:val="851"/>
        </w:trPr>
        <w:tc>
          <w:tcPr>
            <w:tcW w:w="1280" w:type="dxa"/>
            <w:tcBorders>
              <w:bottom w:val="single" w:sz="4" w:space="0" w:color="auto"/>
            </w:tcBorders>
          </w:tcPr>
          <w:p w:rsidR="00393F13" w:rsidRDefault="00393F13">
            <w:pPr>
              <w:rPr>
                <w:rFonts w:hint="eastAsia"/>
              </w:rPr>
            </w:pPr>
          </w:p>
        </w:tc>
        <w:tc>
          <w:tcPr>
            <w:tcW w:w="2273" w:type="dxa"/>
            <w:tcBorders>
              <w:bottom w:val="single" w:sz="4" w:space="0" w:color="auto"/>
            </w:tcBorders>
            <w:vAlign w:val="bottom"/>
          </w:tcPr>
          <w:p w:rsidR="00393F13" w:rsidRDefault="00393F13">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393F13" w:rsidRDefault="00393F13">
            <w:pPr>
              <w:spacing w:line="240" w:lineRule="atLeast"/>
              <w:jc w:val="right"/>
              <w:rPr>
                <w:rFonts w:hint="eastAsia"/>
                <w:szCs w:val="21"/>
              </w:rPr>
            </w:pPr>
            <w:r>
              <w:rPr>
                <w:sz w:val="40"/>
                <w:szCs w:val="40"/>
              </w:rPr>
              <w:t>C</w:t>
            </w:r>
            <w:r>
              <w:rPr>
                <w:rFonts w:hint="eastAsia"/>
                <w:sz w:val="40"/>
                <w:szCs w:val="40"/>
              </w:rPr>
              <w:t>EDAW</w:t>
            </w:r>
            <w:r>
              <w:rPr>
                <w:sz w:val="20"/>
              </w:rPr>
              <w:t>/C/</w:t>
            </w:r>
            <w:r>
              <w:rPr>
                <w:rFonts w:hint="eastAsia"/>
                <w:sz w:val="20"/>
              </w:rPr>
              <w:t>ISR/Q/5</w:t>
            </w:r>
          </w:p>
        </w:tc>
      </w:tr>
      <w:tr w:rsidR="00393F13">
        <w:trPr>
          <w:trHeight w:hRule="exact" w:val="2835"/>
        </w:trPr>
        <w:tc>
          <w:tcPr>
            <w:tcW w:w="1280" w:type="dxa"/>
            <w:tcBorders>
              <w:top w:val="single" w:sz="4" w:space="0" w:color="auto"/>
              <w:bottom w:val="single" w:sz="12" w:space="0" w:color="auto"/>
            </w:tcBorders>
          </w:tcPr>
          <w:p w:rsidR="00393F13" w:rsidRDefault="00393F13">
            <w:pPr>
              <w:spacing w:line="120" w:lineRule="atLeast"/>
              <w:rPr>
                <w:sz w:val="10"/>
                <w:szCs w:val="10"/>
              </w:rPr>
            </w:pPr>
          </w:p>
          <w:p w:rsidR="00393F13" w:rsidRDefault="00393F13">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393F13" w:rsidRDefault="00393F13">
            <w:pPr>
              <w:spacing w:before="160" w:line="240" w:lineRule="auto"/>
              <w:rPr>
                <w:rFonts w:eastAsia="SimHei" w:hint="eastAsia"/>
                <w:sz w:val="32"/>
                <w:szCs w:val="32"/>
              </w:rPr>
            </w:pPr>
            <w:r>
              <w:rPr>
                <w:rFonts w:eastAsia="SimHei" w:hint="eastAsia"/>
                <w:sz w:val="32"/>
                <w:szCs w:val="32"/>
                <w:lang w:val="fr-CH"/>
              </w:rPr>
              <w:t>消除对妇女一切形式歧视</w:t>
            </w:r>
            <w:r>
              <w:rPr>
                <w:rFonts w:eastAsia="SimHei" w:hint="eastAsia"/>
                <w:sz w:val="32"/>
                <w:szCs w:val="32"/>
              </w:rPr>
              <w:t>公约</w:t>
            </w:r>
          </w:p>
        </w:tc>
        <w:tc>
          <w:tcPr>
            <w:tcW w:w="2819" w:type="dxa"/>
            <w:tcBorders>
              <w:top w:val="single" w:sz="4" w:space="0" w:color="auto"/>
              <w:bottom w:val="single" w:sz="12" w:space="0" w:color="auto"/>
            </w:tcBorders>
          </w:tcPr>
          <w:p w:rsidR="00393F13" w:rsidRDefault="00393F13">
            <w:pPr>
              <w:spacing w:before="240" w:line="240" w:lineRule="atLeast"/>
              <w:rPr>
                <w:sz w:val="20"/>
              </w:rPr>
            </w:pPr>
            <w:r>
              <w:rPr>
                <w:sz w:val="20"/>
              </w:rPr>
              <w:t>Distr.: General</w:t>
            </w:r>
          </w:p>
          <w:p w:rsidR="00393F13" w:rsidRDefault="00393F13">
            <w:pPr>
              <w:spacing w:line="240" w:lineRule="atLeast"/>
              <w:rPr>
                <w:sz w:val="20"/>
              </w:rPr>
            </w:pPr>
            <w:r>
              <w:rPr>
                <w:rFonts w:hint="eastAsia"/>
                <w:sz w:val="20"/>
              </w:rPr>
              <w:t xml:space="preserve">14 </w:t>
            </w:r>
            <w:r>
              <w:rPr>
                <w:sz w:val="20"/>
              </w:rPr>
              <w:t>September 20</w:t>
            </w:r>
            <w:r>
              <w:rPr>
                <w:rFonts w:hint="eastAsia"/>
                <w:sz w:val="20"/>
              </w:rPr>
              <w:t>10</w:t>
            </w:r>
          </w:p>
          <w:p w:rsidR="00393F13" w:rsidRDefault="00393F13">
            <w:pPr>
              <w:spacing w:line="240" w:lineRule="atLeast"/>
              <w:rPr>
                <w:sz w:val="20"/>
              </w:rPr>
            </w:pPr>
            <w:r>
              <w:rPr>
                <w:sz w:val="20"/>
              </w:rPr>
              <w:t xml:space="preserve">Chinese </w:t>
            </w:r>
          </w:p>
          <w:p w:rsidR="00393F13" w:rsidRDefault="00393F13">
            <w:pPr>
              <w:spacing w:line="240" w:lineRule="atLeast"/>
              <w:rPr>
                <w:rFonts w:hint="eastAsia"/>
                <w:sz w:val="20"/>
              </w:rPr>
            </w:pPr>
            <w:r>
              <w:rPr>
                <w:sz w:val="20"/>
              </w:rPr>
              <w:t>Original: English</w:t>
            </w:r>
          </w:p>
        </w:tc>
      </w:tr>
    </w:tbl>
    <w:p w:rsidR="00393F13" w:rsidRDefault="00393F13">
      <w:pPr>
        <w:spacing w:before="120"/>
        <w:rPr>
          <w:rFonts w:eastAsia="SimHei" w:hint="eastAsia"/>
          <w:sz w:val="24"/>
          <w:szCs w:val="24"/>
        </w:rPr>
      </w:pPr>
      <w:r>
        <w:rPr>
          <w:rFonts w:eastAsia="SimHei" w:hint="eastAsia"/>
          <w:sz w:val="24"/>
          <w:szCs w:val="24"/>
        </w:rPr>
        <w:t>消除对妇女歧视委员会</w:t>
      </w:r>
    </w:p>
    <w:p w:rsidR="00393F13" w:rsidRDefault="00393F13">
      <w:pPr>
        <w:rPr>
          <w:rFonts w:eastAsia="SimHei" w:hint="eastAsia"/>
          <w:szCs w:val="21"/>
        </w:rPr>
      </w:pPr>
      <w:r>
        <w:rPr>
          <w:rFonts w:eastAsia="SimHei" w:hint="eastAsia"/>
          <w:szCs w:val="21"/>
        </w:rPr>
        <w:t>会前工作组</w:t>
      </w:r>
    </w:p>
    <w:p w:rsidR="00393F13" w:rsidRDefault="00393F13">
      <w:pPr>
        <w:rPr>
          <w:rFonts w:eastAsia="SimHei" w:hint="eastAsia"/>
          <w:szCs w:val="21"/>
        </w:rPr>
      </w:pPr>
      <w:r>
        <w:rPr>
          <w:rFonts w:eastAsia="SimHei" w:hint="eastAsia"/>
          <w:szCs w:val="21"/>
        </w:rPr>
        <w:t>第四十八届会议</w:t>
      </w:r>
    </w:p>
    <w:p w:rsidR="00393F13" w:rsidRDefault="00393F13">
      <w:pPr>
        <w:rPr>
          <w:rFonts w:hint="eastAsia"/>
          <w:szCs w:val="21"/>
        </w:rPr>
      </w:pPr>
      <w:r>
        <w:rPr>
          <w:rFonts w:hint="eastAsia"/>
          <w:szCs w:val="21"/>
        </w:rPr>
        <w:t>2011</w:t>
      </w:r>
      <w:r>
        <w:rPr>
          <w:rFonts w:hint="eastAsia"/>
          <w:szCs w:val="21"/>
        </w:rPr>
        <w:t>年</w:t>
      </w:r>
      <w:r>
        <w:rPr>
          <w:rFonts w:hint="eastAsia"/>
          <w:szCs w:val="21"/>
        </w:rPr>
        <w:t>1</w:t>
      </w:r>
      <w:r>
        <w:rPr>
          <w:rFonts w:hint="eastAsia"/>
          <w:szCs w:val="21"/>
        </w:rPr>
        <w:t>月</w:t>
      </w:r>
      <w:r>
        <w:rPr>
          <w:rFonts w:hint="eastAsia"/>
          <w:szCs w:val="21"/>
        </w:rPr>
        <w:t>17</w:t>
      </w:r>
      <w:r>
        <w:rPr>
          <w:rFonts w:hint="eastAsia"/>
          <w:szCs w:val="21"/>
        </w:rPr>
        <w:t>日至</w:t>
      </w:r>
      <w:r>
        <w:rPr>
          <w:rFonts w:hint="eastAsia"/>
          <w:szCs w:val="21"/>
        </w:rPr>
        <w:t>2</w:t>
      </w:r>
      <w:r>
        <w:rPr>
          <w:rFonts w:hint="eastAsia"/>
          <w:szCs w:val="21"/>
        </w:rPr>
        <w:t>月</w:t>
      </w:r>
      <w:r>
        <w:rPr>
          <w:rFonts w:hint="eastAsia"/>
          <w:szCs w:val="21"/>
        </w:rPr>
        <w:t>4</w:t>
      </w:r>
      <w:r>
        <w:rPr>
          <w:rFonts w:hint="eastAsia"/>
          <w:szCs w:val="21"/>
        </w:rPr>
        <w:t>日</w:t>
      </w:r>
    </w:p>
    <w:p w:rsidR="00393F13" w:rsidRDefault="00393F13">
      <w:pPr>
        <w:pStyle w:val="HChGC"/>
        <w:rPr>
          <w:rFonts w:hint="eastAsia"/>
        </w:rPr>
      </w:pPr>
      <w:r>
        <w:rPr>
          <w:rFonts w:hint="eastAsia"/>
        </w:rPr>
        <w:tab/>
      </w:r>
      <w:r>
        <w:rPr>
          <w:rFonts w:hint="eastAsia"/>
        </w:rPr>
        <w:tab/>
      </w:r>
      <w:r>
        <w:rPr>
          <w:rFonts w:hint="eastAsia"/>
        </w:rPr>
        <w:t>与审议定期报告有关的议题和问题清单</w:t>
      </w:r>
    </w:p>
    <w:p w:rsidR="00393F13" w:rsidRDefault="00393F13" w:rsidP="00A7395A">
      <w:pPr>
        <w:pStyle w:val="H1GC"/>
        <w:rPr>
          <w:rFonts w:hint="eastAsia"/>
        </w:rPr>
      </w:pPr>
      <w:r>
        <w:rPr>
          <w:rFonts w:hint="eastAsia"/>
        </w:rPr>
        <w:tab/>
      </w:r>
      <w:r>
        <w:rPr>
          <w:rFonts w:hint="eastAsia"/>
        </w:rPr>
        <w:tab/>
      </w:r>
      <w:r>
        <w:rPr>
          <w:rFonts w:hint="eastAsia"/>
        </w:rPr>
        <w:t>以色列</w:t>
      </w:r>
    </w:p>
    <w:p w:rsidR="00393F13" w:rsidRDefault="00393F13">
      <w:pPr>
        <w:pStyle w:val="SingleTxtGC"/>
      </w:pPr>
      <w:r>
        <w:rPr>
          <w:rFonts w:hint="eastAsia"/>
          <w:lang w:val="en-GB"/>
        </w:rPr>
        <w:t>会前工作组审议了以色列第四次和第五次定期报告</w:t>
      </w:r>
      <w:r>
        <w:rPr>
          <w:rFonts w:hint="eastAsia"/>
          <w:lang w:val="en-GB"/>
        </w:rPr>
        <w:t>(</w:t>
      </w:r>
      <w:r>
        <w:t>CEDAW/C/ISR/4</w:t>
      </w:r>
      <w:r>
        <w:rPr>
          <w:rFonts w:hint="eastAsia"/>
        </w:rPr>
        <w:t>和</w:t>
      </w:r>
      <w:r>
        <w:t>CEDAW/C/ISR/5</w:t>
      </w:r>
      <w:r>
        <w:rPr>
          <w:rFonts w:hint="eastAsia"/>
          <w:lang w:val="en-GB"/>
        </w:rPr>
        <w:t>)</w:t>
      </w:r>
      <w:r>
        <w:rPr>
          <w:rFonts w:hint="eastAsia"/>
          <w:lang w:val="en-GB"/>
        </w:rPr>
        <w:t>。</w:t>
      </w:r>
    </w:p>
    <w:p w:rsidR="00393F13" w:rsidRDefault="00393F13" w:rsidP="00A7395A">
      <w:pPr>
        <w:pStyle w:val="H23GC"/>
      </w:pPr>
      <w:r>
        <w:tab/>
      </w:r>
      <w:r>
        <w:tab/>
      </w:r>
      <w:r>
        <w:rPr>
          <w:rFonts w:hint="eastAsia"/>
        </w:rPr>
        <w:t>一般性意见</w:t>
      </w:r>
    </w:p>
    <w:p w:rsidR="00393F13" w:rsidRDefault="00393F13">
      <w:pPr>
        <w:pStyle w:val="SingleTxtGC"/>
      </w:pPr>
      <w:r>
        <w:t>1.</w:t>
      </w:r>
      <w:r>
        <w:rPr>
          <w:rFonts w:hint="eastAsia"/>
        </w:rPr>
        <w:t xml:space="preserve">  </w:t>
      </w:r>
      <w:r>
        <w:rPr>
          <w:rFonts w:hint="eastAsia"/>
        </w:rPr>
        <w:t>请描述民间社会组织、尤其是妇女和人权组织的代表在编制报告方面的参与情况。还请向委员会说明这些报告是否曾提交议会或任何指定的高级别主管机构审查。</w:t>
      </w:r>
      <w:r>
        <w:rPr>
          <w:rFonts w:hint="eastAsia"/>
        </w:rPr>
        <w:t xml:space="preserve"> </w:t>
      </w:r>
    </w:p>
    <w:p w:rsidR="00393F13" w:rsidRDefault="00393F13">
      <w:pPr>
        <w:pStyle w:val="SingleTxtGC"/>
        <w:rPr>
          <w:rFonts w:hint="eastAsia"/>
          <w:lang w:val="en-GB"/>
        </w:rPr>
      </w:pPr>
      <w:r>
        <w:rPr>
          <w:lang w:val="en-GB"/>
        </w:rPr>
        <w:t>2.</w:t>
      </w:r>
      <w:r>
        <w:rPr>
          <w:rFonts w:hint="eastAsia"/>
          <w:lang w:val="en-GB"/>
        </w:rPr>
        <w:t xml:space="preserve">  </w:t>
      </w:r>
      <w:r>
        <w:rPr>
          <w:rFonts w:hint="eastAsia"/>
          <w:lang w:val="en-GB"/>
        </w:rPr>
        <w:t>在以前的结论性意见</w:t>
      </w:r>
      <w:r>
        <w:rPr>
          <w:rFonts w:hint="eastAsia"/>
          <w:lang w:val="en-GB"/>
        </w:rPr>
        <w:t>(</w:t>
      </w:r>
      <w:r>
        <w:rPr>
          <w:lang w:val="en-GB"/>
        </w:rPr>
        <w:t>CEDAW/C/ISR/CO/3,</w:t>
      </w:r>
      <w:r>
        <w:rPr>
          <w:rFonts w:hint="eastAsia"/>
          <w:lang w:val="en-GB"/>
        </w:rPr>
        <w:t xml:space="preserve"> </w:t>
      </w:r>
      <w:r>
        <w:rPr>
          <w:rFonts w:hint="eastAsia"/>
          <w:lang w:val="en-GB"/>
        </w:rPr>
        <w:t>第</w:t>
      </w:r>
      <w:r>
        <w:rPr>
          <w:lang w:val="en-GB"/>
        </w:rPr>
        <w:t>23</w:t>
      </w:r>
      <w:r>
        <w:rPr>
          <w:rFonts w:hint="eastAsia"/>
          <w:lang w:val="en-GB"/>
        </w:rPr>
        <w:t>和</w:t>
      </w:r>
      <w:r>
        <w:rPr>
          <w:lang w:val="en-GB"/>
        </w:rPr>
        <w:t>24</w:t>
      </w:r>
      <w:r>
        <w:rPr>
          <w:rFonts w:hint="eastAsia"/>
          <w:lang w:val="en-GB"/>
        </w:rPr>
        <w:t>段</w:t>
      </w:r>
      <w:r>
        <w:rPr>
          <w:rFonts w:hint="eastAsia"/>
          <w:lang w:val="en-GB"/>
        </w:rPr>
        <w:t>)</w:t>
      </w:r>
      <w:r>
        <w:rPr>
          <w:rFonts w:hint="eastAsia"/>
          <w:lang w:val="en-GB"/>
        </w:rPr>
        <w:t>中，委员会感到遗憾的是，缔约国坚持《公约》只在其本国领土适用的立场，因此拒绝报告《公约》在被占领土的执行情况，包括被占领土上的妇女情况。请说明如果直接适用《公约》并且法院已予以援用，是否《公约》在缔约国管辖的所有领土上已被执行。请提供资料，说明妇女包括被占领土上的妇女享有《公约》赋予的各项人权的权利，如平等获取基本服务的权利。</w:t>
      </w:r>
    </w:p>
    <w:p w:rsidR="00393F13" w:rsidRDefault="00393F13">
      <w:pPr>
        <w:pStyle w:val="SingleTxtGC"/>
        <w:rPr>
          <w:lang w:val="en-GB"/>
        </w:rPr>
      </w:pPr>
      <w:r>
        <w:rPr>
          <w:lang w:val="en-GB"/>
        </w:rPr>
        <w:t>3.</w:t>
      </w:r>
      <w:r>
        <w:rPr>
          <w:rFonts w:hint="eastAsia"/>
          <w:lang w:val="en-GB"/>
        </w:rPr>
        <w:t xml:space="preserve">  </w:t>
      </w:r>
      <w:r>
        <w:rPr>
          <w:rFonts w:hint="eastAsia"/>
          <w:lang w:val="en-GB"/>
        </w:rPr>
        <w:t>除了委员会以前的结论性意见</w:t>
      </w:r>
      <w:r>
        <w:rPr>
          <w:rFonts w:hint="eastAsia"/>
          <w:lang w:val="en-GB"/>
        </w:rPr>
        <w:t>(</w:t>
      </w:r>
      <w:r>
        <w:rPr>
          <w:lang w:val="en-GB"/>
        </w:rPr>
        <w:t>CEDAW/C/ISR/CO/3,</w:t>
      </w:r>
      <w:r>
        <w:rPr>
          <w:rFonts w:hint="eastAsia"/>
          <w:lang w:val="en-GB"/>
        </w:rPr>
        <w:t xml:space="preserve"> </w:t>
      </w:r>
      <w:r>
        <w:rPr>
          <w:rFonts w:hint="eastAsia"/>
          <w:lang w:val="en-GB"/>
        </w:rPr>
        <w:t>第</w:t>
      </w:r>
      <w:r>
        <w:rPr>
          <w:rFonts w:hint="eastAsia"/>
          <w:lang w:val="en-GB"/>
        </w:rPr>
        <w:t>21</w:t>
      </w:r>
      <w:r>
        <w:rPr>
          <w:rFonts w:hint="eastAsia"/>
          <w:lang w:val="en-GB"/>
        </w:rPr>
        <w:t>段</w:t>
      </w:r>
      <w:r>
        <w:rPr>
          <w:rFonts w:hint="eastAsia"/>
          <w:lang w:val="en-GB"/>
        </w:rPr>
        <w:t>)</w:t>
      </w:r>
      <w:r>
        <w:rPr>
          <w:rFonts w:hint="eastAsia"/>
          <w:lang w:val="en-GB"/>
        </w:rPr>
        <w:t>之外，还请提供有关资料，说明关于妇女参与建立和平的法律草案的状况，其中要求</w:t>
      </w:r>
      <w:r>
        <w:rPr>
          <w:rFonts w:hint="eastAsia"/>
          <w:lang w:val="en-GB"/>
        </w:rPr>
        <w:t>25%</w:t>
      </w:r>
      <w:r>
        <w:rPr>
          <w:rFonts w:hint="eastAsia"/>
          <w:lang w:val="en-GB"/>
        </w:rPr>
        <w:t>的妇女参与促进和平进程。请具体说明缔约国采取了哪些措施来确保所有有关妇女、包括国内流离失所者积极参与各个阶段的和平进程。还请提供资料，说明安全理事会第</w:t>
      </w:r>
      <w:r>
        <w:rPr>
          <w:rFonts w:hint="eastAsia"/>
          <w:lang w:val="en-GB"/>
        </w:rPr>
        <w:t>1325(2000)</w:t>
      </w:r>
      <w:r>
        <w:rPr>
          <w:rFonts w:hint="eastAsia"/>
          <w:lang w:val="en-GB"/>
        </w:rPr>
        <w:t>和第</w:t>
      </w:r>
      <w:r>
        <w:rPr>
          <w:rFonts w:hint="eastAsia"/>
          <w:lang w:val="en-GB"/>
        </w:rPr>
        <w:t>1820(2008)</w:t>
      </w:r>
      <w:r>
        <w:rPr>
          <w:rFonts w:hint="eastAsia"/>
          <w:lang w:val="en-GB"/>
        </w:rPr>
        <w:t>号决议的执行情况，以及在落实决议方面受影响妇女的参与情况。</w:t>
      </w:r>
    </w:p>
    <w:p w:rsidR="00393F13" w:rsidRDefault="00393F13">
      <w:pPr>
        <w:pStyle w:val="SingleTxtGC"/>
        <w:rPr>
          <w:lang w:val="en-GB"/>
        </w:rPr>
      </w:pPr>
      <w:r>
        <w:rPr>
          <w:lang w:val="en-GB"/>
        </w:rPr>
        <w:t>4.</w:t>
      </w:r>
      <w:r>
        <w:rPr>
          <w:rFonts w:hint="eastAsia"/>
          <w:lang w:val="en-GB"/>
        </w:rPr>
        <w:t xml:space="preserve">  </w:t>
      </w:r>
      <w:r>
        <w:rPr>
          <w:rFonts w:hint="eastAsia"/>
          <w:lang w:val="en-GB"/>
        </w:rPr>
        <w:t>在以前的结论性意见</w:t>
      </w:r>
      <w:r>
        <w:rPr>
          <w:rFonts w:hint="eastAsia"/>
          <w:lang w:val="en-GB"/>
        </w:rPr>
        <w:t>(</w:t>
      </w:r>
      <w:r>
        <w:rPr>
          <w:lang w:val="en-GB"/>
        </w:rPr>
        <w:t>CEDAW/C/ISR/CO/3,</w:t>
      </w:r>
      <w:r>
        <w:rPr>
          <w:rFonts w:hint="eastAsia"/>
          <w:lang w:val="en-GB"/>
        </w:rPr>
        <w:t xml:space="preserve"> </w:t>
      </w:r>
      <w:r>
        <w:rPr>
          <w:rFonts w:hint="eastAsia"/>
          <w:lang w:val="en-GB"/>
        </w:rPr>
        <w:t>第</w:t>
      </w:r>
      <w:r>
        <w:rPr>
          <w:lang w:val="en-GB"/>
        </w:rPr>
        <w:t>2</w:t>
      </w:r>
      <w:r>
        <w:rPr>
          <w:rFonts w:hint="eastAsia"/>
          <w:lang w:val="en-GB"/>
        </w:rPr>
        <w:t>6</w:t>
      </w:r>
      <w:r>
        <w:rPr>
          <w:rFonts w:hint="eastAsia"/>
          <w:lang w:val="en-GB"/>
        </w:rPr>
        <w:t>段</w:t>
      </w:r>
      <w:r>
        <w:rPr>
          <w:rFonts w:hint="eastAsia"/>
          <w:lang w:val="en-GB"/>
        </w:rPr>
        <w:t>)</w:t>
      </w:r>
      <w:r>
        <w:rPr>
          <w:rFonts w:hint="eastAsia"/>
          <w:lang w:val="en-GB"/>
        </w:rPr>
        <w:t>中，委员会敦促缔约国考虑撤销对《公约》的保留。请提供资料，说明在撤销对第</w:t>
      </w:r>
      <w:r>
        <w:rPr>
          <w:rFonts w:hint="eastAsia"/>
          <w:lang w:val="en-GB"/>
        </w:rPr>
        <w:t>7</w:t>
      </w:r>
      <w:r>
        <w:rPr>
          <w:lang w:val="en-GB"/>
        </w:rPr>
        <w:t>(</w:t>
      </w:r>
      <w:r>
        <w:rPr>
          <w:rFonts w:hint="eastAsia"/>
          <w:lang w:val="en-GB"/>
        </w:rPr>
        <w:t>b</w:t>
      </w:r>
      <w:r>
        <w:rPr>
          <w:lang w:val="en-GB"/>
        </w:rPr>
        <w:t>)</w:t>
      </w:r>
      <w:r>
        <w:rPr>
          <w:rFonts w:hint="eastAsia"/>
          <w:lang w:val="en-GB"/>
        </w:rPr>
        <w:t>和第</w:t>
      </w:r>
      <w:r>
        <w:rPr>
          <w:rFonts w:hint="eastAsia"/>
          <w:lang w:val="en-GB"/>
        </w:rPr>
        <w:t>16</w:t>
      </w:r>
      <w:r>
        <w:rPr>
          <w:rFonts w:hint="eastAsia"/>
          <w:lang w:val="en-GB"/>
        </w:rPr>
        <w:t>条的保留方面取得的进展。</w:t>
      </w:r>
    </w:p>
    <w:p w:rsidR="00393F13" w:rsidRDefault="00393F13">
      <w:pPr>
        <w:pStyle w:val="SingleTxtGC"/>
        <w:rPr>
          <w:rFonts w:hint="eastAsia"/>
          <w:lang w:val="en-GB"/>
        </w:rPr>
      </w:pPr>
      <w:r>
        <w:rPr>
          <w:lang w:val="en-GB"/>
        </w:rPr>
        <w:t>5.</w:t>
      </w:r>
      <w:r>
        <w:rPr>
          <w:rFonts w:hint="eastAsia"/>
          <w:lang w:val="en-GB"/>
        </w:rPr>
        <w:t xml:space="preserve">  </w:t>
      </w:r>
      <w:r>
        <w:rPr>
          <w:rFonts w:hint="eastAsia"/>
          <w:lang w:val="en-GB"/>
        </w:rPr>
        <w:t>第五次报告述及</w:t>
      </w:r>
      <w:r>
        <w:rPr>
          <w:rFonts w:hint="eastAsia"/>
          <w:lang w:val="en-GB"/>
        </w:rPr>
        <w:t>2008</w:t>
      </w:r>
      <w:r>
        <w:rPr>
          <w:rFonts w:hint="eastAsia"/>
          <w:lang w:val="en-GB"/>
        </w:rPr>
        <w:t>年《统计条例》修正案，包括第</w:t>
      </w:r>
      <w:r>
        <w:rPr>
          <w:rFonts w:hint="eastAsia"/>
          <w:lang w:val="en-GB"/>
        </w:rPr>
        <w:t>7A</w:t>
      </w:r>
      <w:r>
        <w:rPr>
          <w:rFonts w:hint="eastAsia"/>
          <w:lang w:val="en-GB"/>
        </w:rPr>
        <w:t>节的规定，即个人相关统计信息的收集与处理以及中央统计局按照第</w:t>
      </w:r>
      <w:r>
        <w:rPr>
          <w:rFonts w:hint="eastAsia"/>
          <w:lang w:val="en-GB"/>
        </w:rPr>
        <w:t>7</w:t>
      </w:r>
      <w:r>
        <w:rPr>
          <w:rFonts w:hint="eastAsia"/>
          <w:lang w:val="en-GB"/>
        </w:rPr>
        <w:t>节规定对统计结果的公布，都应包含按性别分列的统计数字，除非国家统计员认定根据一具体事项的情况，偏离一般规则</w:t>
      </w:r>
      <w:r>
        <w:rPr>
          <w:rFonts w:hint="eastAsia"/>
          <w:lang w:val="en-GB"/>
        </w:rPr>
        <w:t>(</w:t>
      </w:r>
      <w:r>
        <w:rPr>
          <w:rFonts w:hint="eastAsia"/>
          <w:lang w:val="en-GB"/>
        </w:rPr>
        <w:t>第</w:t>
      </w:r>
      <w:r>
        <w:rPr>
          <w:rFonts w:hint="eastAsia"/>
          <w:lang w:val="en-GB"/>
        </w:rPr>
        <w:t>9</w:t>
      </w:r>
      <w:r>
        <w:rPr>
          <w:rFonts w:hint="eastAsia"/>
          <w:lang w:val="en-GB"/>
        </w:rPr>
        <w:t>段</w:t>
      </w:r>
      <w:r>
        <w:rPr>
          <w:rFonts w:hint="eastAsia"/>
          <w:lang w:val="en-GB"/>
        </w:rPr>
        <w:t>)</w:t>
      </w:r>
      <w:r>
        <w:rPr>
          <w:rFonts w:hint="eastAsia"/>
          <w:lang w:val="en-GB"/>
        </w:rPr>
        <w:t>是有道理的。请提供进一步有关详细资料，并列举实例说明可证明偏离规则是有道理的情况。</w:t>
      </w:r>
    </w:p>
    <w:p w:rsidR="00393F13" w:rsidRDefault="00393F13" w:rsidP="00A7395A">
      <w:pPr>
        <w:pStyle w:val="H23GC"/>
      </w:pPr>
      <w:r>
        <w:tab/>
      </w:r>
      <w:r>
        <w:tab/>
      </w:r>
      <w:r>
        <w:rPr>
          <w:rFonts w:hint="eastAsia"/>
        </w:rPr>
        <w:t>立法和体制框架</w:t>
      </w:r>
    </w:p>
    <w:p w:rsidR="00393F13" w:rsidRDefault="00393F13">
      <w:pPr>
        <w:pStyle w:val="SingleTxtGC"/>
        <w:rPr>
          <w:lang w:val="en-GB"/>
        </w:rPr>
      </w:pPr>
      <w:r>
        <w:rPr>
          <w:lang w:val="en-GB"/>
        </w:rPr>
        <w:t>6.</w:t>
      </w:r>
      <w:r>
        <w:rPr>
          <w:rFonts w:hint="eastAsia"/>
          <w:lang w:val="en-GB"/>
        </w:rPr>
        <w:t xml:space="preserve">  </w:t>
      </w:r>
      <w:r>
        <w:rPr>
          <w:rFonts w:hint="eastAsia"/>
          <w:lang w:val="en-GB"/>
        </w:rPr>
        <w:t>根据委员会以前的结论性意见</w:t>
      </w:r>
      <w:r>
        <w:rPr>
          <w:rFonts w:hint="eastAsia"/>
          <w:lang w:val="en-GB"/>
        </w:rPr>
        <w:t>(</w:t>
      </w:r>
      <w:r>
        <w:rPr>
          <w:lang w:val="en-GB"/>
        </w:rPr>
        <w:t>CEDAW/C/ISR/CO/3,</w:t>
      </w:r>
      <w:r>
        <w:rPr>
          <w:rFonts w:hint="eastAsia"/>
          <w:lang w:val="en-GB"/>
        </w:rPr>
        <w:t xml:space="preserve"> </w:t>
      </w:r>
      <w:r>
        <w:rPr>
          <w:rFonts w:hint="eastAsia"/>
          <w:lang w:val="en-GB"/>
        </w:rPr>
        <w:t>第</w:t>
      </w:r>
      <w:r>
        <w:rPr>
          <w:lang w:val="en-GB"/>
        </w:rPr>
        <w:t>18</w:t>
      </w:r>
      <w:r>
        <w:rPr>
          <w:rFonts w:hint="eastAsia"/>
          <w:lang w:val="en-GB"/>
        </w:rPr>
        <w:t>段</w:t>
      </w:r>
      <w:r>
        <w:rPr>
          <w:rFonts w:hint="eastAsia"/>
          <w:lang w:val="en-GB"/>
        </w:rPr>
        <w:t>)</w:t>
      </w:r>
      <w:r>
        <w:rPr>
          <w:rFonts w:hint="eastAsia"/>
          <w:lang w:val="en-GB"/>
        </w:rPr>
        <w:t>和缔约国第五次报告中提供的资料</w:t>
      </w:r>
      <w:r>
        <w:rPr>
          <w:rFonts w:hint="eastAsia"/>
          <w:lang w:val="en-GB"/>
        </w:rPr>
        <w:t>(</w:t>
      </w:r>
      <w:r>
        <w:rPr>
          <w:rFonts w:hint="eastAsia"/>
          <w:lang w:val="en-GB"/>
        </w:rPr>
        <w:t>第</w:t>
      </w:r>
      <w:r>
        <w:rPr>
          <w:rFonts w:hint="eastAsia"/>
          <w:lang w:val="en-GB"/>
        </w:rPr>
        <w:t>27</w:t>
      </w:r>
      <w:r>
        <w:rPr>
          <w:rFonts w:hint="eastAsia"/>
          <w:lang w:val="en-GB"/>
        </w:rPr>
        <w:t>和</w:t>
      </w:r>
      <w:r>
        <w:rPr>
          <w:rFonts w:hint="eastAsia"/>
          <w:lang w:val="en-GB"/>
        </w:rPr>
        <w:t>28</w:t>
      </w:r>
      <w:r>
        <w:rPr>
          <w:rFonts w:hint="eastAsia"/>
          <w:lang w:val="en-GB"/>
        </w:rPr>
        <w:t>段</w:t>
      </w:r>
      <w:r>
        <w:rPr>
          <w:rFonts w:hint="eastAsia"/>
          <w:lang w:val="en-GB"/>
        </w:rPr>
        <w:t>)</w:t>
      </w:r>
      <w:r>
        <w:rPr>
          <w:rFonts w:hint="eastAsia"/>
          <w:lang w:val="en-GB"/>
        </w:rPr>
        <w:t>，请进一步说明缔约国尚未将男女平等权利和禁止直接和间接歧视的规定列入“基本法：人的尊严与自由</w:t>
      </w:r>
      <w:r>
        <w:rPr>
          <w:rFonts w:hint="eastAsia"/>
          <w:lang w:val="en-GB"/>
        </w:rPr>
        <w:t>(1992</w:t>
      </w:r>
      <w:r>
        <w:rPr>
          <w:rFonts w:hint="eastAsia"/>
          <w:lang w:val="en-GB"/>
        </w:rPr>
        <w:t>年</w:t>
      </w:r>
      <w:r>
        <w:rPr>
          <w:rFonts w:hint="eastAsia"/>
          <w:lang w:val="en-GB"/>
        </w:rPr>
        <w:t>)</w:t>
      </w:r>
      <w:r>
        <w:rPr>
          <w:rFonts w:hint="eastAsia"/>
          <w:lang w:val="en-GB"/>
        </w:rPr>
        <w:t>”的理由，以及缔约国是否计划采取此种行动。报告指出，议会宪法、法律和司法委员会正在拟定一部以协商一致为基础的宪法。请提供有关此种进程状况的资料，并说明是否已制定了一部新宪法草案。如果已经制定，请向委员会说明该草案是否包含男女平等权利，以及是否保护女同性恋、双性恋和变性者免受歧视。请说明计划通过该宪法草案的时间表。</w:t>
      </w:r>
    </w:p>
    <w:p w:rsidR="00393F13" w:rsidRDefault="00393F13">
      <w:pPr>
        <w:pStyle w:val="SingleTxtGC"/>
      </w:pPr>
      <w:r>
        <w:t>7.</w:t>
      </w:r>
      <w:r>
        <w:rPr>
          <w:rFonts w:hint="eastAsia"/>
        </w:rPr>
        <w:t xml:space="preserve">  </w:t>
      </w:r>
      <w:r>
        <w:rPr>
          <w:rFonts w:hint="eastAsia"/>
          <w:lang w:val="en-GB"/>
        </w:rPr>
        <w:t>除了委员会以前的建议</w:t>
      </w:r>
      <w:r>
        <w:rPr>
          <w:rFonts w:hint="eastAsia"/>
          <w:lang w:val="en-GB"/>
        </w:rPr>
        <w:t>(</w:t>
      </w:r>
      <w:r>
        <w:rPr>
          <w:lang w:val="en-GB"/>
        </w:rPr>
        <w:t>CEDAW/C/ISR/CO/3,</w:t>
      </w:r>
      <w:r>
        <w:rPr>
          <w:rFonts w:hint="eastAsia"/>
          <w:lang w:val="en-GB"/>
        </w:rPr>
        <w:t xml:space="preserve"> </w:t>
      </w:r>
      <w:r>
        <w:rPr>
          <w:rFonts w:hint="eastAsia"/>
          <w:lang w:val="en-GB"/>
        </w:rPr>
        <w:t>第</w:t>
      </w:r>
      <w:r>
        <w:rPr>
          <w:rFonts w:hint="eastAsia"/>
          <w:lang w:val="en-GB"/>
        </w:rPr>
        <w:t>20</w:t>
      </w:r>
      <w:r>
        <w:rPr>
          <w:rFonts w:hint="eastAsia"/>
          <w:lang w:val="en-GB"/>
        </w:rPr>
        <w:t>段</w:t>
      </w:r>
      <w:r>
        <w:rPr>
          <w:rFonts w:hint="eastAsia"/>
          <w:lang w:val="en-GB"/>
        </w:rPr>
        <w:t>)</w:t>
      </w:r>
      <w:r>
        <w:rPr>
          <w:rFonts w:hint="eastAsia"/>
          <w:lang w:val="en-GB"/>
        </w:rPr>
        <w:t>之外，还请</w:t>
      </w:r>
      <w:r>
        <w:rPr>
          <w:rFonts w:hint="eastAsia"/>
        </w:rPr>
        <w:t>说明为建立监督和定期评估国内法是否与缔约国在《公约》下所承担的义务相符的机制所采取的各项步骤。在这方面，请提供更多资料，说明</w:t>
      </w:r>
      <w:r>
        <w:rPr>
          <w:rFonts w:hint="eastAsia"/>
        </w:rPr>
        <w:t>2007</w:t>
      </w:r>
      <w:r>
        <w:rPr>
          <w:rFonts w:hint="eastAsia"/>
        </w:rPr>
        <w:t>年</w:t>
      </w:r>
      <w:r>
        <w:t>5676–2007</w:t>
      </w:r>
      <w:r>
        <w:rPr>
          <w:rFonts w:hint="eastAsia"/>
        </w:rPr>
        <w:t>号《立法法的性别影响》</w:t>
      </w:r>
      <w:r>
        <w:rPr>
          <w:rFonts w:hint="eastAsia"/>
        </w:rPr>
        <w:t>(</w:t>
      </w:r>
      <w:r>
        <w:rPr>
          <w:rFonts w:hint="eastAsia"/>
        </w:rPr>
        <w:t>立法修正案</w:t>
      </w:r>
      <w:r>
        <w:rPr>
          <w:rFonts w:hint="eastAsia"/>
        </w:rPr>
        <w:t>)</w:t>
      </w:r>
      <w:r>
        <w:rPr>
          <w:rFonts w:hint="eastAsia"/>
        </w:rPr>
        <w:t>的内容和执行情况，该法规定在议会颁布任何一级和二级立法之前都必须对其性别影响进行全面审查</w:t>
      </w:r>
      <w:r>
        <w:rPr>
          <w:rFonts w:hint="eastAsia"/>
        </w:rPr>
        <w:t>(</w:t>
      </w:r>
      <w:r>
        <w:t>CEDAW/C/ISR/5,</w:t>
      </w:r>
      <w:r>
        <w:rPr>
          <w:rFonts w:hint="eastAsia"/>
        </w:rPr>
        <w:t xml:space="preserve"> </w:t>
      </w:r>
      <w:r>
        <w:rPr>
          <w:rFonts w:hint="eastAsia"/>
        </w:rPr>
        <w:t>第</w:t>
      </w:r>
      <w:r>
        <w:rPr>
          <w:rFonts w:hint="eastAsia"/>
        </w:rPr>
        <w:t>8</w:t>
      </w:r>
      <w:r>
        <w:rPr>
          <w:rFonts w:hint="eastAsia"/>
        </w:rPr>
        <w:t>段</w:t>
      </w:r>
      <w:r>
        <w:rPr>
          <w:rFonts w:hint="eastAsia"/>
        </w:rPr>
        <w:t>)</w:t>
      </w:r>
      <w:r>
        <w:rPr>
          <w:rFonts w:hint="eastAsia"/>
        </w:rPr>
        <w:t>。请列举实例说明提高妇女地位署在这方面的意见。还请提供资料，说明在按照委员会以前的结论性意见中所提出的建议，使法院、检察官和其他法律专业人员熟悉《公约》条款方面所采取的各项措施，包括培训和宣传活动</w:t>
      </w:r>
      <w:r>
        <w:rPr>
          <w:rFonts w:hint="eastAsia"/>
        </w:rPr>
        <w:t>(</w:t>
      </w:r>
      <w:r>
        <w:rPr>
          <w:lang w:val="en-GB"/>
        </w:rPr>
        <w:t>CEDAW/C/ISR/CO/3,</w:t>
      </w:r>
      <w:r>
        <w:rPr>
          <w:rFonts w:hint="eastAsia"/>
          <w:lang w:val="en-GB"/>
        </w:rPr>
        <w:t xml:space="preserve"> </w:t>
      </w:r>
      <w:r>
        <w:rPr>
          <w:rFonts w:hint="eastAsia"/>
          <w:lang w:val="en-GB"/>
        </w:rPr>
        <w:t>第</w:t>
      </w:r>
      <w:r>
        <w:rPr>
          <w:rFonts w:hint="eastAsia"/>
          <w:lang w:val="en-GB"/>
        </w:rPr>
        <w:t>20</w:t>
      </w:r>
      <w:r>
        <w:rPr>
          <w:rFonts w:hint="eastAsia"/>
          <w:lang w:val="en-GB"/>
        </w:rPr>
        <w:t>段</w:t>
      </w:r>
      <w:r>
        <w:rPr>
          <w:rFonts w:hint="eastAsia"/>
        </w:rPr>
        <w:t>)</w:t>
      </w:r>
      <w:r>
        <w:rPr>
          <w:rFonts w:hint="eastAsia"/>
        </w:rPr>
        <w:t>。</w:t>
      </w:r>
    </w:p>
    <w:p w:rsidR="00393F13" w:rsidRDefault="00393F13">
      <w:pPr>
        <w:pStyle w:val="SingleTxtGC"/>
        <w:rPr>
          <w:rFonts w:hint="eastAsia"/>
          <w:lang w:val="en-GB"/>
        </w:rPr>
      </w:pPr>
      <w:r>
        <w:rPr>
          <w:lang w:val="en-GB"/>
        </w:rPr>
        <w:t>8.</w:t>
      </w:r>
      <w:r>
        <w:rPr>
          <w:rFonts w:hint="eastAsia"/>
          <w:lang w:val="en-GB"/>
        </w:rPr>
        <w:t xml:space="preserve">  </w:t>
      </w:r>
      <w:r>
        <w:rPr>
          <w:rFonts w:hint="eastAsia"/>
          <w:lang w:val="en-GB"/>
        </w:rPr>
        <w:t>第五次报告提供了有关公共投诉专员的信息，该专员负责处理公众提出的投诉和申诉，包括妇女提出的投诉</w:t>
      </w:r>
      <w:r>
        <w:rPr>
          <w:rFonts w:hint="eastAsia"/>
          <w:lang w:val="en-GB"/>
        </w:rPr>
        <w:t>(</w:t>
      </w:r>
      <w:r>
        <w:rPr>
          <w:rFonts w:hint="eastAsia"/>
          <w:lang w:val="en-GB"/>
        </w:rPr>
        <w:t>第</w:t>
      </w:r>
      <w:r>
        <w:rPr>
          <w:rFonts w:hint="eastAsia"/>
          <w:lang w:val="en-GB"/>
        </w:rPr>
        <w:t>43</w:t>
      </w:r>
      <w:r>
        <w:rPr>
          <w:rFonts w:hint="eastAsia"/>
          <w:lang w:val="en-GB"/>
        </w:rPr>
        <w:t>至</w:t>
      </w:r>
      <w:r>
        <w:rPr>
          <w:rFonts w:hint="eastAsia"/>
          <w:lang w:val="en-GB"/>
        </w:rPr>
        <w:t>45</w:t>
      </w:r>
      <w:r>
        <w:rPr>
          <w:rFonts w:hint="eastAsia"/>
          <w:lang w:val="en-GB"/>
        </w:rPr>
        <w:t>段</w:t>
      </w:r>
      <w:r>
        <w:rPr>
          <w:rFonts w:hint="eastAsia"/>
          <w:lang w:val="en-GB"/>
        </w:rPr>
        <w:t>)</w:t>
      </w:r>
      <w:r>
        <w:rPr>
          <w:rFonts w:hint="eastAsia"/>
          <w:lang w:val="en-GB"/>
        </w:rPr>
        <w:t>。请提供最新资料，说明公共投诉专员在</w:t>
      </w:r>
      <w:r>
        <w:rPr>
          <w:rFonts w:hint="eastAsia"/>
          <w:lang w:val="en-GB"/>
        </w:rPr>
        <w:t>2008-2010</w:t>
      </w:r>
      <w:r>
        <w:rPr>
          <w:rFonts w:hint="eastAsia"/>
          <w:lang w:val="en-GB"/>
        </w:rPr>
        <w:t>年期间收到的投诉总数，尤其是妇女投诉的数量、投诉的类型和对投诉的处理结果。投诉专员是如何确定和处理“正当投诉”的？</w:t>
      </w:r>
    </w:p>
    <w:p w:rsidR="00393F13" w:rsidRDefault="00393F13">
      <w:pPr>
        <w:pStyle w:val="SingleTxtGC"/>
        <w:rPr>
          <w:lang w:val="en-GB"/>
        </w:rPr>
      </w:pPr>
      <w:r>
        <w:rPr>
          <w:bCs/>
          <w:lang w:val="en-GB"/>
        </w:rPr>
        <w:t>9.</w:t>
      </w:r>
      <w:r>
        <w:rPr>
          <w:rFonts w:hint="eastAsia"/>
          <w:bCs/>
          <w:lang w:val="en-GB"/>
        </w:rPr>
        <w:t xml:space="preserve">  </w:t>
      </w:r>
      <w:r>
        <w:rPr>
          <w:rFonts w:hint="eastAsia"/>
          <w:bCs/>
          <w:lang w:val="en-GB"/>
        </w:rPr>
        <w:t>请提供资料，说明西岸、包括东耶路撒冷的拆除住房和强迫搬迁对发展和提高妇女以及巴勒斯坦难民妇女地位，以及妇女行使和享有人权和基本自由所产生的影响。请特别提供可比数据，说明向西岸包括东耶路撒冷的巴勒斯坦人签发的建筑许可证数量。为受影响妇女和儿童提供了什么替代住所？</w:t>
      </w:r>
    </w:p>
    <w:p w:rsidR="00393F13" w:rsidRDefault="00393F13" w:rsidP="00A7395A">
      <w:pPr>
        <w:pStyle w:val="H23GC"/>
      </w:pPr>
      <w:r>
        <w:tab/>
      </w:r>
      <w:r>
        <w:tab/>
      </w:r>
      <w:r>
        <w:rPr>
          <w:rFonts w:hint="eastAsia"/>
        </w:rPr>
        <w:t>国家机制</w:t>
      </w:r>
    </w:p>
    <w:p w:rsidR="00393F13" w:rsidRDefault="00393F13">
      <w:pPr>
        <w:pStyle w:val="SingleTxtGC"/>
        <w:rPr>
          <w:lang w:val="en-GB"/>
        </w:rPr>
      </w:pPr>
      <w:r>
        <w:rPr>
          <w:lang w:val="en-GB"/>
        </w:rPr>
        <w:t>10.</w:t>
      </w:r>
      <w:r>
        <w:rPr>
          <w:rFonts w:hint="eastAsia"/>
          <w:lang w:val="en-GB"/>
        </w:rPr>
        <w:t xml:space="preserve">  </w:t>
      </w:r>
      <w:r>
        <w:rPr>
          <w:rFonts w:hint="eastAsia"/>
          <w:lang w:val="en-GB"/>
        </w:rPr>
        <w:t>缔约国第五次报告提供了有关资料，说明了提高妇女地位署所开展的活动，包括培训活动、调查和宣传运动。根据委员会以前的结论性意见</w:t>
      </w:r>
      <w:r>
        <w:rPr>
          <w:rFonts w:hint="eastAsia"/>
          <w:lang w:val="en-GB"/>
        </w:rPr>
        <w:t>(</w:t>
      </w:r>
      <w:r>
        <w:rPr>
          <w:lang w:val="en-GB"/>
        </w:rPr>
        <w:t>CEDAW/C/ISR/CO/3,</w:t>
      </w:r>
      <w:r>
        <w:rPr>
          <w:rFonts w:hint="eastAsia"/>
          <w:lang w:val="en-GB"/>
        </w:rPr>
        <w:t xml:space="preserve"> </w:t>
      </w:r>
      <w:r>
        <w:rPr>
          <w:rFonts w:hint="eastAsia"/>
          <w:lang w:val="en-GB"/>
        </w:rPr>
        <w:t>第</w:t>
      </w:r>
      <w:r>
        <w:rPr>
          <w:rFonts w:hint="eastAsia"/>
          <w:lang w:val="en-GB"/>
        </w:rPr>
        <w:t>28</w:t>
      </w:r>
      <w:r>
        <w:rPr>
          <w:rFonts w:hint="eastAsia"/>
          <w:lang w:val="en-GB"/>
        </w:rPr>
        <w:t>段</w:t>
      </w:r>
      <w:r>
        <w:rPr>
          <w:rFonts w:hint="eastAsia"/>
          <w:lang w:val="en-GB"/>
        </w:rPr>
        <w:t>)</w:t>
      </w:r>
      <w:r>
        <w:rPr>
          <w:rFonts w:hint="eastAsia"/>
          <w:lang w:val="en-GB"/>
        </w:rPr>
        <w:t>，请提供进一步资料，说明为加强提高妇女地位署所采取的措施，尤其是确保赋予其恰当的职权和人力及财政资源，使其能够有效促进缔约国实现提高妇女地位和两性平等。</w:t>
      </w:r>
    </w:p>
    <w:p w:rsidR="00393F13" w:rsidRDefault="00393F13" w:rsidP="00A7395A">
      <w:pPr>
        <w:pStyle w:val="H23GC"/>
      </w:pPr>
      <w:r>
        <w:tab/>
      </w:r>
      <w:r>
        <w:tab/>
      </w:r>
      <w:r>
        <w:rPr>
          <w:rFonts w:hint="eastAsia"/>
        </w:rPr>
        <w:t>定型观念</w:t>
      </w:r>
    </w:p>
    <w:p w:rsidR="00393F13" w:rsidRDefault="00393F13">
      <w:pPr>
        <w:pStyle w:val="SingleTxtGC"/>
      </w:pPr>
      <w:r>
        <w:t>11.</w:t>
      </w:r>
      <w:r>
        <w:rPr>
          <w:rFonts w:hint="eastAsia"/>
        </w:rPr>
        <w:t xml:space="preserve">  </w:t>
      </w:r>
      <w:r>
        <w:rPr>
          <w:rFonts w:hint="eastAsia"/>
        </w:rPr>
        <w:t>报告提供了与《公约》第五条有关的资料，说明了以色列媒体所刻画的妇女形象，包括色情制品，以及这一领域最近的创新做法</w:t>
      </w:r>
      <w:r>
        <w:rPr>
          <w:rFonts w:hint="eastAsia"/>
        </w:rPr>
        <w:t>(</w:t>
      </w:r>
      <w:r>
        <w:rPr>
          <w:rFonts w:hint="eastAsia"/>
        </w:rPr>
        <w:t>第</w:t>
      </w:r>
      <w:r>
        <w:rPr>
          <w:rFonts w:hint="eastAsia"/>
        </w:rPr>
        <w:t>101</w:t>
      </w:r>
      <w:r>
        <w:rPr>
          <w:rFonts w:hint="eastAsia"/>
        </w:rPr>
        <w:t>段</w:t>
      </w:r>
      <w:r>
        <w:rPr>
          <w:rFonts w:hint="eastAsia"/>
        </w:rPr>
        <w:t>ff)</w:t>
      </w:r>
      <w:r>
        <w:rPr>
          <w:rFonts w:hint="eastAsia"/>
        </w:rPr>
        <w:t>，但没有提供充分资料，说明对于普遍存在的定型观念或妇女和男子在社会和家庭中的传统角色与责任是如何处理的。请详细说明缔约国在确保遵守《公约》第五条</w:t>
      </w:r>
      <w:r>
        <w:rPr>
          <w:rFonts w:hint="eastAsia"/>
        </w:rPr>
        <w:t>(a)</w:t>
      </w:r>
      <w:r>
        <w:rPr>
          <w:rFonts w:hint="eastAsia"/>
        </w:rPr>
        <w:t>款和第二条</w:t>
      </w:r>
      <w:r>
        <w:rPr>
          <w:rFonts w:hint="eastAsia"/>
        </w:rPr>
        <w:t>(f)</w:t>
      </w:r>
      <w:r>
        <w:rPr>
          <w:rFonts w:hint="eastAsia"/>
        </w:rPr>
        <w:t>款方面所面临的挑战，以及为克服这些挑战所采取的措施。请说明是否将人权和两性平等问题纳入了教育课程。</w:t>
      </w:r>
    </w:p>
    <w:p w:rsidR="00393F13" w:rsidRDefault="00393F13" w:rsidP="00A7395A">
      <w:pPr>
        <w:pStyle w:val="H23GC"/>
      </w:pPr>
      <w:r>
        <w:tab/>
      </w:r>
      <w:r>
        <w:tab/>
      </w:r>
      <w:r>
        <w:rPr>
          <w:rFonts w:hint="eastAsia"/>
        </w:rPr>
        <w:t>暴力侵害妇女</w:t>
      </w:r>
    </w:p>
    <w:p w:rsidR="00393F13" w:rsidRDefault="00393F13">
      <w:pPr>
        <w:pStyle w:val="SingleTxtGC"/>
        <w:rPr>
          <w:rFonts w:hint="eastAsia"/>
        </w:rPr>
      </w:pPr>
      <w:r>
        <w:t>12.</w:t>
      </w:r>
      <w:r>
        <w:rPr>
          <w:rFonts w:hint="eastAsia"/>
        </w:rPr>
        <w:t xml:space="preserve">  </w:t>
      </w:r>
      <w:r>
        <w:rPr>
          <w:rFonts w:hint="eastAsia"/>
        </w:rPr>
        <w:t>第五次报告描述了若干有关暴力侵害妇女行为的法律和行政措施，但并未提供充分资料，说明这些措施的效力和影响。请向委员会说明是否已制定了一项防止暴力侵害妇女综合战略。如果确已制定，请说明该战略的组成部分以及战略对制止暴力侵害妇女行为的影响。另请说明法律制度是否承认婚内强奸为犯罪行为。</w:t>
      </w:r>
    </w:p>
    <w:p w:rsidR="00393F13" w:rsidRDefault="00393F13">
      <w:pPr>
        <w:pStyle w:val="SingleTxtGC"/>
        <w:rPr>
          <w:lang w:val="en-GB"/>
        </w:rPr>
      </w:pPr>
      <w:r>
        <w:rPr>
          <w:lang w:val="en-GB"/>
        </w:rPr>
        <w:t>13.</w:t>
      </w:r>
      <w:r>
        <w:rPr>
          <w:rFonts w:hint="eastAsia"/>
          <w:lang w:val="en-GB"/>
        </w:rPr>
        <w:t xml:space="preserve">  </w:t>
      </w:r>
      <w:r>
        <w:rPr>
          <w:rFonts w:hint="eastAsia"/>
          <w:lang w:val="en-GB"/>
        </w:rPr>
        <w:t>根据委员会收到的资料，巴勒斯坦妇女还在遭受来自国家</w:t>
      </w:r>
      <w:r>
        <w:rPr>
          <w:rFonts w:hint="eastAsia"/>
          <w:lang w:val="en-GB"/>
        </w:rPr>
        <w:t>(</w:t>
      </w:r>
      <w:r>
        <w:rPr>
          <w:rFonts w:hint="eastAsia"/>
          <w:lang w:val="en-GB"/>
        </w:rPr>
        <w:t>以色列士兵</w:t>
      </w:r>
      <w:r>
        <w:rPr>
          <w:rFonts w:hint="eastAsia"/>
          <w:lang w:val="en-GB"/>
        </w:rPr>
        <w:t>)</w:t>
      </w:r>
      <w:r>
        <w:rPr>
          <w:rFonts w:hint="eastAsia"/>
          <w:lang w:val="en-GB"/>
        </w:rPr>
        <w:t>和非国家行为者</w:t>
      </w:r>
      <w:r>
        <w:rPr>
          <w:rFonts w:hint="eastAsia"/>
          <w:lang w:val="en-GB"/>
        </w:rPr>
        <w:t>(</w:t>
      </w:r>
      <w:r>
        <w:rPr>
          <w:rFonts w:hint="eastAsia"/>
          <w:lang w:val="en-GB"/>
        </w:rPr>
        <w:t>定居者</w:t>
      </w:r>
      <w:r>
        <w:rPr>
          <w:rFonts w:hint="eastAsia"/>
          <w:lang w:val="en-GB"/>
        </w:rPr>
        <w:t>)</w:t>
      </w:r>
      <w:r>
        <w:rPr>
          <w:rFonts w:hint="eastAsia"/>
          <w:lang w:val="en-GB"/>
        </w:rPr>
        <w:t>两方面的暴力攻击。据称此种暴力包括侵犯生命权、身体虐待、性骚扰、语言暴力和拆除住房等行为。请说明缔约国采取了哪些措施来确保适当执法，包括对责任者进行有效调查、起诉和惩处。另请提供资料，说明为防止和应对在武装冲突地区对儿童进行性剥削的行为所采取的步骤。</w:t>
      </w:r>
      <w:r>
        <w:rPr>
          <w:lang w:val="en-GB"/>
        </w:rPr>
        <w:t xml:space="preserve"> </w:t>
      </w:r>
    </w:p>
    <w:p w:rsidR="00393F13" w:rsidRDefault="00393F13">
      <w:pPr>
        <w:pStyle w:val="SingleTxtGC"/>
      </w:pPr>
      <w:r>
        <w:t>14.</w:t>
      </w:r>
      <w:r>
        <w:rPr>
          <w:rFonts w:hint="eastAsia"/>
        </w:rPr>
        <w:t xml:space="preserve">  </w:t>
      </w:r>
      <w:r>
        <w:rPr>
          <w:rFonts w:hint="eastAsia"/>
        </w:rPr>
        <w:t>第五次报告述及建立了一个特别委员会，为受虐待妇女救助中心的妇女在经济上提供援助</w:t>
      </w:r>
      <w:r>
        <w:rPr>
          <w:rFonts w:hint="eastAsia"/>
        </w:rPr>
        <w:t>(</w:t>
      </w:r>
      <w:r>
        <w:rPr>
          <w:rFonts w:hint="eastAsia"/>
        </w:rPr>
        <w:t>第</w:t>
      </w:r>
      <w:r>
        <w:rPr>
          <w:rFonts w:hint="eastAsia"/>
        </w:rPr>
        <w:t>181</w:t>
      </w:r>
      <w:r>
        <w:rPr>
          <w:rFonts w:hint="eastAsia"/>
        </w:rPr>
        <w:t>段</w:t>
      </w:r>
      <w:r>
        <w:rPr>
          <w:rFonts w:hint="eastAsia"/>
        </w:rPr>
        <w:t>)</w:t>
      </w:r>
      <w:r>
        <w:rPr>
          <w:rFonts w:hint="eastAsia"/>
        </w:rPr>
        <w:t>。请提供更多资料，说明该委员会成员的组成与活动，以及获得援助的妇女人数。请说明巴勒斯坦的家庭暴力受害妇女是否也可求助于委员会以及救助中心。</w:t>
      </w:r>
    </w:p>
    <w:p w:rsidR="00393F13" w:rsidRDefault="00393F13">
      <w:pPr>
        <w:pStyle w:val="SingleTxtGC"/>
        <w:rPr>
          <w:lang w:val="en-GB"/>
        </w:rPr>
      </w:pPr>
      <w:r>
        <w:rPr>
          <w:lang w:val="en-GB"/>
        </w:rPr>
        <w:t>15.</w:t>
      </w:r>
      <w:r>
        <w:rPr>
          <w:rFonts w:hint="eastAsia"/>
          <w:lang w:val="en-GB"/>
        </w:rPr>
        <w:t xml:space="preserve">  </w:t>
      </w:r>
      <w:r>
        <w:rPr>
          <w:rFonts w:hint="eastAsia"/>
          <w:lang w:val="en-GB"/>
        </w:rPr>
        <w:t>在</w:t>
      </w:r>
      <w:r>
        <w:rPr>
          <w:rFonts w:hint="eastAsia"/>
          <w:lang w:val="en-GB"/>
        </w:rPr>
        <w:t>2008</w:t>
      </w:r>
      <w:r>
        <w:rPr>
          <w:rFonts w:hint="eastAsia"/>
          <w:lang w:val="en-GB"/>
        </w:rPr>
        <w:t>年</w:t>
      </w:r>
      <w:r>
        <w:rPr>
          <w:rFonts w:hint="eastAsia"/>
          <w:lang w:val="en-GB"/>
        </w:rPr>
        <w:t>1</w:t>
      </w:r>
      <w:r>
        <w:rPr>
          <w:rFonts w:hint="eastAsia"/>
          <w:lang w:val="en-GB"/>
        </w:rPr>
        <w:t>月访问以色列和被占领土期间，宗教或信仰自由问题特别报告员了解到在被占领土上以宗教名义进行“名誉杀人”却有罪不罚的案件</w:t>
      </w:r>
      <w:r>
        <w:rPr>
          <w:rFonts w:hint="eastAsia"/>
          <w:lang w:val="en-GB"/>
        </w:rPr>
        <w:t>(</w:t>
      </w:r>
      <w:r>
        <w:rPr>
          <w:lang w:val="en-GB"/>
        </w:rPr>
        <w:t>A/HRC/10/8/Add.2,</w:t>
      </w:r>
      <w:r>
        <w:rPr>
          <w:rFonts w:hint="eastAsia"/>
          <w:lang w:val="en-GB"/>
        </w:rPr>
        <w:t xml:space="preserve"> </w:t>
      </w:r>
      <w:r>
        <w:rPr>
          <w:rFonts w:hint="eastAsia"/>
          <w:lang w:val="en-GB"/>
        </w:rPr>
        <w:t>第</w:t>
      </w:r>
      <w:r>
        <w:rPr>
          <w:rFonts w:hint="eastAsia"/>
          <w:lang w:val="en-GB"/>
        </w:rPr>
        <w:t>64</w:t>
      </w:r>
      <w:r>
        <w:rPr>
          <w:rFonts w:hint="eastAsia"/>
          <w:lang w:val="en-GB"/>
        </w:rPr>
        <w:t>段</w:t>
      </w:r>
      <w:r>
        <w:rPr>
          <w:rFonts w:hint="eastAsia"/>
          <w:lang w:val="en-GB"/>
        </w:rPr>
        <w:t>)</w:t>
      </w:r>
      <w:r>
        <w:rPr>
          <w:rFonts w:hint="eastAsia"/>
          <w:lang w:val="en-GB"/>
        </w:rPr>
        <w:t>。委员会还注意到缔约国在第五次报告中所提供的情况，即近年来，在阿拉伯人口中，以所谓“家庭名誉”的名义进行的谋杀数量大大减少</w:t>
      </w:r>
      <w:r>
        <w:rPr>
          <w:rFonts w:hint="eastAsia"/>
          <w:lang w:val="en-GB"/>
        </w:rPr>
        <w:t>(</w:t>
      </w:r>
      <w:r>
        <w:rPr>
          <w:rFonts w:hint="eastAsia"/>
          <w:lang w:val="en-GB"/>
        </w:rPr>
        <w:t>第</w:t>
      </w:r>
      <w:r>
        <w:rPr>
          <w:rFonts w:hint="eastAsia"/>
          <w:lang w:val="en-GB"/>
        </w:rPr>
        <w:t>180</w:t>
      </w:r>
      <w:r>
        <w:rPr>
          <w:rFonts w:hint="eastAsia"/>
          <w:lang w:val="en-GB"/>
        </w:rPr>
        <w:t>段</w:t>
      </w:r>
      <w:r>
        <w:rPr>
          <w:rFonts w:hint="eastAsia"/>
          <w:lang w:val="en-GB"/>
        </w:rPr>
        <w:t>)</w:t>
      </w:r>
      <w:r>
        <w:rPr>
          <w:rFonts w:hint="eastAsia"/>
          <w:lang w:val="en-GB"/>
        </w:rPr>
        <w:t>。请缔约国向委员会说明其为打击此种犯罪行为并在被占领土上和以色列境内将犯罪人提出起诉并予以惩处所采取的有效措施。</w:t>
      </w:r>
    </w:p>
    <w:p w:rsidR="00393F13" w:rsidRDefault="00393F13" w:rsidP="00A7395A">
      <w:pPr>
        <w:pStyle w:val="H23GC"/>
      </w:pPr>
      <w:r>
        <w:tab/>
      </w:r>
      <w:r>
        <w:tab/>
      </w:r>
      <w:r>
        <w:rPr>
          <w:rFonts w:hint="eastAsia"/>
        </w:rPr>
        <w:t>贩运人口和使人卖淫</w:t>
      </w:r>
    </w:p>
    <w:p w:rsidR="00393F13" w:rsidRDefault="00393F13">
      <w:pPr>
        <w:pStyle w:val="SingleTxtGC"/>
        <w:rPr>
          <w:rFonts w:hint="eastAsia"/>
          <w:lang w:val="en-GB"/>
        </w:rPr>
      </w:pPr>
      <w:r>
        <w:rPr>
          <w:lang w:val="en-GB"/>
        </w:rPr>
        <w:t>16.</w:t>
      </w:r>
      <w:r>
        <w:rPr>
          <w:rFonts w:hint="eastAsia"/>
          <w:lang w:val="en-GB"/>
        </w:rPr>
        <w:t xml:space="preserve">  </w:t>
      </w:r>
      <w:r>
        <w:rPr>
          <w:rFonts w:hint="eastAsia"/>
          <w:lang w:val="en-GB"/>
        </w:rPr>
        <w:t>第五次报告提供了有关禁止对妇女进行剥削的资料</w:t>
      </w:r>
      <w:r>
        <w:rPr>
          <w:rFonts w:hint="eastAsia"/>
          <w:lang w:val="en-GB"/>
        </w:rPr>
        <w:t>(</w:t>
      </w:r>
      <w:r>
        <w:rPr>
          <w:rFonts w:hint="eastAsia"/>
          <w:lang w:val="en-GB"/>
        </w:rPr>
        <w:t>第</w:t>
      </w:r>
      <w:r>
        <w:rPr>
          <w:rFonts w:hint="eastAsia"/>
          <w:lang w:val="en-GB"/>
        </w:rPr>
        <w:t>184</w:t>
      </w:r>
      <w:r>
        <w:rPr>
          <w:rFonts w:hint="eastAsia"/>
          <w:lang w:val="en-GB"/>
        </w:rPr>
        <w:t>至</w:t>
      </w:r>
      <w:r>
        <w:rPr>
          <w:rFonts w:hint="eastAsia"/>
          <w:lang w:val="en-GB"/>
        </w:rPr>
        <w:t>262</w:t>
      </w:r>
      <w:r>
        <w:rPr>
          <w:rFonts w:hint="eastAsia"/>
          <w:lang w:val="en-GB"/>
        </w:rPr>
        <w:t>段</w:t>
      </w:r>
      <w:r>
        <w:rPr>
          <w:rFonts w:hint="eastAsia"/>
          <w:lang w:val="en-GB"/>
        </w:rPr>
        <w:t>)</w:t>
      </w:r>
      <w:r>
        <w:rPr>
          <w:rFonts w:hint="eastAsia"/>
          <w:lang w:val="en-GB"/>
        </w:rPr>
        <w:t>。该报告还指出，被贩运到以色列从事卖淫的妇女人数已急剧减少。请提供资料，说明</w:t>
      </w:r>
      <w:r>
        <w:rPr>
          <w:lang w:val="en-GB"/>
        </w:rPr>
        <w:t>5767-2006</w:t>
      </w:r>
      <w:r>
        <w:rPr>
          <w:rFonts w:hint="eastAsia"/>
          <w:lang w:val="en-GB"/>
        </w:rPr>
        <w:t>号</w:t>
      </w:r>
      <w:r>
        <w:rPr>
          <w:iCs/>
          <w:lang w:val="en-GB"/>
        </w:rPr>
        <w:t>《禁止贩卖人口法》</w:t>
      </w:r>
      <w:r>
        <w:rPr>
          <w:rFonts w:hint="eastAsia"/>
          <w:iCs/>
          <w:lang w:val="en-GB"/>
        </w:rPr>
        <w:t>(</w:t>
      </w:r>
      <w:r>
        <w:rPr>
          <w:rFonts w:hint="eastAsia"/>
          <w:iCs/>
          <w:lang w:val="en-GB"/>
        </w:rPr>
        <w:t>适用于定义宽泛的贩运人口罪行所涉及的若干非法行为</w:t>
      </w:r>
      <w:r>
        <w:rPr>
          <w:rFonts w:hint="eastAsia"/>
          <w:iCs/>
          <w:lang w:val="en-GB"/>
        </w:rPr>
        <w:t>)</w:t>
      </w:r>
      <w:r>
        <w:rPr>
          <w:rFonts w:hint="eastAsia"/>
          <w:iCs/>
          <w:lang w:val="en-GB"/>
        </w:rPr>
        <w:t>的执行情况</w:t>
      </w:r>
      <w:r>
        <w:rPr>
          <w:rFonts w:hint="eastAsia"/>
          <w:lang w:val="en-GB"/>
        </w:rPr>
        <w:t>和该法对减少此类案件的影响。根据第五次报告的简要概述</w:t>
      </w:r>
      <w:r>
        <w:rPr>
          <w:rFonts w:hint="eastAsia"/>
          <w:lang w:val="en-GB"/>
        </w:rPr>
        <w:t>(</w:t>
      </w:r>
      <w:r>
        <w:rPr>
          <w:rFonts w:hint="eastAsia"/>
          <w:lang w:val="en-GB"/>
        </w:rPr>
        <w:t>第</w:t>
      </w:r>
      <w:r>
        <w:rPr>
          <w:rFonts w:hint="eastAsia"/>
          <w:lang w:val="en-GB"/>
        </w:rPr>
        <w:t>236</w:t>
      </w:r>
      <w:r>
        <w:rPr>
          <w:rFonts w:hint="eastAsia"/>
          <w:lang w:val="en-GB"/>
        </w:rPr>
        <w:t>段</w:t>
      </w:r>
      <w:r>
        <w:rPr>
          <w:rFonts w:hint="eastAsia"/>
          <w:lang w:val="en-GB"/>
        </w:rPr>
        <w:t>)</w:t>
      </w:r>
      <w:r>
        <w:rPr>
          <w:rFonts w:hint="eastAsia"/>
          <w:lang w:val="en-GB"/>
        </w:rPr>
        <w:t>，请提供资料，说明已批准的打击奴役他人和为奴役他人贩运人口、强迫劳动和以使人卖淫为目的贩运人口行为的国家计划的内容和执行情况。第五次报告还描述了与贩运人口行为有关的调查、起诉和赔偿工作</w:t>
      </w:r>
      <w:r>
        <w:rPr>
          <w:rFonts w:hint="eastAsia"/>
          <w:lang w:val="en-GB"/>
        </w:rPr>
        <w:t>(</w:t>
      </w:r>
      <w:r>
        <w:rPr>
          <w:rFonts w:hint="eastAsia"/>
          <w:lang w:val="en-GB"/>
        </w:rPr>
        <w:t>第</w:t>
      </w:r>
      <w:r>
        <w:rPr>
          <w:rFonts w:hint="eastAsia"/>
          <w:lang w:val="en-GB"/>
        </w:rPr>
        <w:t>213-227</w:t>
      </w:r>
      <w:r>
        <w:rPr>
          <w:rFonts w:hint="eastAsia"/>
          <w:lang w:val="en-GB"/>
        </w:rPr>
        <w:t>和</w:t>
      </w:r>
      <w:r>
        <w:rPr>
          <w:rFonts w:hint="eastAsia"/>
          <w:lang w:val="en-GB"/>
        </w:rPr>
        <w:t>262</w:t>
      </w:r>
      <w:r>
        <w:rPr>
          <w:rFonts w:hint="eastAsia"/>
          <w:lang w:val="en-GB"/>
        </w:rPr>
        <w:t>段</w:t>
      </w:r>
      <w:r>
        <w:rPr>
          <w:rFonts w:hint="eastAsia"/>
          <w:lang w:val="en-GB"/>
        </w:rPr>
        <w:t>)</w:t>
      </w:r>
      <w:r>
        <w:rPr>
          <w:rFonts w:hint="eastAsia"/>
          <w:lang w:val="en-GB"/>
        </w:rPr>
        <w:t>。请提供资料，说明为确保在这些程序中保护受害者所采取的各项措施，并澄清已返回自己原籍国的受害者是否可求助于补偿机构。</w:t>
      </w:r>
    </w:p>
    <w:p w:rsidR="00393F13" w:rsidRDefault="00393F13">
      <w:pPr>
        <w:pStyle w:val="SingleTxtGC"/>
        <w:rPr>
          <w:lang w:val="en-GB"/>
        </w:rPr>
      </w:pPr>
      <w:r>
        <w:rPr>
          <w:lang w:val="en-GB"/>
        </w:rPr>
        <w:t>17.</w:t>
      </w:r>
      <w:r>
        <w:rPr>
          <w:rFonts w:hint="eastAsia"/>
          <w:lang w:val="en-GB"/>
        </w:rPr>
        <w:t xml:space="preserve">  </w:t>
      </w:r>
      <w:r>
        <w:rPr>
          <w:rFonts w:hint="eastAsia"/>
          <w:lang w:val="en-GB"/>
        </w:rPr>
        <w:t>请详细说明为防止和禁止利用妇女卖淫营利行为所采取的措施。请提供进一步资料，说明第五次报告</w:t>
      </w:r>
      <w:r>
        <w:rPr>
          <w:rFonts w:hint="eastAsia"/>
          <w:lang w:val="en-GB"/>
        </w:rPr>
        <w:t>(</w:t>
      </w:r>
      <w:r>
        <w:rPr>
          <w:rFonts w:hint="eastAsia"/>
          <w:lang w:val="en-GB"/>
        </w:rPr>
        <w:t>第</w:t>
      </w:r>
      <w:r>
        <w:rPr>
          <w:rFonts w:hint="eastAsia"/>
          <w:lang w:val="en-GB"/>
        </w:rPr>
        <w:t>52.2</w:t>
      </w:r>
      <w:r>
        <w:rPr>
          <w:rFonts w:hint="eastAsia"/>
          <w:lang w:val="en-GB"/>
        </w:rPr>
        <w:t>段</w:t>
      </w:r>
      <w:r>
        <w:rPr>
          <w:rFonts w:hint="eastAsia"/>
          <w:lang w:val="en-GB"/>
        </w:rPr>
        <w:t>)</w:t>
      </w:r>
      <w:r>
        <w:rPr>
          <w:rFonts w:hint="eastAsia"/>
          <w:lang w:val="en-GB"/>
        </w:rPr>
        <w:t>中所述及的</w:t>
      </w:r>
      <w:r>
        <w:rPr>
          <w:rFonts w:hint="eastAsia"/>
          <w:lang w:val="en-GB"/>
        </w:rPr>
        <w:t>2007</w:t>
      </w:r>
      <w:r>
        <w:rPr>
          <w:rFonts w:hint="eastAsia"/>
          <w:lang w:val="en-GB"/>
        </w:rPr>
        <w:t>年“旨在帮助卖淫妇女和女孩打破卖淫恶性循环的康复与治疗计划”的执行情况和产生的影响。缔约国是否已通过任何可为希望脱离卖淫业的妇女提供帮助的退出方案？</w:t>
      </w:r>
    </w:p>
    <w:p w:rsidR="00393F13" w:rsidRDefault="00393F13">
      <w:pPr>
        <w:pStyle w:val="SingleTxtGC"/>
        <w:rPr>
          <w:lang w:val="en-GB"/>
        </w:rPr>
      </w:pPr>
      <w:r>
        <w:rPr>
          <w:lang w:val="en-GB"/>
        </w:rPr>
        <w:t>18.</w:t>
      </w:r>
      <w:r>
        <w:rPr>
          <w:rFonts w:hint="eastAsia"/>
          <w:lang w:val="en-GB"/>
        </w:rPr>
        <w:t xml:space="preserve">  </w:t>
      </w:r>
      <w:r>
        <w:rPr>
          <w:rFonts w:hint="eastAsia"/>
          <w:lang w:val="en-GB"/>
        </w:rPr>
        <w:t>对于移民人权问题特别报告员、贩卖人口问题、特别是贩卖妇女和儿童问题特别报告员、暴力侵害妇女、其原因及后果问题特别报告员和买卖儿童、儿童卖淫和儿童色情制品问题特别报告员就关于被贩运的受害妇女担心庇护所和卫生服务等福利受影响而不敢出庭作证的指控所表示的关切，请提供资料，说明缔约国在这方面所采取的措施</w:t>
      </w:r>
      <w:r>
        <w:rPr>
          <w:rFonts w:hint="eastAsia"/>
          <w:lang w:val="en-GB"/>
        </w:rPr>
        <w:t>(</w:t>
      </w:r>
      <w:r>
        <w:rPr>
          <w:lang w:val="en-GB"/>
        </w:rPr>
        <w:t>E/CN.4/2006/73/Add.1,</w:t>
      </w:r>
      <w:r>
        <w:rPr>
          <w:rFonts w:hint="eastAsia"/>
          <w:lang w:val="en-GB"/>
        </w:rPr>
        <w:t xml:space="preserve"> </w:t>
      </w:r>
      <w:r>
        <w:rPr>
          <w:rFonts w:hint="eastAsia"/>
          <w:lang w:val="en-GB"/>
        </w:rPr>
        <w:t>第</w:t>
      </w:r>
      <w:r>
        <w:rPr>
          <w:rFonts w:hint="eastAsia"/>
          <w:lang w:val="en-GB"/>
        </w:rPr>
        <w:t>83</w:t>
      </w:r>
      <w:r>
        <w:rPr>
          <w:rFonts w:hint="eastAsia"/>
          <w:lang w:val="en-GB"/>
        </w:rPr>
        <w:t>段</w:t>
      </w:r>
      <w:r>
        <w:rPr>
          <w:rFonts w:hint="eastAsia"/>
          <w:lang w:val="en-GB"/>
        </w:rPr>
        <w:t>)</w:t>
      </w:r>
      <w:r>
        <w:rPr>
          <w:rFonts w:hint="eastAsia"/>
          <w:lang w:val="en-GB"/>
        </w:rPr>
        <w:t>。</w:t>
      </w:r>
    </w:p>
    <w:p w:rsidR="00393F13" w:rsidRDefault="00393F13">
      <w:pPr>
        <w:pStyle w:val="SingleTxtGC"/>
        <w:rPr>
          <w:rFonts w:hint="eastAsia"/>
          <w:bCs/>
        </w:rPr>
      </w:pPr>
      <w:r>
        <w:rPr>
          <w:bCs/>
        </w:rPr>
        <w:t xml:space="preserve">19. </w:t>
      </w:r>
      <w:r>
        <w:rPr>
          <w:rFonts w:hint="eastAsia"/>
          <w:bCs/>
        </w:rPr>
        <w:t xml:space="preserve"> </w:t>
      </w:r>
      <w:r>
        <w:rPr>
          <w:rFonts w:hint="eastAsia"/>
          <w:bCs/>
        </w:rPr>
        <w:t>委员会收到的资料表明，一些女性移徙工人虽然持有效工作许可进入以色列，但却沦为</w:t>
      </w:r>
      <w:r>
        <w:rPr>
          <w:bCs/>
        </w:rPr>
        <w:t>债务奴役</w:t>
      </w:r>
      <w:r>
        <w:rPr>
          <w:rFonts w:hint="eastAsia"/>
          <w:bCs/>
        </w:rPr>
        <w:t>、</w:t>
      </w:r>
      <w:r>
        <w:rPr>
          <w:bCs/>
        </w:rPr>
        <w:t>欺诈</w:t>
      </w:r>
      <w:r>
        <w:rPr>
          <w:rFonts w:hint="eastAsia"/>
          <w:bCs/>
        </w:rPr>
        <w:t>、</w:t>
      </w:r>
      <w:r>
        <w:rPr>
          <w:bCs/>
        </w:rPr>
        <w:t>强迫劳动和性奴役</w:t>
      </w:r>
      <w:r>
        <w:rPr>
          <w:rFonts w:hint="eastAsia"/>
          <w:bCs/>
        </w:rPr>
        <w:t>受害者，此类案件时有发生。请提供资料，说明在保护女性移徙工人，包括保护其诉诸司法和对犯罪人提出刑事起诉方面的现有机制和计划建立的机制。</w:t>
      </w:r>
    </w:p>
    <w:p w:rsidR="00393F13" w:rsidRDefault="00393F13" w:rsidP="00A7395A">
      <w:pPr>
        <w:pStyle w:val="H23GC"/>
      </w:pPr>
      <w:r>
        <w:tab/>
      </w:r>
      <w:r>
        <w:tab/>
      </w:r>
      <w:r>
        <w:rPr>
          <w:rFonts w:hint="eastAsia"/>
        </w:rPr>
        <w:t>参与决策和在国际一级的代表性</w:t>
      </w:r>
    </w:p>
    <w:p w:rsidR="00393F13" w:rsidRDefault="00393F13">
      <w:pPr>
        <w:pStyle w:val="SingleTxtGC"/>
        <w:rPr>
          <w:rFonts w:hint="eastAsia"/>
        </w:rPr>
      </w:pPr>
      <w:r>
        <w:rPr>
          <w:lang w:val="en-GB"/>
        </w:rPr>
        <w:t>20.</w:t>
      </w:r>
      <w:r>
        <w:rPr>
          <w:rFonts w:hint="eastAsia"/>
          <w:lang w:val="en-GB"/>
        </w:rPr>
        <w:t xml:space="preserve">  </w:t>
      </w:r>
      <w:r>
        <w:rPr>
          <w:rFonts w:hint="eastAsia"/>
          <w:lang w:val="en-GB"/>
        </w:rPr>
        <w:t>在以前的结论性意见</w:t>
      </w:r>
      <w:r>
        <w:rPr>
          <w:rFonts w:hint="eastAsia"/>
          <w:lang w:val="en-GB"/>
        </w:rPr>
        <w:t>(</w:t>
      </w:r>
      <w:r>
        <w:rPr>
          <w:lang w:val="en-GB"/>
        </w:rPr>
        <w:t>CEDAW/C/ISR/CO/3,</w:t>
      </w:r>
      <w:r>
        <w:rPr>
          <w:rFonts w:hint="eastAsia"/>
          <w:lang w:val="en-GB"/>
        </w:rPr>
        <w:t xml:space="preserve"> </w:t>
      </w:r>
      <w:r>
        <w:rPr>
          <w:rFonts w:hint="eastAsia"/>
          <w:lang w:val="en-GB"/>
        </w:rPr>
        <w:t>第</w:t>
      </w:r>
      <w:r>
        <w:rPr>
          <w:lang w:val="en-GB"/>
        </w:rPr>
        <w:t>31</w:t>
      </w:r>
      <w:r>
        <w:rPr>
          <w:rFonts w:hint="eastAsia"/>
          <w:lang w:val="en-GB"/>
        </w:rPr>
        <w:t>和第</w:t>
      </w:r>
      <w:r>
        <w:rPr>
          <w:rFonts w:hint="eastAsia"/>
          <w:lang w:val="en-GB"/>
        </w:rPr>
        <w:t>32</w:t>
      </w:r>
      <w:r>
        <w:rPr>
          <w:rFonts w:hint="eastAsia"/>
          <w:lang w:val="en-GB"/>
        </w:rPr>
        <w:t>段</w:t>
      </w:r>
      <w:r>
        <w:rPr>
          <w:rFonts w:hint="eastAsia"/>
          <w:lang w:val="en-GB"/>
        </w:rPr>
        <w:t>)</w:t>
      </w:r>
      <w:r>
        <w:rPr>
          <w:rFonts w:hint="eastAsia"/>
          <w:lang w:val="en-GB"/>
        </w:rPr>
        <w:t>中，委员会对妇女在地方主管机构的决策职位中所占比例较低以及妇女在政府和外事部门担任高级职务的妇女人数依然偏少表示关切。第五次报告指出，</w:t>
      </w:r>
      <w:r>
        <w:rPr>
          <w:rFonts w:hint="eastAsia"/>
        </w:rPr>
        <w:t>虽然男子和妇女在政治生活某些领域的参与人数仍有差距，但妇女在政治生活各个领域中的参与情况都在逐步改善</w:t>
      </w:r>
      <w:r>
        <w:rPr>
          <w:rFonts w:hint="eastAsia"/>
        </w:rPr>
        <w:t>(</w:t>
      </w:r>
      <w:r>
        <w:rPr>
          <w:rFonts w:hint="eastAsia"/>
        </w:rPr>
        <w:t>第</w:t>
      </w:r>
      <w:r>
        <w:rPr>
          <w:rFonts w:hint="eastAsia"/>
        </w:rPr>
        <w:t>264</w:t>
      </w:r>
      <w:r>
        <w:rPr>
          <w:rFonts w:hint="eastAsia"/>
        </w:rPr>
        <w:t>段</w:t>
      </w:r>
      <w:r>
        <w:rPr>
          <w:rFonts w:hint="eastAsia"/>
        </w:rPr>
        <w:t>)</w:t>
      </w:r>
      <w:r>
        <w:rPr>
          <w:rFonts w:hint="eastAsia"/>
        </w:rPr>
        <w:t>。请详细说明此种差距，并提供更多详细资料，说明为弥合这些差距所采取的措施。</w:t>
      </w:r>
      <w:r>
        <w:t xml:space="preserve"> </w:t>
      </w:r>
    </w:p>
    <w:p w:rsidR="00393F13" w:rsidRDefault="00393F13">
      <w:pPr>
        <w:pStyle w:val="SingleTxtGC"/>
        <w:rPr>
          <w:rFonts w:hint="eastAsia"/>
          <w:lang w:val="en-GB"/>
        </w:rPr>
      </w:pPr>
      <w:r>
        <w:t>21.</w:t>
      </w:r>
      <w:r>
        <w:rPr>
          <w:rFonts w:hint="eastAsia"/>
        </w:rPr>
        <w:t xml:space="preserve">  </w:t>
      </w:r>
      <w:r>
        <w:rPr>
          <w:rFonts w:hint="eastAsia"/>
        </w:rPr>
        <w:t>第五次报告提供了有关加速实现男女平等的资料</w:t>
      </w:r>
      <w:r>
        <w:rPr>
          <w:rFonts w:hint="eastAsia"/>
        </w:rPr>
        <w:t>(</w:t>
      </w:r>
      <w:r>
        <w:rPr>
          <w:rFonts w:hint="eastAsia"/>
        </w:rPr>
        <w:t>第</w:t>
      </w:r>
      <w:r>
        <w:rPr>
          <w:rFonts w:hint="eastAsia"/>
        </w:rPr>
        <w:t>96</w:t>
      </w:r>
      <w:r>
        <w:rPr>
          <w:rFonts w:hint="eastAsia"/>
        </w:rPr>
        <w:t>至</w:t>
      </w:r>
      <w:r>
        <w:rPr>
          <w:rFonts w:hint="eastAsia"/>
        </w:rPr>
        <w:t>100</w:t>
      </w:r>
      <w:r>
        <w:rPr>
          <w:rFonts w:hint="eastAsia"/>
        </w:rPr>
        <w:t>段</w:t>
      </w:r>
      <w:r>
        <w:rPr>
          <w:rFonts w:hint="eastAsia"/>
        </w:rPr>
        <w:t>)</w:t>
      </w:r>
      <w:r>
        <w:rPr>
          <w:rFonts w:hint="eastAsia"/>
        </w:rPr>
        <w:t>。请提供进一步资料，说明缔约国所采取的持续性措施，包括根据《公约》第四条第</w:t>
      </w:r>
      <w:r>
        <w:rPr>
          <w:rFonts w:hint="eastAsia"/>
        </w:rPr>
        <w:t>1</w:t>
      </w:r>
      <w:r>
        <w:rPr>
          <w:rFonts w:hint="eastAsia"/>
        </w:rPr>
        <w:t>款和委员会第</w:t>
      </w:r>
      <w:r>
        <w:rPr>
          <w:rFonts w:hint="eastAsia"/>
        </w:rPr>
        <w:t>25</w:t>
      </w:r>
      <w:r>
        <w:rPr>
          <w:rFonts w:hint="eastAsia"/>
        </w:rPr>
        <w:t>号一般性意见</w:t>
      </w:r>
      <w:r>
        <w:rPr>
          <w:rFonts w:hint="eastAsia"/>
        </w:rPr>
        <w:t>(2004</w:t>
      </w:r>
      <w:r>
        <w:rPr>
          <w:rFonts w:hint="eastAsia"/>
        </w:rPr>
        <w:t>年</w:t>
      </w:r>
      <w:r>
        <w:rPr>
          <w:rFonts w:hint="eastAsia"/>
        </w:rPr>
        <w:t>)</w:t>
      </w:r>
      <w:r>
        <w:rPr>
          <w:rFonts w:hint="eastAsia"/>
        </w:rPr>
        <w:t>采取的暂行特别措施，以便加速提高妇女、包括阿拉伯裔以色列妇女在政治生活各个领域的当选和被任命的机构中的代表比例。请按照委员会以前的结论性意见</w:t>
      </w:r>
      <w:r>
        <w:rPr>
          <w:rFonts w:hint="eastAsia"/>
        </w:rPr>
        <w:t>(</w:t>
      </w:r>
      <w:r>
        <w:rPr>
          <w:lang w:val="en-GB"/>
        </w:rPr>
        <w:t>CEDAW/C/ISR/CO/3,</w:t>
      </w:r>
      <w:r>
        <w:rPr>
          <w:rFonts w:hint="eastAsia"/>
          <w:lang w:val="en-GB"/>
        </w:rPr>
        <w:t xml:space="preserve"> </w:t>
      </w:r>
      <w:r>
        <w:rPr>
          <w:rFonts w:hint="eastAsia"/>
          <w:lang w:val="en-GB"/>
        </w:rPr>
        <w:t>第</w:t>
      </w:r>
      <w:r>
        <w:rPr>
          <w:rFonts w:hint="eastAsia"/>
          <w:lang w:val="en-GB"/>
        </w:rPr>
        <w:t>32</w:t>
      </w:r>
      <w:r>
        <w:rPr>
          <w:rFonts w:hint="eastAsia"/>
          <w:lang w:val="en-GB"/>
        </w:rPr>
        <w:t>段</w:t>
      </w:r>
      <w:r>
        <w:rPr>
          <w:rFonts w:hint="eastAsia"/>
          <w:lang w:val="en-GB"/>
        </w:rPr>
        <w:t>)</w:t>
      </w:r>
      <w:r>
        <w:rPr>
          <w:rFonts w:hint="eastAsia"/>
          <w:lang w:val="en-GB"/>
        </w:rPr>
        <w:t>，在答复中列入有关制定此种具体目标和时间表的资料。</w:t>
      </w:r>
    </w:p>
    <w:p w:rsidR="00393F13" w:rsidRDefault="00393F13" w:rsidP="00A7395A">
      <w:pPr>
        <w:pStyle w:val="H23GC"/>
        <w:rPr>
          <w:lang w:val="en-GB"/>
        </w:rPr>
      </w:pPr>
      <w:r>
        <w:rPr>
          <w:lang w:val="en-GB"/>
        </w:rPr>
        <w:tab/>
      </w:r>
      <w:r>
        <w:rPr>
          <w:rFonts w:hint="eastAsia"/>
          <w:lang w:val="en-GB"/>
        </w:rPr>
        <w:tab/>
      </w:r>
      <w:r>
        <w:rPr>
          <w:rFonts w:hint="eastAsia"/>
          <w:lang w:val="en-GB"/>
        </w:rPr>
        <w:t>国籍</w:t>
      </w:r>
    </w:p>
    <w:p w:rsidR="00393F13" w:rsidRDefault="00393F13">
      <w:pPr>
        <w:pStyle w:val="SingleTxtGC"/>
        <w:rPr>
          <w:rFonts w:hint="eastAsia"/>
          <w:lang w:val="en-GB"/>
        </w:rPr>
      </w:pPr>
      <w:r>
        <w:rPr>
          <w:lang w:val="en-GB"/>
        </w:rPr>
        <w:t>22.</w:t>
      </w:r>
      <w:r>
        <w:rPr>
          <w:rFonts w:hint="eastAsia"/>
          <w:lang w:val="en-GB"/>
        </w:rPr>
        <w:t xml:space="preserve">  </w:t>
      </w:r>
      <w:r>
        <w:rPr>
          <w:rFonts w:hint="eastAsia"/>
          <w:lang w:val="en-GB"/>
        </w:rPr>
        <w:t>在以前的结论性意见</w:t>
      </w:r>
      <w:r>
        <w:rPr>
          <w:rFonts w:hint="eastAsia"/>
          <w:lang w:val="en-GB"/>
        </w:rPr>
        <w:t>(</w:t>
      </w:r>
      <w:r>
        <w:rPr>
          <w:lang w:val="en-GB"/>
        </w:rPr>
        <w:t>CEDAW/C/ISR/CO/3,</w:t>
      </w:r>
      <w:r>
        <w:rPr>
          <w:rFonts w:hint="eastAsia"/>
          <w:lang w:val="en-GB"/>
        </w:rPr>
        <w:t xml:space="preserve"> </w:t>
      </w:r>
      <w:r>
        <w:rPr>
          <w:rFonts w:hint="eastAsia"/>
          <w:lang w:val="en-GB"/>
        </w:rPr>
        <w:t>第</w:t>
      </w:r>
      <w:r>
        <w:rPr>
          <w:rFonts w:hint="eastAsia"/>
          <w:lang w:val="en-GB"/>
        </w:rPr>
        <w:t>33-34</w:t>
      </w:r>
      <w:r>
        <w:rPr>
          <w:rFonts w:hint="eastAsia"/>
          <w:lang w:val="en-GB"/>
        </w:rPr>
        <w:t>段</w:t>
      </w:r>
      <w:r>
        <w:rPr>
          <w:rFonts w:hint="eastAsia"/>
          <w:lang w:val="en-GB"/>
        </w:rPr>
        <w:t>)</w:t>
      </w:r>
      <w:r>
        <w:rPr>
          <w:rFonts w:hint="eastAsia"/>
          <w:lang w:val="en-GB"/>
        </w:rPr>
        <w:t>中，委员会对缔约国</w:t>
      </w:r>
      <w:r>
        <w:rPr>
          <w:rFonts w:hint="eastAsia"/>
          <w:lang w:val="en-GB"/>
        </w:rPr>
        <w:t>2002</w:t>
      </w:r>
      <w:r>
        <w:rPr>
          <w:rFonts w:hint="eastAsia"/>
          <w:lang w:val="en-GB"/>
        </w:rPr>
        <w:t>年</w:t>
      </w:r>
      <w:r>
        <w:rPr>
          <w:rFonts w:hint="eastAsia"/>
          <w:lang w:val="en-GB"/>
        </w:rPr>
        <w:t>5</w:t>
      </w:r>
      <w:r>
        <w:rPr>
          <w:rFonts w:hint="eastAsia"/>
          <w:lang w:val="en-GB"/>
        </w:rPr>
        <w:t>月的暂行中止令表示关切，此法令于</w:t>
      </w:r>
      <w:r>
        <w:rPr>
          <w:rFonts w:hint="eastAsia"/>
          <w:lang w:val="en-GB"/>
        </w:rPr>
        <w:t>2003</w:t>
      </w:r>
      <w:r>
        <w:rPr>
          <w:rFonts w:hint="eastAsia"/>
          <w:lang w:val="en-GB"/>
        </w:rPr>
        <w:t>年</w:t>
      </w:r>
      <w:r>
        <w:rPr>
          <w:rFonts w:hint="eastAsia"/>
          <w:lang w:val="en-GB"/>
        </w:rPr>
        <w:t>7</w:t>
      </w:r>
      <w:r>
        <w:rPr>
          <w:rFonts w:hint="eastAsia"/>
          <w:lang w:val="en-GB"/>
        </w:rPr>
        <w:t>月</w:t>
      </w:r>
      <w:r>
        <w:rPr>
          <w:rFonts w:hint="eastAsia"/>
          <w:lang w:val="en-GB"/>
        </w:rPr>
        <w:t>31</w:t>
      </w:r>
      <w:r>
        <w:rPr>
          <w:rFonts w:hint="eastAsia"/>
          <w:lang w:val="en-GB"/>
        </w:rPr>
        <w:t>日作为《国籍和以色列入境法》</w:t>
      </w:r>
      <w:r>
        <w:rPr>
          <w:rFonts w:hint="eastAsia"/>
          <w:lang w:val="en-GB"/>
        </w:rPr>
        <w:t>(</w:t>
      </w:r>
      <w:r>
        <w:rPr>
          <w:rFonts w:hint="eastAsia"/>
          <w:lang w:val="en-GB"/>
        </w:rPr>
        <w:t>暂行令</w:t>
      </w:r>
      <w:r>
        <w:rPr>
          <w:rFonts w:hint="eastAsia"/>
          <w:lang w:val="en-GB"/>
        </w:rPr>
        <w:t>)</w:t>
      </w:r>
      <w:r>
        <w:rPr>
          <w:rFonts w:hint="eastAsia"/>
          <w:lang w:val="en-GB"/>
        </w:rPr>
        <w:t>颁布，除了有限的和主观决定的例外以外，该法取消了家庭团聚的可能性，特别是对以色列公民与居住在被占领土的人联姻而言。委员会还关切地注意到，中止令延长到</w:t>
      </w:r>
      <w:r>
        <w:rPr>
          <w:rFonts w:hint="eastAsia"/>
          <w:lang w:val="en-GB"/>
        </w:rPr>
        <w:t>2005</w:t>
      </w:r>
      <w:r>
        <w:rPr>
          <w:rFonts w:hint="eastAsia"/>
          <w:lang w:val="en-GB"/>
        </w:rPr>
        <w:t>年</w:t>
      </w:r>
      <w:r>
        <w:rPr>
          <w:rFonts w:hint="eastAsia"/>
          <w:lang w:val="en-GB"/>
        </w:rPr>
        <w:t>8</w:t>
      </w:r>
      <w:r>
        <w:rPr>
          <w:rFonts w:hint="eastAsia"/>
          <w:lang w:val="en-GB"/>
        </w:rPr>
        <w:t>月底，对阿拉伯裔以色列女公民和被占领土上的巴勒斯坦妇女的婚姻和家庭生活已产生不利影响。缔约国第五次报告指出，自缔约国上一次报告提交以来，在国籍问题上没有任何明显变化</w:t>
      </w:r>
      <w:r>
        <w:rPr>
          <w:rFonts w:hint="eastAsia"/>
          <w:lang w:val="en-GB"/>
        </w:rPr>
        <w:t>(</w:t>
      </w:r>
      <w:r>
        <w:rPr>
          <w:rFonts w:hint="eastAsia"/>
          <w:lang w:val="en-GB"/>
        </w:rPr>
        <w:t>第</w:t>
      </w:r>
      <w:r>
        <w:rPr>
          <w:rFonts w:hint="eastAsia"/>
          <w:lang w:val="en-GB"/>
        </w:rPr>
        <w:t>335</w:t>
      </w:r>
      <w:r>
        <w:rPr>
          <w:rFonts w:hint="eastAsia"/>
          <w:lang w:val="en-GB"/>
        </w:rPr>
        <w:t>段</w:t>
      </w:r>
      <w:r>
        <w:rPr>
          <w:rFonts w:hint="eastAsia"/>
          <w:lang w:val="en-GB"/>
        </w:rPr>
        <w:t>)</w:t>
      </w:r>
      <w:r>
        <w:rPr>
          <w:rFonts w:hint="eastAsia"/>
          <w:lang w:val="en-GB"/>
        </w:rPr>
        <w:t>。请提供资料，说明缔约国使这一《暂行令》与《公约》第九条和第十六条相一致方面所采取的步骤，并请提供详细统计资料，说明《暂行令》对受影响妇女的短期和长期影响以及相关分析。请说明缔约国是否正在考虑通过促进家庭团聚，免受任何歧视的权利，平衡国家安全利益与受此种政策影响的妇女的权利。</w:t>
      </w:r>
    </w:p>
    <w:p w:rsidR="00393F13" w:rsidRDefault="00393F13" w:rsidP="00A7395A">
      <w:pPr>
        <w:pStyle w:val="H23GC"/>
      </w:pPr>
      <w:r>
        <w:tab/>
      </w:r>
      <w:r>
        <w:tab/>
      </w:r>
      <w:r>
        <w:rPr>
          <w:rFonts w:hint="eastAsia"/>
        </w:rPr>
        <w:t>教育</w:t>
      </w:r>
    </w:p>
    <w:p w:rsidR="00393F13" w:rsidRDefault="00393F13">
      <w:pPr>
        <w:pStyle w:val="SingleTxtGC"/>
        <w:rPr>
          <w:rFonts w:hint="eastAsia"/>
          <w:lang w:val="en-GB"/>
        </w:rPr>
      </w:pPr>
      <w:r>
        <w:rPr>
          <w:lang w:val="en-GB"/>
        </w:rPr>
        <w:t>23.</w:t>
      </w:r>
      <w:r>
        <w:rPr>
          <w:rFonts w:hint="eastAsia"/>
          <w:lang w:val="en-GB"/>
        </w:rPr>
        <w:t xml:space="preserve">  </w:t>
      </w:r>
      <w:r>
        <w:rPr>
          <w:rFonts w:hint="eastAsia"/>
          <w:lang w:val="en-GB"/>
        </w:rPr>
        <w:t>关于委员会以前的结论性意见</w:t>
      </w:r>
      <w:r>
        <w:rPr>
          <w:rFonts w:hint="eastAsia"/>
          <w:lang w:val="en-GB"/>
        </w:rPr>
        <w:t>(</w:t>
      </w:r>
      <w:r>
        <w:rPr>
          <w:lang w:val="en-GB"/>
        </w:rPr>
        <w:t>CEDAW/C/ISR/CO/3,</w:t>
      </w:r>
      <w:r>
        <w:rPr>
          <w:rFonts w:hint="eastAsia"/>
          <w:lang w:val="en-GB"/>
        </w:rPr>
        <w:t xml:space="preserve"> </w:t>
      </w:r>
      <w:r>
        <w:rPr>
          <w:rFonts w:hint="eastAsia"/>
          <w:lang w:val="en-GB"/>
        </w:rPr>
        <w:t>第</w:t>
      </w:r>
      <w:r>
        <w:rPr>
          <w:rFonts w:hint="eastAsia"/>
          <w:lang w:val="en-GB"/>
        </w:rPr>
        <w:t>35-36</w:t>
      </w:r>
      <w:r>
        <w:rPr>
          <w:rFonts w:hint="eastAsia"/>
          <w:lang w:val="en-GB"/>
        </w:rPr>
        <w:t>段</w:t>
      </w:r>
      <w:r>
        <w:rPr>
          <w:rFonts w:hint="eastAsia"/>
          <w:lang w:val="en-GB"/>
        </w:rPr>
        <w:t>)</w:t>
      </w:r>
      <w:r>
        <w:rPr>
          <w:rFonts w:hint="eastAsia"/>
          <w:lang w:val="en-GB"/>
        </w:rPr>
        <w:t>，请提供进一步资料，说明缔约国在降低阿拉伯裔以色列女孩的辍学率，增加阿拉伯裔以色列妇女接受高等教育的人数方面所采取的措施。第五次报告指出，教育部任命了一个专门委员会，负责审查教科书中可能仍然存在的性别定型观念问题</w:t>
      </w:r>
      <w:r>
        <w:rPr>
          <w:rFonts w:hint="eastAsia"/>
          <w:lang w:val="en-GB"/>
        </w:rPr>
        <w:t>(</w:t>
      </w:r>
      <w:r>
        <w:rPr>
          <w:rFonts w:hint="eastAsia"/>
          <w:lang w:val="en-GB"/>
        </w:rPr>
        <w:t>第</w:t>
      </w:r>
      <w:r>
        <w:rPr>
          <w:rFonts w:hint="eastAsia"/>
          <w:lang w:val="en-GB"/>
        </w:rPr>
        <w:t>361</w:t>
      </w:r>
      <w:r>
        <w:rPr>
          <w:rFonts w:hint="eastAsia"/>
          <w:lang w:val="en-GB"/>
        </w:rPr>
        <w:t>段</w:t>
      </w:r>
      <w:r>
        <w:rPr>
          <w:rFonts w:hint="eastAsia"/>
          <w:lang w:val="en-GB"/>
        </w:rPr>
        <w:t>)</w:t>
      </w:r>
      <w:r>
        <w:rPr>
          <w:rFonts w:hint="eastAsia"/>
          <w:lang w:val="en-GB"/>
        </w:rPr>
        <w:t>。请详细说明该委员会的审查结果，并提供更多资料，说明在审查和修改阿拉伯教育系统的教科书，消除性别定型观念方面所采取的步骤。</w:t>
      </w:r>
    </w:p>
    <w:p w:rsidR="00393F13" w:rsidRDefault="00393F13">
      <w:pPr>
        <w:pStyle w:val="SingleTxtGC"/>
        <w:rPr>
          <w:lang w:val="en-GB"/>
        </w:rPr>
      </w:pPr>
      <w:r>
        <w:rPr>
          <w:lang w:val="en-GB"/>
        </w:rPr>
        <w:t>24.</w:t>
      </w:r>
      <w:r>
        <w:rPr>
          <w:rFonts w:hint="eastAsia"/>
          <w:lang w:val="en-GB"/>
        </w:rPr>
        <w:t xml:space="preserve">  </w:t>
      </w:r>
      <w:r>
        <w:rPr>
          <w:rFonts w:hint="eastAsia"/>
          <w:lang w:val="en-GB"/>
        </w:rPr>
        <w:t>请向委员会说明缔约国采取了哪些措施来确保</w:t>
      </w:r>
      <w:r>
        <w:rPr>
          <w:rFonts w:hint="eastAsia"/>
          <w:lang w:val="en-GB"/>
        </w:rPr>
        <w:t>2007</w:t>
      </w:r>
      <w:r>
        <w:rPr>
          <w:rFonts w:hint="eastAsia"/>
          <w:lang w:val="en-GB"/>
        </w:rPr>
        <w:t>年</w:t>
      </w:r>
      <w:r>
        <w:rPr>
          <w:rFonts w:hint="eastAsia"/>
          <w:lang w:val="en-GB"/>
        </w:rPr>
        <w:t>6</w:t>
      </w:r>
      <w:r>
        <w:rPr>
          <w:rFonts w:hint="eastAsia"/>
          <w:lang w:val="en-GB"/>
        </w:rPr>
        <w:t>月事件之后对加沙地带实行的封锁不给加沙妇女接受教育造成严重影响。还请提供资料说明</w:t>
      </w:r>
      <w:r>
        <w:rPr>
          <w:rFonts w:hint="eastAsia"/>
          <w:lang w:val="en-GB"/>
        </w:rPr>
        <w:t>2005</w:t>
      </w:r>
      <w:r>
        <w:rPr>
          <w:rFonts w:hint="eastAsia"/>
          <w:lang w:val="en-GB"/>
        </w:rPr>
        <w:t>年《以色列入境令》</w:t>
      </w:r>
      <w:r>
        <w:rPr>
          <w:rFonts w:hint="eastAsia"/>
          <w:lang w:val="en-GB"/>
        </w:rPr>
        <w:t>(</w:t>
      </w:r>
      <w:r>
        <w:rPr>
          <w:rFonts w:hint="eastAsia"/>
          <w:lang w:val="en-GB"/>
        </w:rPr>
        <w:t>暂行令</w:t>
      </w:r>
      <w:r>
        <w:rPr>
          <w:rFonts w:hint="eastAsia"/>
          <w:lang w:val="en-GB"/>
        </w:rPr>
        <w:t>)</w:t>
      </w:r>
      <w:r>
        <w:rPr>
          <w:rFonts w:hint="eastAsia"/>
          <w:lang w:val="en-GB"/>
        </w:rPr>
        <w:t>及随后宣布的“延长令”对寻求接受高等教育的女生的影响。</w:t>
      </w:r>
    </w:p>
    <w:p w:rsidR="00393F13" w:rsidRDefault="00393F13" w:rsidP="00A7395A">
      <w:pPr>
        <w:pStyle w:val="H23GC"/>
      </w:pPr>
      <w:r>
        <w:tab/>
      </w:r>
      <w:r>
        <w:tab/>
      </w:r>
      <w:r>
        <w:rPr>
          <w:rFonts w:hint="eastAsia"/>
        </w:rPr>
        <w:t>就业</w:t>
      </w:r>
    </w:p>
    <w:p w:rsidR="00393F13" w:rsidRDefault="00393F13">
      <w:pPr>
        <w:pStyle w:val="SingleTxtGC"/>
        <w:rPr>
          <w:rFonts w:hint="eastAsia"/>
        </w:rPr>
      </w:pPr>
      <w:r>
        <w:t>25.</w:t>
      </w:r>
      <w:r>
        <w:rPr>
          <w:rFonts w:hint="eastAsia"/>
        </w:rPr>
        <w:t xml:space="preserve">  </w:t>
      </w:r>
      <w:r>
        <w:rPr>
          <w:rFonts w:hint="eastAsia"/>
        </w:rPr>
        <w:t>第五次报告述及</w:t>
      </w:r>
      <w:r>
        <w:rPr>
          <w:rFonts w:hint="eastAsia"/>
        </w:rPr>
        <w:t>2008</w:t>
      </w:r>
      <w:r>
        <w:rPr>
          <w:rFonts w:hint="eastAsia"/>
        </w:rPr>
        <w:t>年</w:t>
      </w:r>
      <w:r>
        <w:rPr>
          <w:rFonts w:hint="eastAsia"/>
        </w:rPr>
        <w:t>4</w:t>
      </w:r>
      <w:r>
        <w:rPr>
          <w:rFonts w:hint="eastAsia"/>
        </w:rPr>
        <w:t>月</w:t>
      </w:r>
      <w:r>
        <w:rPr>
          <w:rFonts w:hint="eastAsia"/>
        </w:rPr>
        <w:t>10</w:t>
      </w:r>
      <w:r>
        <w:rPr>
          <w:rFonts w:hint="eastAsia"/>
        </w:rPr>
        <w:t>日颁布了《促进提高职业妇女地位和妇女参加工作及促使工作场所满足妇女需要法》</w:t>
      </w:r>
      <w:r>
        <w:rPr>
          <w:rFonts w:hint="eastAsia"/>
        </w:rPr>
        <w:t>(</w:t>
      </w:r>
      <w:r>
        <w:rPr>
          <w:rFonts w:hint="eastAsia"/>
        </w:rPr>
        <w:t>第</w:t>
      </w:r>
      <w:r>
        <w:rPr>
          <w:rFonts w:hint="eastAsia"/>
        </w:rPr>
        <w:t>36</w:t>
      </w:r>
      <w:r>
        <w:rPr>
          <w:rFonts w:hint="eastAsia"/>
        </w:rPr>
        <w:t>至</w:t>
      </w:r>
      <w:r>
        <w:rPr>
          <w:rFonts w:hint="eastAsia"/>
        </w:rPr>
        <w:t>39</w:t>
      </w:r>
      <w:r>
        <w:rPr>
          <w:rFonts w:hint="eastAsia"/>
        </w:rPr>
        <w:t>段</w:t>
      </w:r>
      <w:r>
        <w:rPr>
          <w:rFonts w:hint="eastAsia"/>
        </w:rPr>
        <w:t>)</w:t>
      </w:r>
      <w:r>
        <w:rPr>
          <w:rFonts w:hint="eastAsia"/>
        </w:rPr>
        <w:t>。</w:t>
      </w:r>
      <w:r>
        <w:rPr>
          <w:rFonts w:hint="eastAsia"/>
          <w:iCs/>
        </w:rPr>
        <w:t>报告还指出，</w:t>
      </w:r>
      <w:r>
        <w:rPr>
          <w:rFonts w:hint="eastAsia"/>
          <w:lang w:val="en-GB"/>
        </w:rPr>
        <w:t>这部法律可作为一种激励机制，鼓励雇主雇用更多的女职员、将女职员擢升到高级职位，同时适当改变工作条件以适应妇女的独特需要，从而增强妇女在经济上的独立性。请详细说明该法律的执行情况及产生的影响。另请提供资料说明促进妇女融入职场和提高妇女地位公共委员会的组成和活动。</w:t>
      </w:r>
    </w:p>
    <w:p w:rsidR="00393F13" w:rsidRDefault="00393F13">
      <w:pPr>
        <w:pStyle w:val="SingleTxtGC"/>
      </w:pPr>
      <w:r>
        <w:t xml:space="preserve">26. </w:t>
      </w:r>
      <w:r>
        <w:rPr>
          <w:rFonts w:hint="eastAsia"/>
        </w:rPr>
        <w:t xml:space="preserve"> </w:t>
      </w:r>
      <w:r>
        <w:rPr>
          <w:rFonts w:hint="eastAsia"/>
        </w:rPr>
        <w:t>请说明在保护妇女免受职场性骚扰方面存在的差距，以及为解决这些问题采取了哪些措施。另请说明在公共部门和私营部门中是否存在男女同工不同酬现象，如果存在此种现象，采取了哪些纠偏措施。</w:t>
      </w:r>
    </w:p>
    <w:p w:rsidR="00393F13" w:rsidRDefault="00393F13">
      <w:pPr>
        <w:pStyle w:val="SingleTxtGC"/>
      </w:pPr>
      <w:r>
        <w:t>27.</w:t>
      </w:r>
      <w:r>
        <w:rPr>
          <w:rFonts w:hint="eastAsia"/>
        </w:rPr>
        <w:t xml:space="preserve">  </w:t>
      </w:r>
      <w:r>
        <w:rPr>
          <w:rFonts w:hint="eastAsia"/>
        </w:rPr>
        <w:t>第五次报告述及国家总审计长</w:t>
      </w:r>
      <w:r>
        <w:rPr>
          <w:rFonts w:hint="eastAsia"/>
        </w:rPr>
        <w:t>2006</w:t>
      </w:r>
      <w:r>
        <w:rPr>
          <w:rFonts w:hint="eastAsia"/>
        </w:rPr>
        <w:t>年提交的一份报告，其中涉及以色列国防军对性骚扰投诉的处理问题</w:t>
      </w:r>
      <w:r>
        <w:rPr>
          <w:rFonts w:hint="eastAsia"/>
        </w:rPr>
        <w:t>(</w:t>
      </w:r>
      <w:r>
        <w:rPr>
          <w:rFonts w:hint="eastAsia"/>
        </w:rPr>
        <w:t>第</w:t>
      </w:r>
      <w:r>
        <w:rPr>
          <w:rFonts w:hint="eastAsia"/>
        </w:rPr>
        <w:t>45</w:t>
      </w:r>
      <w:r>
        <w:rPr>
          <w:rFonts w:hint="eastAsia"/>
        </w:rPr>
        <w:t>和第</w:t>
      </w:r>
      <w:r>
        <w:rPr>
          <w:rFonts w:hint="eastAsia"/>
        </w:rPr>
        <w:t>302-305</w:t>
      </w:r>
      <w:r>
        <w:rPr>
          <w:rFonts w:hint="eastAsia"/>
        </w:rPr>
        <w:t>段</w:t>
      </w:r>
      <w:r>
        <w:rPr>
          <w:rFonts w:hint="eastAsia"/>
        </w:rPr>
        <w:t>)</w:t>
      </w:r>
      <w:r>
        <w:rPr>
          <w:rFonts w:hint="eastAsia"/>
        </w:rPr>
        <w:t>。国家总审计长指出，有大量案件在规定的</w:t>
      </w:r>
      <w:r>
        <w:rPr>
          <w:rFonts w:hint="eastAsia"/>
        </w:rPr>
        <w:t>45</w:t>
      </w:r>
      <w:r>
        <w:rPr>
          <w:rFonts w:hint="eastAsia"/>
        </w:rPr>
        <w:t>天时限内未能得到圆满的处理，并且还指出存在其他“缺陷”，包括由未经授权的军官主持审理性骚扰案件，以及除其他外，在司法程序上存在的缺陷。请向委员会说明缔约国采取了哪些有效步骤来处理这些问题以及确保性骚扰投诉得到适当处理。此外，请提供资料说明以色列国防军内部处理的这类投诉的数量和处理结果。</w:t>
      </w:r>
      <w:r>
        <w:t xml:space="preserve"> </w:t>
      </w:r>
    </w:p>
    <w:p w:rsidR="00393F13" w:rsidRDefault="00393F13" w:rsidP="00A7395A">
      <w:pPr>
        <w:pStyle w:val="H23GC"/>
        <w:rPr>
          <w:lang w:val="en-GB"/>
        </w:rPr>
      </w:pPr>
      <w:r>
        <w:rPr>
          <w:lang w:val="en-GB"/>
        </w:rPr>
        <w:tab/>
      </w:r>
      <w:r>
        <w:rPr>
          <w:lang w:val="en-GB"/>
        </w:rPr>
        <w:tab/>
      </w:r>
      <w:r>
        <w:rPr>
          <w:rFonts w:hint="eastAsia"/>
          <w:lang w:val="en-GB"/>
        </w:rPr>
        <w:t>卫生</w:t>
      </w:r>
    </w:p>
    <w:p w:rsidR="00393F13" w:rsidRDefault="00393F13">
      <w:pPr>
        <w:pStyle w:val="SingleTxtGC"/>
        <w:rPr>
          <w:lang w:val="en-GB"/>
        </w:rPr>
      </w:pPr>
      <w:r>
        <w:rPr>
          <w:lang w:val="en-GB"/>
        </w:rPr>
        <w:t>28.</w:t>
      </w:r>
      <w:r>
        <w:rPr>
          <w:rFonts w:hint="eastAsia"/>
          <w:lang w:val="en-GB"/>
        </w:rPr>
        <w:t xml:space="preserve">  </w:t>
      </w:r>
      <w:r>
        <w:rPr>
          <w:rFonts w:hint="eastAsia"/>
          <w:lang w:val="en-GB"/>
        </w:rPr>
        <w:t>请向委员会说明缔约国采取了哪些措施来确保对加沙地带实施的封锁不会对加沙地带妇女、包括老年妇女和残疾妇女的健康产生不利影响，特别是对获得适当卫生服务</w:t>
      </w:r>
      <w:r>
        <w:rPr>
          <w:rFonts w:hint="eastAsia"/>
          <w:lang w:val="en-GB"/>
        </w:rPr>
        <w:t>(</w:t>
      </w:r>
      <w:r>
        <w:rPr>
          <w:rFonts w:hint="eastAsia"/>
          <w:lang w:val="en-GB"/>
        </w:rPr>
        <w:t>包括适当设备</w:t>
      </w:r>
      <w:r>
        <w:rPr>
          <w:rFonts w:hint="eastAsia"/>
          <w:lang w:val="en-GB"/>
        </w:rPr>
        <w:t>)</w:t>
      </w:r>
      <w:r>
        <w:rPr>
          <w:rFonts w:hint="eastAsia"/>
          <w:lang w:val="en-GB"/>
        </w:rPr>
        <w:t>和治疗的影响。尤其是，请提供资料说明缔约国在以下方面所采取的措施：</w:t>
      </w:r>
    </w:p>
    <w:p w:rsidR="00393F13" w:rsidRDefault="00393F13">
      <w:pPr>
        <w:pStyle w:val="SingleTxtGC"/>
        <w:rPr>
          <w:lang w:val="en-GB"/>
        </w:rPr>
      </w:pPr>
      <w:r>
        <w:rPr>
          <w:rFonts w:hint="eastAsia"/>
          <w:lang w:val="en-GB"/>
        </w:rPr>
        <w:tab/>
      </w:r>
      <w:r>
        <w:rPr>
          <w:lang w:val="en-GB"/>
        </w:rPr>
        <w:t>(a)</w:t>
      </w:r>
      <w:r>
        <w:rPr>
          <w:lang w:val="en-GB"/>
        </w:rPr>
        <w:tab/>
      </w:r>
      <w:r>
        <w:rPr>
          <w:rFonts w:hint="eastAsia"/>
          <w:lang w:val="en-GB"/>
        </w:rPr>
        <w:t>防止对食品和燃料获取的限制影响到妇女的健康状况，包括妇女贫血率；</w:t>
      </w:r>
    </w:p>
    <w:p w:rsidR="00393F13" w:rsidRDefault="00393F13">
      <w:pPr>
        <w:pStyle w:val="SingleTxtGC"/>
        <w:rPr>
          <w:lang w:val="en-GB"/>
        </w:rPr>
      </w:pPr>
      <w:r>
        <w:rPr>
          <w:rFonts w:hint="eastAsia"/>
          <w:lang w:val="en-GB"/>
        </w:rPr>
        <w:tab/>
      </w:r>
      <w:r>
        <w:rPr>
          <w:lang w:val="en-GB"/>
        </w:rPr>
        <w:t>(b)</w:t>
      </w:r>
      <w:r>
        <w:rPr>
          <w:lang w:val="en-GB"/>
        </w:rPr>
        <w:tab/>
      </w:r>
      <w:r>
        <w:rPr>
          <w:rFonts w:hint="eastAsia"/>
          <w:lang w:val="en-GB"/>
        </w:rPr>
        <w:t>防止对以色列二级保健服务获取的限制影响到妇女的健康问题；</w:t>
      </w:r>
    </w:p>
    <w:p w:rsidR="00393F13" w:rsidRDefault="00393F13">
      <w:pPr>
        <w:pStyle w:val="SingleTxtGC"/>
        <w:rPr>
          <w:lang w:val="en-GB"/>
        </w:rPr>
      </w:pPr>
      <w:r>
        <w:rPr>
          <w:rFonts w:hint="eastAsia"/>
          <w:lang w:val="en-GB"/>
        </w:rPr>
        <w:tab/>
      </w:r>
      <w:r>
        <w:rPr>
          <w:lang w:val="en-GB"/>
        </w:rPr>
        <w:t>(c)</w:t>
      </w:r>
      <w:r>
        <w:rPr>
          <w:lang w:val="en-GB"/>
        </w:rPr>
        <w:tab/>
      </w:r>
      <w:r>
        <w:rPr>
          <w:rFonts w:hint="eastAsia"/>
          <w:lang w:val="en-GB"/>
        </w:rPr>
        <w:t>处理因封锁和</w:t>
      </w:r>
      <w:r>
        <w:rPr>
          <w:rFonts w:hint="eastAsia"/>
          <w:lang w:val="en-GB"/>
        </w:rPr>
        <w:t>2008</w:t>
      </w:r>
      <w:r>
        <w:rPr>
          <w:rFonts w:hint="eastAsia"/>
          <w:lang w:val="en-GB"/>
        </w:rPr>
        <w:t>年</w:t>
      </w:r>
      <w:r>
        <w:rPr>
          <w:rFonts w:hint="eastAsia"/>
          <w:lang w:val="en-GB"/>
        </w:rPr>
        <w:t>12</w:t>
      </w:r>
      <w:r>
        <w:rPr>
          <w:rFonts w:hint="eastAsia"/>
          <w:lang w:val="en-GB"/>
        </w:rPr>
        <w:t>月</w:t>
      </w:r>
      <w:r>
        <w:rPr>
          <w:rFonts w:hint="eastAsia"/>
          <w:lang w:val="en-GB"/>
        </w:rPr>
        <w:t>27</w:t>
      </w:r>
      <w:r>
        <w:rPr>
          <w:rFonts w:hint="eastAsia"/>
          <w:lang w:val="en-GB"/>
        </w:rPr>
        <w:t>日至</w:t>
      </w:r>
      <w:r>
        <w:rPr>
          <w:rFonts w:hint="eastAsia"/>
          <w:lang w:val="en-GB"/>
        </w:rPr>
        <w:t>2009</w:t>
      </w:r>
      <w:r>
        <w:rPr>
          <w:rFonts w:hint="eastAsia"/>
          <w:lang w:val="en-GB"/>
        </w:rPr>
        <w:t>年</w:t>
      </w:r>
      <w:r>
        <w:rPr>
          <w:rFonts w:hint="eastAsia"/>
          <w:lang w:val="en-GB"/>
        </w:rPr>
        <w:t>1</w:t>
      </w:r>
      <w:r>
        <w:rPr>
          <w:rFonts w:hint="eastAsia"/>
          <w:lang w:val="en-GB"/>
        </w:rPr>
        <w:t>月</w:t>
      </w:r>
      <w:r>
        <w:rPr>
          <w:rFonts w:hint="eastAsia"/>
          <w:lang w:val="en-GB"/>
        </w:rPr>
        <w:t>19</w:t>
      </w:r>
      <w:r>
        <w:rPr>
          <w:rFonts w:hint="eastAsia"/>
          <w:lang w:val="en-GB"/>
        </w:rPr>
        <w:t>日期间的冲突结束后给妇女造成的社会心理问题。</w:t>
      </w:r>
    </w:p>
    <w:p w:rsidR="00393F13" w:rsidRDefault="00393F13">
      <w:pPr>
        <w:pStyle w:val="SingleTxtGC"/>
        <w:rPr>
          <w:lang w:val="en-GB"/>
        </w:rPr>
      </w:pPr>
      <w:r>
        <w:rPr>
          <w:lang w:val="en-GB"/>
        </w:rPr>
        <w:t>29.</w:t>
      </w:r>
      <w:r>
        <w:rPr>
          <w:rFonts w:hint="eastAsia"/>
          <w:lang w:val="en-GB"/>
        </w:rPr>
        <w:t xml:space="preserve">  </w:t>
      </w:r>
      <w:r>
        <w:rPr>
          <w:rFonts w:hint="eastAsia"/>
          <w:lang w:val="en-GB"/>
        </w:rPr>
        <w:t>在以前的结论性意见</w:t>
      </w:r>
      <w:r>
        <w:rPr>
          <w:rFonts w:hint="eastAsia"/>
          <w:lang w:val="en-GB"/>
        </w:rPr>
        <w:t>(</w:t>
      </w:r>
      <w:r>
        <w:rPr>
          <w:lang w:val="en-GB"/>
        </w:rPr>
        <w:t>CEDAW/C/ISR/CO/3,</w:t>
      </w:r>
      <w:r>
        <w:rPr>
          <w:rFonts w:hint="eastAsia"/>
          <w:lang w:val="en-GB"/>
        </w:rPr>
        <w:t xml:space="preserve"> </w:t>
      </w:r>
      <w:r>
        <w:rPr>
          <w:rFonts w:hint="eastAsia"/>
          <w:lang w:val="en-GB"/>
        </w:rPr>
        <w:t>第</w:t>
      </w:r>
      <w:r>
        <w:rPr>
          <w:rFonts w:hint="eastAsia"/>
          <w:lang w:val="en-GB"/>
        </w:rPr>
        <w:t>37</w:t>
      </w:r>
      <w:r>
        <w:rPr>
          <w:rFonts w:hint="eastAsia"/>
          <w:lang w:val="en-GB"/>
        </w:rPr>
        <w:t>和第</w:t>
      </w:r>
      <w:r>
        <w:rPr>
          <w:rFonts w:hint="eastAsia"/>
          <w:lang w:val="en-GB"/>
        </w:rPr>
        <w:t>38</w:t>
      </w:r>
      <w:r>
        <w:rPr>
          <w:rFonts w:hint="eastAsia"/>
          <w:lang w:val="en-GB"/>
        </w:rPr>
        <w:t>段</w:t>
      </w:r>
      <w:r>
        <w:rPr>
          <w:rFonts w:hint="eastAsia"/>
          <w:lang w:val="en-GB"/>
        </w:rPr>
        <w:t>)</w:t>
      </w:r>
      <w:r>
        <w:rPr>
          <w:rFonts w:hint="eastAsia"/>
          <w:lang w:val="en-GB"/>
        </w:rPr>
        <w:t>中，委员会对在以色列检查站发生的一些事件表示关切，这些事件对巴勒斯坦妇女的权利，包括孕妇获得保健服务的权利产生不利影响。请就这方面的事态发展向委员会提供最新资料。</w:t>
      </w:r>
    </w:p>
    <w:p w:rsidR="00393F13" w:rsidRDefault="00393F13">
      <w:pPr>
        <w:pStyle w:val="SingleTxtGC"/>
        <w:rPr>
          <w:rFonts w:hint="eastAsia"/>
          <w:lang w:val="en-GB"/>
        </w:rPr>
      </w:pPr>
      <w:r>
        <w:rPr>
          <w:lang w:val="en-GB"/>
        </w:rPr>
        <w:t>30.</w:t>
      </w:r>
      <w:r>
        <w:rPr>
          <w:rFonts w:hint="eastAsia"/>
          <w:lang w:val="en-GB"/>
        </w:rPr>
        <w:t xml:space="preserve">  </w:t>
      </w:r>
      <w:r>
        <w:rPr>
          <w:rFonts w:hint="eastAsia"/>
          <w:lang w:val="en-GB"/>
        </w:rPr>
        <w:t>请向委员会说明以色列监狱中所关押的巴勒斯坦女囚犯的状况。现已采取或设想要采取哪些措施来确保女囚犯获得适当的保健服务以及生活条件？另请说明如何通过制定有关政策和措施促使巴勒斯坦女囚犯行使妇女的健康权利，尤其是在满足女性需要方面，并说明采取了哪一类措施允许专科医生来监狱进行巡诊。</w:t>
      </w:r>
    </w:p>
    <w:p w:rsidR="00393F13" w:rsidRDefault="00393F13">
      <w:pPr>
        <w:pStyle w:val="SingleTxtGC"/>
        <w:rPr>
          <w:rFonts w:hint="eastAsia"/>
          <w:lang w:val="en-GB"/>
        </w:rPr>
      </w:pPr>
      <w:r>
        <w:rPr>
          <w:lang w:val="en-GB"/>
        </w:rPr>
        <w:t>31.</w:t>
      </w:r>
      <w:r>
        <w:rPr>
          <w:rFonts w:hint="eastAsia"/>
          <w:lang w:val="en-GB"/>
        </w:rPr>
        <w:t xml:space="preserve">  </w:t>
      </w:r>
      <w:r>
        <w:rPr>
          <w:rFonts w:hint="eastAsia"/>
          <w:lang w:val="en-GB"/>
        </w:rPr>
        <w:t>第五次报告指出，尽管阿拉伯群体儿童死亡率不断下降，但仍然相对较高，每</w:t>
      </w:r>
      <w:r>
        <w:rPr>
          <w:rFonts w:hint="eastAsia"/>
          <w:lang w:val="en-GB"/>
        </w:rPr>
        <w:t>1,000</w:t>
      </w:r>
      <w:r>
        <w:rPr>
          <w:rFonts w:hint="eastAsia"/>
          <w:lang w:val="en-GB"/>
        </w:rPr>
        <w:t>名活产儿死亡</w:t>
      </w:r>
      <w:r>
        <w:rPr>
          <w:rFonts w:hint="eastAsia"/>
          <w:lang w:val="en-GB"/>
        </w:rPr>
        <w:t>7.2</w:t>
      </w:r>
      <w:r>
        <w:rPr>
          <w:rFonts w:hint="eastAsia"/>
          <w:lang w:val="en-GB"/>
        </w:rPr>
        <w:t>例</w:t>
      </w:r>
      <w:r>
        <w:rPr>
          <w:rFonts w:hint="eastAsia"/>
          <w:lang w:val="en-GB"/>
        </w:rPr>
        <w:t>(</w:t>
      </w:r>
      <w:r>
        <w:rPr>
          <w:rFonts w:hint="eastAsia"/>
          <w:lang w:val="en-GB"/>
        </w:rPr>
        <w:t>第</w:t>
      </w:r>
      <w:r>
        <w:rPr>
          <w:rFonts w:hint="eastAsia"/>
          <w:lang w:val="en-GB"/>
        </w:rPr>
        <w:t>517</w:t>
      </w:r>
      <w:r>
        <w:rPr>
          <w:rFonts w:hint="eastAsia"/>
          <w:lang w:val="en-GB"/>
        </w:rPr>
        <w:t>段</w:t>
      </w:r>
      <w:r>
        <w:rPr>
          <w:rFonts w:hint="eastAsia"/>
          <w:lang w:val="en-GB"/>
        </w:rPr>
        <w:t>)</w:t>
      </w:r>
      <w:r>
        <w:rPr>
          <w:rFonts w:hint="eastAsia"/>
          <w:lang w:val="en-GB"/>
        </w:rPr>
        <w:t>。此外，据称</w:t>
      </w:r>
      <w:r>
        <w:rPr>
          <w:rFonts w:hint="eastAsia"/>
          <w:lang w:val="en-GB"/>
        </w:rPr>
        <w:t>2008</w:t>
      </w:r>
      <w:r>
        <w:rPr>
          <w:rFonts w:hint="eastAsia"/>
          <w:lang w:val="en-GB"/>
        </w:rPr>
        <w:t>年贝都因人死亡率为每</w:t>
      </w:r>
      <w:r>
        <w:rPr>
          <w:rFonts w:hint="eastAsia"/>
          <w:lang w:val="en-GB"/>
        </w:rPr>
        <w:t>1,000</w:t>
      </w:r>
      <w:r>
        <w:rPr>
          <w:rFonts w:hint="eastAsia"/>
          <w:lang w:val="en-GB"/>
        </w:rPr>
        <w:t>名活产儿死亡</w:t>
      </w:r>
      <w:r>
        <w:rPr>
          <w:rFonts w:hint="eastAsia"/>
          <w:lang w:val="en-GB"/>
        </w:rPr>
        <w:t>11.5</w:t>
      </w:r>
      <w:r>
        <w:rPr>
          <w:rFonts w:hint="eastAsia"/>
          <w:lang w:val="en-GB"/>
        </w:rPr>
        <w:t>例</w:t>
      </w:r>
      <w:r>
        <w:rPr>
          <w:rFonts w:hint="eastAsia"/>
          <w:lang w:val="en-GB"/>
        </w:rPr>
        <w:t>(</w:t>
      </w:r>
      <w:r>
        <w:rPr>
          <w:rFonts w:hint="eastAsia"/>
          <w:lang w:val="en-GB"/>
        </w:rPr>
        <w:t>第</w:t>
      </w:r>
      <w:r>
        <w:rPr>
          <w:rFonts w:hint="eastAsia"/>
          <w:lang w:val="en-GB"/>
        </w:rPr>
        <w:t>599</w:t>
      </w:r>
      <w:r>
        <w:rPr>
          <w:rFonts w:hint="eastAsia"/>
          <w:lang w:val="en-GB"/>
        </w:rPr>
        <w:t>段</w:t>
      </w:r>
      <w:r>
        <w:rPr>
          <w:rFonts w:hint="eastAsia"/>
          <w:lang w:val="en-GB"/>
        </w:rPr>
        <w:t>)</w:t>
      </w:r>
      <w:r>
        <w:rPr>
          <w:rFonts w:hint="eastAsia"/>
          <w:lang w:val="en-GB"/>
        </w:rPr>
        <w:t>。请提供资料说明缔约国为改善阿拉伯裔以色列人和贝都因妇女的健康状况，尤其是在降低婴儿死亡率方面所采取的措施和资源划拨情况。</w:t>
      </w:r>
      <w:r>
        <w:rPr>
          <w:rFonts w:hint="eastAsia"/>
        </w:rPr>
        <w:t>另请提供有关加沙地带、西岸和被占领土上阿拉伯妇女中儿童死亡率的数据，以及为解决这些地区的妇女健康问题、包括母婴死亡率所采取的措施。</w:t>
      </w:r>
    </w:p>
    <w:p w:rsidR="00393F13" w:rsidRDefault="00393F13">
      <w:pPr>
        <w:pStyle w:val="SingleTxtGC"/>
        <w:rPr>
          <w:rFonts w:hint="eastAsia"/>
          <w:lang w:val="en-GB"/>
        </w:rPr>
      </w:pPr>
      <w:r>
        <w:rPr>
          <w:lang w:val="en-GB"/>
        </w:rPr>
        <w:t xml:space="preserve">32. </w:t>
      </w:r>
      <w:r>
        <w:rPr>
          <w:rFonts w:hint="eastAsia"/>
          <w:lang w:val="en-GB"/>
        </w:rPr>
        <w:t xml:space="preserve"> </w:t>
      </w:r>
      <w:r>
        <w:rPr>
          <w:rFonts w:hint="eastAsia"/>
          <w:lang w:val="en-GB"/>
        </w:rPr>
        <w:t>请提供按性别和年龄分列的受艾滋病毒</w:t>
      </w:r>
      <w:r>
        <w:rPr>
          <w:rFonts w:hint="eastAsia"/>
          <w:lang w:val="en-GB"/>
        </w:rPr>
        <w:t>/</w:t>
      </w:r>
      <w:r>
        <w:rPr>
          <w:rFonts w:hint="eastAsia"/>
          <w:lang w:val="en-GB"/>
        </w:rPr>
        <w:t>艾滋病影响的妇女的数据。另请提供详细资料，说明缔约国采取哪些行动，包括有针对性的提高认识运动，以保护妇女和女孩免受艾滋病毒</w:t>
      </w:r>
      <w:r>
        <w:rPr>
          <w:rFonts w:hint="eastAsia"/>
          <w:lang w:val="en-GB"/>
        </w:rPr>
        <w:t>/</w:t>
      </w:r>
      <w:r>
        <w:rPr>
          <w:rFonts w:hint="eastAsia"/>
          <w:lang w:val="en-GB"/>
        </w:rPr>
        <w:t>艾滋病感染，并为受感染者提供治疗和护理。</w:t>
      </w:r>
    </w:p>
    <w:p w:rsidR="00393F13" w:rsidRDefault="00393F13" w:rsidP="00A7395A">
      <w:pPr>
        <w:pStyle w:val="H23GC"/>
        <w:rPr>
          <w:rFonts w:hint="eastAsia"/>
          <w:lang w:val="en-GB"/>
        </w:rPr>
      </w:pPr>
      <w:r>
        <w:tab/>
      </w:r>
      <w:r>
        <w:tab/>
      </w:r>
      <w:r>
        <w:rPr>
          <w:rFonts w:hint="eastAsia"/>
        </w:rPr>
        <w:t>农村妇女和处境不利的妇女群体</w:t>
      </w:r>
    </w:p>
    <w:p w:rsidR="00393F13" w:rsidRDefault="00393F13">
      <w:pPr>
        <w:pStyle w:val="SingleTxtGC"/>
        <w:rPr>
          <w:rFonts w:hint="eastAsia"/>
          <w:lang w:val="en-GB"/>
        </w:rPr>
      </w:pPr>
      <w:r>
        <w:rPr>
          <w:lang w:val="en-GB"/>
        </w:rPr>
        <w:t>33.</w:t>
      </w:r>
      <w:r>
        <w:rPr>
          <w:rFonts w:hint="eastAsia"/>
          <w:lang w:val="en-GB"/>
        </w:rPr>
        <w:t xml:space="preserve">  </w:t>
      </w:r>
      <w:r>
        <w:rPr>
          <w:rFonts w:hint="eastAsia"/>
          <w:lang w:val="en-GB"/>
        </w:rPr>
        <w:t>第五次报告提供了有关生活在内盖夫沙漠地区的贝都因妇女的状况，包括受教育、就业和卫生状况，并述及在这方面所采取的一些政策。请详细说明提高妇女地位署以及相关指导委员会为促进以色列南部地区的贝都因妇女状况所制定的工作计划</w:t>
      </w:r>
      <w:r>
        <w:rPr>
          <w:rFonts w:hint="eastAsia"/>
          <w:lang w:val="en-GB"/>
        </w:rPr>
        <w:t>(</w:t>
      </w:r>
      <w:r>
        <w:rPr>
          <w:rFonts w:hint="eastAsia"/>
          <w:lang w:val="en-GB"/>
        </w:rPr>
        <w:t>第</w:t>
      </w:r>
      <w:r>
        <w:rPr>
          <w:rFonts w:hint="eastAsia"/>
          <w:lang w:val="en-GB"/>
        </w:rPr>
        <w:t>48.8</w:t>
      </w:r>
      <w:r>
        <w:rPr>
          <w:rFonts w:hint="eastAsia"/>
          <w:lang w:val="en-GB"/>
        </w:rPr>
        <w:t>段</w:t>
      </w:r>
      <w:r>
        <w:rPr>
          <w:rFonts w:hint="eastAsia"/>
          <w:lang w:val="en-GB"/>
        </w:rPr>
        <w:t>)</w:t>
      </w:r>
      <w:r>
        <w:rPr>
          <w:rFonts w:hint="eastAsia"/>
          <w:lang w:val="en-GB"/>
        </w:rPr>
        <w:t>。另请按照委员会以前的要求</w:t>
      </w:r>
      <w:r>
        <w:rPr>
          <w:rFonts w:hint="eastAsia"/>
          <w:lang w:val="en-GB"/>
        </w:rPr>
        <w:t>(</w:t>
      </w:r>
      <w:r>
        <w:rPr>
          <w:lang w:val="en-GB"/>
        </w:rPr>
        <w:t>CEDAW/C/ISR/CO/3,</w:t>
      </w:r>
      <w:r>
        <w:rPr>
          <w:rFonts w:hint="eastAsia"/>
          <w:lang w:val="en-GB"/>
        </w:rPr>
        <w:t xml:space="preserve"> </w:t>
      </w:r>
      <w:r>
        <w:rPr>
          <w:rFonts w:hint="eastAsia"/>
          <w:lang w:val="en-GB"/>
        </w:rPr>
        <w:t>第</w:t>
      </w:r>
      <w:r>
        <w:rPr>
          <w:rFonts w:hint="eastAsia"/>
          <w:lang w:val="en-GB"/>
        </w:rPr>
        <w:t>40</w:t>
      </w:r>
      <w:r>
        <w:rPr>
          <w:rFonts w:hint="eastAsia"/>
          <w:lang w:val="en-GB"/>
        </w:rPr>
        <w:t>段</w:t>
      </w:r>
      <w:r>
        <w:rPr>
          <w:rFonts w:hint="eastAsia"/>
          <w:lang w:val="en-GB"/>
        </w:rPr>
        <w:t>)</w:t>
      </w:r>
      <w:r>
        <w:rPr>
          <w:rFonts w:hint="eastAsia"/>
          <w:lang w:val="en-GB"/>
        </w:rPr>
        <w:t>，就有关政策对贝都因妇女的影响作出评估。请向委员会说明缔约国采取了哪些措施，以确保在巴勒斯坦因拆除住房而失去祖传土地的阿拉伯裔贝都因妇女的权利得到充分保护。</w:t>
      </w:r>
    </w:p>
    <w:p w:rsidR="00393F13" w:rsidRDefault="00393F13">
      <w:pPr>
        <w:pStyle w:val="SingleTxtGC"/>
        <w:rPr>
          <w:rFonts w:hint="eastAsia"/>
        </w:rPr>
      </w:pPr>
      <w:r>
        <w:rPr>
          <w:lang w:val="en-GB"/>
        </w:rPr>
        <w:t>34.</w:t>
      </w:r>
      <w:r>
        <w:rPr>
          <w:rFonts w:hint="eastAsia"/>
          <w:lang w:val="en-GB"/>
        </w:rPr>
        <w:t xml:space="preserve">  </w:t>
      </w:r>
      <w:r>
        <w:rPr>
          <w:rFonts w:hint="eastAsia"/>
          <w:lang w:val="en-GB"/>
        </w:rPr>
        <w:t>请提供更多详细资料，说明在住房条件恶劣、不易或无法获取水、电力和卫生设施的未被承认村落里生活的贝都因妇女的状况。第五次报告述及一以色列非政府组织公布的题为“我在这里</w:t>
      </w:r>
      <w:r>
        <w:rPr>
          <w:rFonts w:hint="eastAsia"/>
          <w:spacing w:val="-50"/>
          <w:lang w:val="en-GB"/>
        </w:rPr>
        <w:t>―</w:t>
      </w:r>
      <w:r>
        <w:rPr>
          <w:rFonts w:hint="eastAsia"/>
          <w:lang w:val="en-GB"/>
        </w:rPr>
        <w:t>―内盖夫未被承认村落的性别与健康问题”的报告。该报告对内盖夫地区向贝都因妇女提供的卫生保健服务提出了批评，并指出在基础设施和公共交通服务方面存在的问题以及语言障碍问题</w:t>
      </w:r>
      <w:r>
        <w:rPr>
          <w:rFonts w:hint="eastAsia"/>
          <w:lang w:val="en-GB"/>
        </w:rPr>
        <w:t>(</w:t>
      </w:r>
      <w:r>
        <w:rPr>
          <w:rFonts w:hint="eastAsia"/>
          <w:lang w:val="en-GB"/>
        </w:rPr>
        <w:t>第</w:t>
      </w:r>
      <w:r>
        <w:rPr>
          <w:rFonts w:hint="eastAsia"/>
          <w:lang w:val="en-GB"/>
        </w:rPr>
        <w:t>612</w:t>
      </w:r>
      <w:r>
        <w:rPr>
          <w:rFonts w:hint="eastAsia"/>
          <w:lang w:val="en-GB"/>
        </w:rPr>
        <w:t>段</w:t>
      </w:r>
      <w:r>
        <w:rPr>
          <w:rFonts w:hint="eastAsia"/>
          <w:lang w:val="en-GB"/>
        </w:rPr>
        <w:t>)</w:t>
      </w:r>
      <w:r>
        <w:rPr>
          <w:rFonts w:hint="eastAsia"/>
          <w:lang w:val="en-GB"/>
        </w:rPr>
        <w:t>。请向委员会说明缔约国在处理这些问题方面所采取的措施。</w:t>
      </w:r>
    </w:p>
    <w:p w:rsidR="00393F13" w:rsidRDefault="00393F13">
      <w:pPr>
        <w:pStyle w:val="SingleTxtGC"/>
        <w:rPr>
          <w:bCs/>
          <w:lang w:val="en-GB"/>
        </w:rPr>
      </w:pPr>
      <w:r>
        <w:rPr>
          <w:bCs/>
          <w:lang w:val="en-GB"/>
        </w:rPr>
        <w:t>35.</w:t>
      </w:r>
      <w:r>
        <w:rPr>
          <w:rFonts w:hint="eastAsia"/>
          <w:bCs/>
          <w:lang w:val="en-GB"/>
        </w:rPr>
        <w:t xml:space="preserve">  </w:t>
      </w:r>
      <w:r>
        <w:rPr>
          <w:rFonts w:hint="eastAsia"/>
          <w:bCs/>
          <w:lang w:val="en-GB"/>
        </w:rPr>
        <w:t>请提供资料说明在西岸所实行的关闭制度和有关行动限制，以及它们对西岸农村地区妇女的生活及其享有《公约》所赋予的权利、尤其是第十四条所规定的权利的能力所造成的影响。这一信息与妇女获得以下权利尤其相关，即适当保健服务、正规和非正规教育、适当的生活条件和赋予权利、经济生活方面的平等，以及享有家庭生活的权利。另请向委员会说明采取了哪些措施来确保生活在农村地区的妇女能够前往自家位于隔离墙另一面和定居点周围的土地上进行耕作。</w:t>
      </w:r>
    </w:p>
    <w:p w:rsidR="00393F13" w:rsidRDefault="00393F13">
      <w:pPr>
        <w:pStyle w:val="SingleTxtGC"/>
      </w:pPr>
      <w:r>
        <w:t xml:space="preserve">36. </w:t>
      </w:r>
      <w:r>
        <w:rPr>
          <w:rFonts w:hint="eastAsia"/>
        </w:rPr>
        <w:t xml:space="preserve"> </w:t>
      </w:r>
      <w:r>
        <w:rPr>
          <w:rFonts w:hint="eastAsia"/>
        </w:rPr>
        <w:t>请向委员会说明是否有任何障碍影响老年妇女和残疾妇女享有《公约》所赋予的权利，并说明缔约国为消除这些障碍所采取的措施。</w:t>
      </w:r>
    </w:p>
    <w:p w:rsidR="00393F13" w:rsidRDefault="00393F13" w:rsidP="00A7395A">
      <w:pPr>
        <w:pStyle w:val="H23GC"/>
        <w:rPr>
          <w:rFonts w:hint="eastAsia"/>
          <w:lang w:val="en-GB"/>
        </w:rPr>
      </w:pPr>
      <w:r>
        <w:tab/>
      </w:r>
      <w:r>
        <w:tab/>
      </w:r>
      <w:r>
        <w:rPr>
          <w:rFonts w:hint="eastAsia"/>
        </w:rPr>
        <w:t>婚姻和家庭关系</w:t>
      </w:r>
    </w:p>
    <w:p w:rsidR="00393F13" w:rsidRDefault="00393F13">
      <w:pPr>
        <w:pStyle w:val="SingleTxtGC"/>
        <w:rPr>
          <w:lang w:val="en-GB"/>
        </w:rPr>
      </w:pPr>
      <w:r>
        <w:rPr>
          <w:lang w:val="en-GB"/>
        </w:rPr>
        <w:t>37.</w:t>
      </w:r>
      <w:r>
        <w:rPr>
          <w:rFonts w:hint="eastAsia"/>
          <w:lang w:val="en-GB"/>
        </w:rPr>
        <w:t xml:space="preserve">  </w:t>
      </w:r>
      <w:r>
        <w:rPr>
          <w:rFonts w:hint="eastAsia"/>
          <w:lang w:val="en-GB"/>
        </w:rPr>
        <w:t>在以前的结论性意见中，委员会敦促缔约国采取积极措施，禁止一夫多妻制、促进遵守最低结婚年龄方面的规定</w:t>
      </w:r>
      <w:r>
        <w:rPr>
          <w:rFonts w:hint="eastAsia"/>
          <w:lang w:val="en-GB"/>
        </w:rPr>
        <w:t>(</w:t>
      </w:r>
      <w:r>
        <w:rPr>
          <w:lang w:val="en-GB"/>
        </w:rPr>
        <w:t>CEDAW/C/ISR/CO/3,</w:t>
      </w:r>
      <w:r>
        <w:rPr>
          <w:rFonts w:hint="eastAsia"/>
          <w:lang w:val="en-GB"/>
        </w:rPr>
        <w:t xml:space="preserve"> </w:t>
      </w:r>
      <w:r>
        <w:rPr>
          <w:rFonts w:hint="eastAsia"/>
          <w:lang w:val="en-GB"/>
        </w:rPr>
        <w:t>第</w:t>
      </w:r>
      <w:r>
        <w:rPr>
          <w:rFonts w:hint="eastAsia"/>
          <w:lang w:val="en-GB"/>
        </w:rPr>
        <w:t>42</w:t>
      </w:r>
      <w:r>
        <w:rPr>
          <w:rFonts w:hint="eastAsia"/>
          <w:lang w:val="en-GB"/>
        </w:rPr>
        <w:t>段</w:t>
      </w:r>
      <w:r>
        <w:rPr>
          <w:rFonts w:hint="eastAsia"/>
          <w:lang w:val="en-GB"/>
        </w:rPr>
        <w:t>)</w:t>
      </w:r>
      <w:r>
        <w:rPr>
          <w:rFonts w:hint="eastAsia"/>
          <w:lang w:val="en-GB"/>
        </w:rPr>
        <w:t>。第五次报告指出，一夫多妻现象在逐步减少</w:t>
      </w:r>
      <w:r>
        <w:rPr>
          <w:rFonts w:hint="eastAsia"/>
          <w:lang w:val="en-GB"/>
        </w:rPr>
        <w:t>(</w:t>
      </w:r>
      <w:r>
        <w:rPr>
          <w:rFonts w:hint="eastAsia"/>
          <w:lang w:val="en-GB"/>
        </w:rPr>
        <w:t>第</w:t>
      </w:r>
      <w:r>
        <w:rPr>
          <w:rFonts w:hint="eastAsia"/>
          <w:lang w:val="en-GB"/>
        </w:rPr>
        <w:t>630</w:t>
      </w:r>
      <w:r>
        <w:rPr>
          <w:rFonts w:hint="eastAsia"/>
          <w:lang w:val="en-GB"/>
        </w:rPr>
        <w:t>至</w:t>
      </w:r>
      <w:r>
        <w:rPr>
          <w:rFonts w:hint="eastAsia"/>
          <w:lang w:val="en-GB"/>
        </w:rPr>
        <w:t>632</w:t>
      </w:r>
      <w:r>
        <w:rPr>
          <w:rFonts w:hint="eastAsia"/>
          <w:lang w:val="en-GB"/>
        </w:rPr>
        <w:t>段</w:t>
      </w:r>
      <w:r>
        <w:rPr>
          <w:rFonts w:hint="eastAsia"/>
          <w:lang w:val="en-GB"/>
        </w:rPr>
        <w:t>)</w:t>
      </w:r>
      <w:r>
        <w:rPr>
          <w:rFonts w:hint="eastAsia"/>
          <w:lang w:val="en-GB"/>
        </w:rPr>
        <w:t>。请提供进一步资料，说明缔约国在禁止一夫多妻制和促进遵守最低结婚年龄方面采取了哪些措施，以及此种措施的影响作用。</w:t>
      </w:r>
    </w:p>
    <w:p w:rsidR="00393F13" w:rsidRDefault="00393F13">
      <w:pPr>
        <w:pStyle w:val="SingleTxtGC"/>
        <w:rPr>
          <w:rFonts w:hint="eastAsia"/>
          <w:lang w:val="en-GB"/>
        </w:rPr>
      </w:pPr>
      <w:r>
        <w:rPr>
          <w:lang w:val="en-GB"/>
        </w:rPr>
        <w:t>38.</w:t>
      </w:r>
      <w:r>
        <w:rPr>
          <w:rFonts w:hint="eastAsia"/>
          <w:lang w:val="en-GB"/>
        </w:rPr>
        <w:t xml:space="preserve">  </w:t>
      </w:r>
      <w:r>
        <w:rPr>
          <w:rFonts w:hint="eastAsia"/>
          <w:lang w:val="en-GB"/>
        </w:rPr>
        <w:t>请澄清解除犹太人婚姻讼诉情况，包括是否需要征得婚姻双方的同意。第五次报告述及</w:t>
      </w:r>
      <w:r>
        <w:rPr>
          <w:rFonts w:hint="eastAsia"/>
          <w:lang w:val="en-GB"/>
        </w:rPr>
        <w:t>2008</w:t>
      </w:r>
      <w:r>
        <w:rPr>
          <w:rFonts w:hint="eastAsia"/>
          <w:lang w:val="en-GB"/>
        </w:rPr>
        <w:t>年的一个案例，当时耶路撒冷家庭事务法院以丈夫拒不执行拉比法院关于规定这对夫妇必须离婚的命令为由，裁定丈夫须给予妻子赔偿</w:t>
      </w:r>
      <w:r>
        <w:rPr>
          <w:rFonts w:hint="eastAsia"/>
          <w:lang w:val="en-GB"/>
        </w:rPr>
        <w:t xml:space="preserve"> (</w:t>
      </w:r>
      <w:r>
        <w:rPr>
          <w:rFonts w:eastAsia="KaiTi_GB2312"/>
          <w:lang w:val="en-GB"/>
        </w:rPr>
        <w:t xml:space="preserve">F.M.C. </w:t>
      </w:r>
      <w:r>
        <w:rPr>
          <w:rFonts w:eastAsia="KaiTi_GB2312" w:hint="eastAsia"/>
          <w:lang w:val="en-GB"/>
        </w:rPr>
        <w:t>(</w:t>
      </w:r>
      <w:r>
        <w:rPr>
          <w:rFonts w:eastAsia="KaiTi_GB2312" w:hint="eastAsia"/>
          <w:lang w:val="en-GB"/>
        </w:rPr>
        <w:t>耶路撒冷</w:t>
      </w:r>
      <w:r>
        <w:rPr>
          <w:rFonts w:eastAsia="KaiTi_GB2312" w:hint="eastAsia"/>
          <w:lang w:val="en-GB"/>
        </w:rPr>
        <w:t>)</w:t>
      </w:r>
      <w:r>
        <w:rPr>
          <w:rFonts w:eastAsia="KaiTi_GB2312"/>
          <w:lang w:val="en-GB"/>
        </w:rPr>
        <w:t xml:space="preserve"> 6743/02 K. v. K (21.6.08))</w:t>
      </w:r>
      <w:r>
        <w:rPr>
          <w:rFonts w:eastAsia="KaiTi_GB2312" w:hint="eastAsia"/>
          <w:lang w:val="en-GB"/>
        </w:rPr>
        <w:t>(</w:t>
      </w:r>
      <w:r>
        <w:rPr>
          <w:rFonts w:eastAsia="KaiTi_GB2312" w:hint="eastAsia"/>
          <w:lang w:val="en-GB"/>
        </w:rPr>
        <w:t>第</w:t>
      </w:r>
      <w:r>
        <w:rPr>
          <w:rFonts w:eastAsia="KaiTi_GB2312"/>
          <w:lang w:val="en-GB"/>
        </w:rPr>
        <w:t>15</w:t>
      </w:r>
      <w:r>
        <w:rPr>
          <w:rFonts w:eastAsia="KaiTi_GB2312" w:hint="eastAsia"/>
          <w:lang w:val="en-GB"/>
        </w:rPr>
        <w:t>和</w:t>
      </w:r>
      <w:r>
        <w:rPr>
          <w:rFonts w:eastAsia="KaiTi_GB2312"/>
          <w:lang w:val="en-GB"/>
        </w:rPr>
        <w:t>626</w:t>
      </w:r>
      <w:r>
        <w:rPr>
          <w:rFonts w:eastAsia="KaiTi_GB2312" w:hint="eastAsia"/>
          <w:lang w:val="en-GB"/>
        </w:rPr>
        <w:t>段</w:t>
      </w:r>
      <w:r>
        <w:rPr>
          <w:rFonts w:hint="eastAsia"/>
          <w:lang w:val="en-GB"/>
        </w:rPr>
        <w:t>)</w:t>
      </w:r>
      <w:r>
        <w:rPr>
          <w:rFonts w:hint="eastAsia"/>
          <w:lang w:val="en-GB"/>
        </w:rPr>
        <w:t>。请提供有关其它此类法院案例的资料</w:t>
      </w:r>
      <w:r>
        <w:rPr>
          <w:rFonts w:hint="eastAsia"/>
          <w:lang w:val="en-GB"/>
        </w:rPr>
        <w:t>(</w:t>
      </w:r>
      <w:r>
        <w:rPr>
          <w:rFonts w:hint="eastAsia"/>
          <w:lang w:val="en-GB"/>
        </w:rPr>
        <w:t>如有的话</w:t>
      </w:r>
      <w:r>
        <w:rPr>
          <w:rFonts w:hint="eastAsia"/>
          <w:lang w:val="en-GB"/>
        </w:rPr>
        <w:t>)</w:t>
      </w:r>
      <w:r>
        <w:rPr>
          <w:rFonts w:hint="eastAsia"/>
          <w:lang w:val="en-GB"/>
        </w:rPr>
        <w:t>。另请说明一旦婚姻关系解除，妇女享有取得财产的平等权利是否得到法律保护。</w:t>
      </w:r>
    </w:p>
    <w:p w:rsidR="00393F13" w:rsidRDefault="00393F13">
      <w:pPr>
        <w:pStyle w:val="H1GC"/>
        <w:rPr>
          <w:rFonts w:hint="eastAsia"/>
        </w:rPr>
      </w:pPr>
      <w:r>
        <w:tab/>
      </w:r>
      <w:r>
        <w:tab/>
      </w:r>
      <w:r>
        <w:rPr>
          <w:rFonts w:hint="eastAsia"/>
        </w:rPr>
        <w:t>任择议定书</w:t>
      </w:r>
    </w:p>
    <w:p w:rsidR="00393F13" w:rsidRDefault="00393F13">
      <w:pPr>
        <w:pStyle w:val="SingleTxtGC"/>
        <w:rPr>
          <w:rFonts w:hint="eastAsia"/>
        </w:rPr>
      </w:pPr>
      <w:r>
        <w:t>39.</w:t>
      </w:r>
      <w:r>
        <w:rPr>
          <w:rFonts w:hint="eastAsia"/>
        </w:rPr>
        <w:t xml:space="preserve">  </w:t>
      </w:r>
      <w:r>
        <w:rPr>
          <w:rFonts w:hint="eastAsia"/>
        </w:rPr>
        <w:t>缔约国是否正在考虑加入《消除对妇女一切形式歧视公约任择议定书》，以及接受关于委员会开会时间的《公约》第二十条第</w:t>
      </w:r>
      <w:r>
        <w:rPr>
          <w:rFonts w:hint="eastAsia"/>
        </w:rPr>
        <w:t>1</w:t>
      </w:r>
      <w:r>
        <w:rPr>
          <w:rFonts w:hint="eastAsia"/>
        </w:rPr>
        <w:t>款？</w:t>
      </w:r>
    </w:p>
    <w:p w:rsidR="00393F13" w:rsidRDefault="00393F1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93F13" w:rsidRDefault="00393F13">
      <w:pPr>
        <w:pStyle w:val="SingleTxtGC"/>
        <w:rPr>
          <w:rFonts w:hint="eastAsia"/>
        </w:rPr>
      </w:pPr>
    </w:p>
    <w:sectPr w:rsidR="00393F1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FDD" w:rsidRDefault="00636FDD">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36FDD" w:rsidRDefault="00636FD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0B6" w:rsidRDefault="00F250B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B274F">
      <w:rPr>
        <w:rStyle w:val="PageNumber"/>
        <w:noProof/>
      </w:rPr>
      <w:t>8</w:t>
    </w:r>
    <w:r>
      <w:rPr>
        <w:rStyle w:val="PageNumber"/>
      </w:rPr>
      <w:fldChar w:fldCharType="end"/>
    </w:r>
    <w:r>
      <w:rPr>
        <w:rStyle w:val="PageNumber"/>
        <w:rFonts w:eastAsia="SimSun" w:hint="eastAsia"/>
        <w:lang w:eastAsia="zh-CN"/>
      </w:rPr>
      <w:tab/>
    </w:r>
    <w:r>
      <w:rPr>
        <w:rFonts w:eastAsia="SimSun"/>
        <w:lang w:eastAsia="zh-CN"/>
      </w:rPr>
      <w:t>GE.10-44976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0B6" w:rsidRDefault="00F250B6">
    <w:pPr>
      <w:pStyle w:val="Footer"/>
      <w:tabs>
        <w:tab w:val="right" w:pos="9639"/>
      </w:tabs>
    </w:pPr>
    <w:r>
      <w:rPr>
        <w:rFonts w:eastAsia="SimSun"/>
        <w:lang w:eastAsia="zh-CN"/>
      </w:rPr>
      <w:t>GE.10-44976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B274F">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0B6" w:rsidRDefault="00F250B6">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44976</w:t>
    </w:r>
    <w:r>
      <w:rPr>
        <w:rFonts w:eastAsia="SimSun"/>
        <w:sz w:val="20"/>
        <w:lang w:eastAsia="zh-CN"/>
      </w:rPr>
      <w:t xml:space="preserve"> (C)</w:t>
    </w:r>
    <w:r>
      <w:rPr>
        <w:rFonts w:eastAsia="SimSun"/>
        <w:sz w:val="20"/>
        <w:lang w:eastAsia="zh-CN"/>
      </w:rPr>
      <w:tab/>
    </w:r>
    <w:r>
      <w:rPr>
        <w:rFonts w:eastAsia="SimSun" w:hint="eastAsia"/>
        <w:sz w:val="20"/>
        <w:lang w:eastAsia="zh-CN"/>
      </w:rPr>
      <w:t>051010</w:t>
    </w:r>
    <w:r>
      <w:rPr>
        <w:rFonts w:eastAsia="SimSun"/>
        <w:sz w:val="20"/>
        <w:lang w:eastAsia="zh-CN"/>
      </w:rPr>
      <w:tab/>
    </w:r>
    <w:r>
      <w:rPr>
        <w:rFonts w:eastAsia="SimSun" w:hint="eastAsia"/>
        <w:sz w:val="20"/>
        <w:lang w:eastAsia="zh-CN"/>
      </w:rPr>
      <w:t>061010</w:t>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FDD" w:rsidRDefault="00636FDD">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36FDD" w:rsidRDefault="00636FDD">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0B6" w:rsidRDefault="00F250B6">
    <w:pPr>
      <w:pStyle w:val="Header"/>
    </w:pPr>
    <w:r>
      <w:t>CEDAW/C/ISR/Q/5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0B6" w:rsidRDefault="00F250B6">
    <w:pPr>
      <w:pStyle w:val="Header"/>
      <w:jc w:val="right"/>
      <w:rPr>
        <w:rFonts w:hint="eastAsia"/>
        <w:lang w:eastAsia="zh-CN"/>
      </w:rPr>
    </w:pPr>
    <w:r>
      <w:rPr>
        <w:lang w:eastAsia="zh-CN"/>
      </w:rPr>
      <w:t>CEDAW/C/ISR/Q/5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0B6" w:rsidRDefault="00F250B6">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395A"/>
    <w:rsid w:val="001C461A"/>
    <w:rsid w:val="00393F13"/>
    <w:rsid w:val="00636FDD"/>
    <w:rsid w:val="0074011E"/>
    <w:rsid w:val="007B274F"/>
    <w:rsid w:val="00A7395A"/>
    <w:rsid w:val="00EB79E4"/>
    <w:rsid w:val="00F250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41"/>
      </w:numPr>
      <w:spacing w:after="120"/>
      <w:ind w:right="1134"/>
    </w:pPr>
    <w:rPr>
      <w:lang w:val="fr-CH"/>
    </w:rPr>
  </w:style>
  <w:style w:type="paragraph" w:styleId="FootnoteText">
    <w:name w:val="footnote text"/>
    <w:basedOn w:val="Normal"/>
    <w:pPr>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39"/>
      </w:numPr>
      <w:spacing w:after="120"/>
      <w:ind w:right="1134"/>
    </w:pPr>
  </w:style>
  <w:style w:type="paragraph" w:customStyle="1" w:styleId="Bullet2GC">
    <w:name w:val="_Bullet 2_GC"/>
    <w:basedOn w:val="Normal"/>
    <w:pPr>
      <w:numPr>
        <w:numId w:val="40"/>
      </w:numPr>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1120</Words>
  <Characters>6384</Characters>
  <Application>Microsoft Office Word</Application>
  <DocSecurity>4</DocSecurity>
  <Lines>53</Lines>
  <Paragraphs>14</Paragraphs>
  <ScaleCrop>false</ScaleCrop>
  <Company>CSD</Company>
  <LinksUpToDate>false</LinksUpToDate>
  <CharactersWithSpaces>7490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YANGW</dc:creator>
  <cp:keywords/>
  <dc:description/>
  <cp:lastModifiedBy>KONG</cp:lastModifiedBy>
  <cp:revision>3</cp:revision>
  <cp:lastPrinted>2010-10-06T10:05:00Z</cp:lastPrinted>
  <dcterms:created xsi:type="dcterms:W3CDTF">2010-10-06T10:05:00Z</dcterms:created>
  <dcterms:modified xsi:type="dcterms:W3CDTF">2010-10-06T10:06:00Z</dcterms:modified>
</cp:coreProperties>
</file>