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6FD1" w:rsidRPr="00161925" w:rsidRDefault="00746FD1" w:rsidP="00746FD1">
      <w:pPr>
        <w:pStyle w:val="NormalSchedule"/>
        <w:spacing w:line="240" w:lineRule="auto"/>
        <w:rPr>
          <w:sz w:val="6"/>
        </w:rPr>
        <w:sectPr w:rsidR="00746FD1" w:rsidRPr="00161925" w:rsidSect="000105F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161925">
        <w:rPr>
          <w:rStyle w:val="CommentReference"/>
        </w:rPr>
        <w:commentReference w:id="0"/>
      </w:r>
    </w:p>
    <w:p w:rsidR="001C4E6E" w:rsidRPr="00161925" w:rsidRDefault="001C4E6E" w:rsidP="00C96E4F">
      <w:pPr>
        <w:pStyle w:val="H1"/>
        <w:tabs>
          <w:tab w:val="right" w:pos="1022"/>
          <w:tab w:val="left" w:pos="1267"/>
          <w:tab w:val="left" w:pos="1742"/>
          <w:tab w:val="left" w:pos="2218"/>
          <w:tab w:val="left" w:pos="2693"/>
          <w:tab w:val="left" w:pos="3182"/>
          <w:tab w:val="left" w:pos="3658"/>
          <w:tab w:val="left" w:pos="5098"/>
          <w:tab w:val="left" w:pos="5573"/>
          <w:tab w:val="left" w:pos="6048"/>
        </w:tabs>
        <w:ind w:right="4333"/>
      </w:pPr>
      <w:r w:rsidRPr="00161925">
        <w:t>Comité para la Eliminación de la Discriminación contra la Mujer</w:t>
      </w:r>
    </w:p>
    <w:p w:rsidR="001C4E6E" w:rsidRPr="00161925" w:rsidRDefault="001C4E6E" w:rsidP="001C4E6E">
      <w:pPr>
        <w:tabs>
          <w:tab w:val="left" w:pos="475"/>
          <w:tab w:val="left" w:pos="965"/>
          <w:tab w:val="left" w:pos="1440"/>
          <w:tab w:val="left" w:pos="1915"/>
          <w:tab w:val="left" w:pos="2405"/>
          <w:tab w:val="left" w:pos="2880"/>
          <w:tab w:val="left" w:pos="3355"/>
        </w:tabs>
        <w:spacing w:line="120" w:lineRule="exact"/>
        <w:rPr>
          <w:sz w:val="10"/>
        </w:rPr>
      </w:pPr>
    </w:p>
    <w:p w:rsidR="001C4E6E" w:rsidRPr="00161925" w:rsidRDefault="001C4E6E" w:rsidP="001C4E6E">
      <w:pPr>
        <w:tabs>
          <w:tab w:val="left" w:pos="475"/>
          <w:tab w:val="left" w:pos="965"/>
          <w:tab w:val="left" w:pos="1440"/>
          <w:tab w:val="left" w:pos="1915"/>
          <w:tab w:val="left" w:pos="2405"/>
          <w:tab w:val="left" w:pos="2880"/>
          <w:tab w:val="left" w:pos="3355"/>
        </w:tabs>
        <w:spacing w:line="120" w:lineRule="exact"/>
        <w:rPr>
          <w:sz w:val="10"/>
        </w:rPr>
      </w:pPr>
    </w:p>
    <w:p w:rsidR="001C4E6E" w:rsidRPr="00161925" w:rsidRDefault="001C4E6E" w:rsidP="001C4E6E">
      <w:pPr>
        <w:tabs>
          <w:tab w:val="left" w:pos="475"/>
          <w:tab w:val="left" w:pos="965"/>
          <w:tab w:val="left" w:pos="1440"/>
          <w:tab w:val="left" w:pos="1915"/>
          <w:tab w:val="left" w:pos="2405"/>
          <w:tab w:val="left" w:pos="2880"/>
          <w:tab w:val="left" w:pos="3355"/>
        </w:tabs>
        <w:spacing w:line="120" w:lineRule="exact"/>
        <w:rPr>
          <w:sz w:val="10"/>
        </w:rPr>
      </w:pPr>
    </w:p>
    <w:p w:rsidR="001C4E6E" w:rsidRPr="00161925" w:rsidRDefault="001C4E6E" w:rsidP="006C057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67" w:hanging="1267"/>
      </w:pPr>
      <w:r w:rsidRPr="00161925">
        <w:tab/>
      </w:r>
      <w:r w:rsidRPr="00161925">
        <w:tab/>
        <w:t>Examen de los informes presentados por los Estados partes en virtud del artículo 18 de la Convención sobre la eliminación de todas las formas de discriminación contra la mujer</w:t>
      </w:r>
    </w:p>
    <w:p w:rsidR="006C057C" w:rsidRPr="00161925" w:rsidRDefault="006C057C" w:rsidP="006C057C">
      <w:pPr>
        <w:pStyle w:val="SingleTxt"/>
        <w:suppressAutoHyphens/>
        <w:spacing w:after="0" w:line="120" w:lineRule="exact"/>
        <w:rPr>
          <w:sz w:val="10"/>
        </w:rPr>
      </w:pPr>
    </w:p>
    <w:p w:rsidR="006C057C" w:rsidRPr="00161925" w:rsidRDefault="006C057C" w:rsidP="006C057C">
      <w:pPr>
        <w:pStyle w:val="SingleTxt"/>
        <w:suppressAutoHyphens/>
        <w:spacing w:after="0" w:line="120" w:lineRule="exact"/>
        <w:rPr>
          <w:sz w:val="10"/>
        </w:rPr>
      </w:pPr>
    </w:p>
    <w:p w:rsidR="001C4E6E" w:rsidRPr="00161925" w:rsidRDefault="006C057C" w:rsidP="006C05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1925">
        <w:tab/>
      </w:r>
      <w:r w:rsidRPr="00161925">
        <w:tab/>
      </w:r>
      <w:r w:rsidR="001C4E6E" w:rsidRPr="00161925">
        <w:t>Quinto</w:t>
      </w:r>
      <w:r w:rsidR="00C96E4F">
        <w:t>s</w:t>
      </w:r>
      <w:r w:rsidR="001C4E6E" w:rsidRPr="00161925">
        <w:t xml:space="preserve"> informe</w:t>
      </w:r>
      <w:r w:rsidR="00C96E4F">
        <w:t>s</w:t>
      </w:r>
      <w:r w:rsidR="001C4E6E" w:rsidRPr="00161925">
        <w:t xml:space="preserve"> periódico</w:t>
      </w:r>
      <w:r w:rsidR="00C96E4F">
        <w:t>s</w:t>
      </w:r>
    </w:p>
    <w:p w:rsidR="006C057C" w:rsidRPr="00161925" w:rsidRDefault="006C057C" w:rsidP="006C057C">
      <w:pPr>
        <w:pStyle w:val="SingleTxt"/>
        <w:suppressAutoHyphens/>
        <w:spacing w:after="0" w:line="120" w:lineRule="exact"/>
        <w:rPr>
          <w:sz w:val="10"/>
        </w:rPr>
      </w:pPr>
    </w:p>
    <w:p w:rsidR="006C057C" w:rsidRPr="00161925" w:rsidRDefault="006C057C" w:rsidP="006C057C">
      <w:pPr>
        <w:pStyle w:val="SingleTxt"/>
        <w:suppressAutoHyphens/>
        <w:spacing w:after="0" w:line="120" w:lineRule="exact"/>
        <w:rPr>
          <w:sz w:val="10"/>
        </w:rPr>
      </w:pPr>
    </w:p>
    <w:p w:rsidR="006C057C" w:rsidRPr="00161925" w:rsidRDefault="006C057C" w:rsidP="006C057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1925">
        <w:tab/>
      </w:r>
      <w:r w:rsidRPr="00161925">
        <w:tab/>
        <w:t>Bahamas</w:t>
      </w:r>
    </w:p>
    <w:p w:rsidR="006C057C" w:rsidRPr="00161925" w:rsidRDefault="006C057C" w:rsidP="006C057C">
      <w:pPr>
        <w:pStyle w:val="SingleTxt"/>
        <w:suppressAutoHyphens/>
        <w:spacing w:after="0" w:line="120" w:lineRule="exact"/>
        <w:rPr>
          <w:sz w:val="10"/>
        </w:rPr>
      </w:pPr>
    </w:p>
    <w:p w:rsidR="006C057C" w:rsidRPr="00161925" w:rsidRDefault="006C057C" w:rsidP="006C057C">
      <w:pPr>
        <w:pStyle w:val="SingleTxt"/>
        <w:suppressAutoHyphens/>
        <w:spacing w:after="0" w:line="120" w:lineRule="exact"/>
        <w:rPr>
          <w:sz w:val="10"/>
        </w:rPr>
      </w:pPr>
    </w:p>
    <w:p w:rsidR="001C4E6E" w:rsidRPr="00161925" w:rsidRDefault="006C057C" w:rsidP="006C057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1925">
        <w:tab/>
      </w:r>
      <w:r w:rsidRPr="00161925">
        <w:tab/>
      </w:r>
      <w:r w:rsidR="001C4E6E" w:rsidRPr="00161925">
        <w:t>Introducción</w:t>
      </w:r>
    </w:p>
    <w:p w:rsidR="006C057C" w:rsidRPr="00161925" w:rsidRDefault="006C057C" w:rsidP="006C057C">
      <w:pPr>
        <w:pStyle w:val="SingleTxt"/>
        <w:suppressAutoHyphens/>
        <w:spacing w:after="0" w:line="120" w:lineRule="exact"/>
        <w:rPr>
          <w:sz w:val="10"/>
        </w:rPr>
      </w:pPr>
    </w:p>
    <w:p w:rsidR="006C057C" w:rsidRPr="00161925" w:rsidRDefault="006C057C" w:rsidP="006C057C">
      <w:pPr>
        <w:pStyle w:val="SingleTxt"/>
        <w:suppressAutoHyphens/>
        <w:spacing w:after="0" w:line="120" w:lineRule="exact"/>
        <w:rPr>
          <w:sz w:val="10"/>
        </w:rPr>
      </w:pPr>
    </w:p>
    <w:p w:rsidR="001C4E6E" w:rsidRPr="00161925" w:rsidRDefault="006C057C" w:rsidP="001C4E6E">
      <w:pPr>
        <w:pStyle w:val="SingleTxt"/>
        <w:suppressAutoHyphens/>
      </w:pPr>
      <w:r w:rsidRPr="00161925">
        <w:tab/>
      </w:r>
      <w:r w:rsidR="001C4E6E" w:rsidRPr="00161925">
        <w:t>El Gobierno del Commonwealth de las Bahamas, en calidad de Estado parte en la Convención sobre la eliminación de todas las formas de discriminación contra la mujer y en cumplimiento de las obligaciones derivadas de su artículo 18, presenta su quinto informe periódico correspondiente al período comprendido entre el 1 de julio de 2009 y el 31 de diciembre de 2010.</w:t>
      </w:r>
    </w:p>
    <w:p w:rsidR="001C4E6E" w:rsidRPr="00161925" w:rsidRDefault="006C057C" w:rsidP="001C4E6E">
      <w:pPr>
        <w:pStyle w:val="SingleTxt"/>
        <w:suppressAutoHyphens/>
      </w:pPr>
      <w:r w:rsidRPr="00161925">
        <w:tab/>
      </w:r>
      <w:r w:rsidR="001C4E6E" w:rsidRPr="00161925">
        <w:t>La Convención fue ratificada por el Commonwealth de las Bahamas el 6 de octubre de 1993. Mediante esa ratificación, el Commonwealth de las Bahamas afirmó su intención de instaurar un orden social inclusivo en el país que reconozca la necesidad de mejorar la situación jurídica de la mujer en todos los aspectos de la vida cotidiana y permita una mayor participación de esta en el desarrollo del país.</w:t>
      </w:r>
    </w:p>
    <w:p w:rsidR="006C057C" w:rsidRPr="00161925" w:rsidRDefault="006C057C" w:rsidP="006C057C">
      <w:pPr>
        <w:pStyle w:val="SingleTxt"/>
        <w:suppressAutoHyphens/>
        <w:spacing w:after="0" w:line="120" w:lineRule="exact"/>
        <w:rPr>
          <w:sz w:val="10"/>
        </w:rPr>
      </w:pPr>
    </w:p>
    <w:p w:rsidR="001C4E6E" w:rsidRPr="00161925" w:rsidRDefault="006C057C" w:rsidP="006C05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1925">
        <w:tab/>
      </w:r>
      <w:r w:rsidRPr="00161925">
        <w:tab/>
      </w:r>
      <w:r w:rsidR="001C4E6E" w:rsidRPr="00161925">
        <w:t>Reservas a la Convención</w:t>
      </w:r>
    </w:p>
    <w:p w:rsidR="006C057C" w:rsidRPr="00161925" w:rsidRDefault="006C057C" w:rsidP="006C057C">
      <w:pPr>
        <w:pStyle w:val="SingleTxt"/>
        <w:suppressAutoHyphens/>
        <w:spacing w:after="0" w:line="120" w:lineRule="exact"/>
        <w:rPr>
          <w:sz w:val="10"/>
        </w:rPr>
      </w:pPr>
    </w:p>
    <w:p w:rsidR="001C4E6E" w:rsidRPr="00161925" w:rsidRDefault="006C057C" w:rsidP="001C4E6E">
      <w:pPr>
        <w:pStyle w:val="SingleTxt"/>
        <w:suppressAutoHyphens/>
      </w:pPr>
      <w:r w:rsidRPr="00161925">
        <w:tab/>
      </w:r>
      <w:r w:rsidR="001C4E6E" w:rsidRPr="00161925">
        <w:t xml:space="preserve">La Convención sobre la eliminación de todas las formas de discriminación contra la mujer fue ratificada por el Commonwealth de las Bahamas el 6 de octubre de 1993 con las siguientes reservas: </w:t>
      </w:r>
      <w:r w:rsidR="00C96E4F">
        <w:t>“</w:t>
      </w:r>
      <w:r w:rsidR="001C4E6E" w:rsidRPr="00161925">
        <w:t>El Gobierno del Commonwealth de</w:t>
      </w:r>
      <w:r w:rsidR="00C96E4F">
        <w:t xml:space="preserve"> l</w:t>
      </w:r>
      <w:r w:rsidR="001C4E6E" w:rsidRPr="00161925">
        <w:t>as Bahamas no se considera obligado por lo dispuesto en el artículo 2 a), el artículo 9, párrafo 2, el artículo 16 h) … [y] el artículo 29, párrafo 1, de la Convención</w:t>
      </w:r>
      <w:r w:rsidR="00C96E4F">
        <w:t>”</w:t>
      </w:r>
      <w:r w:rsidR="001C4E6E" w:rsidRPr="00161925">
        <w:t>.</w:t>
      </w:r>
    </w:p>
    <w:p w:rsidR="001C4E6E" w:rsidRPr="00161925" w:rsidRDefault="006C057C" w:rsidP="001C4E6E">
      <w:pPr>
        <w:pStyle w:val="SingleTxt"/>
        <w:suppressAutoHyphens/>
      </w:pPr>
      <w:r w:rsidRPr="00161925">
        <w:tab/>
      </w:r>
      <w:r w:rsidR="001C4E6E" w:rsidRPr="00161925">
        <w:t xml:space="preserve">El informe está dividido en dos partes. En la primera se proporciona información de carácter general del Commonwealth de las Bahamas con respecto a la población, la composición de los hogares, las características económicas, el empleo, la Organización Internacional para las Migraciones y el índice de desarrollo humano de las Naciones Unidas. </w:t>
      </w:r>
    </w:p>
    <w:p w:rsidR="001C4E6E" w:rsidRPr="00161925" w:rsidRDefault="006C057C" w:rsidP="001C4E6E">
      <w:pPr>
        <w:pStyle w:val="SingleTxt"/>
        <w:suppressAutoHyphens/>
      </w:pPr>
      <w:r w:rsidRPr="00161925">
        <w:tab/>
      </w:r>
      <w:r w:rsidR="001C4E6E" w:rsidRPr="00161925">
        <w:t>En la segunda parte se examinan los 16 artículos de la Convención sobre la eliminación de todas las formas de discriminación contra la mujer que presentan iniciativas o novedades durante el período que abarca el informe.</w:t>
      </w:r>
    </w:p>
    <w:p w:rsidR="001C4E6E" w:rsidRPr="00161925" w:rsidRDefault="006C057C" w:rsidP="001C4E6E">
      <w:pPr>
        <w:pStyle w:val="SingleTxt"/>
        <w:suppressAutoHyphens/>
      </w:pPr>
      <w:r w:rsidRPr="00161925">
        <w:tab/>
      </w:r>
      <w:r w:rsidR="001C4E6E" w:rsidRPr="00161925">
        <w:t xml:space="preserve">El quinto informe </w:t>
      </w:r>
      <w:r w:rsidRPr="00161925">
        <w:t xml:space="preserve">periódico </w:t>
      </w:r>
      <w:r w:rsidR="001C4E6E" w:rsidRPr="00161925">
        <w:t>de las Bahamas fue preparado por la Oficina de Asuntos de la Mujer y el Ministerio de Relaciones Exteriores en colaboración con los siguientes ministerios/organismos y organizaciones no gubernamentales: la Oficina del Procurador General, el Ministerio de Educación, el Ministerio de Salud, el Ministerio de Seguridad Nacional, el Departamento de Trabajo, e</w:t>
      </w:r>
      <w:r w:rsidR="00F60C28">
        <w:t>l</w:t>
      </w:r>
      <w:r w:rsidR="001C4E6E" w:rsidRPr="00161925">
        <w:t xml:space="preserve"> Departamento de Inmigración, el Departamento de Estadística, el Banco Central de las Bahamas, el College of the Bahamas, el Centro de Crisis de las Bahamas, la Asociación de Planificación Familiar de las Bahamas, el Consejo Asesor Nacional para la Mujer, el Foro Mensual de la Mujer y organizaciones religiosas. </w:t>
      </w:r>
    </w:p>
    <w:p w:rsidR="001C4E6E" w:rsidRPr="00161925" w:rsidRDefault="006C057C" w:rsidP="001C4E6E">
      <w:pPr>
        <w:pStyle w:val="SingleTxt"/>
        <w:suppressAutoHyphens/>
      </w:pPr>
      <w:r w:rsidRPr="00161925">
        <w:tab/>
      </w:r>
      <w:r w:rsidR="001C4E6E" w:rsidRPr="00161925">
        <w:t>Además de animadas deliberaciones, la extensa y diversa colaboración aportó opiniones y observaciones provocadoras y, en última instancia, este proceso enriqueció el intercambio y fue esclarecedor para los participantes.</w:t>
      </w:r>
    </w:p>
    <w:p w:rsidR="001C4E6E" w:rsidRPr="00161925" w:rsidRDefault="006C057C" w:rsidP="001C4E6E">
      <w:pPr>
        <w:pStyle w:val="SingleTxt"/>
        <w:suppressAutoHyphens/>
      </w:pPr>
      <w:r w:rsidRPr="00161925">
        <w:tab/>
      </w:r>
      <w:r w:rsidR="001C4E6E" w:rsidRPr="00161925">
        <w:t>El tiempo transcurrido entre e</w:t>
      </w:r>
      <w:r w:rsidRPr="00161925">
        <w:t xml:space="preserve">l presente </w:t>
      </w:r>
      <w:r w:rsidR="001C4E6E" w:rsidRPr="00161925">
        <w:t>informe y el precedente es breve, de apenas un año y medio, por lo que buena parte de la información relativa a algunos artículos sigue siendo la misma, habida cuenta especialmente de que ambos informes fueron ultimados dentro del mandato del mismo Gobierno.</w:t>
      </w:r>
    </w:p>
    <w:p w:rsidR="001C4E6E" w:rsidRPr="00161925" w:rsidRDefault="006C057C" w:rsidP="001C4E6E">
      <w:pPr>
        <w:pStyle w:val="SingleTxt"/>
        <w:suppressAutoHyphens/>
      </w:pPr>
      <w:r w:rsidRPr="00161925">
        <w:tab/>
      </w:r>
      <w:r w:rsidR="001C4E6E" w:rsidRPr="00161925">
        <w:t>Por último, el Gobierno del Commonwealth de las Bahamas está resuelto a instaurar los mecanismos adecuados para fomentar un entorno propicio que promueva la igualdad de las mujeres en todo el archipiélago de las Bahamas.</w:t>
      </w:r>
    </w:p>
    <w:p w:rsidR="001C4E6E" w:rsidRPr="00161925" w:rsidRDefault="001C4E6E" w:rsidP="001C4E6E">
      <w:pPr>
        <w:pStyle w:val="SingleTxt"/>
        <w:suppressAutoHyphens/>
      </w:pPr>
    </w:p>
    <w:p w:rsidR="006C057C" w:rsidRPr="00161925" w:rsidRDefault="006C057C" w:rsidP="006C057C">
      <w:pPr>
        <w:pStyle w:val="HCh"/>
        <w:spacing w:after="120"/>
        <w:rPr>
          <w:b w:val="0"/>
        </w:rPr>
      </w:pPr>
      <w:r w:rsidRPr="00161925">
        <w:br w:type="page"/>
      </w:r>
      <w:r w:rsidRPr="00161925">
        <w:rPr>
          <w:b w:val="0"/>
        </w:rPr>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6C057C" w:rsidRPr="00161925">
        <w:tblPrEx>
          <w:tblCellMar>
            <w:top w:w="0" w:type="dxa"/>
            <w:bottom w:w="0" w:type="dxa"/>
          </w:tblCellMar>
        </w:tblPrEx>
        <w:tc>
          <w:tcPr>
            <w:tcW w:w="1060" w:type="dxa"/>
            <w:shd w:val="clear" w:color="auto" w:fill="auto"/>
          </w:tcPr>
          <w:p w:rsidR="006C057C" w:rsidRPr="00161925" w:rsidRDefault="006C057C" w:rsidP="006C057C">
            <w:pPr>
              <w:spacing w:after="120" w:line="240" w:lineRule="auto"/>
              <w:jc w:val="right"/>
              <w:rPr>
                <w:i/>
                <w:sz w:val="14"/>
              </w:rPr>
            </w:pPr>
          </w:p>
        </w:tc>
        <w:tc>
          <w:tcPr>
            <w:tcW w:w="7056" w:type="dxa"/>
            <w:shd w:val="clear" w:color="auto" w:fill="auto"/>
          </w:tcPr>
          <w:p w:rsidR="006C057C" w:rsidRPr="00161925" w:rsidRDefault="006C057C" w:rsidP="006C057C">
            <w:pPr>
              <w:spacing w:after="120" w:line="240" w:lineRule="auto"/>
              <w:rPr>
                <w:i/>
                <w:sz w:val="14"/>
              </w:rPr>
            </w:pPr>
          </w:p>
        </w:tc>
        <w:tc>
          <w:tcPr>
            <w:tcW w:w="994" w:type="dxa"/>
            <w:shd w:val="clear" w:color="auto" w:fill="auto"/>
          </w:tcPr>
          <w:p w:rsidR="006C057C" w:rsidRPr="00161925" w:rsidRDefault="006C057C" w:rsidP="006C057C">
            <w:pPr>
              <w:spacing w:after="120" w:line="240" w:lineRule="auto"/>
              <w:jc w:val="right"/>
              <w:rPr>
                <w:i/>
                <w:sz w:val="14"/>
              </w:rPr>
            </w:pPr>
          </w:p>
        </w:tc>
        <w:tc>
          <w:tcPr>
            <w:tcW w:w="792" w:type="dxa"/>
            <w:shd w:val="clear" w:color="auto" w:fill="auto"/>
          </w:tcPr>
          <w:p w:rsidR="006C057C" w:rsidRPr="00161925" w:rsidRDefault="006C057C" w:rsidP="006C057C">
            <w:pPr>
              <w:spacing w:after="120" w:line="240" w:lineRule="auto"/>
              <w:jc w:val="right"/>
              <w:rPr>
                <w:i/>
                <w:sz w:val="14"/>
              </w:rPr>
            </w:pPr>
            <w:r w:rsidRPr="00161925">
              <w:rPr>
                <w:i/>
                <w:sz w:val="14"/>
              </w:rPr>
              <w:t>Página</w:t>
            </w:r>
          </w:p>
        </w:tc>
      </w:tr>
      <w:tr w:rsidR="006C057C" w:rsidRPr="00161925">
        <w:tblPrEx>
          <w:tblCellMar>
            <w:top w:w="0" w:type="dxa"/>
            <w:bottom w:w="0" w:type="dxa"/>
          </w:tblCellMar>
        </w:tblPrEx>
        <w:tc>
          <w:tcPr>
            <w:tcW w:w="9110" w:type="dxa"/>
            <w:gridSpan w:val="3"/>
            <w:shd w:val="clear" w:color="auto" w:fill="auto"/>
          </w:tcPr>
          <w:p w:rsidR="006C057C" w:rsidRPr="0013687B" w:rsidRDefault="006C057C" w:rsidP="00481C84">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ind w:left="1296" w:hanging="216"/>
              <w:rPr>
                <w:spacing w:val="60"/>
                <w:sz w:val="17"/>
              </w:rPr>
            </w:pPr>
            <w:r w:rsidRPr="00161925">
              <w:tab/>
            </w:r>
            <w:r w:rsidR="00605D4C" w:rsidRPr="00161925">
              <w:t>Parte I</w:t>
            </w:r>
            <w:r w:rsidR="00605D4C">
              <w:br/>
            </w:r>
            <w:r w:rsidR="00605D4C" w:rsidRPr="00161925">
              <w:t>Información general sobre el Commonwealth de las Bahamas</w:t>
            </w:r>
            <w:r w:rsidR="0013687B">
              <w:rPr>
                <w:spacing w:val="60"/>
                <w:sz w:val="17"/>
              </w:rPr>
              <w:tab/>
            </w:r>
          </w:p>
        </w:tc>
        <w:tc>
          <w:tcPr>
            <w:tcW w:w="792" w:type="dxa"/>
            <w:shd w:val="clear" w:color="auto" w:fill="auto"/>
            <w:vAlign w:val="bottom"/>
          </w:tcPr>
          <w:p w:rsidR="006C057C" w:rsidRPr="00161925" w:rsidRDefault="00605D4C" w:rsidP="00481C84">
            <w:pPr>
              <w:spacing w:after="120"/>
              <w:jc w:val="right"/>
            </w:pPr>
            <w:r>
              <w:t>4</w:t>
            </w:r>
          </w:p>
        </w:tc>
      </w:tr>
      <w:tr w:rsidR="006C057C" w:rsidRPr="00161925">
        <w:tblPrEx>
          <w:tblCellMar>
            <w:top w:w="0" w:type="dxa"/>
            <w:bottom w:w="0" w:type="dxa"/>
          </w:tblCellMar>
        </w:tblPrEx>
        <w:tc>
          <w:tcPr>
            <w:tcW w:w="9110" w:type="dxa"/>
            <w:gridSpan w:val="3"/>
            <w:shd w:val="clear" w:color="auto" w:fill="auto"/>
          </w:tcPr>
          <w:p w:rsidR="006C057C" w:rsidRPr="00161925" w:rsidRDefault="006C057C" w:rsidP="00481C84">
            <w:pPr>
              <w:numPr>
                <w:ilvl w:val="0"/>
                <w:numId w:val="7"/>
              </w:numPr>
              <w:tabs>
                <w:tab w:val="clear" w:pos="1296"/>
                <w:tab w:val="right" w:pos="1080"/>
                <w:tab w:val="left" w:pos="1300"/>
                <w:tab w:val="left" w:pos="1740"/>
                <w:tab w:val="left" w:pos="2180"/>
                <w:tab w:val="right" w:leader="dot" w:pos="9245"/>
              </w:tabs>
              <w:spacing w:after="120"/>
            </w:pPr>
            <w:r w:rsidRPr="00161925">
              <w:tab/>
            </w:r>
            <w:r w:rsidR="00605D4C" w:rsidRPr="00161925">
              <w:t>Introducción</w:t>
            </w:r>
            <w:r w:rsidR="0013687B">
              <w:rPr>
                <w:spacing w:val="60"/>
                <w:sz w:val="17"/>
              </w:rPr>
              <w:tab/>
            </w:r>
          </w:p>
        </w:tc>
        <w:tc>
          <w:tcPr>
            <w:tcW w:w="792" w:type="dxa"/>
            <w:shd w:val="clear" w:color="auto" w:fill="auto"/>
            <w:vAlign w:val="bottom"/>
          </w:tcPr>
          <w:p w:rsidR="006C057C" w:rsidRPr="00161925" w:rsidRDefault="00605D4C" w:rsidP="00481C84">
            <w:pPr>
              <w:spacing w:after="120"/>
              <w:jc w:val="right"/>
            </w:pPr>
            <w:r>
              <w:t>4</w:t>
            </w:r>
          </w:p>
        </w:tc>
      </w:tr>
      <w:tr w:rsidR="006C057C" w:rsidRPr="00161925">
        <w:tblPrEx>
          <w:tblCellMar>
            <w:top w:w="0" w:type="dxa"/>
            <w:bottom w:w="0" w:type="dxa"/>
          </w:tblCellMar>
        </w:tblPrEx>
        <w:tc>
          <w:tcPr>
            <w:tcW w:w="9110" w:type="dxa"/>
            <w:gridSpan w:val="3"/>
            <w:shd w:val="clear" w:color="auto" w:fill="auto"/>
          </w:tcPr>
          <w:p w:rsidR="006C057C" w:rsidRPr="00161925" w:rsidRDefault="006C057C" w:rsidP="00481C84">
            <w:pPr>
              <w:numPr>
                <w:ilvl w:val="0"/>
                <w:numId w:val="7"/>
              </w:numPr>
              <w:tabs>
                <w:tab w:val="clear" w:pos="1296"/>
                <w:tab w:val="right" w:pos="1080"/>
                <w:tab w:val="left" w:pos="1300"/>
                <w:tab w:val="left" w:pos="1740"/>
                <w:tab w:val="right" w:leader="dot" w:pos="9245"/>
              </w:tabs>
              <w:spacing w:after="120"/>
            </w:pPr>
            <w:r w:rsidRPr="00161925">
              <w:tab/>
            </w:r>
            <w:r w:rsidR="00605D4C" w:rsidRPr="00161925">
              <w:t>Geografía</w:t>
            </w:r>
            <w:r w:rsidR="0013687B">
              <w:rPr>
                <w:spacing w:val="60"/>
                <w:sz w:val="17"/>
              </w:rPr>
              <w:tab/>
            </w:r>
          </w:p>
        </w:tc>
        <w:tc>
          <w:tcPr>
            <w:tcW w:w="792" w:type="dxa"/>
            <w:shd w:val="clear" w:color="auto" w:fill="auto"/>
            <w:vAlign w:val="bottom"/>
          </w:tcPr>
          <w:p w:rsidR="006C057C" w:rsidRPr="00161925" w:rsidRDefault="00605D4C" w:rsidP="00481C84">
            <w:pPr>
              <w:spacing w:after="120"/>
              <w:jc w:val="right"/>
            </w:pPr>
            <w:r>
              <w:t>4</w:t>
            </w:r>
          </w:p>
        </w:tc>
      </w:tr>
      <w:tr w:rsidR="006C057C" w:rsidRPr="00161925">
        <w:tblPrEx>
          <w:tblCellMar>
            <w:top w:w="0" w:type="dxa"/>
            <w:bottom w:w="0" w:type="dxa"/>
          </w:tblCellMar>
        </w:tblPrEx>
        <w:tc>
          <w:tcPr>
            <w:tcW w:w="9110" w:type="dxa"/>
            <w:gridSpan w:val="3"/>
            <w:shd w:val="clear" w:color="auto" w:fill="auto"/>
          </w:tcPr>
          <w:p w:rsidR="006C057C" w:rsidRPr="00161925" w:rsidRDefault="006C057C" w:rsidP="00481C84">
            <w:pPr>
              <w:numPr>
                <w:ilvl w:val="0"/>
                <w:numId w:val="7"/>
              </w:numPr>
              <w:tabs>
                <w:tab w:val="clear" w:pos="1296"/>
                <w:tab w:val="right" w:pos="1080"/>
                <w:tab w:val="left" w:pos="1300"/>
                <w:tab w:val="left" w:pos="1740"/>
                <w:tab w:val="right" w:leader="dot" w:pos="9245"/>
              </w:tabs>
              <w:spacing w:after="120"/>
            </w:pPr>
            <w:r w:rsidRPr="00161925">
              <w:tab/>
            </w:r>
            <w:r w:rsidR="00605D4C" w:rsidRPr="00161925">
              <w:t>Historia</w:t>
            </w:r>
            <w:r w:rsidR="0013687B">
              <w:rPr>
                <w:spacing w:val="60"/>
                <w:sz w:val="17"/>
              </w:rPr>
              <w:tab/>
            </w:r>
          </w:p>
        </w:tc>
        <w:tc>
          <w:tcPr>
            <w:tcW w:w="792" w:type="dxa"/>
            <w:shd w:val="clear" w:color="auto" w:fill="auto"/>
            <w:vAlign w:val="bottom"/>
          </w:tcPr>
          <w:p w:rsidR="006C057C" w:rsidRPr="00161925" w:rsidRDefault="00605D4C" w:rsidP="00481C84">
            <w:pPr>
              <w:spacing w:after="120"/>
              <w:jc w:val="right"/>
            </w:pPr>
            <w:r>
              <w:t>4</w:t>
            </w:r>
          </w:p>
        </w:tc>
      </w:tr>
      <w:tr w:rsidR="006C057C" w:rsidRPr="00161925">
        <w:tblPrEx>
          <w:tblCellMar>
            <w:top w:w="0" w:type="dxa"/>
            <w:bottom w:w="0" w:type="dxa"/>
          </w:tblCellMar>
        </w:tblPrEx>
        <w:tc>
          <w:tcPr>
            <w:tcW w:w="9110" w:type="dxa"/>
            <w:gridSpan w:val="3"/>
            <w:shd w:val="clear" w:color="auto" w:fill="auto"/>
          </w:tcPr>
          <w:p w:rsidR="006C057C" w:rsidRPr="00161925" w:rsidRDefault="006C057C" w:rsidP="00481C84">
            <w:pPr>
              <w:numPr>
                <w:ilvl w:val="0"/>
                <w:numId w:val="7"/>
              </w:numPr>
              <w:tabs>
                <w:tab w:val="clear" w:pos="1296"/>
                <w:tab w:val="right" w:pos="1080"/>
                <w:tab w:val="left" w:pos="1300"/>
                <w:tab w:val="left" w:pos="1740"/>
                <w:tab w:val="right" w:leader="dot" w:pos="9245"/>
              </w:tabs>
              <w:spacing w:after="120"/>
            </w:pPr>
            <w:r w:rsidRPr="00161925">
              <w:tab/>
            </w:r>
            <w:r w:rsidR="00605D4C" w:rsidRPr="00161925">
              <w:t>Población</w:t>
            </w:r>
            <w:r w:rsidR="0013687B">
              <w:rPr>
                <w:spacing w:val="60"/>
                <w:sz w:val="17"/>
              </w:rPr>
              <w:tab/>
            </w:r>
          </w:p>
        </w:tc>
        <w:tc>
          <w:tcPr>
            <w:tcW w:w="792" w:type="dxa"/>
            <w:shd w:val="clear" w:color="auto" w:fill="auto"/>
            <w:vAlign w:val="bottom"/>
          </w:tcPr>
          <w:p w:rsidR="006C057C" w:rsidRPr="00161925" w:rsidRDefault="00605D4C" w:rsidP="00481C84">
            <w:pPr>
              <w:spacing w:after="120"/>
              <w:jc w:val="right"/>
            </w:pPr>
            <w:r>
              <w:t>4</w:t>
            </w:r>
          </w:p>
        </w:tc>
      </w:tr>
      <w:tr w:rsidR="006C057C" w:rsidRPr="00161925">
        <w:tblPrEx>
          <w:tblCellMar>
            <w:top w:w="0" w:type="dxa"/>
            <w:bottom w:w="0" w:type="dxa"/>
          </w:tblCellMar>
        </w:tblPrEx>
        <w:tc>
          <w:tcPr>
            <w:tcW w:w="9110" w:type="dxa"/>
            <w:gridSpan w:val="3"/>
            <w:shd w:val="clear" w:color="auto" w:fill="auto"/>
          </w:tcPr>
          <w:p w:rsidR="006C057C" w:rsidRPr="00161925" w:rsidRDefault="006C057C" w:rsidP="00481C84">
            <w:pPr>
              <w:numPr>
                <w:ilvl w:val="0"/>
                <w:numId w:val="7"/>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pPr>
            <w:r w:rsidRPr="00161925">
              <w:tab/>
            </w:r>
            <w:r w:rsidR="00FD7240" w:rsidRPr="004669C4">
              <w:rPr>
                <w:lang w:val="es-ES_tradnl"/>
              </w:rPr>
              <w:t>Proporción de hombres y mujeres cabezas de familia</w:t>
            </w:r>
            <w:r w:rsidR="00FD7240">
              <w:rPr>
                <w:spacing w:val="60"/>
                <w:sz w:val="17"/>
                <w:lang w:val="es-ES_tradnl"/>
              </w:rPr>
              <w:tab/>
            </w:r>
          </w:p>
        </w:tc>
        <w:tc>
          <w:tcPr>
            <w:tcW w:w="792" w:type="dxa"/>
            <w:shd w:val="clear" w:color="auto" w:fill="auto"/>
            <w:vAlign w:val="bottom"/>
          </w:tcPr>
          <w:p w:rsidR="006C057C" w:rsidRPr="00161925" w:rsidRDefault="006259BC" w:rsidP="00481C84">
            <w:pPr>
              <w:spacing w:after="120"/>
              <w:jc w:val="right"/>
            </w:pPr>
            <w:r>
              <w:t>7</w:t>
            </w:r>
          </w:p>
        </w:tc>
      </w:tr>
      <w:tr w:rsidR="006C057C" w:rsidRPr="00161925">
        <w:tblPrEx>
          <w:tblCellMar>
            <w:top w:w="0" w:type="dxa"/>
            <w:bottom w:w="0" w:type="dxa"/>
          </w:tblCellMar>
        </w:tblPrEx>
        <w:tc>
          <w:tcPr>
            <w:tcW w:w="9110" w:type="dxa"/>
            <w:gridSpan w:val="3"/>
            <w:shd w:val="clear" w:color="auto" w:fill="auto"/>
          </w:tcPr>
          <w:p w:rsidR="006C057C" w:rsidRPr="00161925" w:rsidRDefault="006C057C" w:rsidP="00481C84">
            <w:pPr>
              <w:numPr>
                <w:ilvl w:val="0"/>
                <w:numId w:val="7"/>
              </w:numPr>
              <w:tabs>
                <w:tab w:val="clear" w:pos="1296"/>
                <w:tab w:val="right" w:pos="1080"/>
                <w:tab w:val="left" w:pos="1300"/>
                <w:tab w:val="left" w:pos="1740"/>
                <w:tab w:val="left" w:pos="2180"/>
                <w:tab w:val="left" w:pos="2620"/>
                <w:tab w:val="left" w:pos="3060"/>
                <w:tab w:val="left" w:pos="3500"/>
                <w:tab w:val="right" w:leader="dot" w:pos="9245"/>
              </w:tabs>
              <w:spacing w:after="120"/>
            </w:pPr>
            <w:r w:rsidRPr="00161925">
              <w:tab/>
            </w:r>
            <w:r w:rsidR="00FD7240" w:rsidRPr="004669C4">
              <w:rPr>
                <w:lang w:val="es-ES_tradnl"/>
              </w:rPr>
              <w:t>Características económicas</w:t>
            </w:r>
            <w:r w:rsidR="00FD7240">
              <w:rPr>
                <w:spacing w:val="60"/>
                <w:sz w:val="17"/>
                <w:lang w:val="es-ES_tradnl"/>
              </w:rPr>
              <w:tab/>
            </w:r>
          </w:p>
        </w:tc>
        <w:tc>
          <w:tcPr>
            <w:tcW w:w="792" w:type="dxa"/>
            <w:shd w:val="clear" w:color="auto" w:fill="auto"/>
            <w:vAlign w:val="bottom"/>
          </w:tcPr>
          <w:p w:rsidR="006C057C" w:rsidRPr="00161925" w:rsidRDefault="006259BC" w:rsidP="00481C84">
            <w:pPr>
              <w:spacing w:after="120"/>
              <w:jc w:val="right"/>
            </w:pPr>
            <w:r>
              <w:t>8</w:t>
            </w:r>
          </w:p>
        </w:tc>
      </w:tr>
      <w:tr w:rsidR="006C057C" w:rsidRPr="00161925">
        <w:tblPrEx>
          <w:tblCellMar>
            <w:top w:w="0" w:type="dxa"/>
            <w:bottom w:w="0" w:type="dxa"/>
          </w:tblCellMar>
        </w:tblPrEx>
        <w:tc>
          <w:tcPr>
            <w:tcW w:w="9110" w:type="dxa"/>
            <w:gridSpan w:val="3"/>
            <w:shd w:val="clear" w:color="auto" w:fill="auto"/>
          </w:tcPr>
          <w:p w:rsidR="006C057C" w:rsidRPr="00161925" w:rsidRDefault="006C057C" w:rsidP="00481C84">
            <w:pPr>
              <w:numPr>
                <w:ilvl w:val="0"/>
                <w:numId w:val="7"/>
              </w:numPr>
              <w:tabs>
                <w:tab w:val="clear" w:pos="1296"/>
                <w:tab w:val="right" w:pos="1080"/>
                <w:tab w:val="left" w:pos="1300"/>
                <w:tab w:val="left" w:pos="1740"/>
                <w:tab w:val="right" w:leader="dot" w:pos="9245"/>
              </w:tabs>
              <w:spacing w:after="120"/>
            </w:pPr>
            <w:r w:rsidRPr="00161925">
              <w:tab/>
            </w:r>
            <w:r w:rsidR="00FD7240">
              <w:t>Turismo</w:t>
            </w:r>
            <w:r w:rsidR="00FD7240">
              <w:rPr>
                <w:spacing w:val="60"/>
                <w:sz w:val="17"/>
              </w:rPr>
              <w:tab/>
            </w:r>
          </w:p>
        </w:tc>
        <w:tc>
          <w:tcPr>
            <w:tcW w:w="792" w:type="dxa"/>
            <w:shd w:val="clear" w:color="auto" w:fill="auto"/>
            <w:vAlign w:val="bottom"/>
          </w:tcPr>
          <w:p w:rsidR="006C057C" w:rsidRPr="00161925" w:rsidRDefault="006259BC" w:rsidP="00481C84">
            <w:pPr>
              <w:spacing w:after="120"/>
              <w:jc w:val="right"/>
            </w:pPr>
            <w:r>
              <w:t>8</w:t>
            </w:r>
          </w:p>
        </w:tc>
      </w:tr>
      <w:tr w:rsidR="006C057C" w:rsidRPr="00161925">
        <w:tblPrEx>
          <w:tblCellMar>
            <w:top w:w="0" w:type="dxa"/>
            <w:bottom w:w="0" w:type="dxa"/>
          </w:tblCellMar>
        </w:tblPrEx>
        <w:tc>
          <w:tcPr>
            <w:tcW w:w="9110" w:type="dxa"/>
            <w:gridSpan w:val="3"/>
            <w:shd w:val="clear" w:color="auto" w:fill="auto"/>
          </w:tcPr>
          <w:p w:rsidR="006C057C" w:rsidRPr="00161925" w:rsidRDefault="006C057C" w:rsidP="00481C84">
            <w:pPr>
              <w:numPr>
                <w:ilvl w:val="0"/>
                <w:numId w:val="7"/>
              </w:numPr>
              <w:tabs>
                <w:tab w:val="clear" w:pos="1296"/>
                <w:tab w:val="right" w:pos="1080"/>
                <w:tab w:val="left" w:pos="1300"/>
                <w:tab w:val="left" w:pos="1740"/>
                <w:tab w:val="left" w:pos="2180"/>
                <w:tab w:val="left" w:pos="2620"/>
                <w:tab w:val="left" w:pos="3060"/>
                <w:tab w:val="right" w:leader="dot" w:pos="9245"/>
              </w:tabs>
              <w:spacing w:after="120"/>
            </w:pPr>
            <w:r w:rsidRPr="00161925">
              <w:tab/>
            </w:r>
            <w:r w:rsidR="00FD7240">
              <w:t>Servicios financieros</w:t>
            </w:r>
            <w:r w:rsidR="00FD7240">
              <w:rPr>
                <w:spacing w:val="60"/>
                <w:sz w:val="17"/>
              </w:rPr>
              <w:tab/>
            </w:r>
          </w:p>
        </w:tc>
        <w:tc>
          <w:tcPr>
            <w:tcW w:w="792" w:type="dxa"/>
            <w:shd w:val="clear" w:color="auto" w:fill="auto"/>
            <w:vAlign w:val="bottom"/>
          </w:tcPr>
          <w:p w:rsidR="006C057C" w:rsidRPr="00161925" w:rsidRDefault="006259BC" w:rsidP="00481C84">
            <w:pPr>
              <w:spacing w:after="120"/>
              <w:jc w:val="right"/>
            </w:pPr>
            <w:r>
              <w:t>9</w:t>
            </w:r>
          </w:p>
        </w:tc>
      </w:tr>
      <w:tr w:rsidR="006C057C" w:rsidRPr="00161925">
        <w:tblPrEx>
          <w:tblCellMar>
            <w:top w:w="0" w:type="dxa"/>
            <w:bottom w:w="0" w:type="dxa"/>
          </w:tblCellMar>
        </w:tblPrEx>
        <w:tc>
          <w:tcPr>
            <w:tcW w:w="9110" w:type="dxa"/>
            <w:gridSpan w:val="3"/>
            <w:shd w:val="clear" w:color="auto" w:fill="auto"/>
          </w:tcPr>
          <w:p w:rsidR="006C057C" w:rsidRPr="00161925" w:rsidRDefault="006C057C" w:rsidP="00481C84">
            <w:pPr>
              <w:numPr>
                <w:ilvl w:val="0"/>
                <w:numId w:val="7"/>
              </w:numPr>
              <w:tabs>
                <w:tab w:val="clear" w:pos="1296"/>
                <w:tab w:val="right" w:pos="1080"/>
                <w:tab w:val="left" w:pos="1300"/>
                <w:tab w:val="left" w:pos="1740"/>
                <w:tab w:val="right" w:leader="dot" w:pos="9245"/>
              </w:tabs>
              <w:spacing w:after="120"/>
            </w:pPr>
            <w:r w:rsidRPr="00161925">
              <w:tab/>
            </w:r>
            <w:r w:rsidR="00FD7240">
              <w:t>Empleo</w:t>
            </w:r>
            <w:r w:rsidR="00FD7240">
              <w:rPr>
                <w:spacing w:val="60"/>
                <w:sz w:val="17"/>
              </w:rPr>
              <w:tab/>
            </w:r>
          </w:p>
        </w:tc>
        <w:tc>
          <w:tcPr>
            <w:tcW w:w="792" w:type="dxa"/>
            <w:shd w:val="clear" w:color="auto" w:fill="auto"/>
            <w:vAlign w:val="bottom"/>
          </w:tcPr>
          <w:p w:rsidR="006C057C" w:rsidRPr="00161925" w:rsidRDefault="006259BC" w:rsidP="00481C84">
            <w:pPr>
              <w:spacing w:after="120"/>
              <w:jc w:val="right"/>
            </w:pPr>
            <w:r>
              <w:t>9</w:t>
            </w:r>
          </w:p>
        </w:tc>
      </w:tr>
      <w:tr w:rsidR="006C057C" w:rsidRPr="00161925">
        <w:tblPrEx>
          <w:tblCellMar>
            <w:top w:w="0" w:type="dxa"/>
            <w:bottom w:w="0" w:type="dxa"/>
          </w:tblCellMar>
        </w:tblPrEx>
        <w:tc>
          <w:tcPr>
            <w:tcW w:w="9110" w:type="dxa"/>
            <w:gridSpan w:val="3"/>
            <w:shd w:val="clear" w:color="auto" w:fill="auto"/>
          </w:tcPr>
          <w:p w:rsidR="006C057C" w:rsidRPr="00161925" w:rsidRDefault="006C057C" w:rsidP="00481C84">
            <w:pPr>
              <w:numPr>
                <w:ilvl w:val="0"/>
                <w:numId w:val="7"/>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pPr>
            <w:r w:rsidRPr="00161925">
              <w:tab/>
            </w:r>
            <w:r w:rsidR="00FD7240" w:rsidRPr="004669C4">
              <w:rPr>
                <w:lang w:val="es-ES_tradnl"/>
              </w:rPr>
              <w:t>Organización Internacional para las Migraciones</w:t>
            </w:r>
            <w:r w:rsidR="00FD7240">
              <w:rPr>
                <w:spacing w:val="60"/>
                <w:sz w:val="17"/>
                <w:lang w:val="es-ES_tradnl"/>
              </w:rPr>
              <w:tab/>
            </w:r>
          </w:p>
        </w:tc>
        <w:tc>
          <w:tcPr>
            <w:tcW w:w="792" w:type="dxa"/>
            <w:shd w:val="clear" w:color="auto" w:fill="auto"/>
            <w:vAlign w:val="bottom"/>
          </w:tcPr>
          <w:p w:rsidR="006C057C" w:rsidRPr="00161925" w:rsidRDefault="006259BC" w:rsidP="00481C84">
            <w:pPr>
              <w:spacing w:after="120"/>
              <w:jc w:val="right"/>
            </w:pPr>
            <w:r>
              <w:t>10</w:t>
            </w:r>
          </w:p>
        </w:tc>
      </w:tr>
      <w:tr w:rsidR="006C057C" w:rsidRPr="00161925">
        <w:tblPrEx>
          <w:tblCellMar>
            <w:top w:w="0" w:type="dxa"/>
            <w:bottom w:w="0" w:type="dxa"/>
          </w:tblCellMar>
        </w:tblPrEx>
        <w:tc>
          <w:tcPr>
            <w:tcW w:w="9110" w:type="dxa"/>
            <w:gridSpan w:val="3"/>
            <w:shd w:val="clear" w:color="auto" w:fill="auto"/>
          </w:tcPr>
          <w:p w:rsidR="006C057C" w:rsidRPr="00161925" w:rsidRDefault="006C057C" w:rsidP="00481C84">
            <w:pPr>
              <w:numPr>
                <w:ilvl w:val="0"/>
                <w:numId w:val="7"/>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pPr>
            <w:r w:rsidRPr="00161925">
              <w:tab/>
            </w:r>
            <w:r w:rsidR="000602F6" w:rsidRPr="004669C4">
              <w:rPr>
                <w:lang w:val="es-ES_tradnl"/>
              </w:rPr>
              <w:t>Índice de desarrollo humano de las Naciones Unidas</w:t>
            </w:r>
            <w:r w:rsidR="006259BC">
              <w:rPr>
                <w:spacing w:val="60"/>
                <w:sz w:val="17"/>
                <w:lang w:val="es-ES_tradnl"/>
              </w:rPr>
              <w:tab/>
            </w:r>
          </w:p>
        </w:tc>
        <w:tc>
          <w:tcPr>
            <w:tcW w:w="792" w:type="dxa"/>
            <w:shd w:val="clear" w:color="auto" w:fill="auto"/>
            <w:vAlign w:val="bottom"/>
          </w:tcPr>
          <w:p w:rsidR="006C057C" w:rsidRPr="00161925" w:rsidRDefault="006259BC" w:rsidP="00481C84">
            <w:pPr>
              <w:spacing w:after="120"/>
              <w:jc w:val="right"/>
            </w:pPr>
            <w:r>
              <w:t>11</w:t>
            </w:r>
          </w:p>
        </w:tc>
      </w:tr>
      <w:tr w:rsidR="006C057C" w:rsidRPr="00161925">
        <w:tblPrEx>
          <w:tblCellMar>
            <w:top w:w="0" w:type="dxa"/>
            <w:bottom w:w="0" w:type="dxa"/>
          </w:tblCellMar>
        </w:tblPrEx>
        <w:tc>
          <w:tcPr>
            <w:tcW w:w="9110" w:type="dxa"/>
            <w:gridSpan w:val="3"/>
            <w:shd w:val="clear" w:color="auto" w:fill="auto"/>
          </w:tcPr>
          <w:p w:rsidR="006C057C" w:rsidRPr="006259BC" w:rsidRDefault="008340B8" w:rsidP="00481C84">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ind w:left="1296" w:hanging="216"/>
              <w:rPr>
                <w:spacing w:val="60"/>
                <w:sz w:val="17"/>
              </w:rPr>
            </w:pPr>
            <w:r>
              <w:tab/>
            </w:r>
            <w:r w:rsidRPr="00161925">
              <w:t xml:space="preserve">Parte </w:t>
            </w:r>
            <w:r>
              <w:t>I</w:t>
            </w:r>
            <w:r w:rsidRPr="00161925">
              <w:t>I</w:t>
            </w:r>
          </w:p>
        </w:tc>
        <w:tc>
          <w:tcPr>
            <w:tcW w:w="792" w:type="dxa"/>
            <w:shd w:val="clear" w:color="auto" w:fill="auto"/>
            <w:vAlign w:val="bottom"/>
          </w:tcPr>
          <w:p w:rsidR="006C057C" w:rsidRPr="00161925" w:rsidRDefault="006C057C" w:rsidP="00481C84">
            <w:pPr>
              <w:spacing w:after="120"/>
              <w:jc w:val="right"/>
            </w:pPr>
          </w:p>
        </w:tc>
      </w:tr>
      <w:tr w:rsidR="006C057C" w:rsidRPr="00161925">
        <w:tblPrEx>
          <w:tblCellMar>
            <w:top w:w="0" w:type="dxa"/>
            <w:bottom w:w="0" w:type="dxa"/>
          </w:tblCellMar>
        </w:tblPrEx>
        <w:tc>
          <w:tcPr>
            <w:tcW w:w="9110" w:type="dxa"/>
            <w:gridSpan w:val="3"/>
            <w:shd w:val="clear" w:color="auto" w:fill="auto"/>
          </w:tcPr>
          <w:p w:rsidR="006C057C" w:rsidRPr="00406EC1" w:rsidRDefault="006C057C" w:rsidP="00481C84">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ind w:left="1080"/>
              <w:rPr>
                <w:spacing w:val="60"/>
                <w:sz w:val="17"/>
              </w:rPr>
            </w:pPr>
            <w:r w:rsidRPr="00161925">
              <w:tab/>
            </w:r>
            <w:r w:rsidR="00406EC1">
              <w:t>Artículo 1: D</w:t>
            </w:r>
            <w:r w:rsidR="00406EC1" w:rsidRPr="000E674F">
              <w:t>efinición de discriminación contra la mujer</w:t>
            </w:r>
            <w:r w:rsidR="00406EC1">
              <w:rPr>
                <w:spacing w:val="60"/>
                <w:sz w:val="17"/>
              </w:rPr>
              <w:tab/>
            </w:r>
          </w:p>
        </w:tc>
        <w:tc>
          <w:tcPr>
            <w:tcW w:w="792" w:type="dxa"/>
            <w:shd w:val="clear" w:color="auto" w:fill="auto"/>
            <w:vAlign w:val="bottom"/>
          </w:tcPr>
          <w:p w:rsidR="006C057C" w:rsidRPr="00161925" w:rsidRDefault="006259BC" w:rsidP="00481C84">
            <w:pPr>
              <w:spacing w:after="120"/>
              <w:jc w:val="right"/>
            </w:pPr>
            <w:r>
              <w:t>11</w:t>
            </w:r>
          </w:p>
        </w:tc>
      </w:tr>
      <w:tr w:rsidR="006C057C" w:rsidRPr="00161925">
        <w:tblPrEx>
          <w:tblCellMar>
            <w:top w:w="0" w:type="dxa"/>
            <w:bottom w:w="0" w:type="dxa"/>
          </w:tblCellMar>
        </w:tblPrEx>
        <w:tc>
          <w:tcPr>
            <w:tcW w:w="9110" w:type="dxa"/>
            <w:gridSpan w:val="3"/>
            <w:shd w:val="clear" w:color="auto" w:fill="auto"/>
          </w:tcPr>
          <w:p w:rsidR="006C057C" w:rsidRPr="008943C9" w:rsidRDefault="00406EC1" w:rsidP="00481C84">
            <w:pPr>
              <w:tabs>
                <w:tab w:val="right" w:pos="1080"/>
                <w:tab w:val="left" w:pos="1300"/>
                <w:tab w:val="right" w:leader="dot" w:pos="9245"/>
              </w:tabs>
              <w:spacing w:after="120"/>
              <w:ind w:left="1300" w:hanging="220"/>
              <w:rPr>
                <w:spacing w:val="2"/>
                <w:sz w:val="17"/>
              </w:rPr>
            </w:pPr>
            <w:r>
              <w:tab/>
            </w:r>
            <w:r w:rsidRPr="008943C9">
              <w:rPr>
                <w:spacing w:val="2"/>
              </w:rPr>
              <w:t>Artículo 2: Obligación de eliminar todas las formas de discriminación racial contra la mujer</w:t>
            </w:r>
            <w:r w:rsidRPr="008943C9">
              <w:rPr>
                <w:spacing w:val="2"/>
                <w:sz w:val="17"/>
              </w:rPr>
              <w:tab/>
            </w:r>
          </w:p>
        </w:tc>
        <w:tc>
          <w:tcPr>
            <w:tcW w:w="792" w:type="dxa"/>
            <w:shd w:val="clear" w:color="auto" w:fill="auto"/>
            <w:vAlign w:val="bottom"/>
          </w:tcPr>
          <w:p w:rsidR="006C057C" w:rsidRPr="00161925" w:rsidRDefault="006259BC" w:rsidP="00481C84">
            <w:pPr>
              <w:spacing w:after="120"/>
              <w:jc w:val="right"/>
            </w:pPr>
            <w:r>
              <w:t>13</w:t>
            </w:r>
          </w:p>
        </w:tc>
      </w:tr>
      <w:tr w:rsidR="006C057C" w:rsidRPr="00161925">
        <w:tblPrEx>
          <w:tblCellMar>
            <w:top w:w="0" w:type="dxa"/>
            <w:bottom w:w="0" w:type="dxa"/>
          </w:tblCellMar>
        </w:tblPrEx>
        <w:tc>
          <w:tcPr>
            <w:tcW w:w="9110" w:type="dxa"/>
            <w:gridSpan w:val="3"/>
            <w:shd w:val="clear" w:color="auto" w:fill="auto"/>
          </w:tcPr>
          <w:p w:rsidR="006C057C" w:rsidRPr="00406EC1" w:rsidRDefault="00406EC1" w:rsidP="00481C84">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080"/>
              <w:rPr>
                <w:spacing w:val="60"/>
                <w:sz w:val="17"/>
              </w:rPr>
            </w:pPr>
            <w:r>
              <w:tab/>
              <w:t>Artículo 3: D</w:t>
            </w:r>
            <w:r w:rsidRPr="000E674F">
              <w:t>esarrollo y adelanto de la mujer</w:t>
            </w:r>
            <w:r>
              <w:rPr>
                <w:spacing w:val="60"/>
                <w:sz w:val="17"/>
              </w:rPr>
              <w:tab/>
            </w:r>
          </w:p>
        </w:tc>
        <w:tc>
          <w:tcPr>
            <w:tcW w:w="792" w:type="dxa"/>
            <w:shd w:val="clear" w:color="auto" w:fill="auto"/>
            <w:vAlign w:val="bottom"/>
          </w:tcPr>
          <w:p w:rsidR="006C057C" w:rsidRPr="00161925" w:rsidRDefault="006259BC" w:rsidP="00481C84">
            <w:pPr>
              <w:spacing w:after="120"/>
              <w:jc w:val="right"/>
            </w:pPr>
            <w:r>
              <w:t>15</w:t>
            </w:r>
          </w:p>
        </w:tc>
      </w:tr>
      <w:tr w:rsidR="006C057C" w:rsidRPr="00161925">
        <w:tblPrEx>
          <w:tblCellMar>
            <w:top w:w="0" w:type="dxa"/>
            <w:bottom w:w="0" w:type="dxa"/>
          </w:tblCellMar>
        </w:tblPrEx>
        <w:tc>
          <w:tcPr>
            <w:tcW w:w="9110" w:type="dxa"/>
            <w:gridSpan w:val="3"/>
            <w:shd w:val="clear" w:color="auto" w:fill="auto"/>
          </w:tcPr>
          <w:p w:rsidR="006C057C" w:rsidRPr="00406EC1" w:rsidRDefault="00406EC1" w:rsidP="00481C84">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ind w:left="1080"/>
              <w:rPr>
                <w:spacing w:val="60"/>
                <w:sz w:val="17"/>
              </w:rPr>
            </w:pPr>
            <w:r>
              <w:tab/>
            </w:r>
            <w:r w:rsidRPr="00406EC1">
              <w:t>Artículo 4: Aceleración de la igualdad entre el hombre y la mujer</w:t>
            </w:r>
            <w:r>
              <w:rPr>
                <w:spacing w:val="60"/>
                <w:sz w:val="17"/>
              </w:rPr>
              <w:tab/>
            </w:r>
          </w:p>
        </w:tc>
        <w:tc>
          <w:tcPr>
            <w:tcW w:w="792" w:type="dxa"/>
            <w:shd w:val="clear" w:color="auto" w:fill="auto"/>
            <w:vAlign w:val="bottom"/>
          </w:tcPr>
          <w:p w:rsidR="006C057C" w:rsidRPr="00161925" w:rsidRDefault="006259BC" w:rsidP="00481C84">
            <w:pPr>
              <w:spacing w:after="120"/>
              <w:jc w:val="right"/>
            </w:pPr>
            <w:r>
              <w:t>15</w:t>
            </w:r>
          </w:p>
        </w:tc>
      </w:tr>
      <w:tr w:rsidR="006C057C" w:rsidRPr="00161925">
        <w:tblPrEx>
          <w:tblCellMar>
            <w:top w:w="0" w:type="dxa"/>
            <w:bottom w:w="0" w:type="dxa"/>
          </w:tblCellMar>
        </w:tblPrEx>
        <w:tc>
          <w:tcPr>
            <w:tcW w:w="9110" w:type="dxa"/>
            <w:gridSpan w:val="3"/>
            <w:shd w:val="clear" w:color="auto" w:fill="auto"/>
          </w:tcPr>
          <w:p w:rsidR="006C057C" w:rsidRPr="00406EC1" w:rsidRDefault="00406EC1" w:rsidP="00481C84">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080"/>
              <w:rPr>
                <w:spacing w:val="60"/>
                <w:sz w:val="17"/>
              </w:rPr>
            </w:pPr>
            <w:r>
              <w:tab/>
            </w:r>
            <w:r w:rsidRPr="00406EC1">
              <w:t>Artículo 5: Funciones y estereotipos sexuales</w:t>
            </w:r>
            <w:r>
              <w:rPr>
                <w:spacing w:val="60"/>
                <w:sz w:val="17"/>
              </w:rPr>
              <w:tab/>
            </w:r>
          </w:p>
        </w:tc>
        <w:tc>
          <w:tcPr>
            <w:tcW w:w="792" w:type="dxa"/>
            <w:shd w:val="clear" w:color="auto" w:fill="auto"/>
            <w:vAlign w:val="bottom"/>
          </w:tcPr>
          <w:p w:rsidR="006C057C" w:rsidRPr="00161925" w:rsidRDefault="006259BC" w:rsidP="00481C84">
            <w:pPr>
              <w:spacing w:after="120"/>
              <w:jc w:val="right"/>
            </w:pPr>
            <w:r>
              <w:t>15</w:t>
            </w:r>
          </w:p>
        </w:tc>
      </w:tr>
      <w:tr w:rsidR="006C057C" w:rsidRPr="00161925">
        <w:tblPrEx>
          <w:tblCellMar>
            <w:top w:w="0" w:type="dxa"/>
            <w:bottom w:w="0" w:type="dxa"/>
          </w:tblCellMar>
        </w:tblPrEx>
        <w:tc>
          <w:tcPr>
            <w:tcW w:w="9110" w:type="dxa"/>
            <w:gridSpan w:val="3"/>
            <w:shd w:val="clear" w:color="auto" w:fill="auto"/>
          </w:tcPr>
          <w:p w:rsidR="006C057C" w:rsidRPr="00406EC1" w:rsidRDefault="00406EC1" w:rsidP="00481C84">
            <w:pPr>
              <w:tabs>
                <w:tab w:val="right" w:pos="1080"/>
                <w:tab w:val="left" w:pos="1300"/>
                <w:tab w:val="left" w:pos="1740"/>
                <w:tab w:val="left" w:pos="2180"/>
                <w:tab w:val="left" w:pos="2620"/>
                <w:tab w:val="left" w:pos="3060"/>
                <w:tab w:val="left" w:pos="3500"/>
                <w:tab w:val="left" w:pos="3940"/>
                <w:tab w:val="right" w:leader="dot" w:pos="9245"/>
              </w:tabs>
              <w:spacing w:after="120"/>
              <w:ind w:left="1080"/>
              <w:rPr>
                <w:spacing w:val="60"/>
                <w:sz w:val="17"/>
              </w:rPr>
            </w:pPr>
            <w:r>
              <w:tab/>
            </w:r>
            <w:r w:rsidRPr="00406EC1">
              <w:t>Artículo 6: Explotación de la mujer</w:t>
            </w:r>
            <w:r>
              <w:rPr>
                <w:spacing w:val="60"/>
                <w:sz w:val="17"/>
              </w:rPr>
              <w:tab/>
            </w:r>
          </w:p>
        </w:tc>
        <w:tc>
          <w:tcPr>
            <w:tcW w:w="792" w:type="dxa"/>
            <w:shd w:val="clear" w:color="auto" w:fill="auto"/>
            <w:vAlign w:val="bottom"/>
          </w:tcPr>
          <w:p w:rsidR="006C057C" w:rsidRPr="00161925" w:rsidRDefault="006259BC" w:rsidP="00481C84">
            <w:pPr>
              <w:spacing w:after="120"/>
              <w:jc w:val="right"/>
            </w:pPr>
            <w:r>
              <w:t>18</w:t>
            </w:r>
          </w:p>
        </w:tc>
      </w:tr>
      <w:tr w:rsidR="006C057C" w:rsidRPr="00161925">
        <w:tblPrEx>
          <w:tblCellMar>
            <w:top w:w="0" w:type="dxa"/>
            <w:bottom w:w="0" w:type="dxa"/>
          </w:tblCellMar>
        </w:tblPrEx>
        <w:tc>
          <w:tcPr>
            <w:tcW w:w="9110" w:type="dxa"/>
            <w:gridSpan w:val="3"/>
            <w:shd w:val="clear" w:color="auto" w:fill="auto"/>
          </w:tcPr>
          <w:p w:rsidR="006C057C" w:rsidRPr="00406EC1" w:rsidRDefault="00406EC1" w:rsidP="00481C84">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080"/>
              <w:rPr>
                <w:spacing w:val="60"/>
                <w:sz w:val="17"/>
              </w:rPr>
            </w:pPr>
            <w:r>
              <w:tab/>
            </w:r>
            <w:r w:rsidRPr="00DA4998">
              <w:t>Artículo 7</w:t>
            </w:r>
            <w:r>
              <w:t>: P</w:t>
            </w:r>
            <w:r w:rsidRPr="00DA4998">
              <w:t>articipación en la vida pública y política</w:t>
            </w:r>
            <w:r>
              <w:rPr>
                <w:spacing w:val="60"/>
                <w:sz w:val="17"/>
              </w:rPr>
              <w:tab/>
            </w:r>
          </w:p>
        </w:tc>
        <w:tc>
          <w:tcPr>
            <w:tcW w:w="792" w:type="dxa"/>
            <w:shd w:val="clear" w:color="auto" w:fill="auto"/>
            <w:vAlign w:val="bottom"/>
          </w:tcPr>
          <w:p w:rsidR="006C057C" w:rsidRPr="00161925" w:rsidRDefault="006259BC" w:rsidP="00481C84">
            <w:pPr>
              <w:spacing w:after="120"/>
              <w:jc w:val="right"/>
            </w:pPr>
            <w:r>
              <w:t>19</w:t>
            </w:r>
          </w:p>
        </w:tc>
      </w:tr>
      <w:tr w:rsidR="006C057C" w:rsidRPr="00161925">
        <w:tblPrEx>
          <w:tblCellMar>
            <w:top w:w="0" w:type="dxa"/>
            <w:bottom w:w="0" w:type="dxa"/>
          </w:tblCellMar>
        </w:tblPrEx>
        <w:tc>
          <w:tcPr>
            <w:tcW w:w="9110" w:type="dxa"/>
            <w:gridSpan w:val="3"/>
            <w:shd w:val="clear" w:color="auto" w:fill="auto"/>
          </w:tcPr>
          <w:p w:rsidR="006C057C" w:rsidRPr="00406EC1" w:rsidRDefault="00406EC1" w:rsidP="00481C84">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ind w:left="1080"/>
              <w:rPr>
                <w:spacing w:val="60"/>
                <w:sz w:val="17"/>
              </w:rPr>
            </w:pPr>
            <w:r>
              <w:tab/>
            </w:r>
            <w:r w:rsidRPr="00432A41">
              <w:t xml:space="preserve">Artículo 8: </w:t>
            </w:r>
            <w:r>
              <w:t>R</w:t>
            </w:r>
            <w:r w:rsidRPr="00432A41">
              <w:t>epresentación y participación a nivel internacional</w:t>
            </w:r>
            <w:r>
              <w:rPr>
                <w:spacing w:val="60"/>
                <w:sz w:val="17"/>
              </w:rPr>
              <w:tab/>
            </w:r>
          </w:p>
        </w:tc>
        <w:tc>
          <w:tcPr>
            <w:tcW w:w="792" w:type="dxa"/>
            <w:shd w:val="clear" w:color="auto" w:fill="auto"/>
            <w:vAlign w:val="bottom"/>
          </w:tcPr>
          <w:p w:rsidR="006C057C" w:rsidRPr="00161925" w:rsidRDefault="006259BC" w:rsidP="00481C84">
            <w:pPr>
              <w:spacing w:after="120"/>
              <w:jc w:val="right"/>
            </w:pPr>
            <w:r>
              <w:t>22</w:t>
            </w:r>
          </w:p>
        </w:tc>
      </w:tr>
      <w:tr w:rsidR="006C057C" w:rsidRPr="00161925">
        <w:tblPrEx>
          <w:tblCellMar>
            <w:top w:w="0" w:type="dxa"/>
            <w:bottom w:w="0" w:type="dxa"/>
          </w:tblCellMar>
        </w:tblPrEx>
        <w:tc>
          <w:tcPr>
            <w:tcW w:w="9110" w:type="dxa"/>
            <w:gridSpan w:val="3"/>
            <w:shd w:val="clear" w:color="auto" w:fill="auto"/>
          </w:tcPr>
          <w:p w:rsidR="006C057C" w:rsidRPr="00406EC1" w:rsidRDefault="00406EC1" w:rsidP="00481C84">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ind w:left="1080"/>
              <w:rPr>
                <w:spacing w:val="60"/>
                <w:sz w:val="17"/>
              </w:rPr>
            </w:pPr>
            <w:r>
              <w:tab/>
            </w:r>
            <w:r w:rsidRPr="00932D33">
              <w:t xml:space="preserve">Artículo 9: </w:t>
            </w:r>
            <w:r>
              <w:t>N</w:t>
            </w:r>
            <w:r w:rsidRPr="00932D33">
              <w:t>acionalidad y ciudadanía de las mujeres y de sus hijos</w:t>
            </w:r>
            <w:r>
              <w:rPr>
                <w:spacing w:val="60"/>
                <w:sz w:val="17"/>
              </w:rPr>
              <w:tab/>
            </w:r>
          </w:p>
        </w:tc>
        <w:tc>
          <w:tcPr>
            <w:tcW w:w="792" w:type="dxa"/>
            <w:shd w:val="clear" w:color="auto" w:fill="auto"/>
            <w:vAlign w:val="bottom"/>
          </w:tcPr>
          <w:p w:rsidR="006C057C" w:rsidRPr="00161925" w:rsidRDefault="006259BC" w:rsidP="00481C84">
            <w:pPr>
              <w:spacing w:after="120"/>
              <w:jc w:val="right"/>
            </w:pPr>
            <w:r>
              <w:t>23</w:t>
            </w:r>
          </w:p>
        </w:tc>
      </w:tr>
      <w:tr w:rsidR="006C057C" w:rsidRPr="00161925">
        <w:tblPrEx>
          <w:tblCellMar>
            <w:top w:w="0" w:type="dxa"/>
            <w:bottom w:w="0" w:type="dxa"/>
          </w:tblCellMar>
        </w:tblPrEx>
        <w:tc>
          <w:tcPr>
            <w:tcW w:w="9110" w:type="dxa"/>
            <w:gridSpan w:val="3"/>
            <w:shd w:val="clear" w:color="auto" w:fill="auto"/>
          </w:tcPr>
          <w:p w:rsidR="006C057C" w:rsidRPr="00406EC1" w:rsidRDefault="00406EC1" w:rsidP="00481C84">
            <w:pPr>
              <w:tabs>
                <w:tab w:val="right" w:pos="1080"/>
                <w:tab w:val="left" w:pos="1300"/>
                <w:tab w:val="left" w:pos="1740"/>
                <w:tab w:val="right" w:leader="dot" w:pos="9245"/>
              </w:tabs>
              <w:spacing w:after="120"/>
              <w:ind w:left="1300" w:hanging="220"/>
              <w:rPr>
                <w:spacing w:val="60"/>
                <w:sz w:val="17"/>
              </w:rPr>
            </w:pPr>
            <w:r>
              <w:tab/>
            </w:r>
            <w:r w:rsidRPr="00932D33">
              <w:t xml:space="preserve">Artículo 10: </w:t>
            </w:r>
            <w:r w:rsidR="00A5090B">
              <w:t>M</w:t>
            </w:r>
            <w:r w:rsidRPr="00932D33">
              <w:t>edidas adoptadas para asegurar la igualdad de acceso de las mujeres a la educación</w:t>
            </w:r>
            <w:r>
              <w:rPr>
                <w:spacing w:val="60"/>
                <w:sz w:val="17"/>
              </w:rPr>
              <w:tab/>
            </w:r>
          </w:p>
        </w:tc>
        <w:tc>
          <w:tcPr>
            <w:tcW w:w="792" w:type="dxa"/>
            <w:shd w:val="clear" w:color="auto" w:fill="auto"/>
            <w:vAlign w:val="bottom"/>
          </w:tcPr>
          <w:p w:rsidR="006C057C" w:rsidRPr="00161925" w:rsidRDefault="006259BC" w:rsidP="00481C84">
            <w:pPr>
              <w:spacing w:after="120"/>
              <w:jc w:val="right"/>
            </w:pPr>
            <w:r>
              <w:t>24</w:t>
            </w:r>
          </w:p>
        </w:tc>
      </w:tr>
      <w:tr w:rsidR="006C057C" w:rsidRPr="00161925">
        <w:tblPrEx>
          <w:tblCellMar>
            <w:top w:w="0" w:type="dxa"/>
            <w:bottom w:w="0" w:type="dxa"/>
          </w:tblCellMar>
        </w:tblPrEx>
        <w:tc>
          <w:tcPr>
            <w:tcW w:w="9110" w:type="dxa"/>
            <w:gridSpan w:val="3"/>
            <w:shd w:val="clear" w:color="auto" w:fill="auto"/>
          </w:tcPr>
          <w:p w:rsidR="006C057C" w:rsidRPr="00A5090B" w:rsidRDefault="00A5090B" w:rsidP="00481C84">
            <w:pPr>
              <w:tabs>
                <w:tab w:val="right" w:pos="1080"/>
                <w:tab w:val="left" w:pos="1300"/>
                <w:tab w:val="left" w:pos="1740"/>
                <w:tab w:val="left" w:pos="2180"/>
                <w:tab w:val="left" w:pos="2620"/>
                <w:tab w:val="right" w:leader="dot" w:pos="9245"/>
              </w:tabs>
              <w:spacing w:after="120"/>
              <w:ind w:left="1080"/>
              <w:rPr>
                <w:spacing w:val="60"/>
                <w:sz w:val="17"/>
              </w:rPr>
            </w:pPr>
            <w:r>
              <w:tab/>
              <w:t>Artículo 11: Empleo</w:t>
            </w:r>
            <w:r>
              <w:rPr>
                <w:spacing w:val="60"/>
                <w:sz w:val="17"/>
              </w:rPr>
              <w:tab/>
            </w:r>
          </w:p>
        </w:tc>
        <w:tc>
          <w:tcPr>
            <w:tcW w:w="792" w:type="dxa"/>
            <w:shd w:val="clear" w:color="auto" w:fill="auto"/>
            <w:vAlign w:val="bottom"/>
          </w:tcPr>
          <w:p w:rsidR="006C057C" w:rsidRPr="00161925" w:rsidRDefault="006259BC" w:rsidP="00481C84">
            <w:pPr>
              <w:spacing w:after="120"/>
              <w:jc w:val="right"/>
            </w:pPr>
            <w:r>
              <w:t>33</w:t>
            </w:r>
          </w:p>
        </w:tc>
      </w:tr>
      <w:tr w:rsidR="006C057C" w:rsidRPr="00161925">
        <w:tblPrEx>
          <w:tblCellMar>
            <w:top w:w="0" w:type="dxa"/>
            <w:bottom w:w="0" w:type="dxa"/>
          </w:tblCellMar>
        </w:tblPrEx>
        <w:tc>
          <w:tcPr>
            <w:tcW w:w="9110" w:type="dxa"/>
            <w:gridSpan w:val="3"/>
            <w:shd w:val="clear" w:color="auto" w:fill="auto"/>
          </w:tcPr>
          <w:p w:rsidR="006C057C" w:rsidRPr="00A5090B" w:rsidRDefault="00A5090B" w:rsidP="00481C84">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ind w:left="1080"/>
              <w:rPr>
                <w:spacing w:val="60"/>
                <w:sz w:val="17"/>
              </w:rPr>
            </w:pPr>
            <w:r>
              <w:tab/>
              <w:t>Artículo 12: I</w:t>
            </w:r>
            <w:r w:rsidRPr="003E5851">
              <w:t>gualdad en el acceso a la atención de la salud</w:t>
            </w:r>
            <w:r>
              <w:rPr>
                <w:spacing w:val="60"/>
                <w:sz w:val="17"/>
              </w:rPr>
              <w:tab/>
            </w:r>
          </w:p>
        </w:tc>
        <w:tc>
          <w:tcPr>
            <w:tcW w:w="792" w:type="dxa"/>
            <w:shd w:val="clear" w:color="auto" w:fill="auto"/>
            <w:vAlign w:val="bottom"/>
          </w:tcPr>
          <w:p w:rsidR="006C057C" w:rsidRPr="00161925" w:rsidRDefault="006259BC" w:rsidP="00481C84">
            <w:pPr>
              <w:spacing w:after="120"/>
              <w:jc w:val="right"/>
            </w:pPr>
            <w:r>
              <w:t>35</w:t>
            </w:r>
          </w:p>
        </w:tc>
      </w:tr>
      <w:tr w:rsidR="006C057C" w:rsidRPr="00161925">
        <w:tblPrEx>
          <w:tblCellMar>
            <w:top w:w="0" w:type="dxa"/>
            <w:bottom w:w="0" w:type="dxa"/>
          </w:tblCellMar>
        </w:tblPrEx>
        <w:tc>
          <w:tcPr>
            <w:tcW w:w="9110" w:type="dxa"/>
            <w:gridSpan w:val="3"/>
            <w:shd w:val="clear" w:color="auto" w:fill="auto"/>
          </w:tcPr>
          <w:p w:rsidR="006C057C" w:rsidRPr="00A5090B" w:rsidRDefault="00A5090B" w:rsidP="00481C84">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ind w:left="1300" w:hanging="220"/>
              <w:rPr>
                <w:spacing w:val="60"/>
                <w:sz w:val="17"/>
              </w:rPr>
            </w:pPr>
            <w:r>
              <w:tab/>
              <w:t>Artículo 13: Medidas adoptadas para asegurar la participación de las mujeres en la vida económica y social de las Bahamas en condiciones de igualdad</w:t>
            </w:r>
            <w:r>
              <w:rPr>
                <w:spacing w:val="60"/>
                <w:sz w:val="17"/>
              </w:rPr>
              <w:tab/>
            </w:r>
          </w:p>
        </w:tc>
        <w:tc>
          <w:tcPr>
            <w:tcW w:w="792" w:type="dxa"/>
            <w:shd w:val="clear" w:color="auto" w:fill="auto"/>
            <w:vAlign w:val="bottom"/>
          </w:tcPr>
          <w:p w:rsidR="006C057C" w:rsidRPr="00161925" w:rsidRDefault="006259BC" w:rsidP="00481C84">
            <w:pPr>
              <w:spacing w:after="120"/>
              <w:jc w:val="right"/>
            </w:pPr>
            <w:r>
              <w:t>45</w:t>
            </w:r>
          </w:p>
        </w:tc>
      </w:tr>
      <w:tr w:rsidR="006C057C" w:rsidRPr="00161925">
        <w:tblPrEx>
          <w:tblCellMar>
            <w:top w:w="0" w:type="dxa"/>
            <w:bottom w:w="0" w:type="dxa"/>
          </w:tblCellMar>
        </w:tblPrEx>
        <w:tc>
          <w:tcPr>
            <w:tcW w:w="9110" w:type="dxa"/>
            <w:gridSpan w:val="3"/>
            <w:shd w:val="clear" w:color="auto" w:fill="auto"/>
          </w:tcPr>
          <w:p w:rsidR="006C057C" w:rsidRPr="00A5090B" w:rsidRDefault="00A5090B" w:rsidP="00481C84">
            <w:pPr>
              <w:tabs>
                <w:tab w:val="right" w:pos="1080"/>
                <w:tab w:val="left" w:pos="1300"/>
                <w:tab w:val="left" w:pos="1740"/>
                <w:tab w:val="left" w:pos="2180"/>
                <w:tab w:val="left" w:pos="2620"/>
                <w:tab w:val="left" w:pos="3060"/>
                <w:tab w:val="left" w:pos="3500"/>
                <w:tab w:val="right" w:leader="dot" w:pos="9245"/>
              </w:tabs>
              <w:spacing w:after="120"/>
              <w:ind w:left="1080"/>
              <w:rPr>
                <w:spacing w:val="60"/>
                <w:sz w:val="17"/>
              </w:rPr>
            </w:pPr>
            <w:r>
              <w:tab/>
              <w:t>Artículo 14: La mujer rural</w:t>
            </w:r>
            <w:r>
              <w:rPr>
                <w:spacing w:val="60"/>
                <w:sz w:val="17"/>
              </w:rPr>
              <w:tab/>
            </w:r>
          </w:p>
        </w:tc>
        <w:tc>
          <w:tcPr>
            <w:tcW w:w="792" w:type="dxa"/>
            <w:shd w:val="clear" w:color="auto" w:fill="auto"/>
            <w:vAlign w:val="bottom"/>
          </w:tcPr>
          <w:p w:rsidR="006C057C" w:rsidRPr="00161925" w:rsidRDefault="006259BC" w:rsidP="00481C84">
            <w:pPr>
              <w:spacing w:after="120"/>
              <w:jc w:val="right"/>
            </w:pPr>
            <w:r>
              <w:t>46</w:t>
            </w:r>
          </w:p>
        </w:tc>
      </w:tr>
      <w:tr w:rsidR="006C057C" w:rsidRPr="00161925">
        <w:tblPrEx>
          <w:tblCellMar>
            <w:top w:w="0" w:type="dxa"/>
            <w:bottom w:w="0" w:type="dxa"/>
          </w:tblCellMar>
        </w:tblPrEx>
        <w:tc>
          <w:tcPr>
            <w:tcW w:w="9110" w:type="dxa"/>
            <w:gridSpan w:val="3"/>
            <w:shd w:val="clear" w:color="auto" w:fill="auto"/>
          </w:tcPr>
          <w:p w:rsidR="006C057C" w:rsidRPr="00A5090B" w:rsidRDefault="00A5090B" w:rsidP="00481C84">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ind w:left="1080"/>
              <w:rPr>
                <w:spacing w:val="60"/>
                <w:sz w:val="17"/>
              </w:rPr>
            </w:pPr>
            <w:r>
              <w:tab/>
              <w:t>Artículo 15: Igualdad ante la ley e igualdad jurídica civil</w:t>
            </w:r>
            <w:r>
              <w:rPr>
                <w:spacing w:val="60"/>
                <w:sz w:val="17"/>
              </w:rPr>
              <w:tab/>
            </w:r>
          </w:p>
        </w:tc>
        <w:tc>
          <w:tcPr>
            <w:tcW w:w="792" w:type="dxa"/>
            <w:shd w:val="clear" w:color="auto" w:fill="auto"/>
            <w:vAlign w:val="bottom"/>
          </w:tcPr>
          <w:p w:rsidR="006C057C" w:rsidRPr="00161925" w:rsidRDefault="006259BC" w:rsidP="00481C84">
            <w:pPr>
              <w:spacing w:after="120"/>
              <w:jc w:val="right"/>
            </w:pPr>
            <w:r>
              <w:t>47</w:t>
            </w:r>
          </w:p>
        </w:tc>
      </w:tr>
      <w:tr w:rsidR="006C057C" w:rsidRPr="00161925">
        <w:tblPrEx>
          <w:tblCellMar>
            <w:top w:w="0" w:type="dxa"/>
            <w:bottom w:w="0" w:type="dxa"/>
          </w:tblCellMar>
        </w:tblPrEx>
        <w:tc>
          <w:tcPr>
            <w:tcW w:w="9110" w:type="dxa"/>
            <w:gridSpan w:val="3"/>
            <w:shd w:val="clear" w:color="auto" w:fill="auto"/>
          </w:tcPr>
          <w:p w:rsidR="006C057C" w:rsidRPr="00A5090B" w:rsidRDefault="00A5090B" w:rsidP="00481C84">
            <w:pPr>
              <w:tabs>
                <w:tab w:val="right" w:pos="1080"/>
                <w:tab w:val="left" w:pos="1300"/>
                <w:tab w:val="left" w:pos="1740"/>
                <w:tab w:val="left" w:pos="2180"/>
                <w:tab w:val="left" w:pos="2620"/>
                <w:tab w:val="right" w:leader="dot" w:pos="9245"/>
              </w:tabs>
              <w:spacing w:after="120"/>
              <w:ind w:left="1300" w:hanging="220"/>
              <w:rPr>
                <w:spacing w:val="60"/>
                <w:sz w:val="17"/>
              </w:rPr>
            </w:pPr>
            <w:r>
              <w:tab/>
            </w:r>
            <w:r w:rsidRPr="003217C2">
              <w:t>Artículo 16: Medidas adoptadas para asegurar la igualdad de la mujer en el matrimonio y en la vida familiar</w:t>
            </w:r>
            <w:r>
              <w:rPr>
                <w:spacing w:val="60"/>
                <w:sz w:val="17"/>
              </w:rPr>
              <w:tab/>
            </w:r>
          </w:p>
        </w:tc>
        <w:tc>
          <w:tcPr>
            <w:tcW w:w="792" w:type="dxa"/>
            <w:shd w:val="clear" w:color="auto" w:fill="auto"/>
            <w:vAlign w:val="bottom"/>
          </w:tcPr>
          <w:p w:rsidR="006C057C" w:rsidRPr="00161925" w:rsidRDefault="006259BC" w:rsidP="00481C84">
            <w:pPr>
              <w:spacing w:after="120"/>
              <w:jc w:val="right"/>
            </w:pPr>
            <w:r>
              <w:t>50</w:t>
            </w:r>
          </w:p>
        </w:tc>
      </w:tr>
    </w:tbl>
    <w:p w:rsidR="001C4E6E" w:rsidRPr="00161925" w:rsidRDefault="001C4E6E" w:rsidP="0016192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821" w:hanging="1267"/>
      </w:pPr>
      <w:r w:rsidRPr="00161925">
        <w:br w:type="page"/>
      </w:r>
      <w:r w:rsidR="00161925">
        <w:tab/>
      </w:r>
      <w:r w:rsidR="00161925">
        <w:tab/>
      </w:r>
      <w:r w:rsidR="0047033B" w:rsidRPr="00161925">
        <w:t>P</w:t>
      </w:r>
      <w:r w:rsidRPr="00161925">
        <w:t>arte</w:t>
      </w:r>
      <w:r w:rsidR="0047033B" w:rsidRPr="00161925">
        <w:t xml:space="preserve"> I</w:t>
      </w:r>
      <w:r w:rsidR="00161925">
        <w:br/>
      </w:r>
      <w:r w:rsidRPr="00161925">
        <w:t>Información general sobre el Commonwealth de las Bahamas</w:t>
      </w:r>
    </w:p>
    <w:p w:rsidR="0047033B" w:rsidRPr="00161925" w:rsidRDefault="0047033B" w:rsidP="0047033B">
      <w:pPr>
        <w:pStyle w:val="SingleTxt"/>
        <w:suppressAutoHyphens/>
        <w:spacing w:after="0" w:line="120" w:lineRule="exact"/>
        <w:rPr>
          <w:sz w:val="10"/>
        </w:rPr>
      </w:pPr>
    </w:p>
    <w:p w:rsidR="0047033B" w:rsidRPr="00161925" w:rsidRDefault="0047033B" w:rsidP="0047033B">
      <w:pPr>
        <w:pStyle w:val="SingleTxt"/>
        <w:suppressAutoHyphens/>
        <w:spacing w:after="0" w:line="120" w:lineRule="exact"/>
        <w:rPr>
          <w:sz w:val="10"/>
        </w:rPr>
      </w:pPr>
    </w:p>
    <w:p w:rsidR="001C4E6E" w:rsidRPr="00161925" w:rsidRDefault="0047033B" w:rsidP="0047033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1925">
        <w:tab/>
        <w:t>I.</w:t>
      </w:r>
      <w:r w:rsidRPr="00161925">
        <w:tab/>
      </w:r>
      <w:r w:rsidR="001C4E6E" w:rsidRPr="00161925">
        <w:t>Introducción</w:t>
      </w:r>
    </w:p>
    <w:p w:rsidR="0047033B" w:rsidRPr="00161925" w:rsidRDefault="0047033B" w:rsidP="0047033B">
      <w:pPr>
        <w:pStyle w:val="SingleTxt"/>
        <w:suppressAutoHyphens/>
        <w:spacing w:after="0" w:line="120" w:lineRule="exact"/>
        <w:rPr>
          <w:sz w:val="10"/>
        </w:rPr>
      </w:pPr>
    </w:p>
    <w:p w:rsidR="0047033B" w:rsidRPr="00161925" w:rsidRDefault="0047033B" w:rsidP="0047033B">
      <w:pPr>
        <w:pStyle w:val="SingleTxt"/>
        <w:suppressAutoHyphens/>
        <w:spacing w:after="0" w:line="120" w:lineRule="exact"/>
        <w:rPr>
          <w:sz w:val="10"/>
        </w:rPr>
      </w:pPr>
    </w:p>
    <w:p w:rsidR="001C4E6E" w:rsidRPr="00161925" w:rsidRDefault="001C4E6E" w:rsidP="001C4E6E">
      <w:pPr>
        <w:pStyle w:val="SingleTxt"/>
        <w:numPr>
          <w:ilvl w:val="0"/>
          <w:numId w:val="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161925">
        <w:t>El Gobierno del Commonwealth de las Bahamas defiende y promueve los derechos humanos fundamentales de todas las personas en el país como un componente integral de su democracia.</w:t>
      </w:r>
    </w:p>
    <w:p w:rsidR="001C4E6E" w:rsidRPr="00161925" w:rsidRDefault="001C4E6E" w:rsidP="001C4E6E">
      <w:pPr>
        <w:pStyle w:val="SingleTxt"/>
        <w:numPr>
          <w:ilvl w:val="0"/>
          <w:numId w:val="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161925">
        <w:t xml:space="preserve">El Gobierno del Commonwealth de las Bahamas se ha esforzado por que las leyes nacionales y las políticas gubernamentales se atengan a los principios consagrados en los instrumentos internacionales de derechos humanos. La observancia de estos instrumentos ha sido decisiva para todos los aspectos del desarrollo político, </w:t>
      </w:r>
      <w:r w:rsidR="006E4312" w:rsidRPr="00161925">
        <w:t>judicial</w:t>
      </w:r>
      <w:r w:rsidRPr="00161925">
        <w:t>, económico y social de las Bahamas, pasando a ser parte integrante del panorama sociopolítico nacional.</w:t>
      </w:r>
    </w:p>
    <w:p w:rsidR="002D06CA" w:rsidRPr="00161925" w:rsidRDefault="002D06CA" w:rsidP="002D06CA">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rPr>
      </w:pPr>
    </w:p>
    <w:p w:rsidR="002D06CA" w:rsidRPr="00161925" w:rsidRDefault="002D06CA" w:rsidP="002D06CA">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rPr>
      </w:pPr>
    </w:p>
    <w:p w:rsidR="001C4E6E" w:rsidRPr="00161925" w:rsidRDefault="002D06CA" w:rsidP="002D06C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1925">
        <w:tab/>
        <w:t>II.</w:t>
      </w:r>
      <w:r w:rsidRPr="00161925">
        <w:tab/>
      </w:r>
      <w:r w:rsidR="001C4E6E" w:rsidRPr="00161925">
        <w:t>Geografía</w:t>
      </w:r>
    </w:p>
    <w:p w:rsidR="002D06CA" w:rsidRPr="00161925" w:rsidRDefault="002D06CA" w:rsidP="002D06CA">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rPr>
      </w:pPr>
    </w:p>
    <w:p w:rsidR="002D06CA" w:rsidRPr="00161925" w:rsidRDefault="002D06CA" w:rsidP="002D06CA">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rPr>
      </w:pPr>
    </w:p>
    <w:p w:rsidR="001C4E6E" w:rsidRPr="00161925" w:rsidRDefault="001C4E6E" w:rsidP="001C4E6E">
      <w:pPr>
        <w:pStyle w:val="SingleTxt"/>
        <w:numPr>
          <w:ilvl w:val="0"/>
          <w:numId w:val="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161925">
        <w:t>Las Bahamas (superficie: 5.358 millas cuadradas o 13.878 kilómetros cuadrados) son las islas más septentrionales del Caribe, ubicadas entre 20° y 27° de latitud norte y entre 72° y 79° de longitud oeste. En términos topográficos, las islas del Commonwealth de las Bahamas son mayormente llanas y consisten en formaciones de coral. Sin embargo, las islas orientales, que se internan más en el océano Atlántico, se caracterizan por su terreno ondulado. El punto más alto es el monte Alvernia, ubicado en la isla Cat, que se eleva 206 pies sobre el nivel del mar.</w:t>
      </w:r>
    </w:p>
    <w:p w:rsidR="002D06CA" w:rsidRPr="00161925" w:rsidRDefault="002D06CA" w:rsidP="002D06CA">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rPr>
      </w:pPr>
    </w:p>
    <w:p w:rsidR="002D06CA" w:rsidRPr="00161925" w:rsidRDefault="002D06CA" w:rsidP="002D06CA">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rPr>
      </w:pPr>
    </w:p>
    <w:p w:rsidR="001C4E6E" w:rsidRPr="00161925" w:rsidRDefault="002D06CA" w:rsidP="002D06C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1925">
        <w:tab/>
        <w:t>III.</w:t>
      </w:r>
      <w:r w:rsidRPr="00161925">
        <w:tab/>
      </w:r>
      <w:r w:rsidR="001C4E6E" w:rsidRPr="00161925">
        <w:t>Historia</w:t>
      </w:r>
    </w:p>
    <w:p w:rsidR="002D06CA" w:rsidRPr="00161925" w:rsidRDefault="002D06CA" w:rsidP="002D06CA">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rPr>
      </w:pPr>
    </w:p>
    <w:p w:rsidR="002D06CA" w:rsidRPr="00161925" w:rsidRDefault="002D06CA" w:rsidP="002D06CA">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rPr>
      </w:pPr>
    </w:p>
    <w:p w:rsidR="001C4E6E" w:rsidRPr="00161925" w:rsidRDefault="001C4E6E" w:rsidP="001C4E6E">
      <w:pPr>
        <w:pStyle w:val="SingleTxt"/>
        <w:numPr>
          <w:ilvl w:val="0"/>
          <w:numId w:val="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161925">
        <w:t>Los lucayos son considerados los primeros habitantes de las Bahamas, dado que fueron el pueblo que encontró Cristóbal Colón cuando llegó al archipiélago en 1492, divisando tierra por primera vez en el Nuevo Mundo.</w:t>
      </w:r>
    </w:p>
    <w:p w:rsidR="002D06CA" w:rsidRPr="00161925" w:rsidRDefault="002D06CA" w:rsidP="002D06CA">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rPr>
      </w:pPr>
    </w:p>
    <w:p w:rsidR="002D06CA" w:rsidRPr="00161925" w:rsidRDefault="002D06CA" w:rsidP="002D06CA">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rPr>
      </w:pPr>
    </w:p>
    <w:p w:rsidR="001C4E6E" w:rsidRPr="00161925" w:rsidRDefault="002D06CA" w:rsidP="002D06C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1925">
        <w:tab/>
        <w:t>IV.</w:t>
      </w:r>
      <w:r w:rsidRPr="00161925">
        <w:tab/>
      </w:r>
      <w:r w:rsidR="001C4E6E" w:rsidRPr="00161925">
        <w:t>Población</w:t>
      </w:r>
    </w:p>
    <w:p w:rsidR="002D06CA" w:rsidRPr="00161925" w:rsidRDefault="002D06CA" w:rsidP="002D06CA">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rPr>
      </w:pPr>
    </w:p>
    <w:p w:rsidR="002D06CA" w:rsidRPr="00161925" w:rsidRDefault="002D06CA" w:rsidP="002D06CA">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rPr>
      </w:pPr>
    </w:p>
    <w:p w:rsidR="001C4E6E" w:rsidRPr="00161925" w:rsidRDefault="001C4E6E" w:rsidP="001C4E6E">
      <w:pPr>
        <w:pStyle w:val="SingleTxt"/>
        <w:numPr>
          <w:ilvl w:val="0"/>
          <w:numId w:val="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161925">
        <w:t>El cómputo preliminar de la población del Commonwealth de las Bahamas era de 353.658 habitantes según el último censo realizado en 2010: 170.926 varones y 182.732 mujeres. Se espera que para 2030 el número de habitantes del país alcance las 426.300 personas, lo que representa un aumento del 20,5% con respecto al censo de 2010.</w:t>
      </w:r>
    </w:p>
    <w:p w:rsidR="001C4E6E" w:rsidRPr="00161925" w:rsidRDefault="001C4E6E" w:rsidP="001C4E6E">
      <w:pPr>
        <w:pStyle w:val="SingleTxt"/>
        <w:numPr>
          <w:ilvl w:val="0"/>
          <w:numId w:val="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161925">
        <w:t>La población del Commonwealth de las Bahamas todavía era relativamente joven en 2010, ya que aproximadamente la cuarta parte (25%) tenía menos de 15 años de edad, lo que representaba una notable disminución con respecto al 29,3% calculado en 2000. La proporción de personas de 65 años de edad o más en la población aumentó del 5,2% en 2000 al 6,1% en 2010.</w:t>
      </w:r>
    </w:p>
    <w:p w:rsidR="001C4E6E" w:rsidRPr="00161925" w:rsidRDefault="001C4E6E" w:rsidP="001C4E6E">
      <w:pPr>
        <w:pStyle w:val="SingleTxt"/>
        <w:numPr>
          <w:ilvl w:val="0"/>
          <w:numId w:val="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161925">
        <w:t>En el cuadro 1 del presente informe (</w:t>
      </w:r>
      <w:r w:rsidR="002D06CA" w:rsidRPr="00161925">
        <w:t>d</w:t>
      </w:r>
      <w:r w:rsidRPr="00161925">
        <w:t>istribución porcentual de la población por isla</w:t>
      </w:r>
      <w:r w:rsidR="002D06CA" w:rsidRPr="00161925">
        <w:t>, c</w:t>
      </w:r>
      <w:r w:rsidRPr="00161925">
        <w:t xml:space="preserve">ensos de 2000 y de 2010) se muestra el crecimiento demográfico de las Bahamas sobre la base del censo realizado en 2010. Doce islas registraron un incremento y siete un descenso de la población durante el período comprendido entre los años censales de 2000 y 2010. Los patrones demográficos de las Bahamas son concentrados, es decir, la población está diseminada amplia e irregularmente por todo el archipiélago. Como se </w:t>
      </w:r>
      <w:r w:rsidR="006E4312" w:rsidRPr="00161925">
        <w:t>muest</w:t>
      </w:r>
      <w:r w:rsidR="006E4312">
        <w:t>r</w:t>
      </w:r>
      <w:r w:rsidR="006E4312" w:rsidRPr="00161925">
        <w:t>a</w:t>
      </w:r>
      <w:r w:rsidRPr="00161925">
        <w:t xml:space="preserve"> claramente en el cuadro 2 del informe, la población de las Bahamas está repartida fundamentalmente entre New Providence (70,39%) y Gran</w:t>
      </w:r>
      <w:r w:rsidR="00F60C28">
        <w:t>d</w:t>
      </w:r>
      <w:r w:rsidRPr="00161925">
        <w:t xml:space="preserve"> Bahama (14,63%). Las islas de las Bahamas no son contiguas, por lo que la irregularidad de la distribución parece mayor ya que la gente está diseminada en gran número de islas y cayos.</w:t>
      </w:r>
    </w:p>
    <w:p w:rsidR="002D06CA" w:rsidRPr="00161925" w:rsidRDefault="002D06CA" w:rsidP="002D06CA">
      <w:pPr>
        <w:pStyle w:val="SingleTxt"/>
        <w:suppressAutoHyphens/>
        <w:spacing w:after="0" w:line="120" w:lineRule="exact"/>
        <w:rPr>
          <w:sz w:val="10"/>
        </w:rPr>
      </w:pPr>
    </w:p>
    <w:p w:rsidR="001C4E6E" w:rsidRPr="00161925" w:rsidRDefault="002D06CA" w:rsidP="000A2C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820" w:hanging="1267"/>
      </w:pPr>
      <w:r w:rsidRPr="00161925">
        <w:tab/>
      </w:r>
      <w:r w:rsidRPr="00161925">
        <w:tab/>
      </w:r>
      <w:r w:rsidRPr="00161925">
        <w:rPr>
          <w:b w:val="0"/>
        </w:rPr>
        <w:t>Cuadro 1</w:t>
      </w:r>
      <w:r w:rsidRPr="00161925">
        <w:rPr>
          <w:b w:val="0"/>
        </w:rPr>
        <w:br/>
      </w:r>
      <w:r w:rsidR="001C4E6E" w:rsidRPr="00161925">
        <w:t>Distribución porcentual de la población por isla</w:t>
      </w:r>
      <w:r w:rsidRPr="00161925">
        <w:t>, c</w:t>
      </w:r>
      <w:r w:rsidR="001C4E6E" w:rsidRPr="00161925">
        <w:t>ensos de 2000 y de 2010</w:t>
      </w:r>
    </w:p>
    <w:p w:rsidR="000A2C8E" w:rsidRPr="00161925" w:rsidRDefault="000A2C8E" w:rsidP="000A2C8E">
      <w:pPr>
        <w:pStyle w:val="SingleTxt"/>
        <w:suppressAutoHyphens/>
        <w:spacing w:after="0" w:line="120" w:lineRule="exact"/>
        <w:rPr>
          <w:sz w:val="10"/>
        </w:rPr>
      </w:pPr>
    </w:p>
    <w:p w:rsidR="002D06CA" w:rsidRPr="00161925" w:rsidRDefault="002D06CA" w:rsidP="002D06CA">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096"/>
        <w:gridCol w:w="945"/>
        <w:gridCol w:w="1143"/>
        <w:gridCol w:w="99"/>
        <w:gridCol w:w="918"/>
        <w:gridCol w:w="1119"/>
      </w:tblGrid>
      <w:tr w:rsidR="00355FB7" w:rsidRPr="00355FB7">
        <w:tblPrEx>
          <w:tblCellMar>
            <w:top w:w="0" w:type="dxa"/>
            <w:bottom w:w="0" w:type="dxa"/>
          </w:tblCellMar>
        </w:tblPrEx>
        <w:trPr>
          <w:tblHeader/>
        </w:trPr>
        <w:tc>
          <w:tcPr>
            <w:tcW w:w="3096" w:type="dxa"/>
            <w:vMerge w:val="restart"/>
            <w:tcBorders>
              <w:top w:val="single" w:sz="4" w:space="0" w:color="auto"/>
            </w:tcBorders>
            <w:shd w:val="clear" w:color="auto" w:fill="auto"/>
            <w:vAlign w:val="bottom"/>
          </w:tcPr>
          <w:p w:rsidR="00355FB7" w:rsidRPr="00355FB7" w:rsidRDefault="00355FB7" w:rsidP="00355FB7">
            <w:pPr>
              <w:tabs>
                <w:tab w:val="left" w:pos="288"/>
                <w:tab w:val="left" w:pos="576"/>
                <w:tab w:val="left" w:pos="864"/>
                <w:tab w:val="left" w:pos="1152"/>
              </w:tabs>
              <w:spacing w:before="80" w:after="80" w:line="160" w:lineRule="exact"/>
              <w:ind w:right="43"/>
              <w:rPr>
                <w:i/>
                <w:sz w:val="14"/>
              </w:rPr>
            </w:pPr>
            <w:r w:rsidRPr="00355FB7">
              <w:rPr>
                <w:i/>
                <w:sz w:val="14"/>
              </w:rPr>
              <w:t>Isla</w:t>
            </w:r>
          </w:p>
        </w:tc>
        <w:tc>
          <w:tcPr>
            <w:tcW w:w="2088" w:type="dxa"/>
            <w:gridSpan w:val="2"/>
            <w:tcBorders>
              <w:top w:val="single" w:sz="4" w:space="0" w:color="auto"/>
              <w:bottom w:val="single" w:sz="4" w:space="0" w:color="auto"/>
            </w:tcBorders>
            <w:shd w:val="clear" w:color="auto" w:fill="auto"/>
            <w:vAlign w:val="bottom"/>
          </w:tcPr>
          <w:p w:rsidR="00355FB7" w:rsidRPr="00355FB7" w:rsidRDefault="00355FB7" w:rsidP="00355FB7">
            <w:pPr>
              <w:tabs>
                <w:tab w:val="left" w:pos="288"/>
                <w:tab w:val="left" w:pos="576"/>
                <w:tab w:val="left" w:pos="864"/>
                <w:tab w:val="left" w:pos="1152"/>
              </w:tabs>
              <w:spacing w:before="80" w:after="80" w:line="160" w:lineRule="exact"/>
              <w:ind w:right="43"/>
              <w:jc w:val="center"/>
              <w:rPr>
                <w:i/>
                <w:sz w:val="14"/>
              </w:rPr>
            </w:pPr>
            <w:r w:rsidRPr="00355FB7">
              <w:rPr>
                <w:i/>
                <w:sz w:val="14"/>
              </w:rPr>
              <w:t>2000</w:t>
            </w:r>
          </w:p>
        </w:tc>
        <w:tc>
          <w:tcPr>
            <w:tcW w:w="99" w:type="dxa"/>
            <w:tcBorders>
              <w:top w:val="single" w:sz="4" w:space="0" w:color="auto"/>
            </w:tcBorders>
            <w:shd w:val="clear" w:color="auto" w:fill="auto"/>
            <w:vAlign w:val="bottom"/>
          </w:tcPr>
          <w:p w:rsidR="00355FB7" w:rsidRPr="00355FB7" w:rsidRDefault="00355FB7" w:rsidP="00355FB7">
            <w:pPr>
              <w:tabs>
                <w:tab w:val="left" w:pos="288"/>
                <w:tab w:val="left" w:pos="576"/>
                <w:tab w:val="left" w:pos="864"/>
                <w:tab w:val="left" w:pos="1152"/>
              </w:tabs>
              <w:spacing w:before="80" w:after="80" w:line="160" w:lineRule="exact"/>
              <w:ind w:right="43"/>
              <w:jc w:val="right"/>
              <w:rPr>
                <w:i/>
                <w:sz w:val="14"/>
              </w:rPr>
            </w:pPr>
          </w:p>
        </w:tc>
        <w:tc>
          <w:tcPr>
            <w:tcW w:w="2037" w:type="dxa"/>
            <w:gridSpan w:val="2"/>
            <w:tcBorders>
              <w:top w:val="single" w:sz="4" w:space="0" w:color="auto"/>
              <w:bottom w:val="single" w:sz="4" w:space="0" w:color="auto"/>
            </w:tcBorders>
            <w:shd w:val="clear" w:color="auto" w:fill="auto"/>
            <w:vAlign w:val="bottom"/>
          </w:tcPr>
          <w:p w:rsidR="00355FB7" w:rsidRPr="00355FB7" w:rsidRDefault="00355FB7" w:rsidP="00355FB7">
            <w:pPr>
              <w:tabs>
                <w:tab w:val="left" w:pos="288"/>
                <w:tab w:val="left" w:pos="576"/>
                <w:tab w:val="left" w:pos="864"/>
                <w:tab w:val="left" w:pos="1152"/>
              </w:tabs>
              <w:spacing w:before="80" w:after="80" w:line="160" w:lineRule="exact"/>
              <w:ind w:right="43"/>
              <w:jc w:val="center"/>
              <w:rPr>
                <w:i/>
                <w:sz w:val="14"/>
              </w:rPr>
            </w:pPr>
            <w:r w:rsidRPr="00355FB7">
              <w:rPr>
                <w:i/>
                <w:sz w:val="14"/>
              </w:rPr>
              <w:t>2010</w:t>
            </w:r>
          </w:p>
        </w:tc>
      </w:tr>
      <w:tr w:rsidR="00355FB7" w:rsidRPr="00355FB7">
        <w:tblPrEx>
          <w:tblCellMar>
            <w:top w:w="0" w:type="dxa"/>
            <w:bottom w:w="0" w:type="dxa"/>
          </w:tblCellMar>
        </w:tblPrEx>
        <w:trPr>
          <w:tblHeader/>
        </w:trPr>
        <w:tc>
          <w:tcPr>
            <w:tcW w:w="3096" w:type="dxa"/>
            <w:vMerge/>
            <w:tcBorders>
              <w:bottom w:val="single" w:sz="12" w:space="0" w:color="auto"/>
            </w:tcBorders>
            <w:shd w:val="clear" w:color="auto" w:fill="auto"/>
            <w:vAlign w:val="bottom"/>
          </w:tcPr>
          <w:p w:rsidR="00355FB7" w:rsidRPr="00355FB7" w:rsidRDefault="00355FB7" w:rsidP="00355FB7">
            <w:pPr>
              <w:tabs>
                <w:tab w:val="left" w:pos="288"/>
                <w:tab w:val="left" w:pos="576"/>
                <w:tab w:val="left" w:pos="864"/>
                <w:tab w:val="left" w:pos="1152"/>
              </w:tabs>
              <w:spacing w:before="80" w:after="80" w:line="160" w:lineRule="exact"/>
              <w:ind w:right="43"/>
              <w:rPr>
                <w:i/>
                <w:sz w:val="14"/>
              </w:rPr>
            </w:pPr>
          </w:p>
        </w:tc>
        <w:tc>
          <w:tcPr>
            <w:tcW w:w="945" w:type="dxa"/>
            <w:tcBorders>
              <w:top w:val="single" w:sz="4" w:space="0" w:color="auto"/>
              <w:bottom w:val="single" w:sz="12" w:space="0" w:color="auto"/>
            </w:tcBorders>
            <w:shd w:val="clear" w:color="auto" w:fill="auto"/>
            <w:vAlign w:val="bottom"/>
          </w:tcPr>
          <w:p w:rsidR="00355FB7" w:rsidRPr="00355FB7" w:rsidRDefault="00355FB7" w:rsidP="00355FB7">
            <w:pPr>
              <w:tabs>
                <w:tab w:val="left" w:pos="288"/>
                <w:tab w:val="left" w:pos="576"/>
                <w:tab w:val="left" w:pos="864"/>
                <w:tab w:val="left" w:pos="1152"/>
              </w:tabs>
              <w:spacing w:before="80" w:after="80" w:line="160" w:lineRule="exact"/>
              <w:ind w:right="43"/>
              <w:jc w:val="right"/>
              <w:rPr>
                <w:i/>
                <w:sz w:val="14"/>
              </w:rPr>
            </w:pPr>
            <w:r w:rsidRPr="00355FB7">
              <w:rPr>
                <w:i/>
                <w:sz w:val="14"/>
              </w:rPr>
              <w:t>Población</w:t>
            </w:r>
          </w:p>
        </w:tc>
        <w:tc>
          <w:tcPr>
            <w:tcW w:w="1143" w:type="dxa"/>
            <w:tcBorders>
              <w:top w:val="single" w:sz="4" w:space="0" w:color="auto"/>
              <w:bottom w:val="single" w:sz="12" w:space="0" w:color="auto"/>
            </w:tcBorders>
            <w:shd w:val="clear" w:color="auto" w:fill="auto"/>
            <w:vAlign w:val="bottom"/>
          </w:tcPr>
          <w:p w:rsidR="00355FB7" w:rsidRPr="00355FB7" w:rsidRDefault="00355FB7" w:rsidP="00355FB7">
            <w:pPr>
              <w:tabs>
                <w:tab w:val="left" w:pos="288"/>
                <w:tab w:val="left" w:pos="576"/>
                <w:tab w:val="left" w:pos="864"/>
                <w:tab w:val="left" w:pos="1152"/>
              </w:tabs>
              <w:spacing w:before="80" w:after="80" w:line="160" w:lineRule="exact"/>
              <w:ind w:right="43"/>
              <w:jc w:val="right"/>
              <w:rPr>
                <w:i/>
                <w:sz w:val="14"/>
              </w:rPr>
            </w:pPr>
            <w:r w:rsidRPr="00355FB7">
              <w:rPr>
                <w:i/>
                <w:sz w:val="14"/>
              </w:rPr>
              <w:t>Porcentaje</w:t>
            </w:r>
          </w:p>
        </w:tc>
        <w:tc>
          <w:tcPr>
            <w:tcW w:w="1017" w:type="dxa"/>
            <w:gridSpan w:val="2"/>
            <w:tcBorders>
              <w:bottom w:val="single" w:sz="12" w:space="0" w:color="auto"/>
            </w:tcBorders>
            <w:shd w:val="clear" w:color="auto" w:fill="auto"/>
            <w:vAlign w:val="bottom"/>
          </w:tcPr>
          <w:p w:rsidR="00355FB7" w:rsidRPr="00355FB7" w:rsidRDefault="00355FB7" w:rsidP="00355FB7">
            <w:pPr>
              <w:tabs>
                <w:tab w:val="left" w:pos="288"/>
                <w:tab w:val="left" w:pos="576"/>
                <w:tab w:val="left" w:pos="864"/>
                <w:tab w:val="left" w:pos="1152"/>
              </w:tabs>
              <w:spacing w:before="80" w:after="80" w:line="160" w:lineRule="exact"/>
              <w:ind w:right="43"/>
              <w:jc w:val="right"/>
              <w:rPr>
                <w:i/>
                <w:sz w:val="14"/>
              </w:rPr>
            </w:pPr>
            <w:r w:rsidRPr="00355FB7">
              <w:rPr>
                <w:i/>
                <w:sz w:val="14"/>
              </w:rPr>
              <w:t>Población</w:t>
            </w:r>
          </w:p>
        </w:tc>
        <w:tc>
          <w:tcPr>
            <w:tcW w:w="1119" w:type="dxa"/>
            <w:tcBorders>
              <w:bottom w:val="single" w:sz="12" w:space="0" w:color="auto"/>
            </w:tcBorders>
            <w:shd w:val="clear" w:color="auto" w:fill="auto"/>
            <w:vAlign w:val="bottom"/>
          </w:tcPr>
          <w:p w:rsidR="00355FB7" w:rsidRPr="00355FB7" w:rsidRDefault="00355FB7" w:rsidP="00355FB7">
            <w:pPr>
              <w:tabs>
                <w:tab w:val="left" w:pos="288"/>
                <w:tab w:val="left" w:pos="576"/>
                <w:tab w:val="left" w:pos="864"/>
                <w:tab w:val="left" w:pos="1152"/>
              </w:tabs>
              <w:spacing w:before="80" w:after="80" w:line="160" w:lineRule="exact"/>
              <w:ind w:right="43"/>
              <w:jc w:val="right"/>
              <w:rPr>
                <w:i/>
                <w:sz w:val="14"/>
              </w:rPr>
            </w:pPr>
            <w:r w:rsidRPr="00355FB7">
              <w:rPr>
                <w:i/>
                <w:sz w:val="14"/>
              </w:rPr>
              <w:t>Distribución porcentual</w:t>
            </w:r>
          </w:p>
        </w:tc>
      </w:tr>
      <w:tr w:rsidR="00A32491" w:rsidRPr="00355FB7">
        <w:tblPrEx>
          <w:tblCellMar>
            <w:top w:w="0" w:type="dxa"/>
            <w:bottom w:w="0" w:type="dxa"/>
          </w:tblCellMar>
        </w:tblPrEx>
        <w:trPr>
          <w:trHeight w:hRule="exact" w:val="115"/>
          <w:tblHeader/>
        </w:trPr>
        <w:tc>
          <w:tcPr>
            <w:tcW w:w="3096" w:type="dxa"/>
            <w:tcBorders>
              <w:top w:val="single" w:sz="12" w:space="0" w:color="auto"/>
            </w:tcBorders>
            <w:shd w:val="clear" w:color="auto" w:fill="auto"/>
            <w:vAlign w:val="bottom"/>
          </w:tcPr>
          <w:p w:rsidR="00A32491" w:rsidRPr="00355FB7" w:rsidRDefault="00A32491" w:rsidP="00A32491">
            <w:pPr>
              <w:tabs>
                <w:tab w:val="left" w:pos="288"/>
                <w:tab w:val="left" w:pos="576"/>
                <w:tab w:val="left" w:pos="864"/>
                <w:tab w:val="left" w:pos="1152"/>
              </w:tabs>
              <w:spacing w:before="40" w:after="40" w:line="210" w:lineRule="exact"/>
              <w:ind w:right="40"/>
              <w:rPr>
                <w:sz w:val="17"/>
              </w:rPr>
            </w:pPr>
          </w:p>
        </w:tc>
        <w:tc>
          <w:tcPr>
            <w:tcW w:w="945" w:type="dxa"/>
            <w:tcBorders>
              <w:top w:val="single" w:sz="12" w:space="0" w:color="auto"/>
            </w:tcBorders>
            <w:shd w:val="clear" w:color="auto" w:fill="auto"/>
            <w:vAlign w:val="bottom"/>
          </w:tcPr>
          <w:p w:rsidR="00A32491" w:rsidRPr="00355FB7" w:rsidRDefault="00A32491" w:rsidP="00A32491">
            <w:pPr>
              <w:tabs>
                <w:tab w:val="left" w:pos="288"/>
                <w:tab w:val="left" w:pos="576"/>
                <w:tab w:val="left" w:pos="864"/>
                <w:tab w:val="left" w:pos="1152"/>
              </w:tabs>
              <w:spacing w:before="40" w:after="40" w:line="210" w:lineRule="exact"/>
              <w:ind w:right="40"/>
              <w:jc w:val="right"/>
              <w:rPr>
                <w:sz w:val="17"/>
              </w:rPr>
            </w:pPr>
          </w:p>
        </w:tc>
        <w:tc>
          <w:tcPr>
            <w:tcW w:w="1143" w:type="dxa"/>
            <w:tcBorders>
              <w:top w:val="single" w:sz="12" w:space="0" w:color="auto"/>
            </w:tcBorders>
            <w:shd w:val="clear" w:color="auto" w:fill="auto"/>
            <w:vAlign w:val="bottom"/>
          </w:tcPr>
          <w:p w:rsidR="00A32491" w:rsidRPr="00355FB7" w:rsidRDefault="00A32491" w:rsidP="00A32491">
            <w:pPr>
              <w:tabs>
                <w:tab w:val="left" w:pos="288"/>
                <w:tab w:val="left" w:pos="576"/>
                <w:tab w:val="left" w:pos="864"/>
                <w:tab w:val="left" w:pos="1152"/>
              </w:tabs>
              <w:spacing w:before="40" w:after="40" w:line="210" w:lineRule="exact"/>
              <w:ind w:right="40"/>
              <w:jc w:val="right"/>
              <w:rPr>
                <w:sz w:val="17"/>
              </w:rPr>
            </w:pPr>
          </w:p>
        </w:tc>
        <w:tc>
          <w:tcPr>
            <w:tcW w:w="1017" w:type="dxa"/>
            <w:gridSpan w:val="2"/>
            <w:tcBorders>
              <w:top w:val="single" w:sz="12" w:space="0" w:color="auto"/>
            </w:tcBorders>
            <w:shd w:val="clear" w:color="auto" w:fill="auto"/>
            <w:vAlign w:val="bottom"/>
          </w:tcPr>
          <w:p w:rsidR="00A32491" w:rsidRPr="00355FB7" w:rsidRDefault="00A32491" w:rsidP="00A32491">
            <w:pPr>
              <w:tabs>
                <w:tab w:val="left" w:pos="288"/>
                <w:tab w:val="left" w:pos="576"/>
                <w:tab w:val="left" w:pos="864"/>
                <w:tab w:val="left" w:pos="1152"/>
              </w:tabs>
              <w:spacing w:before="40" w:after="40" w:line="210" w:lineRule="exact"/>
              <w:ind w:right="40"/>
              <w:jc w:val="right"/>
              <w:rPr>
                <w:sz w:val="17"/>
              </w:rPr>
            </w:pPr>
          </w:p>
        </w:tc>
        <w:tc>
          <w:tcPr>
            <w:tcW w:w="1119" w:type="dxa"/>
            <w:tcBorders>
              <w:top w:val="single" w:sz="12" w:space="0" w:color="auto"/>
            </w:tcBorders>
            <w:shd w:val="clear" w:color="auto" w:fill="auto"/>
            <w:vAlign w:val="bottom"/>
          </w:tcPr>
          <w:p w:rsidR="00A32491" w:rsidRPr="00355FB7" w:rsidRDefault="00A32491" w:rsidP="00A32491">
            <w:pPr>
              <w:tabs>
                <w:tab w:val="left" w:pos="288"/>
                <w:tab w:val="left" w:pos="576"/>
                <w:tab w:val="left" w:pos="864"/>
                <w:tab w:val="left" w:pos="1152"/>
              </w:tabs>
              <w:spacing w:before="40" w:after="40" w:line="210" w:lineRule="exact"/>
              <w:ind w:right="40"/>
              <w:jc w:val="right"/>
              <w:rPr>
                <w:sz w:val="17"/>
              </w:rPr>
            </w:pPr>
          </w:p>
        </w:tc>
      </w:tr>
      <w:tr w:rsidR="000A2C8E" w:rsidRPr="00355FB7">
        <w:tblPrEx>
          <w:tblCellMar>
            <w:top w:w="0" w:type="dxa"/>
            <w:bottom w:w="0" w:type="dxa"/>
          </w:tblCellMar>
        </w:tblPrEx>
        <w:tc>
          <w:tcPr>
            <w:tcW w:w="3096" w:type="dxa"/>
            <w:shd w:val="clear" w:color="auto" w:fill="auto"/>
            <w:vAlign w:val="bottom"/>
          </w:tcPr>
          <w:p w:rsidR="000A2C8E" w:rsidRPr="00355FB7" w:rsidRDefault="000A2C8E" w:rsidP="000A2C8E">
            <w:pPr>
              <w:pStyle w:val="SingleTxt"/>
              <w:tabs>
                <w:tab w:val="left" w:pos="288"/>
                <w:tab w:val="left" w:pos="576"/>
                <w:tab w:val="left" w:pos="864"/>
                <w:tab w:val="left" w:pos="1152"/>
              </w:tabs>
              <w:suppressAutoHyphens/>
              <w:spacing w:before="40" w:after="40" w:line="210" w:lineRule="exact"/>
              <w:ind w:left="0" w:right="40"/>
              <w:jc w:val="left"/>
              <w:rPr>
                <w:sz w:val="17"/>
              </w:rPr>
            </w:pPr>
            <w:r w:rsidRPr="00355FB7">
              <w:rPr>
                <w:sz w:val="17"/>
              </w:rPr>
              <w:t xml:space="preserve">Todo el </w:t>
            </w:r>
            <w:r w:rsidR="00BC4F92" w:rsidRPr="00355FB7">
              <w:rPr>
                <w:sz w:val="17"/>
              </w:rPr>
              <w:t>a</w:t>
            </w:r>
            <w:r w:rsidRPr="00355FB7">
              <w:rPr>
                <w:sz w:val="17"/>
              </w:rPr>
              <w:t xml:space="preserve">rchipiélago </w:t>
            </w:r>
          </w:p>
        </w:tc>
        <w:tc>
          <w:tcPr>
            <w:tcW w:w="945" w:type="dxa"/>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303 611</w:t>
            </w:r>
          </w:p>
        </w:tc>
        <w:tc>
          <w:tcPr>
            <w:tcW w:w="1143" w:type="dxa"/>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100</w:t>
            </w:r>
          </w:p>
        </w:tc>
        <w:tc>
          <w:tcPr>
            <w:tcW w:w="1017" w:type="dxa"/>
            <w:gridSpan w:val="2"/>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352 658</w:t>
            </w:r>
          </w:p>
        </w:tc>
        <w:tc>
          <w:tcPr>
            <w:tcW w:w="1119" w:type="dxa"/>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100</w:t>
            </w:r>
          </w:p>
        </w:tc>
      </w:tr>
      <w:tr w:rsidR="000A2C8E" w:rsidRPr="00355FB7">
        <w:tblPrEx>
          <w:tblCellMar>
            <w:top w:w="0" w:type="dxa"/>
            <w:bottom w:w="0" w:type="dxa"/>
          </w:tblCellMar>
        </w:tblPrEx>
        <w:tc>
          <w:tcPr>
            <w:tcW w:w="3096" w:type="dxa"/>
            <w:shd w:val="clear" w:color="auto" w:fill="auto"/>
            <w:vAlign w:val="bottom"/>
          </w:tcPr>
          <w:p w:rsidR="000A2C8E" w:rsidRPr="00355FB7" w:rsidRDefault="000A2C8E" w:rsidP="000A2C8E">
            <w:pPr>
              <w:pStyle w:val="BalloonText"/>
              <w:tabs>
                <w:tab w:val="left" w:pos="288"/>
                <w:tab w:val="left" w:pos="576"/>
                <w:tab w:val="left" w:pos="864"/>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rFonts w:ascii="Times New Roman" w:hAnsi="Times New Roman" w:cs="Times New Roman"/>
                <w:sz w:val="17"/>
              </w:rPr>
            </w:pPr>
            <w:r w:rsidRPr="00355FB7">
              <w:rPr>
                <w:rFonts w:ascii="Times New Roman" w:hAnsi="Times New Roman" w:cs="Times New Roman"/>
                <w:sz w:val="17"/>
              </w:rPr>
              <w:t xml:space="preserve">New Providence </w:t>
            </w:r>
          </w:p>
        </w:tc>
        <w:tc>
          <w:tcPr>
            <w:tcW w:w="945" w:type="dxa"/>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210 832</w:t>
            </w:r>
          </w:p>
        </w:tc>
        <w:tc>
          <w:tcPr>
            <w:tcW w:w="1143" w:type="dxa"/>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69</w:t>
            </w:r>
            <w:r w:rsidR="00355FB7">
              <w:rPr>
                <w:sz w:val="17"/>
              </w:rPr>
              <w:t>,</w:t>
            </w:r>
            <w:r w:rsidRPr="00355FB7">
              <w:rPr>
                <w:sz w:val="17"/>
              </w:rPr>
              <w:t>44</w:t>
            </w:r>
          </w:p>
        </w:tc>
        <w:tc>
          <w:tcPr>
            <w:tcW w:w="1017" w:type="dxa"/>
            <w:gridSpan w:val="2"/>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248 948</w:t>
            </w:r>
          </w:p>
        </w:tc>
        <w:tc>
          <w:tcPr>
            <w:tcW w:w="1119" w:type="dxa"/>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70</w:t>
            </w:r>
            <w:r w:rsidR="00355FB7">
              <w:rPr>
                <w:sz w:val="17"/>
              </w:rPr>
              <w:t>,</w:t>
            </w:r>
            <w:r w:rsidRPr="00355FB7">
              <w:rPr>
                <w:sz w:val="17"/>
              </w:rPr>
              <w:t>39</w:t>
            </w:r>
          </w:p>
        </w:tc>
      </w:tr>
      <w:tr w:rsidR="000A2C8E" w:rsidRPr="00355FB7">
        <w:tblPrEx>
          <w:tblCellMar>
            <w:top w:w="0" w:type="dxa"/>
            <w:bottom w:w="0" w:type="dxa"/>
          </w:tblCellMar>
        </w:tblPrEx>
        <w:tc>
          <w:tcPr>
            <w:tcW w:w="3096" w:type="dxa"/>
            <w:shd w:val="clear" w:color="auto" w:fill="auto"/>
            <w:vAlign w:val="bottom"/>
          </w:tcPr>
          <w:p w:rsidR="000A2C8E" w:rsidRPr="00355FB7" w:rsidRDefault="00355FB7" w:rsidP="000A2C8E">
            <w:pPr>
              <w:pStyle w:val="BalloonText"/>
              <w:tabs>
                <w:tab w:val="left" w:pos="288"/>
                <w:tab w:val="left" w:pos="576"/>
                <w:tab w:val="left" w:pos="864"/>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rFonts w:ascii="Times New Roman" w:hAnsi="Times New Roman" w:cs="Times New Roman"/>
                <w:sz w:val="17"/>
              </w:rPr>
            </w:pPr>
            <w:r w:rsidRPr="00355FB7">
              <w:rPr>
                <w:rFonts w:ascii="Times New Roman" w:hAnsi="Times New Roman" w:cs="Times New Roman"/>
                <w:sz w:val="17"/>
              </w:rPr>
              <w:t xml:space="preserve">Grand </w:t>
            </w:r>
            <w:r w:rsidR="000A2C8E" w:rsidRPr="00355FB7">
              <w:rPr>
                <w:rFonts w:ascii="Times New Roman" w:hAnsi="Times New Roman" w:cs="Times New Roman"/>
                <w:sz w:val="17"/>
              </w:rPr>
              <w:t xml:space="preserve">Bahama </w:t>
            </w:r>
          </w:p>
        </w:tc>
        <w:tc>
          <w:tcPr>
            <w:tcW w:w="945" w:type="dxa"/>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46 994</w:t>
            </w:r>
          </w:p>
        </w:tc>
        <w:tc>
          <w:tcPr>
            <w:tcW w:w="1143" w:type="dxa"/>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15</w:t>
            </w:r>
            <w:r w:rsidR="00355FB7">
              <w:rPr>
                <w:sz w:val="17"/>
              </w:rPr>
              <w:t>,</w:t>
            </w:r>
            <w:r w:rsidRPr="00355FB7">
              <w:rPr>
                <w:sz w:val="17"/>
              </w:rPr>
              <w:t>48</w:t>
            </w:r>
          </w:p>
        </w:tc>
        <w:tc>
          <w:tcPr>
            <w:tcW w:w="1017" w:type="dxa"/>
            <w:gridSpan w:val="2"/>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51 756</w:t>
            </w:r>
          </w:p>
        </w:tc>
        <w:tc>
          <w:tcPr>
            <w:tcW w:w="1119" w:type="dxa"/>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14</w:t>
            </w:r>
            <w:r w:rsidR="00355FB7">
              <w:rPr>
                <w:sz w:val="17"/>
              </w:rPr>
              <w:t>,</w:t>
            </w:r>
            <w:r w:rsidRPr="00355FB7">
              <w:rPr>
                <w:sz w:val="17"/>
              </w:rPr>
              <w:t>63</w:t>
            </w:r>
          </w:p>
        </w:tc>
      </w:tr>
      <w:tr w:rsidR="000A2C8E" w:rsidRPr="00355FB7">
        <w:tblPrEx>
          <w:tblCellMar>
            <w:top w:w="0" w:type="dxa"/>
            <w:bottom w:w="0" w:type="dxa"/>
          </w:tblCellMar>
        </w:tblPrEx>
        <w:tc>
          <w:tcPr>
            <w:tcW w:w="3096" w:type="dxa"/>
            <w:shd w:val="clear" w:color="auto" w:fill="auto"/>
            <w:vAlign w:val="bottom"/>
          </w:tcPr>
          <w:p w:rsidR="000A2C8E" w:rsidRPr="00355FB7" w:rsidRDefault="000A2C8E" w:rsidP="000A2C8E">
            <w:pPr>
              <w:pStyle w:val="BalloonText"/>
              <w:tabs>
                <w:tab w:val="left" w:pos="288"/>
                <w:tab w:val="left" w:pos="576"/>
                <w:tab w:val="left" w:pos="864"/>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rFonts w:ascii="Times New Roman" w:hAnsi="Times New Roman" w:cs="Times New Roman"/>
                <w:sz w:val="17"/>
              </w:rPr>
            </w:pPr>
            <w:r w:rsidRPr="00355FB7">
              <w:rPr>
                <w:rFonts w:ascii="Times New Roman" w:hAnsi="Times New Roman" w:cs="Times New Roman"/>
                <w:sz w:val="17"/>
              </w:rPr>
              <w:t xml:space="preserve">Abaco </w:t>
            </w:r>
          </w:p>
        </w:tc>
        <w:tc>
          <w:tcPr>
            <w:tcW w:w="945" w:type="dxa"/>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13 170</w:t>
            </w:r>
          </w:p>
        </w:tc>
        <w:tc>
          <w:tcPr>
            <w:tcW w:w="1143" w:type="dxa"/>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4</w:t>
            </w:r>
            <w:r w:rsidR="00355FB7">
              <w:rPr>
                <w:sz w:val="17"/>
              </w:rPr>
              <w:t>,</w:t>
            </w:r>
            <w:r w:rsidRPr="00355FB7">
              <w:rPr>
                <w:sz w:val="17"/>
              </w:rPr>
              <w:t>34</w:t>
            </w:r>
          </w:p>
        </w:tc>
        <w:tc>
          <w:tcPr>
            <w:tcW w:w="1017" w:type="dxa"/>
            <w:gridSpan w:val="2"/>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16 692</w:t>
            </w:r>
          </w:p>
        </w:tc>
        <w:tc>
          <w:tcPr>
            <w:tcW w:w="1119" w:type="dxa"/>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4</w:t>
            </w:r>
            <w:r w:rsidR="00355FB7">
              <w:rPr>
                <w:sz w:val="17"/>
              </w:rPr>
              <w:t>,</w:t>
            </w:r>
            <w:r w:rsidRPr="00355FB7">
              <w:rPr>
                <w:sz w:val="17"/>
              </w:rPr>
              <w:t>72</w:t>
            </w:r>
          </w:p>
        </w:tc>
      </w:tr>
      <w:tr w:rsidR="000A2C8E" w:rsidRPr="00355FB7">
        <w:tblPrEx>
          <w:tblCellMar>
            <w:top w:w="0" w:type="dxa"/>
            <w:bottom w:w="0" w:type="dxa"/>
          </w:tblCellMar>
        </w:tblPrEx>
        <w:tc>
          <w:tcPr>
            <w:tcW w:w="3096" w:type="dxa"/>
            <w:shd w:val="clear" w:color="auto" w:fill="auto"/>
            <w:vAlign w:val="bottom"/>
          </w:tcPr>
          <w:p w:rsidR="000A2C8E" w:rsidRPr="00355FB7" w:rsidRDefault="000A2C8E" w:rsidP="000A2C8E">
            <w:pPr>
              <w:pStyle w:val="BalloonText"/>
              <w:tabs>
                <w:tab w:val="left" w:pos="288"/>
                <w:tab w:val="left" w:pos="576"/>
                <w:tab w:val="left" w:pos="864"/>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rFonts w:ascii="Times New Roman" w:hAnsi="Times New Roman" w:cs="Times New Roman"/>
                <w:sz w:val="17"/>
              </w:rPr>
            </w:pPr>
            <w:r w:rsidRPr="00355FB7">
              <w:rPr>
                <w:rFonts w:ascii="Times New Roman" w:hAnsi="Times New Roman" w:cs="Times New Roman"/>
                <w:sz w:val="17"/>
              </w:rPr>
              <w:t>Acklins</w:t>
            </w:r>
          </w:p>
        </w:tc>
        <w:tc>
          <w:tcPr>
            <w:tcW w:w="945" w:type="dxa"/>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428</w:t>
            </w:r>
          </w:p>
        </w:tc>
        <w:tc>
          <w:tcPr>
            <w:tcW w:w="1143" w:type="dxa"/>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0</w:t>
            </w:r>
            <w:r w:rsidR="00355FB7">
              <w:rPr>
                <w:sz w:val="17"/>
              </w:rPr>
              <w:t>,</w:t>
            </w:r>
            <w:r w:rsidRPr="00355FB7">
              <w:rPr>
                <w:sz w:val="17"/>
              </w:rPr>
              <w:t>14</w:t>
            </w:r>
          </w:p>
        </w:tc>
        <w:tc>
          <w:tcPr>
            <w:tcW w:w="1017" w:type="dxa"/>
            <w:gridSpan w:val="2"/>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560</w:t>
            </w:r>
          </w:p>
        </w:tc>
        <w:tc>
          <w:tcPr>
            <w:tcW w:w="1119" w:type="dxa"/>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0</w:t>
            </w:r>
            <w:r w:rsidR="00355FB7">
              <w:rPr>
                <w:sz w:val="17"/>
              </w:rPr>
              <w:t>,</w:t>
            </w:r>
            <w:r w:rsidRPr="00355FB7">
              <w:rPr>
                <w:sz w:val="17"/>
              </w:rPr>
              <w:t>16</w:t>
            </w:r>
          </w:p>
        </w:tc>
      </w:tr>
      <w:tr w:rsidR="000A2C8E" w:rsidRPr="00355FB7">
        <w:tblPrEx>
          <w:tblCellMar>
            <w:top w:w="0" w:type="dxa"/>
            <w:bottom w:w="0" w:type="dxa"/>
          </w:tblCellMar>
        </w:tblPrEx>
        <w:tc>
          <w:tcPr>
            <w:tcW w:w="3096" w:type="dxa"/>
            <w:shd w:val="clear" w:color="auto" w:fill="auto"/>
            <w:vAlign w:val="bottom"/>
          </w:tcPr>
          <w:p w:rsidR="000A2C8E" w:rsidRPr="00355FB7" w:rsidRDefault="000A2C8E" w:rsidP="000A2C8E">
            <w:pPr>
              <w:pStyle w:val="BalloonText"/>
              <w:tabs>
                <w:tab w:val="left" w:pos="288"/>
                <w:tab w:val="left" w:pos="576"/>
                <w:tab w:val="left" w:pos="864"/>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rFonts w:ascii="Times New Roman" w:hAnsi="Times New Roman" w:cs="Times New Roman"/>
                <w:sz w:val="17"/>
              </w:rPr>
            </w:pPr>
            <w:r w:rsidRPr="00355FB7">
              <w:rPr>
                <w:rFonts w:ascii="Times New Roman" w:hAnsi="Times New Roman" w:cs="Times New Roman"/>
                <w:sz w:val="17"/>
              </w:rPr>
              <w:t xml:space="preserve">Andros </w:t>
            </w:r>
          </w:p>
        </w:tc>
        <w:tc>
          <w:tcPr>
            <w:tcW w:w="945" w:type="dxa"/>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7 686</w:t>
            </w:r>
          </w:p>
        </w:tc>
        <w:tc>
          <w:tcPr>
            <w:tcW w:w="1143" w:type="dxa"/>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2</w:t>
            </w:r>
            <w:r w:rsidR="00355FB7">
              <w:rPr>
                <w:sz w:val="17"/>
              </w:rPr>
              <w:t>,</w:t>
            </w:r>
            <w:r w:rsidRPr="00355FB7">
              <w:rPr>
                <w:sz w:val="17"/>
              </w:rPr>
              <w:t>53</w:t>
            </w:r>
          </w:p>
        </w:tc>
        <w:tc>
          <w:tcPr>
            <w:tcW w:w="1017" w:type="dxa"/>
            <w:gridSpan w:val="2"/>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7 386</w:t>
            </w:r>
          </w:p>
        </w:tc>
        <w:tc>
          <w:tcPr>
            <w:tcW w:w="1119" w:type="dxa"/>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2</w:t>
            </w:r>
            <w:r w:rsidR="00355FB7">
              <w:rPr>
                <w:sz w:val="17"/>
              </w:rPr>
              <w:t>,</w:t>
            </w:r>
            <w:r w:rsidRPr="00355FB7">
              <w:rPr>
                <w:sz w:val="17"/>
              </w:rPr>
              <w:t>09</w:t>
            </w:r>
          </w:p>
        </w:tc>
      </w:tr>
      <w:tr w:rsidR="000A2C8E" w:rsidRPr="00355FB7">
        <w:tblPrEx>
          <w:tblCellMar>
            <w:top w:w="0" w:type="dxa"/>
            <w:bottom w:w="0" w:type="dxa"/>
          </w:tblCellMar>
        </w:tblPrEx>
        <w:tc>
          <w:tcPr>
            <w:tcW w:w="3096" w:type="dxa"/>
            <w:shd w:val="clear" w:color="auto" w:fill="auto"/>
            <w:vAlign w:val="bottom"/>
          </w:tcPr>
          <w:p w:rsidR="000A2C8E" w:rsidRPr="00355FB7" w:rsidRDefault="000A2C8E" w:rsidP="000A2C8E">
            <w:pPr>
              <w:pStyle w:val="BalloonText"/>
              <w:tabs>
                <w:tab w:val="left" w:pos="288"/>
                <w:tab w:val="left" w:pos="576"/>
                <w:tab w:val="left" w:pos="864"/>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rFonts w:ascii="Times New Roman" w:hAnsi="Times New Roman" w:cs="Times New Roman"/>
                <w:sz w:val="17"/>
              </w:rPr>
            </w:pPr>
            <w:r w:rsidRPr="00355FB7">
              <w:rPr>
                <w:rFonts w:ascii="Times New Roman" w:hAnsi="Times New Roman" w:cs="Times New Roman"/>
                <w:sz w:val="17"/>
              </w:rPr>
              <w:t xml:space="preserve">Islas Berry </w:t>
            </w:r>
          </w:p>
        </w:tc>
        <w:tc>
          <w:tcPr>
            <w:tcW w:w="945" w:type="dxa"/>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709</w:t>
            </w:r>
          </w:p>
        </w:tc>
        <w:tc>
          <w:tcPr>
            <w:tcW w:w="1143" w:type="dxa"/>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0</w:t>
            </w:r>
            <w:r w:rsidR="00355FB7">
              <w:rPr>
                <w:sz w:val="17"/>
              </w:rPr>
              <w:t>,</w:t>
            </w:r>
            <w:r w:rsidRPr="00355FB7">
              <w:rPr>
                <w:sz w:val="17"/>
              </w:rPr>
              <w:t>23</w:t>
            </w:r>
          </w:p>
        </w:tc>
        <w:tc>
          <w:tcPr>
            <w:tcW w:w="1017" w:type="dxa"/>
            <w:gridSpan w:val="2"/>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798</w:t>
            </w:r>
          </w:p>
        </w:tc>
        <w:tc>
          <w:tcPr>
            <w:tcW w:w="1119" w:type="dxa"/>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0</w:t>
            </w:r>
            <w:r w:rsidR="00355FB7">
              <w:rPr>
                <w:sz w:val="17"/>
              </w:rPr>
              <w:t>,</w:t>
            </w:r>
            <w:r w:rsidRPr="00355FB7">
              <w:rPr>
                <w:sz w:val="17"/>
              </w:rPr>
              <w:t>23</w:t>
            </w:r>
          </w:p>
        </w:tc>
      </w:tr>
      <w:tr w:rsidR="000A2C8E" w:rsidRPr="00355FB7">
        <w:tblPrEx>
          <w:tblCellMar>
            <w:top w:w="0" w:type="dxa"/>
            <w:bottom w:w="0" w:type="dxa"/>
          </w:tblCellMar>
        </w:tblPrEx>
        <w:tc>
          <w:tcPr>
            <w:tcW w:w="3096" w:type="dxa"/>
            <w:shd w:val="clear" w:color="auto" w:fill="auto"/>
            <w:vAlign w:val="bottom"/>
          </w:tcPr>
          <w:p w:rsidR="000A2C8E" w:rsidRPr="00355FB7" w:rsidRDefault="000A2C8E" w:rsidP="000A2C8E">
            <w:pPr>
              <w:pStyle w:val="BalloonText"/>
              <w:tabs>
                <w:tab w:val="left" w:pos="288"/>
                <w:tab w:val="left" w:pos="576"/>
                <w:tab w:val="left" w:pos="864"/>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rFonts w:ascii="Times New Roman" w:hAnsi="Times New Roman" w:cs="Times New Roman"/>
                <w:sz w:val="17"/>
              </w:rPr>
            </w:pPr>
            <w:r w:rsidRPr="00355FB7">
              <w:rPr>
                <w:rFonts w:ascii="Times New Roman" w:hAnsi="Times New Roman" w:cs="Times New Roman"/>
                <w:sz w:val="17"/>
              </w:rPr>
              <w:t>Bimini</w:t>
            </w:r>
          </w:p>
        </w:tc>
        <w:tc>
          <w:tcPr>
            <w:tcW w:w="945" w:type="dxa"/>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1 717</w:t>
            </w:r>
          </w:p>
        </w:tc>
        <w:tc>
          <w:tcPr>
            <w:tcW w:w="1143" w:type="dxa"/>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0</w:t>
            </w:r>
            <w:r w:rsidR="00355FB7">
              <w:rPr>
                <w:sz w:val="17"/>
              </w:rPr>
              <w:t>,</w:t>
            </w:r>
            <w:r w:rsidRPr="00355FB7">
              <w:rPr>
                <w:sz w:val="17"/>
              </w:rPr>
              <w:t>57</w:t>
            </w:r>
          </w:p>
        </w:tc>
        <w:tc>
          <w:tcPr>
            <w:tcW w:w="1017" w:type="dxa"/>
            <w:gridSpan w:val="2"/>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2 008</w:t>
            </w:r>
          </w:p>
        </w:tc>
        <w:tc>
          <w:tcPr>
            <w:tcW w:w="1119" w:type="dxa"/>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0</w:t>
            </w:r>
            <w:r w:rsidR="00355FB7">
              <w:rPr>
                <w:sz w:val="17"/>
              </w:rPr>
              <w:t>,</w:t>
            </w:r>
            <w:r w:rsidRPr="00355FB7">
              <w:rPr>
                <w:sz w:val="17"/>
              </w:rPr>
              <w:t>57</w:t>
            </w:r>
          </w:p>
        </w:tc>
      </w:tr>
      <w:tr w:rsidR="000A2C8E" w:rsidRPr="00355FB7">
        <w:tblPrEx>
          <w:tblCellMar>
            <w:top w:w="0" w:type="dxa"/>
            <w:bottom w:w="0" w:type="dxa"/>
          </w:tblCellMar>
        </w:tblPrEx>
        <w:tc>
          <w:tcPr>
            <w:tcW w:w="3096" w:type="dxa"/>
            <w:shd w:val="clear" w:color="auto" w:fill="auto"/>
            <w:vAlign w:val="bottom"/>
          </w:tcPr>
          <w:p w:rsidR="000A2C8E" w:rsidRPr="00355FB7" w:rsidRDefault="000A2C8E" w:rsidP="000A2C8E">
            <w:pPr>
              <w:pStyle w:val="BalloonText"/>
              <w:tabs>
                <w:tab w:val="left" w:pos="288"/>
                <w:tab w:val="left" w:pos="576"/>
                <w:tab w:val="left" w:pos="864"/>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rFonts w:ascii="Times New Roman" w:hAnsi="Times New Roman" w:cs="Times New Roman"/>
                <w:sz w:val="17"/>
              </w:rPr>
            </w:pPr>
            <w:r w:rsidRPr="00355FB7">
              <w:rPr>
                <w:rFonts w:ascii="Times New Roman" w:hAnsi="Times New Roman" w:cs="Times New Roman"/>
                <w:sz w:val="17"/>
              </w:rPr>
              <w:t xml:space="preserve">Isla Cat </w:t>
            </w:r>
          </w:p>
        </w:tc>
        <w:tc>
          <w:tcPr>
            <w:tcW w:w="945" w:type="dxa"/>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1 647</w:t>
            </w:r>
          </w:p>
        </w:tc>
        <w:tc>
          <w:tcPr>
            <w:tcW w:w="1143" w:type="dxa"/>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0</w:t>
            </w:r>
            <w:r w:rsidR="00355FB7">
              <w:rPr>
                <w:sz w:val="17"/>
              </w:rPr>
              <w:t>,</w:t>
            </w:r>
            <w:r w:rsidRPr="00355FB7">
              <w:rPr>
                <w:sz w:val="17"/>
              </w:rPr>
              <w:t>54</w:t>
            </w:r>
          </w:p>
        </w:tc>
        <w:tc>
          <w:tcPr>
            <w:tcW w:w="1017" w:type="dxa"/>
            <w:gridSpan w:val="2"/>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1 503</w:t>
            </w:r>
          </w:p>
        </w:tc>
        <w:tc>
          <w:tcPr>
            <w:tcW w:w="1119" w:type="dxa"/>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0</w:t>
            </w:r>
            <w:r w:rsidR="00355FB7">
              <w:rPr>
                <w:sz w:val="17"/>
              </w:rPr>
              <w:t>,</w:t>
            </w:r>
            <w:r w:rsidRPr="00355FB7">
              <w:rPr>
                <w:sz w:val="17"/>
              </w:rPr>
              <w:t>42</w:t>
            </w:r>
          </w:p>
        </w:tc>
      </w:tr>
      <w:tr w:rsidR="000A2C8E" w:rsidRPr="00355FB7">
        <w:tblPrEx>
          <w:tblCellMar>
            <w:top w:w="0" w:type="dxa"/>
            <w:bottom w:w="0" w:type="dxa"/>
          </w:tblCellMar>
        </w:tblPrEx>
        <w:tc>
          <w:tcPr>
            <w:tcW w:w="3096" w:type="dxa"/>
            <w:shd w:val="clear" w:color="auto" w:fill="auto"/>
            <w:vAlign w:val="bottom"/>
          </w:tcPr>
          <w:p w:rsidR="000A2C8E" w:rsidRPr="00355FB7" w:rsidRDefault="000A2C8E" w:rsidP="000A2C8E">
            <w:pPr>
              <w:pStyle w:val="BalloonText"/>
              <w:tabs>
                <w:tab w:val="left" w:pos="288"/>
                <w:tab w:val="left" w:pos="576"/>
                <w:tab w:val="left" w:pos="864"/>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rFonts w:ascii="Times New Roman" w:hAnsi="Times New Roman" w:cs="Times New Roman"/>
                <w:sz w:val="17"/>
              </w:rPr>
            </w:pPr>
            <w:r w:rsidRPr="00355FB7">
              <w:rPr>
                <w:rFonts w:ascii="Times New Roman" w:hAnsi="Times New Roman" w:cs="Times New Roman"/>
                <w:sz w:val="17"/>
              </w:rPr>
              <w:t>Isla Crooked</w:t>
            </w:r>
          </w:p>
        </w:tc>
        <w:tc>
          <w:tcPr>
            <w:tcW w:w="945" w:type="dxa"/>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350</w:t>
            </w:r>
          </w:p>
        </w:tc>
        <w:tc>
          <w:tcPr>
            <w:tcW w:w="1143" w:type="dxa"/>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0</w:t>
            </w:r>
            <w:r w:rsidR="00355FB7">
              <w:rPr>
                <w:sz w:val="17"/>
              </w:rPr>
              <w:t>,</w:t>
            </w:r>
            <w:r w:rsidRPr="00355FB7">
              <w:rPr>
                <w:sz w:val="17"/>
              </w:rPr>
              <w:t>12</w:t>
            </w:r>
          </w:p>
        </w:tc>
        <w:tc>
          <w:tcPr>
            <w:tcW w:w="1017" w:type="dxa"/>
            <w:gridSpan w:val="2"/>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323</w:t>
            </w:r>
          </w:p>
        </w:tc>
        <w:tc>
          <w:tcPr>
            <w:tcW w:w="1119" w:type="dxa"/>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0</w:t>
            </w:r>
            <w:r w:rsidR="00355FB7">
              <w:rPr>
                <w:sz w:val="17"/>
              </w:rPr>
              <w:t>,</w:t>
            </w:r>
            <w:r w:rsidRPr="00355FB7">
              <w:rPr>
                <w:sz w:val="17"/>
              </w:rPr>
              <w:t>09</w:t>
            </w:r>
          </w:p>
        </w:tc>
      </w:tr>
      <w:tr w:rsidR="000A2C8E" w:rsidRPr="00355FB7">
        <w:tblPrEx>
          <w:tblCellMar>
            <w:top w:w="0" w:type="dxa"/>
            <w:bottom w:w="0" w:type="dxa"/>
          </w:tblCellMar>
        </w:tblPrEx>
        <w:tc>
          <w:tcPr>
            <w:tcW w:w="3096" w:type="dxa"/>
            <w:shd w:val="clear" w:color="auto" w:fill="auto"/>
            <w:vAlign w:val="bottom"/>
          </w:tcPr>
          <w:p w:rsidR="000A2C8E" w:rsidRPr="00355FB7" w:rsidRDefault="000A2C8E" w:rsidP="000A2C8E">
            <w:pPr>
              <w:pStyle w:val="BalloonText"/>
              <w:tabs>
                <w:tab w:val="left" w:pos="288"/>
                <w:tab w:val="left" w:pos="576"/>
                <w:tab w:val="left" w:pos="864"/>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rFonts w:ascii="Times New Roman" w:hAnsi="Times New Roman" w:cs="Times New Roman"/>
                <w:sz w:val="17"/>
              </w:rPr>
            </w:pPr>
            <w:r w:rsidRPr="00355FB7">
              <w:rPr>
                <w:rFonts w:ascii="Times New Roman" w:hAnsi="Times New Roman" w:cs="Times New Roman"/>
                <w:sz w:val="17"/>
              </w:rPr>
              <w:t xml:space="preserve">Eleuthera </w:t>
            </w:r>
          </w:p>
        </w:tc>
        <w:tc>
          <w:tcPr>
            <w:tcW w:w="945" w:type="dxa"/>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7 999</w:t>
            </w:r>
          </w:p>
        </w:tc>
        <w:tc>
          <w:tcPr>
            <w:tcW w:w="1143" w:type="dxa"/>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2</w:t>
            </w:r>
            <w:r w:rsidR="00355FB7">
              <w:rPr>
                <w:sz w:val="17"/>
              </w:rPr>
              <w:t>,</w:t>
            </w:r>
            <w:r w:rsidRPr="00355FB7">
              <w:rPr>
                <w:sz w:val="17"/>
              </w:rPr>
              <w:t>63</w:t>
            </w:r>
          </w:p>
        </w:tc>
        <w:tc>
          <w:tcPr>
            <w:tcW w:w="1017" w:type="dxa"/>
            <w:gridSpan w:val="2"/>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7 826</w:t>
            </w:r>
          </w:p>
        </w:tc>
        <w:tc>
          <w:tcPr>
            <w:tcW w:w="1119" w:type="dxa"/>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2</w:t>
            </w:r>
            <w:r w:rsidR="00355FB7">
              <w:rPr>
                <w:sz w:val="17"/>
              </w:rPr>
              <w:t>,</w:t>
            </w:r>
            <w:r w:rsidRPr="00355FB7">
              <w:rPr>
                <w:sz w:val="17"/>
              </w:rPr>
              <w:t>21</w:t>
            </w:r>
          </w:p>
        </w:tc>
      </w:tr>
      <w:tr w:rsidR="000A2C8E" w:rsidRPr="00355FB7">
        <w:tblPrEx>
          <w:tblCellMar>
            <w:top w:w="0" w:type="dxa"/>
            <w:bottom w:w="0" w:type="dxa"/>
          </w:tblCellMar>
        </w:tblPrEx>
        <w:tc>
          <w:tcPr>
            <w:tcW w:w="3096" w:type="dxa"/>
            <w:shd w:val="clear" w:color="auto" w:fill="auto"/>
            <w:vAlign w:val="bottom"/>
          </w:tcPr>
          <w:p w:rsidR="000A2C8E" w:rsidRPr="00355FB7" w:rsidRDefault="000A2C8E" w:rsidP="000A2C8E">
            <w:pPr>
              <w:pStyle w:val="BalloonText"/>
              <w:tabs>
                <w:tab w:val="left" w:pos="288"/>
                <w:tab w:val="left" w:pos="576"/>
                <w:tab w:val="left" w:pos="864"/>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rFonts w:ascii="Times New Roman" w:hAnsi="Times New Roman" w:cs="Times New Roman"/>
                <w:sz w:val="17"/>
              </w:rPr>
            </w:pPr>
            <w:r w:rsidRPr="00355FB7">
              <w:rPr>
                <w:rFonts w:ascii="Times New Roman" w:hAnsi="Times New Roman" w:cs="Times New Roman"/>
                <w:sz w:val="17"/>
              </w:rPr>
              <w:t xml:space="preserve">Exuma </w:t>
            </w:r>
            <w:r w:rsidR="00BC4F92" w:rsidRPr="00355FB7">
              <w:rPr>
                <w:rFonts w:ascii="Times New Roman" w:hAnsi="Times New Roman" w:cs="Times New Roman"/>
                <w:sz w:val="17"/>
              </w:rPr>
              <w:t>y</w:t>
            </w:r>
            <w:r w:rsidRPr="00355FB7">
              <w:rPr>
                <w:rFonts w:ascii="Times New Roman" w:hAnsi="Times New Roman" w:cs="Times New Roman"/>
                <w:sz w:val="17"/>
              </w:rPr>
              <w:t xml:space="preserve"> Cays </w:t>
            </w:r>
          </w:p>
        </w:tc>
        <w:tc>
          <w:tcPr>
            <w:tcW w:w="945" w:type="dxa"/>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3 571</w:t>
            </w:r>
          </w:p>
        </w:tc>
        <w:tc>
          <w:tcPr>
            <w:tcW w:w="1143" w:type="dxa"/>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1</w:t>
            </w:r>
            <w:r w:rsidR="00355FB7">
              <w:rPr>
                <w:sz w:val="17"/>
              </w:rPr>
              <w:t>,</w:t>
            </w:r>
            <w:r w:rsidRPr="00355FB7">
              <w:rPr>
                <w:sz w:val="17"/>
              </w:rPr>
              <w:t>18</w:t>
            </w:r>
          </w:p>
        </w:tc>
        <w:tc>
          <w:tcPr>
            <w:tcW w:w="1017" w:type="dxa"/>
            <w:gridSpan w:val="2"/>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7 314</w:t>
            </w:r>
          </w:p>
        </w:tc>
        <w:tc>
          <w:tcPr>
            <w:tcW w:w="1119" w:type="dxa"/>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2</w:t>
            </w:r>
            <w:r w:rsidR="00355FB7">
              <w:rPr>
                <w:sz w:val="17"/>
              </w:rPr>
              <w:t>,</w:t>
            </w:r>
            <w:r w:rsidRPr="00355FB7">
              <w:rPr>
                <w:sz w:val="17"/>
              </w:rPr>
              <w:t>07</w:t>
            </w:r>
          </w:p>
        </w:tc>
      </w:tr>
      <w:tr w:rsidR="000A2C8E" w:rsidRPr="00355FB7">
        <w:tblPrEx>
          <w:tblCellMar>
            <w:top w:w="0" w:type="dxa"/>
            <w:bottom w:w="0" w:type="dxa"/>
          </w:tblCellMar>
        </w:tblPrEx>
        <w:tc>
          <w:tcPr>
            <w:tcW w:w="3096" w:type="dxa"/>
            <w:shd w:val="clear" w:color="auto" w:fill="auto"/>
            <w:vAlign w:val="bottom"/>
          </w:tcPr>
          <w:p w:rsidR="000A2C8E" w:rsidRPr="00355FB7" w:rsidRDefault="000A2C8E" w:rsidP="000A2C8E">
            <w:pPr>
              <w:pStyle w:val="BalloonText"/>
              <w:tabs>
                <w:tab w:val="left" w:pos="288"/>
                <w:tab w:val="left" w:pos="576"/>
                <w:tab w:val="left" w:pos="864"/>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rFonts w:ascii="Times New Roman" w:hAnsi="Times New Roman" w:cs="Times New Roman"/>
                <w:sz w:val="17"/>
              </w:rPr>
            </w:pPr>
            <w:r w:rsidRPr="00355FB7">
              <w:rPr>
                <w:rFonts w:ascii="Times New Roman" w:hAnsi="Times New Roman" w:cs="Times New Roman"/>
                <w:sz w:val="17"/>
              </w:rPr>
              <w:t xml:space="preserve">Isla Harbour  </w:t>
            </w:r>
          </w:p>
        </w:tc>
        <w:tc>
          <w:tcPr>
            <w:tcW w:w="945" w:type="dxa"/>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1 639</w:t>
            </w:r>
          </w:p>
        </w:tc>
        <w:tc>
          <w:tcPr>
            <w:tcW w:w="1143" w:type="dxa"/>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0</w:t>
            </w:r>
            <w:r w:rsidR="00355FB7">
              <w:rPr>
                <w:sz w:val="17"/>
              </w:rPr>
              <w:t>,</w:t>
            </w:r>
            <w:r w:rsidRPr="00355FB7">
              <w:rPr>
                <w:sz w:val="17"/>
              </w:rPr>
              <w:t>54</w:t>
            </w:r>
          </w:p>
        </w:tc>
        <w:tc>
          <w:tcPr>
            <w:tcW w:w="1017" w:type="dxa"/>
            <w:gridSpan w:val="2"/>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1 702</w:t>
            </w:r>
          </w:p>
        </w:tc>
        <w:tc>
          <w:tcPr>
            <w:tcW w:w="1119" w:type="dxa"/>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0</w:t>
            </w:r>
            <w:r w:rsidR="00355FB7">
              <w:rPr>
                <w:sz w:val="17"/>
              </w:rPr>
              <w:t>,</w:t>
            </w:r>
            <w:r w:rsidRPr="00355FB7">
              <w:rPr>
                <w:sz w:val="17"/>
              </w:rPr>
              <w:t>48</w:t>
            </w:r>
          </w:p>
        </w:tc>
      </w:tr>
      <w:tr w:rsidR="000A2C8E" w:rsidRPr="00355FB7">
        <w:tblPrEx>
          <w:tblCellMar>
            <w:top w:w="0" w:type="dxa"/>
            <w:bottom w:w="0" w:type="dxa"/>
          </w:tblCellMar>
        </w:tblPrEx>
        <w:tc>
          <w:tcPr>
            <w:tcW w:w="3096" w:type="dxa"/>
            <w:shd w:val="clear" w:color="auto" w:fill="auto"/>
            <w:vAlign w:val="bottom"/>
          </w:tcPr>
          <w:p w:rsidR="000A2C8E" w:rsidRPr="00355FB7" w:rsidRDefault="000A2C8E" w:rsidP="000A2C8E">
            <w:pPr>
              <w:pStyle w:val="SingleTxt"/>
              <w:tabs>
                <w:tab w:val="left" w:pos="288"/>
                <w:tab w:val="left" w:pos="576"/>
                <w:tab w:val="left" w:pos="864"/>
                <w:tab w:val="left" w:pos="1152"/>
              </w:tabs>
              <w:suppressAutoHyphens/>
              <w:spacing w:before="40" w:after="40" w:line="210" w:lineRule="exact"/>
              <w:ind w:left="0" w:right="40"/>
              <w:jc w:val="left"/>
              <w:rPr>
                <w:sz w:val="17"/>
              </w:rPr>
            </w:pPr>
            <w:r w:rsidRPr="00355FB7">
              <w:rPr>
                <w:sz w:val="17"/>
              </w:rPr>
              <w:t xml:space="preserve">Inagua </w:t>
            </w:r>
          </w:p>
        </w:tc>
        <w:tc>
          <w:tcPr>
            <w:tcW w:w="945" w:type="dxa"/>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969</w:t>
            </w:r>
          </w:p>
        </w:tc>
        <w:tc>
          <w:tcPr>
            <w:tcW w:w="1143" w:type="dxa"/>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0</w:t>
            </w:r>
            <w:r w:rsidR="00355FB7">
              <w:rPr>
                <w:sz w:val="17"/>
              </w:rPr>
              <w:t>,</w:t>
            </w:r>
            <w:r w:rsidRPr="00355FB7">
              <w:rPr>
                <w:sz w:val="17"/>
              </w:rPr>
              <w:t>32</w:t>
            </w:r>
          </w:p>
        </w:tc>
        <w:tc>
          <w:tcPr>
            <w:tcW w:w="1017" w:type="dxa"/>
            <w:gridSpan w:val="2"/>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911</w:t>
            </w:r>
          </w:p>
        </w:tc>
        <w:tc>
          <w:tcPr>
            <w:tcW w:w="1119" w:type="dxa"/>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0</w:t>
            </w:r>
            <w:r w:rsidR="00355FB7">
              <w:rPr>
                <w:sz w:val="17"/>
              </w:rPr>
              <w:t>,</w:t>
            </w:r>
            <w:r w:rsidRPr="00355FB7">
              <w:rPr>
                <w:sz w:val="17"/>
              </w:rPr>
              <w:t>26</w:t>
            </w:r>
          </w:p>
        </w:tc>
      </w:tr>
      <w:tr w:rsidR="000A2C8E" w:rsidRPr="00355FB7">
        <w:tblPrEx>
          <w:tblCellMar>
            <w:top w:w="0" w:type="dxa"/>
            <w:bottom w:w="0" w:type="dxa"/>
          </w:tblCellMar>
        </w:tblPrEx>
        <w:tc>
          <w:tcPr>
            <w:tcW w:w="3096" w:type="dxa"/>
            <w:shd w:val="clear" w:color="auto" w:fill="auto"/>
            <w:vAlign w:val="bottom"/>
          </w:tcPr>
          <w:p w:rsidR="000A2C8E" w:rsidRPr="00355FB7" w:rsidRDefault="000A2C8E" w:rsidP="000A2C8E">
            <w:pPr>
              <w:pStyle w:val="SingleTxt"/>
              <w:tabs>
                <w:tab w:val="left" w:pos="288"/>
                <w:tab w:val="left" w:pos="576"/>
                <w:tab w:val="left" w:pos="864"/>
                <w:tab w:val="left" w:pos="1152"/>
              </w:tabs>
              <w:suppressAutoHyphens/>
              <w:spacing w:before="40" w:after="40" w:line="210" w:lineRule="exact"/>
              <w:ind w:left="0" w:right="40"/>
              <w:jc w:val="left"/>
              <w:rPr>
                <w:sz w:val="17"/>
              </w:rPr>
            </w:pPr>
            <w:r w:rsidRPr="00355FB7">
              <w:rPr>
                <w:sz w:val="17"/>
              </w:rPr>
              <w:t xml:space="preserve">Isla Long </w:t>
            </w:r>
          </w:p>
        </w:tc>
        <w:tc>
          <w:tcPr>
            <w:tcW w:w="945" w:type="dxa"/>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2 992</w:t>
            </w:r>
          </w:p>
        </w:tc>
        <w:tc>
          <w:tcPr>
            <w:tcW w:w="1143" w:type="dxa"/>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0</w:t>
            </w:r>
            <w:r w:rsidR="00355FB7">
              <w:rPr>
                <w:sz w:val="17"/>
              </w:rPr>
              <w:t>,</w:t>
            </w:r>
            <w:r w:rsidRPr="00355FB7">
              <w:rPr>
                <w:sz w:val="17"/>
              </w:rPr>
              <w:t>99</w:t>
            </w:r>
          </w:p>
        </w:tc>
        <w:tc>
          <w:tcPr>
            <w:tcW w:w="1017" w:type="dxa"/>
            <w:gridSpan w:val="2"/>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3 024</w:t>
            </w:r>
          </w:p>
        </w:tc>
        <w:tc>
          <w:tcPr>
            <w:tcW w:w="1119" w:type="dxa"/>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0</w:t>
            </w:r>
            <w:r w:rsidR="00355FB7">
              <w:rPr>
                <w:sz w:val="17"/>
              </w:rPr>
              <w:t>,</w:t>
            </w:r>
            <w:r w:rsidRPr="00355FB7">
              <w:rPr>
                <w:sz w:val="17"/>
              </w:rPr>
              <w:t>86</w:t>
            </w:r>
          </w:p>
        </w:tc>
      </w:tr>
      <w:tr w:rsidR="000A2C8E" w:rsidRPr="00355FB7">
        <w:tblPrEx>
          <w:tblCellMar>
            <w:top w:w="0" w:type="dxa"/>
            <w:bottom w:w="0" w:type="dxa"/>
          </w:tblCellMar>
        </w:tblPrEx>
        <w:tc>
          <w:tcPr>
            <w:tcW w:w="3096" w:type="dxa"/>
            <w:shd w:val="clear" w:color="auto" w:fill="auto"/>
            <w:vAlign w:val="bottom"/>
          </w:tcPr>
          <w:p w:rsidR="000A2C8E" w:rsidRPr="00355FB7" w:rsidRDefault="000A2C8E" w:rsidP="000A2C8E">
            <w:pPr>
              <w:pStyle w:val="SingleTxt"/>
              <w:tabs>
                <w:tab w:val="left" w:pos="288"/>
                <w:tab w:val="left" w:pos="576"/>
                <w:tab w:val="left" w:pos="864"/>
                <w:tab w:val="left" w:pos="1152"/>
              </w:tabs>
              <w:suppressAutoHyphens/>
              <w:spacing w:before="40" w:after="40" w:line="210" w:lineRule="exact"/>
              <w:ind w:left="0" w:right="40"/>
              <w:jc w:val="left"/>
              <w:rPr>
                <w:sz w:val="17"/>
              </w:rPr>
            </w:pPr>
            <w:r w:rsidRPr="00355FB7">
              <w:rPr>
                <w:sz w:val="17"/>
              </w:rPr>
              <w:t xml:space="preserve">Mayaguana </w:t>
            </w:r>
          </w:p>
        </w:tc>
        <w:tc>
          <w:tcPr>
            <w:tcW w:w="945" w:type="dxa"/>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259</w:t>
            </w:r>
          </w:p>
        </w:tc>
        <w:tc>
          <w:tcPr>
            <w:tcW w:w="1143" w:type="dxa"/>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0</w:t>
            </w:r>
            <w:r w:rsidR="00355FB7">
              <w:rPr>
                <w:sz w:val="17"/>
              </w:rPr>
              <w:t>,</w:t>
            </w:r>
            <w:r w:rsidRPr="00355FB7">
              <w:rPr>
                <w:sz w:val="17"/>
              </w:rPr>
              <w:t>09</w:t>
            </w:r>
          </w:p>
        </w:tc>
        <w:tc>
          <w:tcPr>
            <w:tcW w:w="1017" w:type="dxa"/>
            <w:gridSpan w:val="2"/>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271</w:t>
            </w:r>
          </w:p>
        </w:tc>
        <w:tc>
          <w:tcPr>
            <w:tcW w:w="1119" w:type="dxa"/>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0</w:t>
            </w:r>
            <w:r w:rsidR="00355FB7">
              <w:rPr>
                <w:sz w:val="17"/>
              </w:rPr>
              <w:t>,</w:t>
            </w:r>
            <w:r w:rsidRPr="00355FB7">
              <w:rPr>
                <w:sz w:val="17"/>
              </w:rPr>
              <w:t>08</w:t>
            </w:r>
          </w:p>
        </w:tc>
      </w:tr>
      <w:tr w:rsidR="000A2C8E" w:rsidRPr="00355FB7">
        <w:tblPrEx>
          <w:tblCellMar>
            <w:top w:w="0" w:type="dxa"/>
            <w:bottom w:w="0" w:type="dxa"/>
          </w:tblCellMar>
        </w:tblPrEx>
        <w:tc>
          <w:tcPr>
            <w:tcW w:w="3096" w:type="dxa"/>
            <w:shd w:val="clear" w:color="auto" w:fill="auto"/>
            <w:vAlign w:val="bottom"/>
          </w:tcPr>
          <w:p w:rsidR="000A2C8E" w:rsidRPr="00355FB7" w:rsidRDefault="000A2C8E" w:rsidP="000A2C8E">
            <w:pPr>
              <w:pStyle w:val="SingleTxt"/>
              <w:tabs>
                <w:tab w:val="left" w:pos="288"/>
                <w:tab w:val="left" w:pos="576"/>
                <w:tab w:val="left" w:pos="864"/>
                <w:tab w:val="left" w:pos="1152"/>
              </w:tabs>
              <w:suppressAutoHyphens/>
              <w:spacing w:before="40" w:after="40" w:line="210" w:lineRule="exact"/>
              <w:ind w:left="0" w:right="40"/>
              <w:jc w:val="left"/>
              <w:rPr>
                <w:sz w:val="17"/>
              </w:rPr>
            </w:pPr>
            <w:r w:rsidRPr="00355FB7">
              <w:rPr>
                <w:sz w:val="17"/>
              </w:rPr>
              <w:t xml:space="preserve">Isla Ragged </w:t>
            </w:r>
          </w:p>
        </w:tc>
        <w:tc>
          <w:tcPr>
            <w:tcW w:w="945" w:type="dxa"/>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72</w:t>
            </w:r>
          </w:p>
        </w:tc>
        <w:tc>
          <w:tcPr>
            <w:tcW w:w="1143" w:type="dxa"/>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0</w:t>
            </w:r>
            <w:r w:rsidR="00355FB7">
              <w:rPr>
                <w:sz w:val="17"/>
              </w:rPr>
              <w:t>,</w:t>
            </w:r>
            <w:r w:rsidRPr="00355FB7">
              <w:rPr>
                <w:sz w:val="17"/>
              </w:rPr>
              <w:t>02</w:t>
            </w:r>
          </w:p>
        </w:tc>
        <w:tc>
          <w:tcPr>
            <w:tcW w:w="1017" w:type="dxa"/>
            <w:gridSpan w:val="2"/>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70</w:t>
            </w:r>
          </w:p>
        </w:tc>
        <w:tc>
          <w:tcPr>
            <w:tcW w:w="1119" w:type="dxa"/>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0</w:t>
            </w:r>
            <w:r w:rsidR="00355FB7">
              <w:rPr>
                <w:sz w:val="17"/>
              </w:rPr>
              <w:t>,</w:t>
            </w:r>
            <w:r w:rsidRPr="00355FB7">
              <w:rPr>
                <w:sz w:val="17"/>
              </w:rPr>
              <w:t>02</w:t>
            </w:r>
          </w:p>
        </w:tc>
      </w:tr>
      <w:tr w:rsidR="000A2C8E" w:rsidRPr="00355FB7">
        <w:tblPrEx>
          <w:tblCellMar>
            <w:top w:w="0" w:type="dxa"/>
            <w:bottom w:w="0" w:type="dxa"/>
          </w:tblCellMar>
        </w:tblPrEx>
        <w:tc>
          <w:tcPr>
            <w:tcW w:w="3096" w:type="dxa"/>
            <w:shd w:val="clear" w:color="auto" w:fill="auto"/>
            <w:vAlign w:val="bottom"/>
          </w:tcPr>
          <w:p w:rsidR="000A2C8E" w:rsidRPr="00355FB7" w:rsidRDefault="000A2C8E" w:rsidP="000A2C8E">
            <w:pPr>
              <w:pStyle w:val="SingleTxt"/>
              <w:tabs>
                <w:tab w:val="left" w:pos="288"/>
                <w:tab w:val="left" w:pos="576"/>
                <w:tab w:val="left" w:pos="864"/>
                <w:tab w:val="left" w:pos="1152"/>
              </w:tabs>
              <w:suppressAutoHyphens/>
              <w:spacing w:before="40" w:after="40" w:line="210" w:lineRule="exact"/>
              <w:ind w:left="0" w:right="40"/>
              <w:jc w:val="left"/>
              <w:rPr>
                <w:sz w:val="17"/>
              </w:rPr>
            </w:pPr>
            <w:r w:rsidRPr="00355FB7">
              <w:rPr>
                <w:sz w:val="17"/>
              </w:rPr>
              <w:t>Cayo Rum</w:t>
            </w:r>
          </w:p>
        </w:tc>
        <w:tc>
          <w:tcPr>
            <w:tcW w:w="945" w:type="dxa"/>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80</w:t>
            </w:r>
          </w:p>
        </w:tc>
        <w:tc>
          <w:tcPr>
            <w:tcW w:w="1143" w:type="dxa"/>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0</w:t>
            </w:r>
            <w:r w:rsidR="00355FB7">
              <w:rPr>
                <w:sz w:val="17"/>
              </w:rPr>
              <w:t>,</w:t>
            </w:r>
            <w:r w:rsidRPr="00355FB7">
              <w:rPr>
                <w:sz w:val="17"/>
              </w:rPr>
              <w:t>03</w:t>
            </w:r>
          </w:p>
        </w:tc>
        <w:tc>
          <w:tcPr>
            <w:tcW w:w="1017" w:type="dxa"/>
            <w:gridSpan w:val="2"/>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99</w:t>
            </w:r>
          </w:p>
        </w:tc>
        <w:tc>
          <w:tcPr>
            <w:tcW w:w="1119" w:type="dxa"/>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0</w:t>
            </w:r>
            <w:r w:rsidR="00355FB7">
              <w:rPr>
                <w:sz w:val="17"/>
              </w:rPr>
              <w:t>,</w:t>
            </w:r>
            <w:r w:rsidRPr="00355FB7">
              <w:rPr>
                <w:sz w:val="17"/>
              </w:rPr>
              <w:t>03</w:t>
            </w:r>
          </w:p>
        </w:tc>
      </w:tr>
      <w:tr w:rsidR="000A2C8E" w:rsidRPr="00355FB7">
        <w:tblPrEx>
          <w:tblCellMar>
            <w:top w:w="0" w:type="dxa"/>
            <w:bottom w:w="0" w:type="dxa"/>
          </w:tblCellMar>
        </w:tblPrEx>
        <w:tc>
          <w:tcPr>
            <w:tcW w:w="3096" w:type="dxa"/>
            <w:shd w:val="clear" w:color="auto" w:fill="auto"/>
            <w:vAlign w:val="bottom"/>
          </w:tcPr>
          <w:p w:rsidR="000A2C8E" w:rsidRPr="00355FB7" w:rsidRDefault="000A2C8E" w:rsidP="000A2C8E">
            <w:pPr>
              <w:pStyle w:val="SingleTxt"/>
              <w:tabs>
                <w:tab w:val="left" w:pos="288"/>
                <w:tab w:val="left" w:pos="576"/>
                <w:tab w:val="left" w:pos="864"/>
                <w:tab w:val="left" w:pos="1152"/>
              </w:tabs>
              <w:suppressAutoHyphens/>
              <w:spacing w:before="40" w:after="40" w:line="210" w:lineRule="exact"/>
              <w:ind w:left="0" w:right="40"/>
              <w:jc w:val="left"/>
              <w:rPr>
                <w:sz w:val="17"/>
              </w:rPr>
            </w:pPr>
            <w:r w:rsidRPr="00355FB7">
              <w:rPr>
                <w:sz w:val="17"/>
              </w:rPr>
              <w:t xml:space="preserve">San Salvador </w:t>
            </w:r>
          </w:p>
        </w:tc>
        <w:tc>
          <w:tcPr>
            <w:tcW w:w="945" w:type="dxa"/>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970</w:t>
            </w:r>
          </w:p>
        </w:tc>
        <w:tc>
          <w:tcPr>
            <w:tcW w:w="1143" w:type="dxa"/>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0</w:t>
            </w:r>
            <w:r w:rsidR="00355FB7">
              <w:rPr>
                <w:sz w:val="17"/>
              </w:rPr>
              <w:t>,</w:t>
            </w:r>
            <w:r w:rsidRPr="00355FB7">
              <w:rPr>
                <w:sz w:val="17"/>
              </w:rPr>
              <w:t>32</w:t>
            </w:r>
          </w:p>
        </w:tc>
        <w:tc>
          <w:tcPr>
            <w:tcW w:w="1017" w:type="dxa"/>
            <w:gridSpan w:val="2"/>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930</w:t>
            </w:r>
          </w:p>
        </w:tc>
        <w:tc>
          <w:tcPr>
            <w:tcW w:w="1119" w:type="dxa"/>
            <w:shd w:val="clear" w:color="auto" w:fill="auto"/>
            <w:vAlign w:val="bottom"/>
          </w:tcPr>
          <w:p w:rsidR="000A2C8E" w:rsidRPr="00355FB7" w:rsidRDefault="000A2C8E" w:rsidP="00BC4F92">
            <w:pPr>
              <w:tabs>
                <w:tab w:val="left" w:pos="288"/>
                <w:tab w:val="left" w:pos="576"/>
                <w:tab w:val="left" w:pos="864"/>
                <w:tab w:val="left" w:pos="1152"/>
              </w:tabs>
              <w:spacing w:before="40" w:after="40" w:line="210" w:lineRule="exact"/>
              <w:ind w:right="43"/>
              <w:jc w:val="right"/>
              <w:rPr>
                <w:sz w:val="17"/>
              </w:rPr>
            </w:pPr>
            <w:r w:rsidRPr="00355FB7">
              <w:rPr>
                <w:sz w:val="17"/>
              </w:rPr>
              <w:t>0</w:t>
            </w:r>
            <w:r w:rsidR="00355FB7">
              <w:rPr>
                <w:sz w:val="17"/>
              </w:rPr>
              <w:t>,</w:t>
            </w:r>
            <w:r w:rsidRPr="00355FB7">
              <w:rPr>
                <w:sz w:val="17"/>
              </w:rPr>
              <w:t>26</w:t>
            </w:r>
          </w:p>
        </w:tc>
      </w:tr>
      <w:tr w:rsidR="000A2C8E" w:rsidRPr="00355FB7">
        <w:tblPrEx>
          <w:tblCellMar>
            <w:top w:w="0" w:type="dxa"/>
            <w:bottom w:w="0" w:type="dxa"/>
          </w:tblCellMar>
        </w:tblPrEx>
        <w:tc>
          <w:tcPr>
            <w:tcW w:w="3096" w:type="dxa"/>
            <w:tcBorders>
              <w:bottom w:val="single" w:sz="12" w:space="0" w:color="auto"/>
            </w:tcBorders>
            <w:shd w:val="clear" w:color="auto" w:fill="auto"/>
            <w:vAlign w:val="bottom"/>
          </w:tcPr>
          <w:p w:rsidR="000A2C8E" w:rsidRPr="00355FB7" w:rsidRDefault="000A2C8E" w:rsidP="000A2C8E">
            <w:pPr>
              <w:pStyle w:val="SingleTxt"/>
              <w:tabs>
                <w:tab w:val="left" w:pos="288"/>
                <w:tab w:val="left" w:pos="576"/>
                <w:tab w:val="left" w:pos="864"/>
                <w:tab w:val="left" w:pos="1152"/>
              </w:tabs>
              <w:suppressAutoHyphens/>
              <w:spacing w:before="40" w:after="80" w:line="210" w:lineRule="exact"/>
              <w:ind w:left="0" w:right="40"/>
              <w:jc w:val="left"/>
              <w:rPr>
                <w:sz w:val="17"/>
              </w:rPr>
            </w:pPr>
            <w:r w:rsidRPr="00355FB7">
              <w:rPr>
                <w:sz w:val="17"/>
              </w:rPr>
              <w:t>Spanish Wells</w:t>
            </w:r>
          </w:p>
        </w:tc>
        <w:tc>
          <w:tcPr>
            <w:tcW w:w="945" w:type="dxa"/>
            <w:tcBorders>
              <w:bottom w:val="single" w:sz="12" w:space="0" w:color="auto"/>
            </w:tcBorders>
            <w:shd w:val="clear" w:color="auto" w:fill="auto"/>
            <w:vAlign w:val="bottom"/>
          </w:tcPr>
          <w:p w:rsidR="000A2C8E" w:rsidRPr="00355FB7" w:rsidRDefault="000A2C8E" w:rsidP="000A2C8E">
            <w:pPr>
              <w:tabs>
                <w:tab w:val="left" w:pos="288"/>
                <w:tab w:val="left" w:pos="576"/>
                <w:tab w:val="left" w:pos="864"/>
                <w:tab w:val="left" w:pos="1152"/>
              </w:tabs>
              <w:spacing w:before="40" w:after="80" w:line="210" w:lineRule="exact"/>
              <w:ind w:right="43"/>
              <w:jc w:val="right"/>
              <w:rPr>
                <w:sz w:val="17"/>
              </w:rPr>
            </w:pPr>
            <w:r w:rsidRPr="00355FB7">
              <w:rPr>
                <w:sz w:val="17"/>
              </w:rPr>
              <w:t>1 527</w:t>
            </w:r>
          </w:p>
        </w:tc>
        <w:tc>
          <w:tcPr>
            <w:tcW w:w="1143" w:type="dxa"/>
            <w:tcBorders>
              <w:bottom w:val="single" w:sz="12" w:space="0" w:color="auto"/>
            </w:tcBorders>
            <w:shd w:val="clear" w:color="auto" w:fill="auto"/>
            <w:vAlign w:val="bottom"/>
          </w:tcPr>
          <w:p w:rsidR="000A2C8E" w:rsidRPr="00355FB7" w:rsidRDefault="000A2C8E" w:rsidP="000A2C8E">
            <w:pPr>
              <w:tabs>
                <w:tab w:val="left" w:pos="288"/>
                <w:tab w:val="left" w:pos="576"/>
                <w:tab w:val="left" w:pos="864"/>
                <w:tab w:val="left" w:pos="1152"/>
              </w:tabs>
              <w:spacing w:before="40" w:after="80" w:line="210" w:lineRule="exact"/>
              <w:ind w:right="43"/>
              <w:jc w:val="right"/>
              <w:rPr>
                <w:sz w:val="17"/>
              </w:rPr>
            </w:pPr>
            <w:r w:rsidRPr="00355FB7">
              <w:rPr>
                <w:sz w:val="17"/>
              </w:rPr>
              <w:t>0</w:t>
            </w:r>
            <w:r w:rsidR="00355FB7">
              <w:rPr>
                <w:sz w:val="17"/>
              </w:rPr>
              <w:t>,</w:t>
            </w:r>
            <w:r w:rsidRPr="00355FB7">
              <w:rPr>
                <w:sz w:val="17"/>
              </w:rPr>
              <w:t>50</w:t>
            </w:r>
          </w:p>
        </w:tc>
        <w:tc>
          <w:tcPr>
            <w:tcW w:w="1017" w:type="dxa"/>
            <w:gridSpan w:val="2"/>
            <w:tcBorders>
              <w:bottom w:val="single" w:sz="12" w:space="0" w:color="auto"/>
            </w:tcBorders>
            <w:shd w:val="clear" w:color="auto" w:fill="auto"/>
            <w:vAlign w:val="bottom"/>
          </w:tcPr>
          <w:p w:rsidR="000A2C8E" w:rsidRPr="00355FB7" w:rsidRDefault="000A2C8E" w:rsidP="000A2C8E">
            <w:pPr>
              <w:tabs>
                <w:tab w:val="left" w:pos="288"/>
                <w:tab w:val="left" w:pos="576"/>
                <w:tab w:val="left" w:pos="864"/>
                <w:tab w:val="left" w:pos="1152"/>
              </w:tabs>
              <w:spacing w:before="40" w:after="80" w:line="210" w:lineRule="exact"/>
              <w:ind w:right="43"/>
              <w:jc w:val="right"/>
              <w:rPr>
                <w:sz w:val="17"/>
              </w:rPr>
            </w:pPr>
            <w:r w:rsidRPr="00355FB7">
              <w:rPr>
                <w:sz w:val="17"/>
              </w:rPr>
              <w:t>1 537</w:t>
            </w:r>
          </w:p>
        </w:tc>
        <w:tc>
          <w:tcPr>
            <w:tcW w:w="1119" w:type="dxa"/>
            <w:tcBorders>
              <w:bottom w:val="single" w:sz="12" w:space="0" w:color="auto"/>
            </w:tcBorders>
            <w:shd w:val="clear" w:color="auto" w:fill="auto"/>
            <w:vAlign w:val="bottom"/>
          </w:tcPr>
          <w:p w:rsidR="000A2C8E" w:rsidRPr="00355FB7" w:rsidRDefault="000A2C8E" w:rsidP="000A2C8E">
            <w:pPr>
              <w:tabs>
                <w:tab w:val="left" w:pos="288"/>
                <w:tab w:val="left" w:pos="576"/>
                <w:tab w:val="left" w:pos="864"/>
                <w:tab w:val="left" w:pos="1152"/>
              </w:tabs>
              <w:spacing w:before="40" w:after="80" w:line="210" w:lineRule="exact"/>
              <w:ind w:right="43"/>
              <w:jc w:val="right"/>
              <w:rPr>
                <w:sz w:val="17"/>
              </w:rPr>
            </w:pPr>
            <w:r w:rsidRPr="00355FB7">
              <w:rPr>
                <w:sz w:val="17"/>
              </w:rPr>
              <w:t>0</w:t>
            </w:r>
            <w:r w:rsidR="00355FB7">
              <w:rPr>
                <w:sz w:val="17"/>
              </w:rPr>
              <w:t>,</w:t>
            </w:r>
            <w:r w:rsidRPr="00355FB7">
              <w:rPr>
                <w:sz w:val="17"/>
              </w:rPr>
              <w:t>43</w:t>
            </w:r>
          </w:p>
        </w:tc>
      </w:tr>
    </w:tbl>
    <w:p w:rsidR="000A2C8E" w:rsidRPr="00161925" w:rsidRDefault="000A2C8E" w:rsidP="000A2C8E">
      <w:pPr>
        <w:pStyle w:val="SingleTxt"/>
        <w:suppressAutoHyphens/>
        <w:spacing w:after="0" w:line="120" w:lineRule="exact"/>
        <w:rPr>
          <w:sz w:val="10"/>
        </w:rPr>
      </w:pPr>
    </w:p>
    <w:p w:rsidR="00514694" w:rsidRPr="00161925" w:rsidRDefault="00514694" w:rsidP="004B0E02">
      <w:pPr>
        <w:pStyle w:val="FootnoteText"/>
        <w:tabs>
          <w:tab w:val="clear" w:pos="418"/>
          <w:tab w:val="right" w:pos="1476"/>
          <w:tab w:val="left" w:pos="1548"/>
          <w:tab w:val="right" w:pos="1836"/>
          <w:tab w:val="left" w:pos="1908"/>
        </w:tabs>
        <w:ind w:left="1548" w:right="1267" w:hanging="288"/>
      </w:pPr>
      <w:r w:rsidRPr="00161925">
        <w:rPr>
          <w:i/>
          <w:iCs/>
        </w:rPr>
        <w:t>Fuente</w:t>
      </w:r>
      <w:r w:rsidRPr="00161925">
        <w:t>: Departamento de Estadística.</w:t>
      </w:r>
    </w:p>
    <w:p w:rsidR="000A2C8E" w:rsidRPr="00161925" w:rsidRDefault="000A2C8E" w:rsidP="000A2C8E">
      <w:pPr>
        <w:pStyle w:val="SingleTxt"/>
        <w:suppressAutoHyphens/>
        <w:spacing w:after="0" w:line="120" w:lineRule="exact"/>
        <w:rPr>
          <w:sz w:val="10"/>
        </w:rPr>
      </w:pPr>
    </w:p>
    <w:p w:rsidR="000A2C8E" w:rsidRPr="00161925" w:rsidRDefault="000A2C8E" w:rsidP="000A2C8E">
      <w:pPr>
        <w:pStyle w:val="SingleTxt"/>
        <w:suppressAutoHyphens/>
        <w:spacing w:after="0" w:line="120" w:lineRule="exact"/>
        <w:rPr>
          <w:sz w:val="10"/>
        </w:rPr>
      </w:pPr>
    </w:p>
    <w:p w:rsidR="00514694" w:rsidRPr="00161925" w:rsidRDefault="00514694" w:rsidP="00514694">
      <w:pPr>
        <w:pStyle w:val="SingleTxt"/>
        <w:numPr>
          <w:ilvl w:val="0"/>
          <w:numId w:val="5"/>
        </w:numPr>
        <w:tabs>
          <w:tab w:val="clear" w:pos="475"/>
          <w:tab w:val="num" w:pos="1742"/>
        </w:tabs>
        <w:suppressAutoHyphens/>
        <w:ind w:left="1267"/>
      </w:pPr>
      <w:r w:rsidRPr="00161925">
        <w:t>Andros, la isla más grande de las Bahamas, abarca casi el 43% de la superficie terrestre total del archipiélago y en 2010 solo tenía el 2% de la población. En cambio, New Providence, la capital de las Bahamas, tiene apenas el 1,5% de la superficie terrestre pero en 2010 vivía en ella más del 70% de la población. Las dos islas más importantes, New Providence y Gran</w:t>
      </w:r>
      <w:r w:rsidR="0001453A">
        <w:t>d</w:t>
      </w:r>
      <w:r w:rsidRPr="00161925">
        <w:t xml:space="preserve"> Bahama, acaparaban aproximadamente el 85% de la población total del país.</w:t>
      </w:r>
    </w:p>
    <w:p w:rsidR="00514694" w:rsidRPr="00161925" w:rsidRDefault="00514694" w:rsidP="004B0E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433" w:hanging="1267"/>
      </w:pPr>
      <w:r w:rsidRPr="00161925">
        <w:tab/>
      </w:r>
      <w:r w:rsidRPr="00161925">
        <w:tab/>
      </w:r>
      <w:r w:rsidRPr="00161925">
        <w:rPr>
          <w:b w:val="0"/>
        </w:rPr>
        <w:t>Cuadro 2</w:t>
      </w:r>
      <w:r w:rsidRPr="00161925">
        <w:rPr>
          <w:b w:val="0"/>
        </w:rPr>
        <w:br/>
      </w:r>
      <w:r w:rsidRPr="00161925">
        <w:t>Superficie terrestre y densidad de población por</w:t>
      </w:r>
      <w:r w:rsidR="004B0E02" w:rsidRPr="00161925">
        <w:t xml:space="preserve"> </w:t>
      </w:r>
      <w:r w:rsidRPr="00161925">
        <w:t>isla (censo de 20</w:t>
      </w:r>
      <w:r w:rsidR="0001453A">
        <w:t>1</w:t>
      </w:r>
      <w:r w:rsidRPr="00161925">
        <w:t>0)</w:t>
      </w:r>
    </w:p>
    <w:p w:rsidR="00514694" w:rsidRPr="00161925" w:rsidRDefault="00514694" w:rsidP="00514694">
      <w:pPr>
        <w:pStyle w:val="SingleTxt"/>
        <w:suppressAutoHyphens/>
        <w:spacing w:after="0" w:line="120" w:lineRule="exact"/>
        <w:rPr>
          <w:sz w:val="10"/>
        </w:rPr>
      </w:pPr>
    </w:p>
    <w:p w:rsidR="004B0E02" w:rsidRPr="00161925" w:rsidRDefault="004B0E02" w:rsidP="004B0E02">
      <w:pPr>
        <w:pStyle w:val="SingleTxt"/>
        <w:spacing w:after="0" w:line="120" w:lineRule="exact"/>
        <w:rPr>
          <w:sz w:val="10"/>
        </w:rPr>
      </w:pPr>
    </w:p>
    <w:tbl>
      <w:tblPr>
        <w:tblW w:w="7370" w:type="dxa"/>
        <w:tblInd w:w="1267" w:type="dxa"/>
        <w:tblCellMar>
          <w:left w:w="0" w:type="dxa"/>
          <w:right w:w="0" w:type="dxa"/>
        </w:tblCellMar>
        <w:tblLook w:val="04A0" w:firstRow="1" w:lastRow="0" w:firstColumn="1" w:lastColumn="0" w:noHBand="0" w:noVBand="1"/>
      </w:tblPr>
      <w:tblGrid>
        <w:gridCol w:w="3917"/>
        <w:gridCol w:w="1071"/>
        <w:gridCol w:w="1107"/>
        <w:gridCol w:w="1275"/>
      </w:tblGrid>
      <w:tr w:rsidR="004B0E02" w:rsidRPr="0001453A">
        <w:trPr>
          <w:trHeight w:val="240"/>
          <w:tblHeader/>
        </w:trPr>
        <w:tc>
          <w:tcPr>
            <w:tcW w:w="3917" w:type="dxa"/>
            <w:tcBorders>
              <w:top w:val="single" w:sz="4" w:space="0" w:color="auto"/>
              <w:bottom w:val="single" w:sz="12" w:space="0" w:color="auto"/>
            </w:tcBorders>
            <w:shd w:val="clear" w:color="auto" w:fill="auto"/>
            <w:vAlign w:val="bottom"/>
          </w:tcPr>
          <w:p w:rsidR="004B0E02" w:rsidRPr="0001453A" w:rsidRDefault="004B0E02" w:rsidP="0001453A">
            <w:pPr>
              <w:spacing w:before="80" w:after="80" w:line="160" w:lineRule="exact"/>
              <w:ind w:right="40"/>
              <w:rPr>
                <w:i/>
                <w:sz w:val="14"/>
              </w:rPr>
            </w:pPr>
            <w:r w:rsidRPr="0001453A">
              <w:rPr>
                <w:i/>
                <w:sz w:val="14"/>
              </w:rPr>
              <w:t>Isla</w:t>
            </w:r>
          </w:p>
        </w:tc>
        <w:tc>
          <w:tcPr>
            <w:tcW w:w="1071" w:type="dxa"/>
            <w:tcBorders>
              <w:top w:val="single" w:sz="4" w:space="0" w:color="auto"/>
              <w:bottom w:val="single" w:sz="12" w:space="0" w:color="auto"/>
            </w:tcBorders>
            <w:shd w:val="clear" w:color="auto" w:fill="auto"/>
            <w:vAlign w:val="bottom"/>
          </w:tcPr>
          <w:p w:rsidR="004B0E02" w:rsidRPr="0001453A" w:rsidRDefault="004B0E02" w:rsidP="0001453A">
            <w:pPr>
              <w:spacing w:before="80" w:after="80" w:line="160" w:lineRule="exact"/>
              <w:ind w:right="43"/>
              <w:jc w:val="right"/>
              <w:rPr>
                <w:i/>
                <w:sz w:val="14"/>
              </w:rPr>
            </w:pPr>
            <w:r w:rsidRPr="0001453A">
              <w:rPr>
                <w:i/>
                <w:sz w:val="14"/>
              </w:rPr>
              <w:t>Superficie (millas cuadradas)</w:t>
            </w:r>
          </w:p>
        </w:tc>
        <w:tc>
          <w:tcPr>
            <w:tcW w:w="1107" w:type="dxa"/>
            <w:tcBorders>
              <w:top w:val="single" w:sz="4" w:space="0" w:color="auto"/>
              <w:bottom w:val="single" w:sz="12" w:space="0" w:color="auto"/>
            </w:tcBorders>
            <w:shd w:val="clear" w:color="auto" w:fill="auto"/>
            <w:vAlign w:val="bottom"/>
          </w:tcPr>
          <w:p w:rsidR="004B0E02" w:rsidRPr="0001453A" w:rsidRDefault="004B0E02" w:rsidP="0001453A">
            <w:pPr>
              <w:spacing w:before="80" w:after="80" w:line="160" w:lineRule="exact"/>
              <w:ind w:right="43"/>
              <w:jc w:val="right"/>
              <w:rPr>
                <w:i/>
                <w:sz w:val="14"/>
              </w:rPr>
            </w:pPr>
            <w:r w:rsidRPr="0001453A">
              <w:rPr>
                <w:i/>
                <w:sz w:val="14"/>
              </w:rPr>
              <w:t>Población</w:t>
            </w:r>
          </w:p>
        </w:tc>
        <w:tc>
          <w:tcPr>
            <w:tcW w:w="1275" w:type="dxa"/>
            <w:tcBorders>
              <w:top w:val="single" w:sz="4" w:space="0" w:color="auto"/>
              <w:bottom w:val="single" w:sz="12" w:space="0" w:color="auto"/>
            </w:tcBorders>
            <w:shd w:val="clear" w:color="auto" w:fill="auto"/>
            <w:vAlign w:val="bottom"/>
          </w:tcPr>
          <w:p w:rsidR="004B0E02" w:rsidRPr="0001453A" w:rsidRDefault="004B0E02" w:rsidP="0001453A">
            <w:pPr>
              <w:spacing w:before="80" w:after="80" w:line="160" w:lineRule="exact"/>
              <w:ind w:right="43"/>
              <w:jc w:val="right"/>
              <w:rPr>
                <w:i/>
                <w:sz w:val="14"/>
              </w:rPr>
            </w:pPr>
            <w:r w:rsidRPr="0001453A">
              <w:rPr>
                <w:i/>
                <w:sz w:val="14"/>
              </w:rPr>
              <w:t xml:space="preserve">Densidad </w:t>
            </w:r>
            <w:r w:rsidRPr="0001453A">
              <w:rPr>
                <w:i/>
                <w:sz w:val="14"/>
              </w:rPr>
              <w:br/>
              <w:t>(población por milla cuadrada)</w:t>
            </w:r>
          </w:p>
        </w:tc>
      </w:tr>
      <w:tr w:rsidR="004B0E02" w:rsidRPr="0001453A">
        <w:trPr>
          <w:trHeight w:hRule="exact" w:val="115"/>
          <w:tblHeader/>
        </w:trPr>
        <w:tc>
          <w:tcPr>
            <w:tcW w:w="3917" w:type="dxa"/>
            <w:tcBorders>
              <w:top w:val="single" w:sz="12" w:space="0" w:color="auto"/>
            </w:tcBorders>
            <w:shd w:val="clear" w:color="auto" w:fill="auto"/>
            <w:vAlign w:val="bottom"/>
          </w:tcPr>
          <w:p w:rsidR="004B0E02" w:rsidRPr="0001453A" w:rsidRDefault="004B0E02" w:rsidP="00807C58">
            <w:pPr>
              <w:spacing w:before="40" w:after="40" w:line="210" w:lineRule="exact"/>
              <w:ind w:right="40"/>
              <w:rPr>
                <w:sz w:val="17"/>
              </w:rPr>
            </w:pPr>
          </w:p>
        </w:tc>
        <w:tc>
          <w:tcPr>
            <w:tcW w:w="1071" w:type="dxa"/>
            <w:tcBorders>
              <w:top w:val="single" w:sz="12" w:space="0" w:color="auto"/>
            </w:tcBorders>
            <w:shd w:val="clear" w:color="auto" w:fill="auto"/>
            <w:vAlign w:val="bottom"/>
          </w:tcPr>
          <w:p w:rsidR="004B0E02" w:rsidRPr="0001453A" w:rsidRDefault="004B0E02" w:rsidP="00807C58">
            <w:pPr>
              <w:spacing w:before="40" w:after="40" w:line="210" w:lineRule="exact"/>
              <w:ind w:right="43"/>
              <w:jc w:val="right"/>
              <w:rPr>
                <w:sz w:val="17"/>
              </w:rPr>
            </w:pPr>
          </w:p>
        </w:tc>
        <w:tc>
          <w:tcPr>
            <w:tcW w:w="1107" w:type="dxa"/>
            <w:tcBorders>
              <w:top w:val="single" w:sz="12" w:space="0" w:color="auto"/>
            </w:tcBorders>
            <w:shd w:val="clear" w:color="auto" w:fill="auto"/>
            <w:vAlign w:val="bottom"/>
          </w:tcPr>
          <w:p w:rsidR="004B0E02" w:rsidRPr="0001453A" w:rsidRDefault="004B0E02" w:rsidP="00807C58">
            <w:pPr>
              <w:spacing w:before="40" w:after="40" w:line="210" w:lineRule="exact"/>
              <w:ind w:right="43"/>
              <w:jc w:val="right"/>
              <w:rPr>
                <w:sz w:val="17"/>
              </w:rPr>
            </w:pPr>
          </w:p>
        </w:tc>
        <w:tc>
          <w:tcPr>
            <w:tcW w:w="1275" w:type="dxa"/>
            <w:tcBorders>
              <w:top w:val="single" w:sz="12" w:space="0" w:color="auto"/>
            </w:tcBorders>
            <w:shd w:val="clear" w:color="auto" w:fill="auto"/>
            <w:vAlign w:val="bottom"/>
          </w:tcPr>
          <w:p w:rsidR="004B0E02" w:rsidRPr="0001453A" w:rsidRDefault="004B0E02" w:rsidP="00807C58">
            <w:pPr>
              <w:spacing w:before="40" w:after="40" w:line="210" w:lineRule="exact"/>
              <w:ind w:right="43"/>
              <w:jc w:val="right"/>
              <w:rPr>
                <w:sz w:val="17"/>
              </w:rPr>
            </w:pPr>
          </w:p>
        </w:tc>
      </w:tr>
      <w:tr w:rsidR="004B0E02" w:rsidRPr="0001453A">
        <w:trPr>
          <w:trHeight w:val="240"/>
        </w:trPr>
        <w:tc>
          <w:tcPr>
            <w:tcW w:w="3917"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0"/>
              <w:rPr>
                <w:sz w:val="17"/>
              </w:rPr>
            </w:pPr>
            <w:r w:rsidRPr="0001453A">
              <w:rPr>
                <w:sz w:val="17"/>
              </w:rPr>
              <w:t>Todo el archipiélago</w:t>
            </w:r>
          </w:p>
        </w:tc>
        <w:tc>
          <w:tcPr>
            <w:tcW w:w="1071"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3"/>
              <w:jc w:val="right"/>
              <w:rPr>
                <w:sz w:val="17"/>
              </w:rPr>
            </w:pPr>
            <w:r w:rsidRPr="0001453A">
              <w:rPr>
                <w:sz w:val="17"/>
              </w:rPr>
              <w:t>5 382</w:t>
            </w:r>
          </w:p>
        </w:tc>
        <w:tc>
          <w:tcPr>
            <w:tcW w:w="1107"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3"/>
              <w:jc w:val="right"/>
              <w:rPr>
                <w:sz w:val="17"/>
              </w:rPr>
            </w:pPr>
            <w:r w:rsidRPr="0001453A">
              <w:rPr>
                <w:sz w:val="17"/>
              </w:rPr>
              <w:t>352 658</w:t>
            </w:r>
          </w:p>
        </w:tc>
        <w:tc>
          <w:tcPr>
            <w:tcW w:w="1275"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3"/>
              <w:jc w:val="right"/>
              <w:rPr>
                <w:sz w:val="17"/>
              </w:rPr>
            </w:pPr>
            <w:r w:rsidRPr="0001453A">
              <w:rPr>
                <w:sz w:val="17"/>
              </w:rPr>
              <w:t>66</w:t>
            </w:r>
          </w:p>
        </w:tc>
      </w:tr>
      <w:tr w:rsidR="004B0E02" w:rsidRPr="0001453A">
        <w:trPr>
          <w:trHeight w:val="240"/>
        </w:trPr>
        <w:tc>
          <w:tcPr>
            <w:tcW w:w="3917"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0"/>
              <w:rPr>
                <w:sz w:val="17"/>
              </w:rPr>
            </w:pPr>
            <w:r w:rsidRPr="0001453A">
              <w:rPr>
                <w:sz w:val="17"/>
              </w:rPr>
              <w:t>New Providence</w:t>
            </w:r>
          </w:p>
        </w:tc>
        <w:tc>
          <w:tcPr>
            <w:tcW w:w="1071"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3"/>
              <w:jc w:val="right"/>
              <w:rPr>
                <w:sz w:val="17"/>
              </w:rPr>
            </w:pPr>
            <w:r w:rsidRPr="0001453A">
              <w:rPr>
                <w:sz w:val="17"/>
              </w:rPr>
              <w:t>80</w:t>
            </w:r>
          </w:p>
        </w:tc>
        <w:tc>
          <w:tcPr>
            <w:tcW w:w="1107"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3"/>
              <w:jc w:val="right"/>
              <w:rPr>
                <w:sz w:val="17"/>
              </w:rPr>
            </w:pPr>
            <w:r w:rsidRPr="0001453A">
              <w:rPr>
                <w:sz w:val="17"/>
              </w:rPr>
              <w:t>248 948</w:t>
            </w:r>
          </w:p>
        </w:tc>
        <w:tc>
          <w:tcPr>
            <w:tcW w:w="1275"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3"/>
              <w:jc w:val="right"/>
              <w:rPr>
                <w:sz w:val="17"/>
              </w:rPr>
            </w:pPr>
            <w:r w:rsidRPr="0001453A">
              <w:rPr>
                <w:sz w:val="17"/>
              </w:rPr>
              <w:t>3112</w:t>
            </w:r>
          </w:p>
        </w:tc>
      </w:tr>
      <w:tr w:rsidR="004B0E02" w:rsidRPr="0001453A">
        <w:trPr>
          <w:trHeight w:val="240"/>
        </w:trPr>
        <w:tc>
          <w:tcPr>
            <w:tcW w:w="3917"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0"/>
              <w:rPr>
                <w:sz w:val="17"/>
              </w:rPr>
            </w:pPr>
            <w:r w:rsidRPr="0001453A">
              <w:rPr>
                <w:sz w:val="17"/>
              </w:rPr>
              <w:t>Grand Bahama</w:t>
            </w:r>
          </w:p>
        </w:tc>
        <w:tc>
          <w:tcPr>
            <w:tcW w:w="1071"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3"/>
              <w:jc w:val="right"/>
              <w:rPr>
                <w:sz w:val="17"/>
              </w:rPr>
            </w:pPr>
            <w:r w:rsidRPr="0001453A">
              <w:rPr>
                <w:sz w:val="17"/>
              </w:rPr>
              <w:t>530</w:t>
            </w:r>
          </w:p>
        </w:tc>
        <w:tc>
          <w:tcPr>
            <w:tcW w:w="1107"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3"/>
              <w:jc w:val="right"/>
              <w:rPr>
                <w:sz w:val="17"/>
              </w:rPr>
            </w:pPr>
            <w:r w:rsidRPr="0001453A">
              <w:rPr>
                <w:sz w:val="17"/>
              </w:rPr>
              <w:t>51 756</w:t>
            </w:r>
          </w:p>
        </w:tc>
        <w:tc>
          <w:tcPr>
            <w:tcW w:w="1275"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3"/>
              <w:jc w:val="right"/>
              <w:rPr>
                <w:sz w:val="17"/>
              </w:rPr>
            </w:pPr>
            <w:r w:rsidRPr="0001453A">
              <w:rPr>
                <w:sz w:val="17"/>
              </w:rPr>
              <w:t>98</w:t>
            </w:r>
          </w:p>
        </w:tc>
      </w:tr>
      <w:tr w:rsidR="004B0E02" w:rsidRPr="0001453A">
        <w:trPr>
          <w:trHeight w:val="240"/>
        </w:trPr>
        <w:tc>
          <w:tcPr>
            <w:tcW w:w="3917"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0"/>
              <w:rPr>
                <w:sz w:val="17"/>
              </w:rPr>
            </w:pPr>
            <w:r w:rsidRPr="0001453A">
              <w:rPr>
                <w:sz w:val="17"/>
              </w:rPr>
              <w:t>Abaco</w:t>
            </w:r>
          </w:p>
        </w:tc>
        <w:tc>
          <w:tcPr>
            <w:tcW w:w="1071"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3"/>
              <w:jc w:val="right"/>
              <w:rPr>
                <w:sz w:val="17"/>
              </w:rPr>
            </w:pPr>
            <w:r w:rsidRPr="0001453A">
              <w:rPr>
                <w:sz w:val="17"/>
              </w:rPr>
              <w:t>649</w:t>
            </w:r>
          </w:p>
        </w:tc>
        <w:tc>
          <w:tcPr>
            <w:tcW w:w="1107"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3"/>
              <w:jc w:val="right"/>
              <w:rPr>
                <w:sz w:val="17"/>
              </w:rPr>
            </w:pPr>
            <w:r w:rsidRPr="0001453A">
              <w:rPr>
                <w:sz w:val="17"/>
              </w:rPr>
              <w:t>16 692</w:t>
            </w:r>
          </w:p>
        </w:tc>
        <w:tc>
          <w:tcPr>
            <w:tcW w:w="1275"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3"/>
              <w:jc w:val="right"/>
              <w:rPr>
                <w:sz w:val="17"/>
              </w:rPr>
            </w:pPr>
            <w:r w:rsidRPr="0001453A">
              <w:rPr>
                <w:sz w:val="17"/>
              </w:rPr>
              <w:t>26</w:t>
            </w:r>
          </w:p>
        </w:tc>
      </w:tr>
      <w:tr w:rsidR="004B0E02" w:rsidRPr="0001453A">
        <w:trPr>
          <w:trHeight w:val="240"/>
        </w:trPr>
        <w:tc>
          <w:tcPr>
            <w:tcW w:w="3917"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0"/>
              <w:rPr>
                <w:sz w:val="17"/>
              </w:rPr>
            </w:pPr>
            <w:r w:rsidRPr="0001453A">
              <w:rPr>
                <w:sz w:val="17"/>
              </w:rPr>
              <w:t>Acklins</w:t>
            </w:r>
          </w:p>
        </w:tc>
        <w:tc>
          <w:tcPr>
            <w:tcW w:w="1071"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3"/>
              <w:jc w:val="right"/>
              <w:rPr>
                <w:sz w:val="17"/>
              </w:rPr>
            </w:pPr>
            <w:r w:rsidRPr="0001453A">
              <w:rPr>
                <w:sz w:val="17"/>
              </w:rPr>
              <w:t>192</w:t>
            </w:r>
          </w:p>
        </w:tc>
        <w:tc>
          <w:tcPr>
            <w:tcW w:w="1107"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3"/>
              <w:jc w:val="right"/>
              <w:rPr>
                <w:sz w:val="17"/>
              </w:rPr>
            </w:pPr>
            <w:r w:rsidRPr="0001453A">
              <w:rPr>
                <w:sz w:val="17"/>
              </w:rPr>
              <w:t>560</w:t>
            </w:r>
          </w:p>
        </w:tc>
        <w:tc>
          <w:tcPr>
            <w:tcW w:w="1275"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3"/>
              <w:jc w:val="right"/>
              <w:rPr>
                <w:sz w:val="17"/>
              </w:rPr>
            </w:pPr>
            <w:r w:rsidRPr="0001453A">
              <w:rPr>
                <w:sz w:val="17"/>
              </w:rPr>
              <w:t>3</w:t>
            </w:r>
          </w:p>
        </w:tc>
      </w:tr>
      <w:tr w:rsidR="004B0E02" w:rsidRPr="0001453A">
        <w:trPr>
          <w:trHeight w:val="240"/>
        </w:trPr>
        <w:tc>
          <w:tcPr>
            <w:tcW w:w="3917"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0"/>
              <w:rPr>
                <w:sz w:val="17"/>
              </w:rPr>
            </w:pPr>
            <w:r w:rsidRPr="0001453A">
              <w:rPr>
                <w:sz w:val="17"/>
              </w:rPr>
              <w:t>Andros</w:t>
            </w:r>
          </w:p>
        </w:tc>
        <w:tc>
          <w:tcPr>
            <w:tcW w:w="1071"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3"/>
              <w:jc w:val="right"/>
              <w:rPr>
                <w:sz w:val="17"/>
              </w:rPr>
            </w:pPr>
            <w:r w:rsidRPr="0001453A">
              <w:rPr>
                <w:sz w:val="17"/>
              </w:rPr>
              <w:t>2 300</w:t>
            </w:r>
          </w:p>
        </w:tc>
        <w:tc>
          <w:tcPr>
            <w:tcW w:w="1107"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3"/>
              <w:jc w:val="right"/>
              <w:rPr>
                <w:sz w:val="17"/>
              </w:rPr>
            </w:pPr>
            <w:r w:rsidRPr="0001453A">
              <w:rPr>
                <w:sz w:val="17"/>
              </w:rPr>
              <w:t>7 386</w:t>
            </w:r>
          </w:p>
        </w:tc>
        <w:tc>
          <w:tcPr>
            <w:tcW w:w="1275"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3"/>
              <w:jc w:val="right"/>
              <w:rPr>
                <w:sz w:val="17"/>
              </w:rPr>
            </w:pPr>
            <w:r w:rsidRPr="0001453A">
              <w:rPr>
                <w:sz w:val="17"/>
              </w:rPr>
              <w:t>3</w:t>
            </w:r>
          </w:p>
        </w:tc>
      </w:tr>
      <w:tr w:rsidR="004B0E02" w:rsidRPr="0001453A">
        <w:trPr>
          <w:trHeight w:val="240"/>
        </w:trPr>
        <w:tc>
          <w:tcPr>
            <w:tcW w:w="3917"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0"/>
              <w:rPr>
                <w:sz w:val="17"/>
              </w:rPr>
            </w:pPr>
            <w:r w:rsidRPr="0001453A">
              <w:rPr>
                <w:sz w:val="17"/>
              </w:rPr>
              <w:t xml:space="preserve">Islas Berry </w:t>
            </w:r>
          </w:p>
        </w:tc>
        <w:tc>
          <w:tcPr>
            <w:tcW w:w="1071"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3"/>
              <w:jc w:val="right"/>
              <w:rPr>
                <w:sz w:val="17"/>
              </w:rPr>
            </w:pPr>
            <w:r w:rsidRPr="0001453A">
              <w:rPr>
                <w:sz w:val="17"/>
              </w:rPr>
              <w:t>12</w:t>
            </w:r>
          </w:p>
        </w:tc>
        <w:tc>
          <w:tcPr>
            <w:tcW w:w="1107"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3"/>
              <w:jc w:val="right"/>
              <w:rPr>
                <w:sz w:val="17"/>
              </w:rPr>
            </w:pPr>
            <w:r w:rsidRPr="0001453A">
              <w:rPr>
                <w:sz w:val="17"/>
              </w:rPr>
              <w:t>798</w:t>
            </w:r>
          </w:p>
        </w:tc>
        <w:tc>
          <w:tcPr>
            <w:tcW w:w="1275"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3"/>
              <w:jc w:val="right"/>
              <w:rPr>
                <w:sz w:val="17"/>
              </w:rPr>
            </w:pPr>
            <w:r w:rsidRPr="0001453A">
              <w:rPr>
                <w:sz w:val="17"/>
              </w:rPr>
              <w:t>67</w:t>
            </w:r>
          </w:p>
        </w:tc>
      </w:tr>
      <w:tr w:rsidR="004B0E02" w:rsidRPr="0001453A">
        <w:trPr>
          <w:trHeight w:val="240"/>
        </w:trPr>
        <w:tc>
          <w:tcPr>
            <w:tcW w:w="3917"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0"/>
              <w:rPr>
                <w:sz w:val="17"/>
              </w:rPr>
            </w:pPr>
            <w:r w:rsidRPr="0001453A">
              <w:rPr>
                <w:sz w:val="17"/>
              </w:rPr>
              <w:t>Bimini</w:t>
            </w:r>
          </w:p>
        </w:tc>
        <w:tc>
          <w:tcPr>
            <w:tcW w:w="1071"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3"/>
              <w:jc w:val="right"/>
              <w:rPr>
                <w:sz w:val="17"/>
              </w:rPr>
            </w:pPr>
            <w:r w:rsidRPr="0001453A">
              <w:rPr>
                <w:sz w:val="17"/>
              </w:rPr>
              <w:t>9</w:t>
            </w:r>
          </w:p>
        </w:tc>
        <w:tc>
          <w:tcPr>
            <w:tcW w:w="1107"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3"/>
              <w:jc w:val="right"/>
              <w:rPr>
                <w:sz w:val="17"/>
              </w:rPr>
            </w:pPr>
            <w:r w:rsidRPr="0001453A">
              <w:rPr>
                <w:sz w:val="17"/>
              </w:rPr>
              <w:t>2 008</w:t>
            </w:r>
          </w:p>
        </w:tc>
        <w:tc>
          <w:tcPr>
            <w:tcW w:w="1275"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3"/>
              <w:jc w:val="right"/>
              <w:rPr>
                <w:sz w:val="17"/>
              </w:rPr>
            </w:pPr>
            <w:r w:rsidRPr="0001453A">
              <w:rPr>
                <w:sz w:val="17"/>
              </w:rPr>
              <w:t>223</w:t>
            </w:r>
          </w:p>
        </w:tc>
      </w:tr>
      <w:tr w:rsidR="004B0E02" w:rsidRPr="0001453A">
        <w:trPr>
          <w:trHeight w:val="240"/>
        </w:trPr>
        <w:tc>
          <w:tcPr>
            <w:tcW w:w="3917"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0"/>
              <w:rPr>
                <w:sz w:val="17"/>
              </w:rPr>
            </w:pPr>
            <w:r w:rsidRPr="0001453A">
              <w:rPr>
                <w:sz w:val="17"/>
              </w:rPr>
              <w:t>Isla Cat</w:t>
            </w:r>
          </w:p>
        </w:tc>
        <w:tc>
          <w:tcPr>
            <w:tcW w:w="1071"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3"/>
              <w:jc w:val="right"/>
              <w:rPr>
                <w:sz w:val="17"/>
              </w:rPr>
            </w:pPr>
            <w:r w:rsidRPr="0001453A">
              <w:rPr>
                <w:sz w:val="17"/>
              </w:rPr>
              <w:t>150</w:t>
            </w:r>
          </w:p>
        </w:tc>
        <w:tc>
          <w:tcPr>
            <w:tcW w:w="1107"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3"/>
              <w:jc w:val="right"/>
              <w:rPr>
                <w:sz w:val="17"/>
              </w:rPr>
            </w:pPr>
            <w:r w:rsidRPr="0001453A">
              <w:rPr>
                <w:sz w:val="17"/>
              </w:rPr>
              <w:t>1 503</w:t>
            </w:r>
          </w:p>
        </w:tc>
        <w:tc>
          <w:tcPr>
            <w:tcW w:w="1275"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3"/>
              <w:jc w:val="right"/>
              <w:rPr>
                <w:sz w:val="17"/>
              </w:rPr>
            </w:pPr>
            <w:r w:rsidRPr="0001453A">
              <w:rPr>
                <w:sz w:val="17"/>
              </w:rPr>
              <w:t>10</w:t>
            </w:r>
          </w:p>
        </w:tc>
      </w:tr>
      <w:tr w:rsidR="004B0E02" w:rsidRPr="0001453A">
        <w:trPr>
          <w:trHeight w:val="240"/>
        </w:trPr>
        <w:tc>
          <w:tcPr>
            <w:tcW w:w="3917"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0"/>
              <w:rPr>
                <w:sz w:val="17"/>
              </w:rPr>
            </w:pPr>
            <w:r w:rsidRPr="0001453A">
              <w:rPr>
                <w:sz w:val="17"/>
              </w:rPr>
              <w:t xml:space="preserve">Isla Crooked </w:t>
            </w:r>
          </w:p>
        </w:tc>
        <w:tc>
          <w:tcPr>
            <w:tcW w:w="1071"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3"/>
              <w:jc w:val="right"/>
              <w:rPr>
                <w:sz w:val="17"/>
              </w:rPr>
            </w:pPr>
            <w:r w:rsidRPr="0001453A">
              <w:rPr>
                <w:sz w:val="17"/>
              </w:rPr>
              <w:t>93</w:t>
            </w:r>
          </w:p>
        </w:tc>
        <w:tc>
          <w:tcPr>
            <w:tcW w:w="1107"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3"/>
              <w:jc w:val="right"/>
              <w:rPr>
                <w:sz w:val="17"/>
              </w:rPr>
            </w:pPr>
            <w:r w:rsidRPr="0001453A">
              <w:rPr>
                <w:sz w:val="17"/>
              </w:rPr>
              <w:t>323</w:t>
            </w:r>
          </w:p>
        </w:tc>
        <w:tc>
          <w:tcPr>
            <w:tcW w:w="1275"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3"/>
              <w:jc w:val="right"/>
              <w:rPr>
                <w:sz w:val="17"/>
              </w:rPr>
            </w:pPr>
            <w:r w:rsidRPr="0001453A">
              <w:rPr>
                <w:sz w:val="17"/>
              </w:rPr>
              <w:t>3</w:t>
            </w:r>
          </w:p>
        </w:tc>
      </w:tr>
      <w:tr w:rsidR="004B0E02" w:rsidRPr="0001453A">
        <w:trPr>
          <w:trHeight w:val="240"/>
        </w:trPr>
        <w:tc>
          <w:tcPr>
            <w:tcW w:w="3917"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0"/>
              <w:rPr>
                <w:sz w:val="17"/>
              </w:rPr>
            </w:pPr>
            <w:r w:rsidRPr="0001453A">
              <w:rPr>
                <w:sz w:val="17"/>
              </w:rPr>
              <w:t>Eleuthera</w:t>
            </w:r>
          </w:p>
        </w:tc>
        <w:tc>
          <w:tcPr>
            <w:tcW w:w="1071"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3"/>
              <w:jc w:val="right"/>
              <w:rPr>
                <w:sz w:val="17"/>
              </w:rPr>
            </w:pPr>
            <w:r w:rsidRPr="0001453A">
              <w:rPr>
                <w:sz w:val="17"/>
              </w:rPr>
              <w:t>187</w:t>
            </w:r>
          </w:p>
        </w:tc>
        <w:tc>
          <w:tcPr>
            <w:tcW w:w="1107"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3"/>
              <w:jc w:val="right"/>
              <w:rPr>
                <w:sz w:val="17"/>
              </w:rPr>
            </w:pPr>
            <w:r w:rsidRPr="0001453A">
              <w:rPr>
                <w:sz w:val="17"/>
              </w:rPr>
              <w:t>7 826</w:t>
            </w:r>
          </w:p>
        </w:tc>
        <w:tc>
          <w:tcPr>
            <w:tcW w:w="1275"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3"/>
              <w:jc w:val="right"/>
              <w:rPr>
                <w:sz w:val="17"/>
              </w:rPr>
            </w:pPr>
            <w:r w:rsidRPr="0001453A">
              <w:rPr>
                <w:sz w:val="17"/>
              </w:rPr>
              <w:t>42</w:t>
            </w:r>
          </w:p>
        </w:tc>
      </w:tr>
      <w:tr w:rsidR="004B0E02" w:rsidRPr="0001453A">
        <w:trPr>
          <w:trHeight w:val="240"/>
        </w:trPr>
        <w:tc>
          <w:tcPr>
            <w:tcW w:w="3917"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0"/>
              <w:rPr>
                <w:sz w:val="17"/>
              </w:rPr>
            </w:pPr>
            <w:r w:rsidRPr="0001453A">
              <w:rPr>
                <w:sz w:val="17"/>
              </w:rPr>
              <w:t>Exuma y Cays</w:t>
            </w:r>
          </w:p>
        </w:tc>
        <w:tc>
          <w:tcPr>
            <w:tcW w:w="1071"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3"/>
              <w:jc w:val="right"/>
              <w:rPr>
                <w:sz w:val="17"/>
              </w:rPr>
            </w:pPr>
            <w:r w:rsidRPr="0001453A">
              <w:rPr>
                <w:sz w:val="17"/>
              </w:rPr>
              <w:t>112</w:t>
            </w:r>
          </w:p>
        </w:tc>
        <w:tc>
          <w:tcPr>
            <w:tcW w:w="1107"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3"/>
              <w:jc w:val="right"/>
              <w:rPr>
                <w:sz w:val="17"/>
              </w:rPr>
            </w:pPr>
            <w:r w:rsidRPr="0001453A">
              <w:rPr>
                <w:sz w:val="17"/>
              </w:rPr>
              <w:t>7 314</w:t>
            </w:r>
          </w:p>
        </w:tc>
        <w:tc>
          <w:tcPr>
            <w:tcW w:w="1275"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3"/>
              <w:jc w:val="right"/>
              <w:rPr>
                <w:sz w:val="17"/>
              </w:rPr>
            </w:pPr>
            <w:r w:rsidRPr="0001453A">
              <w:rPr>
                <w:sz w:val="17"/>
              </w:rPr>
              <w:t>65</w:t>
            </w:r>
          </w:p>
        </w:tc>
      </w:tr>
      <w:tr w:rsidR="004B0E02" w:rsidRPr="0001453A">
        <w:trPr>
          <w:trHeight w:val="240"/>
        </w:trPr>
        <w:tc>
          <w:tcPr>
            <w:tcW w:w="3917"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0"/>
              <w:rPr>
                <w:sz w:val="17"/>
              </w:rPr>
            </w:pPr>
            <w:r w:rsidRPr="0001453A">
              <w:rPr>
                <w:sz w:val="17"/>
              </w:rPr>
              <w:t>Isla Harbour y Spanish Wells</w:t>
            </w:r>
          </w:p>
        </w:tc>
        <w:tc>
          <w:tcPr>
            <w:tcW w:w="1071"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3"/>
              <w:jc w:val="right"/>
              <w:rPr>
                <w:sz w:val="17"/>
              </w:rPr>
            </w:pPr>
            <w:r w:rsidRPr="0001453A">
              <w:rPr>
                <w:sz w:val="17"/>
              </w:rPr>
              <w:t>13</w:t>
            </w:r>
          </w:p>
        </w:tc>
        <w:tc>
          <w:tcPr>
            <w:tcW w:w="1107"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3"/>
              <w:jc w:val="right"/>
              <w:rPr>
                <w:sz w:val="17"/>
              </w:rPr>
            </w:pPr>
            <w:r w:rsidRPr="0001453A">
              <w:rPr>
                <w:sz w:val="17"/>
              </w:rPr>
              <w:t>3 239</w:t>
            </w:r>
          </w:p>
        </w:tc>
        <w:tc>
          <w:tcPr>
            <w:tcW w:w="1275"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3"/>
              <w:jc w:val="right"/>
              <w:rPr>
                <w:sz w:val="17"/>
              </w:rPr>
            </w:pPr>
            <w:r w:rsidRPr="0001453A">
              <w:rPr>
                <w:sz w:val="17"/>
              </w:rPr>
              <w:t>249</w:t>
            </w:r>
          </w:p>
        </w:tc>
      </w:tr>
      <w:tr w:rsidR="004B0E02" w:rsidRPr="0001453A">
        <w:trPr>
          <w:trHeight w:val="240"/>
        </w:trPr>
        <w:tc>
          <w:tcPr>
            <w:tcW w:w="3917"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0"/>
              <w:rPr>
                <w:sz w:val="17"/>
              </w:rPr>
            </w:pPr>
            <w:r w:rsidRPr="0001453A">
              <w:rPr>
                <w:sz w:val="17"/>
              </w:rPr>
              <w:t>Inagua</w:t>
            </w:r>
          </w:p>
        </w:tc>
        <w:tc>
          <w:tcPr>
            <w:tcW w:w="1071"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3"/>
              <w:jc w:val="right"/>
              <w:rPr>
                <w:sz w:val="17"/>
              </w:rPr>
            </w:pPr>
            <w:r w:rsidRPr="0001453A">
              <w:rPr>
                <w:sz w:val="17"/>
              </w:rPr>
              <w:t>599</w:t>
            </w:r>
          </w:p>
        </w:tc>
        <w:tc>
          <w:tcPr>
            <w:tcW w:w="1107"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3"/>
              <w:jc w:val="right"/>
              <w:rPr>
                <w:sz w:val="17"/>
              </w:rPr>
            </w:pPr>
            <w:r w:rsidRPr="0001453A">
              <w:rPr>
                <w:sz w:val="17"/>
              </w:rPr>
              <w:t>911</w:t>
            </w:r>
          </w:p>
        </w:tc>
        <w:tc>
          <w:tcPr>
            <w:tcW w:w="1275"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3"/>
              <w:jc w:val="right"/>
              <w:rPr>
                <w:sz w:val="17"/>
              </w:rPr>
            </w:pPr>
            <w:r w:rsidRPr="0001453A">
              <w:rPr>
                <w:sz w:val="17"/>
              </w:rPr>
              <w:t>2</w:t>
            </w:r>
          </w:p>
        </w:tc>
      </w:tr>
      <w:tr w:rsidR="004B0E02" w:rsidRPr="0001453A">
        <w:trPr>
          <w:trHeight w:val="240"/>
        </w:trPr>
        <w:tc>
          <w:tcPr>
            <w:tcW w:w="3917"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0"/>
              <w:rPr>
                <w:sz w:val="17"/>
              </w:rPr>
            </w:pPr>
            <w:r w:rsidRPr="0001453A">
              <w:rPr>
                <w:sz w:val="17"/>
              </w:rPr>
              <w:t xml:space="preserve">Isla Long </w:t>
            </w:r>
          </w:p>
        </w:tc>
        <w:tc>
          <w:tcPr>
            <w:tcW w:w="1071"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3"/>
              <w:jc w:val="right"/>
              <w:rPr>
                <w:sz w:val="17"/>
              </w:rPr>
            </w:pPr>
            <w:r w:rsidRPr="0001453A">
              <w:rPr>
                <w:sz w:val="17"/>
              </w:rPr>
              <w:t>230</w:t>
            </w:r>
          </w:p>
        </w:tc>
        <w:tc>
          <w:tcPr>
            <w:tcW w:w="1107"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3"/>
              <w:jc w:val="right"/>
              <w:rPr>
                <w:sz w:val="17"/>
              </w:rPr>
            </w:pPr>
            <w:r w:rsidRPr="0001453A">
              <w:rPr>
                <w:sz w:val="17"/>
              </w:rPr>
              <w:t>3 024</w:t>
            </w:r>
          </w:p>
        </w:tc>
        <w:tc>
          <w:tcPr>
            <w:tcW w:w="1275"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3"/>
              <w:jc w:val="right"/>
              <w:rPr>
                <w:sz w:val="17"/>
              </w:rPr>
            </w:pPr>
            <w:r w:rsidRPr="0001453A">
              <w:rPr>
                <w:sz w:val="17"/>
              </w:rPr>
              <w:t>13</w:t>
            </w:r>
          </w:p>
        </w:tc>
      </w:tr>
      <w:tr w:rsidR="004B0E02" w:rsidRPr="0001453A">
        <w:trPr>
          <w:trHeight w:val="240"/>
        </w:trPr>
        <w:tc>
          <w:tcPr>
            <w:tcW w:w="3917"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0"/>
              <w:rPr>
                <w:sz w:val="17"/>
              </w:rPr>
            </w:pPr>
            <w:r w:rsidRPr="0001453A">
              <w:rPr>
                <w:sz w:val="17"/>
              </w:rPr>
              <w:t>Mayaguana</w:t>
            </w:r>
          </w:p>
        </w:tc>
        <w:tc>
          <w:tcPr>
            <w:tcW w:w="1071"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3"/>
              <w:jc w:val="right"/>
              <w:rPr>
                <w:sz w:val="17"/>
              </w:rPr>
            </w:pPr>
            <w:r w:rsidRPr="0001453A">
              <w:rPr>
                <w:sz w:val="17"/>
              </w:rPr>
              <w:t>110</w:t>
            </w:r>
          </w:p>
        </w:tc>
        <w:tc>
          <w:tcPr>
            <w:tcW w:w="1107"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3"/>
              <w:jc w:val="right"/>
              <w:rPr>
                <w:sz w:val="17"/>
              </w:rPr>
            </w:pPr>
            <w:r w:rsidRPr="0001453A">
              <w:rPr>
                <w:sz w:val="17"/>
              </w:rPr>
              <w:t>271</w:t>
            </w:r>
          </w:p>
        </w:tc>
        <w:tc>
          <w:tcPr>
            <w:tcW w:w="1275"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3"/>
              <w:jc w:val="right"/>
              <w:rPr>
                <w:sz w:val="17"/>
              </w:rPr>
            </w:pPr>
            <w:r w:rsidRPr="0001453A">
              <w:rPr>
                <w:sz w:val="17"/>
              </w:rPr>
              <w:t>2</w:t>
            </w:r>
          </w:p>
        </w:tc>
      </w:tr>
      <w:tr w:rsidR="004B0E02" w:rsidRPr="0001453A">
        <w:trPr>
          <w:trHeight w:val="240"/>
        </w:trPr>
        <w:tc>
          <w:tcPr>
            <w:tcW w:w="3917"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0"/>
              <w:rPr>
                <w:sz w:val="17"/>
              </w:rPr>
            </w:pPr>
            <w:r w:rsidRPr="0001453A">
              <w:rPr>
                <w:sz w:val="17"/>
              </w:rPr>
              <w:t xml:space="preserve">Isla Ragged </w:t>
            </w:r>
          </w:p>
        </w:tc>
        <w:tc>
          <w:tcPr>
            <w:tcW w:w="1071"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3"/>
              <w:jc w:val="right"/>
              <w:rPr>
                <w:sz w:val="17"/>
              </w:rPr>
            </w:pPr>
            <w:r w:rsidRPr="0001453A">
              <w:rPr>
                <w:sz w:val="17"/>
              </w:rPr>
              <w:t>14</w:t>
            </w:r>
          </w:p>
        </w:tc>
        <w:tc>
          <w:tcPr>
            <w:tcW w:w="1107"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3"/>
              <w:jc w:val="right"/>
              <w:rPr>
                <w:sz w:val="17"/>
              </w:rPr>
            </w:pPr>
            <w:r w:rsidRPr="0001453A">
              <w:rPr>
                <w:sz w:val="17"/>
              </w:rPr>
              <w:t>70</w:t>
            </w:r>
          </w:p>
        </w:tc>
        <w:tc>
          <w:tcPr>
            <w:tcW w:w="1275" w:type="dxa"/>
            <w:shd w:val="clear" w:color="auto" w:fill="auto"/>
            <w:vAlign w:val="bottom"/>
          </w:tcPr>
          <w:p w:rsidR="004B0E02" w:rsidRPr="0001453A" w:rsidRDefault="004B0E02" w:rsidP="00807C58">
            <w:pPr>
              <w:tabs>
                <w:tab w:val="left" w:pos="288"/>
                <w:tab w:val="left" w:pos="576"/>
                <w:tab w:val="left" w:pos="864"/>
                <w:tab w:val="left" w:pos="1152"/>
              </w:tabs>
              <w:spacing w:before="40" w:after="40" w:line="210" w:lineRule="exact"/>
              <w:ind w:right="43"/>
              <w:jc w:val="right"/>
              <w:rPr>
                <w:sz w:val="17"/>
              </w:rPr>
            </w:pPr>
            <w:r w:rsidRPr="0001453A">
              <w:rPr>
                <w:sz w:val="17"/>
              </w:rPr>
              <w:t>5</w:t>
            </w:r>
          </w:p>
        </w:tc>
      </w:tr>
      <w:tr w:rsidR="004B0E02" w:rsidRPr="0001453A">
        <w:trPr>
          <w:trHeight w:val="240"/>
        </w:trPr>
        <w:tc>
          <w:tcPr>
            <w:tcW w:w="3917" w:type="dxa"/>
            <w:tcBorders>
              <w:bottom w:val="single" w:sz="12" w:space="0" w:color="auto"/>
            </w:tcBorders>
            <w:shd w:val="clear" w:color="auto" w:fill="auto"/>
            <w:vAlign w:val="bottom"/>
          </w:tcPr>
          <w:p w:rsidR="004B0E02" w:rsidRPr="0001453A" w:rsidRDefault="004B0E02" w:rsidP="004B0E02">
            <w:pPr>
              <w:tabs>
                <w:tab w:val="left" w:pos="288"/>
                <w:tab w:val="left" w:pos="576"/>
                <w:tab w:val="left" w:pos="864"/>
                <w:tab w:val="left" w:pos="1152"/>
              </w:tabs>
              <w:spacing w:before="40" w:after="80" w:line="210" w:lineRule="exact"/>
              <w:ind w:right="40"/>
              <w:rPr>
                <w:sz w:val="17"/>
              </w:rPr>
            </w:pPr>
            <w:r w:rsidRPr="0001453A">
              <w:rPr>
                <w:sz w:val="17"/>
              </w:rPr>
              <w:t xml:space="preserve">San Salvador y Cayo Rum </w:t>
            </w:r>
          </w:p>
        </w:tc>
        <w:tc>
          <w:tcPr>
            <w:tcW w:w="1071" w:type="dxa"/>
            <w:tcBorders>
              <w:bottom w:val="single" w:sz="12" w:space="0" w:color="auto"/>
            </w:tcBorders>
            <w:shd w:val="clear" w:color="auto" w:fill="auto"/>
            <w:vAlign w:val="bottom"/>
          </w:tcPr>
          <w:p w:rsidR="004B0E02" w:rsidRPr="0001453A" w:rsidRDefault="004B0E02" w:rsidP="004B0E02">
            <w:pPr>
              <w:tabs>
                <w:tab w:val="left" w:pos="288"/>
                <w:tab w:val="left" w:pos="576"/>
                <w:tab w:val="left" w:pos="864"/>
                <w:tab w:val="left" w:pos="1152"/>
              </w:tabs>
              <w:spacing w:before="40" w:after="80" w:line="210" w:lineRule="exact"/>
              <w:ind w:right="43"/>
              <w:jc w:val="right"/>
              <w:rPr>
                <w:sz w:val="17"/>
              </w:rPr>
            </w:pPr>
            <w:r w:rsidRPr="0001453A">
              <w:rPr>
                <w:sz w:val="17"/>
              </w:rPr>
              <w:t>93</w:t>
            </w:r>
          </w:p>
        </w:tc>
        <w:tc>
          <w:tcPr>
            <w:tcW w:w="1107" w:type="dxa"/>
            <w:tcBorders>
              <w:bottom w:val="single" w:sz="12" w:space="0" w:color="auto"/>
            </w:tcBorders>
            <w:shd w:val="clear" w:color="auto" w:fill="auto"/>
            <w:vAlign w:val="bottom"/>
          </w:tcPr>
          <w:p w:rsidR="004B0E02" w:rsidRPr="0001453A" w:rsidRDefault="004B0E02" w:rsidP="004B0E02">
            <w:pPr>
              <w:tabs>
                <w:tab w:val="left" w:pos="288"/>
                <w:tab w:val="left" w:pos="576"/>
                <w:tab w:val="left" w:pos="864"/>
                <w:tab w:val="left" w:pos="1152"/>
              </w:tabs>
              <w:spacing w:before="40" w:after="80" w:line="210" w:lineRule="exact"/>
              <w:ind w:right="43"/>
              <w:jc w:val="right"/>
              <w:rPr>
                <w:sz w:val="17"/>
              </w:rPr>
            </w:pPr>
            <w:r w:rsidRPr="0001453A">
              <w:rPr>
                <w:sz w:val="17"/>
              </w:rPr>
              <w:t>1 029</w:t>
            </w:r>
          </w:p>
        </w:tc>
        <w:tc>
          <w:tcPr>
            <w:tcW w:w="1275" w:type="dxa"/>
            <w:tcBorders>
              <w:bottom w:val="single" w:sz="12" w:space="0" w:color="auto"/>
            </w:tcBorders>
            <w:shd w:val="clear" w:color="auto" w:fill="auto"/>
            <w:vAlign w:val="bottom"/>
          </w:tcPr>
          <w:p w:rsidR="004B0E02" w:rsidRPr="0001453A" w:rsidRDefault="004B0E02" w:rsidP="004B0E02">
            <w:pPr>
              <w:tabs>
                <w:tab w:val="left" w:pos="288"/>
                <w:tab w:val="left" w:pos="576"/>
                <w:tab w:val="left" w:pos="864"/>
                <w:tab w:val="left" w:pos="1152"/>
              </w:tabs>
              <w:spacing w:before="40" w:after="80" w:line="210" w:lineRule="exact"/>
              <w:ind w:right="43"/>
              <w:jc w:val="right"/>
              <w:rPr>
                <w:sz w:val="17"/>
              </w:rPr>
            </w:pPr>
            <w:r w:rsidRPr="0001453A">
              <w:rPr>
                <w:sz w:val="17"/>
              </w:rPr>
              <w:t>11</w:t>
            </w:r>
          </w:p>
        </w:tc>
      </w:tr>
    </w:tbl>
    <w:p w:rsidR="004B0E02" w:rsidRPr="00161925" w:rsidRDefault="004B0E02" w:rsidP="004B0E02">
      <w:pPr>
        <w:pStyle w:val="SingleTxt"/>
        <w:suppressAutoHyphens/>
        <w:spacing w:after="0" w:line="120" w:lineRule="exact"/>
        <w:rPr>
          <w:sz w:val="10"/>
        </w:rPr>
      </w:pPr>
    </w:p>
    <w:p w:rsidR="00827A10" w:rsidRPr="00161925" w:rsidRDefault="00827A10" w:rsidP="004B0E02">
      <w:pPr>
        <w:pStyle w:val="FootnoteText"/>
        <w:tabs>
          <w:tab w:val="clear" w:pos="418"/>
          <w:tab w:val="right" w:pos="1476"/>
          <w:tab w:val="left" w:pos="1548"/>
          <w:tab w:val="right" w:pos="1836"/>
          <w:tab w:val="left" w:pos="1908"/>
        </w:tabs>
        <w:ind w:left="1548" w:right="1267" w:hanging="288"/>
      </w:pPr>
      <w:r w:rsidRPr="00161925">
        <w:rPr>
          <w:i/>
          <w:iCs/>
        </w:rPr>
        <w:t>Fuente</w:t>
      </w:r>
      <w:r w:rsidRPr="00161925">
        <w:t>: Departamento de Estadística.</w:t>
      </w:r>
    </w:p>
    <w:p w:rsidR="004B0E02" w:rsidRPr="00161925" w:rsidRDefault="004B0E02" w:rsidP="004B0E02">
      <w:pPr>
        <w:pStyle w:val="SingleTxt"/>
        <w:suppressAutoHyphens/>
        <w:spacing w:after="0" w:line="120" w:lineRule="exact"/>
        <w:rPr>
          <w:sz w:val="10"/>
        </w:rPr>
      </w:pPr>
    </w:p>
    <w:p w:rsidR="004B0E02" w:rsidRPr="00161925" w:rsidRDefault="004B0E02" w:rsidP="004B0E02">
      <w:pPr>
        <w:pStyle w:val="SingleTxt"/>
        <w:suppressAutoHyphens/>
        <w:spacing w:after="0" w:line="120" w:lineRule="exact"/>
        <w:rPr>
          <w:sz w:val="10"/>
        </w:rPr>
      </w:pPr>
    </w:p>
    <w:p w:rsidR="004B7319" w:rsidRPr="00161925" w:rsidRDefault="004B7319" w:rsidP="004B7319">
      <w:pPr>
        <w:pStyle w:val="SingleTxt"/>
        <w:numPr>
          <w:ilvl w:val="0"/>
          <w:numId w:val="5"/>
        </w:numPr>
        <w:tabs>
          <w:tab w:val="clear" w:pos="475"/>
          <w:tab w:val="num" w:pos="1742"/>
        </w:tabs>
        <w:suppressAutoHyphens/>
        <w:ind w:left="1267"/>
      </w:pPr>
      <w:r w:rsidRPr="00161925">
        <w:t>New Providence tiene una densidad de población de 3.112 personas por milla cuadrada y, en consecuencia, toda la isla puede considerarse un centro urbano. Freeport, en Gran</w:t>
      </w:r>
      <w:r w:rsidR="00292644">
        <w:t>d</w:t>
      </w:r>
      <w:r w:rsidRPr="00161925">
        <w:t xml:space="preserve"> Bahama, es el único centro urbano adicional del país y tiene una densidad de población de 98 personas por milla cuadrada. Estas dos zonas urbanas ocupan el 11,3% de la masa terrestre de las Bahamas y albergan al 85% de la población.</w:t>
      </w:r>
    </w:p>
    <w:p w:rsidR="00807C58" w:rsidRPr="00161925" w:rsidRDefault="00807C58" w:rsidP="00807C58">
      <w:pPr>
        <w:pStyle w:val="SingleTxt"/>
        <w:suppressAutoHyphens/>
        <w:spacing w:after="0" w:line="120" w:lineRule="exact"/>
        <w:rPr>
          <w:sz w:val="10"/>
        </w:rPr>
      </w:pPr>
    </w:p>
    <w:p w:rsidR="004B7319" w:rsidRPr="00161925" w:rsidRDefault="004B7319" w:rsidP="00807C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244" w:hanging="1267"/>
      </w:pPr>
      <w:r w:rsidRPr="00161925">
        <w:tab/>
      </w:r>
      <w:r w:rsidRPr="00161925">
        <w:tab/>
      </w:r>
      <w:r w:rsidRPr="00161925">
        <w:rPr>
          <w:b w:val="0"/>
        </w:rPr>
        <w:t>Cuadro 3</w:t>
      </w:r>
      <w:r w:rsidRPr="00161925">
        <w:rPr>
          <w:b w:val="0"/>
        </w:rPr>
        <w:br/>
      </w:r>
      <w:r w:rsidRPr="00161925">
        <w:t>Comparación entre los censos de población de 2000 y 2010 y variación porcentual</w:t>
      </w:r>
    </w:p>
    <w:p w:rsidR="00807C58" w:rsidRPr="00161925" w:rsidRDefault="00807C58" w:rsidP="00807C58">
      <w:pPr>
        <w:pStyle w:val="SingleTxt"/>
        <w:suppressAutoHyphens/>
        <w:spacing w:after="0" w:line="120" w:lineRule="exact"/>
        <w:rPr>
          <w:sz w:val="10"/>
        </w:rPr>
      </w:pPr>
    </w:p>
    <w:p w:rsidR="00807C58" w:rsidRPr="00161925" w:rsidRDefault="00807C58" w:rsidP="00807C58">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008"/>
        <w:gridCol w:w="1116"/>
        <w:gridCol w:w="954"/>
        <w:gridCol w:w="153"/>
        <w:gridCol w:w="1044"/>
        <w:gridCol w:w="1044"/>
      </w:tblGrid>
      <w:tr w:rsidR="00807C58" w:rsidRPr="00292644">
        <w:trPr>
          <w:trHeight w:val="321"/>
          <w:tblHeader/>
        </w:trPr>
        <w:tc>
          <w:tcPr>
            <w:tcW w:w="3008" w:type="dxa"/>
            <w:vMerge w:val="restart"/>
            <w:tcBorders>
              <w:top w:val="single" w:sz="4" w:space="0" w:color="auto"/>
            </w:tcBorders>
            <w:shd w:val="clear" w:color="auto" w:fill="auto"/>
            <w:vAlign w:val="bottom"/>
          </w:tcPr>
          <w:p w:rsidR="00807C58" w:rsidRPr="00292644" w:rsidRDefault="00807C58" w:rsidP="002926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rPr>
                <w:i/>
                <w:sz w:val="14"/>
              </w:rPr>
            </w:pPr>
            <w:r w:rsidRPr="00292644">
              <w:rPr>
                <w:i/>
                <w:sz w:val="14"/>
              </w:rPr>
              <w:t>Isla</w:t>
            </w:r>
          </w:p>
        </w:tc>
        <w:tc>
          <w:tcPr>
            <w:tcW w:w="2070" w:type="dxa"/>
            <w:gridSpan w:val="2"/>
            <w:tcBorders>
              <w:top w:val="single" w:sz="4" w:space="0" w:color="auto"/>
              <w:bottom w:val="single" w:sz="4" w:space="0" w:color="auto"/>
            </w:tcBorders>
            <w:shd w:val="clear" w:color="auto" w:fill="auto"/>
            <w:vAlign w:val="bottom"/>
          </w:tcPr>
          <w:p w:rsidR="00807C58" w:rsidRPr="00292644" w:rsidRDefault="00807C58" w:rsidP="002926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center"/>
              <w:rPr>
                <w:i/>
                <w:sz w:val="14"/>
              </w:rPr>
            </w:pPr>
            <w:r w:rsidRPr="00292644">
              <w:rPr>
                <w:i/>
                <w:sz w:val="14"/>
              </w:rPr>
              <w:t>Población</w:t>
            </w:r>
          </w:p>
        </w:tc>
        <w:tc>
          <w:tcPr>
            <w:tcW w:w="153" w:type="dxa"/>
            <w:tcBorders>
              <w:top w:val="single" w:sz="4" w:space="0" w:color="auto"/>
            </w:tcBorders>
            <w:shd w:val="clear" w:color="auto" w:fill="auto"/>
            <w:vAlign w:val="bottom"/>
          </w:tcPr>
          <w:p w:rsidR="00807C58" w:rsidRPr="00292644" w:rsidRDefault="00807C58" w:rsidP="002926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i/>
                <w:sz w:val="14"/>
              </w:rPr>
            </w:pPr>
          </w:p>
        </w:tc>
        <w:tc>
          <w:tcPr>
            <w:tcW w:w="2088" w:type="dxa"/>
            <w:gridSpan w:val="2"/>
            <w:tcBorders>
              <w:top w:val="single" w:sz="4" w:space="0" w:color="auto"/>
              <w:bottom w:val="single" w:sz="4" w:space="0" w:color="auto"/>
            </w:tcBorders>
            <w:shd w:val="clear" w:color="auto" w:fill="auto"/>
            <w:vAlign w:val="bottom"/>
          </w:tcPr>
          <w:p w:rsidR="00807C58" w:rsidRPr="00292644" w:rsidRDefault="00807C58" w:rsidP="002926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center"/>
              <w:rPr>
                <w:i/>
                <w:sz w:val="14"/>
              </w:rPr>
            </w:pPr>
            <w:r w:rsidRPr="00292644">
              <w:rPr>
                <w:i/>
                <w:sz w:val="14"/>
              </w:rPr>
              <w:t>Variación</w:t>
            </w:r>
          </w:p>
        </w:tc>
      </w:tr>
      <w:tr w:rsidR="00807C58" w:rsidRPr="00292644">
        <w:trPr>
          <w:trHeight w:val="320"/>
          <w:tblHeader/>
        </w:trPr>
        <w:tc>
          <w:tcPr>
            <w:tcW w:w="3008" w:type="dxa"/>
            <w:vMerge/>
            <w:tcBorders>
              <w:bottom w:val="single" w:sz="12" w:space="0" w:color="auto"/>
            </w:tcBorders>
            <w:shd w:val="clear" w:color="auto" w:fill="auto"/>
            <w:vAlign w:val="bottom"/>
          </w:tcPr>
          <w:p w:rsidR="00807C58" w:rsidRPr="00292644" w:rsidRDefault="00807C58" w:rsidP="002926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rPr>
                <w:i/>
                <w:sz w:val="14"/>
              </w:rPr>
            </w:pPr>
          </w:p>
        </w:tc>
        <w:tc>
          <w:tcPr>
            <w:tcW w:w="1116" w:type="dxa"/>
            <w:tcBorders>
              <w:bottom w:val="single" w:sz="12" w:space="0" w:color="auto"/>
            </w:tcBorders>
            <w:shd w:val="clear" w:color="auto" w:fill="auto"/>
            <w:vAlign w:val="bottom"/>
          </w:tcPr>
          <w:p w:rsidR="00807C58" w:rsidRPr="00292644" w:rsidRDefault="00807C58" w:rsidP="002926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i/>
                <w:sz w:val="14"/>
              </w:rPr>
            </w:pPr>
            <w:r w:rsidRPr="00292644">
              <w:rPr>
                <w:i/>
                <w:sz w:val="14"/>
              </w:rPr>
              <w:t>2000</w:t>
            </w:r>
          </w:p>
        </w:tc>
        <w:tc>
          <w:tcPr>
            <w:tcW w:w="954" w:type="dxa"/>
            <w:tcBorders>
              <w:bottom w:val="single" w:sz="12" w:space="0" w:color="auto"/>
            </w:tcBorders>
            <w:shd w:val="clear" w:color="auto" w:fill="auto"/>
            <w:vAlign w:val="bottom"/>
          </w:tcPr>
          <w:p w:rsidR="00807C58" w:rsidRPr="00292644" w:rsidRDefault="00807C58" w:rsidP="002926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i/>
                <w:sz w:val="14"/>
              </w:rPr>
            </w:pPr>
            <w:r w:rsidRPr="00292644">
              <w:rPr>
                <w:i/>
                <w:sz w:val="14"/>
              </w:rPr>
              <w:t>2010</w:t>
            </w:r>
          </w:p>
        </w:tc>
        <w:tc>
          <w:tcPr>
            <w:tcW w:w="1197" w:type="dxa"/>
            <w:gridSpan w:val="2"/>
            <w:tcBorders>
              <w:bottom w:val="single" w:sz="12" w:space="0" w:color="auto"/>
            </w:tcBorders>
            <w:shd w:val="clear" w:color="auto" w:fill="auto"/>
            <w:vAlign w:val="bottom"/>
          </w:tcPr>
          <w:p w:rsidR="00807C58" w:rsidRPr="00292644" w:rsidRDefault="00807C58" w:rsidP="002926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i/>
                <w:sz w:val="14"/>
              </w:rPr>
            </w:pPr>
            <w:r w:rsidRPr="00292644">
              <w:rPr>
                <w:i/>
                <w:sz w:val="14"/>
              </w:rPr>
              <w:t>Real</w:t>
            </w:r>
          </w:p>
        </w:tc>
        <w:tc>
          <w:tcPr>
            <w:tcW w:w="1044" w:type="dxa"/>
            <w:tcBorders>
              <w:bottom w:val="single" w:sz="12" w:space="0" w:color="auto"/>
            </w:tcBorders>
            <w:shd w:val="clear" w:color="auto" w:fill="auto"/>
            <w:vAlign w:val="bottom"/>
          </w:tcPr>
          <w:p w:rsidR="00807C58" w:rsidRPr="00292644" w:rsidRDefault="00807C58" w:rsidP="002926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i/>
                <w:sz w:val="14"/>
              </w:rPr>
            </w:pPr>
            <w:r w:rsidRPr="00292644">
              <w:rPr>
                <w:i/>
                <w:sz w:val="14"/>
              </w:rPr>
              <w:t>Porcentual</w:t>
            </w:r>
          </w:p>
        </w:tc>
      </w:tr>
      <w:tr w:rsidR="00807C58" w:rsidRPr="00292644">
        <w:trPr>
          <w:trHeight w:hRule="exact" w:val="115"/>
          <w:tblHeader/>
        </w:trPr>
        <w:tc>
          <w:tcPr>
            <w:tcW w:w="3008" w:type="dxa"/>
            <w:tcBorders>
              <w:top w:val="single" w:sz="12" w:space="0" w:color="auto"/>
            </w:tcBorders>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116" w:type="dxa"/>
            <w:tcBorders>
              <w:top w:val="single" w:sz="12" w:space="0" w:color="auto"/>
            </w:tcBorders>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54" w:type="dxa"/>
            <w:tcBorders>
              <w:top w:val="single" w:sz="12" w:space="0" w:color="auto"/>
            </w:tcBorders>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197" w:type="dxa"/>
            <w:gridSpan w:val="2"/>
            <w:tcBorders>
              <w:top w:val="single" w:sz="12" w:space="0" w:color="auto"/>
            </w:tcBorders>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44" w:type="dxa"/>
            <w:tcBorders>
              <w:top w:val="single" w:sz="12" w:space="0" w:color="auto"/>
            </w:tcBorders>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807C58" w:rsidRPr="00292644">
        <w:tc>
          <w:tcPr>
            <w:tcW w:w="3008"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92644">
              <w:rPr>
                <w:sz w:val="17"/>
              </w:rPr>
              <w:t>Todo el archipiélago</w:t>
            </w:r>
          </w:p>
        </w:tc>
        <w:tc>
          <w:tcPr>
            <w:tcW w:w="1116"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303 611</w:t>
            </w:r>
          </w:p>
        </w:tc>
        <w:tc>
          <w:tcPr>
            <w:tcW w:w="954"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352 658</w:t>
            </w:r>
          </w:p>
        </w:tc>
        <w:tc>
          <w:tcPr>
            <w:tcW w:w="1197" w:type="dxa"/>
            <w:gridSpan w:val="2"/>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50 047</w:t>
            </w:r>
          </w:p>
        </w:tc>
        <w:tc>
          <w:tcPr>
            <w:tcW w:w="1044"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16</w:t>
            </w:r>
            <w:r w:rsidR="00292644" w:rsidRPr="00292644">
              <w:rPr>
                <w:sz w:val="17"/>
              </w:rPr>
              <w:t>,</w:t>
            </w:r>
            <w:r w:rsidRPr="00292644">
              <w:rPr>
                <w:sz w:val="17"/>
              </w:rPr>
              <w:t>48</w:t>
            </w:r>
          </w:p>
        </w:tc>
      </w:tr>
      <w:tr w:rsidR="00807C58" w:rsidRPr="00292644">
        <w:tc>
          <w:tcPr>
            <w:tcW w:w="3008"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92644">
              <w:rPr>
                <w:sz w:val="17"/>
              </w:rPr>
              <w:t>New Providence</w:t>
            </w:r>
          </w:p>
        </w:tc>
        <w:tc>
          <w:tcPr>
            <w:tcW w:w="1116"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210 832</w:t>
            </w:r>
          </w:p>
        </w:tc>
        <w:tc>
          <w:tcPr>
            <w:tcW w:w="954"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248 948</w:t>
            </w:r>
          </w:p>
        </w:tc>
        <w:tc>
          <w:tcPr>
            <w:tcW w:w="1197" w:type="dxa"/>
            <w:gridSpan w:val="2"/>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38 116</w:t>
            </w:r>
          </w:p>
        </w:tc>
        <w:tc>
          <w:tcPr>
            <w:tcW w:w="1044"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18</w:t>
            </w:r>
            <w:r w:rsidR="00292644" w:rsidRPr="00292644">
              <w:rPr>
                <w:sz w:val="17"/>
              </w:rPr>
              <w:t>,</w:t>
            </w:r>
            <w:r w:rsidRPr="00292644">
              <w:rPr>
                <w:sz w:val="17"/>
              </w:rPr>
              <w:t>08</w:t>
            </w:r>
          </w:p>
        </w:tc>
      </w:tr>
      <w:tr w:rsidR="00807C58" w:rsidRPr="00292644">
        <w:tc>
          <w:tcPr>
            <w:tcW w:w="3008"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92644">
              <w:rPr>
                <w:sz w:val="17"/>
              </w:rPr>
              <w:t>Grand Bahama</w:t>
            </w:r>
          </w:p>
        </w:tc>
        <w:tc>
          <w:tcPr>
            <w:tcW w:w="1116"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46 994</w:t>
            </w:r>
          </w:p>
        </w:tc>
        <w:tc>
          <w:tcPr>
            <w:tcW w:w="954"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51 756</w:t>
            </w:r>
          </w:p>
        </w:tc>
        <w:tc>
          <w:tcPr>
            <w:tcW w:w="1197" w:type="dxa"/>
            <w:gridSpan w:val="2"/>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4 762</w:t>
            </w:r>
          </w:p>
        </w:tc>
        <w:tc>
          <w:tcPr>
            <w:tcW w:w="1044"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10</w:t>
            </w:r>
          </w:p>
        </w:tc>
      </w:tr>
      <w:tr w:rsidR="00807C58" w:rsidRPr="00292644">
        <w:tc>
          <w:tcPr>
            <w:tcW w:w="3008"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92644">
              <w:rPr>
                <w:sz w:val="17"/>
              </w:rPr>
              <w:t>Abaco</w:t>
            </w:r>
          </w:p>
        </w:tc>
        <w:tc>
          <w:tcPr>
            <w:tcW w:w="1116"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13 170</w:t>
            </w:r>
          </w:p>
        </w:tc>
        <w:tc>
          <w:tcPr>
            <w:tcW w:w="954"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16 692</w:t>
            </w:r>
          </w:p>
        </w:tc>
        <w:tc>
          <w:tcPr>
            <w:tcW w:w="1197" w:type="dxa"/>
            <w:gridSpan w:val="2"/>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3 522</w:t>
            </w:r>
          </w:p>
        </w:tc>
        <w:tc>
          <w:tcPr>
            <w:tcW w:w="1044"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27</w:t>
            </w:r>
          </w:p>
        </w:tc>
      </w:tr>
      <w:tr w:rsidR="00807C58" w:rsidRPr="00292644">
        <w:tc>
          <w:tcPr>
            <w:tcW w:w="3008"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92644">
              <w:rPr>
                <w:sz w:val="17"/>
              </w:rPr>
              <w:t>Acklins</w:t>
            </w:r>
          </w:p>
        </w:tc>
        <w:tc>
          <w:tcPr>
            <w:tcW w:w="1116"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428</w:t>
            </w:r>
          </w:p>
        </w:tc>
        <w:tc>
          <w:tcPr>
            <w:tcW w:w="954"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560</w:t>
            </w:r>
          </w:p>
        </w:tc>
        <w:tc>
          <w:tcPr>
            <w:tcW w:w="1197" w:type="dxa"/>
            <w:gridSpan w:val="2"/>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132</w:t>
            </w:r>
          </w:p>
        </w:tc>
        <w:tc>
          <w:tcPr>
            <w:tcW w:w="1044"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31</w:t>
            </w:r>
          </w:p>
        </w:tc>
      </w:tr>
      <w:tr w:rsidR="00807C58" w:rsidRPr="00292644">
        <w:tc>
          <w:tcPr>
            <w:tcW w:w="3008"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92644">
              <w:rPr>
                <w:sz w:val="17"/>
              </w:rPr>
              <w:t>Andros</w:t>
            </w:r>
          </w:p>
        </w:tc>
        <w:tc>
          <w:tcPr>
            <w:tcW w:w="1116"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7 686</w:t>
            </w:r>
          </w:p>
        </w:tc>
        <w:tc>
          <w:tcPr>
            <w:tcW w:w="954"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7 386</w:t>
            </w:r>
          </w:p>
        </w:tc>
        <w:tc>
          <w:tcPr>
            <w:tcW w:w="1197" w:type="dxa"/>
            <w:gridSpan w:val="2"/>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-300</w:t>
            </w:r>
          </w:p>
        </w:tc>
        <w:tc>
          <w:tcPr>
            <w:tcW w:w="1044"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-4</w:t>
            </w:r>
          </w:p>
        </w:tc>
      </w:tr>
      <w:tr w:rsidR="00807C58" w:rsidRPr="00292644">
        <w:tc>
          <w:tcPr>
            <w:tcW w:w="3008"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92644">
              <w:rPr>
                <w:sz w:val="17"/>
              </w:rPr>
              <w:t>Islas Berry</w:t>
            </w:r>
          </w:p>
        </w:tc>
        <w:tc>
          <w:tcPr>
            <w:tcW w:w="1116"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709</w:t>
            </w:r>
          </w:p>
        </w:tc>
        <w:tc>
          <w:tcPr>
            <w:tcW w:w="954"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798</w:t>
            </w:r>
          </w:p>
        </w:tc>
        <w:tc>
          <w:tcPr>
            <w:tcW w:w="1197" w:type="dxa"/>
            <w:gridSpan w:val="2"/>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89</w:t>
            </w:r>
          </w:p>
        </w:tc>
        <w:tc>
          <w:tcPr>
            <w:tcW w:w="1044"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13</w:t>
            </w:r>
          </w:p>
        </w:tc>
      </w:tr>
      <w:tr w:rsidR="00807C58" w:rsidRPr="00292644">
        <w:tc>
          <w:tcPr>
            <w:tcW w:w="3008"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92644">
              <w:rPr>
                <w:sz w:val="17"/>
              </w:rPr>
              <w:t>Bimini</w:t>
            </w:r>
          </w:p>
        </w:tc>
        <w:tc>
          <w:tcPr>
            <w:tcW w:w="1116"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1 717</w:t>
            </w:r>
          </w:p>
        </w:tc>
        <w:tc>
          <w:tcPr>
            <w:tcW w:w="954"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2 008</w:t>
            </w:r>
          </w:p>
        </w:tc>
        <w:tc>
          <w:tcPr>
            <w:tcW w:w="1197" w:type="dxa"/>
            <w:gridSpan w:val="2"/>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291</w:t>
            </w:r>
          </w:p>
        </w:tc>
        <w:tc>
          <w:tcPr>
            <w:tcW w:w="1044"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17</w:t>
            </w:r>
          </w:p>
        </w:tc>
      </w:tr>
      <w:tr w:rsidR="00807C58" w:rsidRPr="00292644">
        <w:tc>
          <w:tcPr>
            <w:tcW w:w="3008"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92644">
              <w:rPr>
                <w:sz w:val="17"/>
              </w:rPr>
              <w:t>Isla Cat</w:t>
            </w:r>
          </w:p>
        </w:tc>
        <w:tc>
          <w:tcPr>
            <w:tcW w:w="1116"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1 647</w:t>
            </w:r>
          </w:p>
        </w:tc>
        <w:tc>
          <w:tcPr>
            <w:tcW w:w="954"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1 503</w:t>
            </w:r>
          </w:p>
        </w:tc>
        <w:tc>
          <w:tcPr>
            <w:tcW w:w="1197" w:type="dxa"/>
            <w:gridSpan w:val="2"/>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-144</w:t>
            </w:r>
          </w:p>
        </w:tc>
        <w:tc>
          <w:tcPr>
            <w:tcW w:w="1044"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-9</w:t>
            </w:r>
          </w:p>
        </w:tc>
      </w:tr>
      <w:tr w:rsidR="00807C58" w:rsidRPr="00292644">
        <w:tc>
          <w:tcPr>
            <w:tcW w:w="3008"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92644">
              <w:rPr>
                <w:sz w:val="17"/>
              </w:rPr>
              <w:t xml:space="preserve">Isla Crooked </w:t>
            </w:r>
          </w:p>
        </w:tc>
        <w:tc>
          <w:tcPr>
            <w:tcW w:w="1116"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350</w:t>
            </w:r>
          </w:p>
        </w:tc>
        <w:tc>
          <w:tcPr>
            <w:tcW w:w="954"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323</w:t>
            </w:r>
          </w:p>
        </w:tc>
        <w:tc>
          <w:tcPr>
            <w:tcW w:w="1197" w:type="dxa"/>
            <w:gridSpan w:val="2"/>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-27</w:t>
            </w:r>
          </w:p>
        </w:tc>
        <w:tc>
          <w:tcPr>
            <w:tcW w:w="1044"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-8</w:t>
            </w:r>
          </w:p>
        </w:tc>
      </w:tr>
      <w:tr w:rsidR="00807C58" w:rsidRPr="00292644">
        <w:tc>
          <w:tcPr>
            <w:tcW w:w="3008"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92644">
              <w:rPr>
                <w:sz w:val="17"/>
              </w:rPr>
              <w:t>Eleuthera</w:t>
            </w:r>
          </w:p>
        </w:tc>
        <w:tc>
          <w:tcPr>
            <w:tcW w:w="1116"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7 999</w:t>
            </w:r>
          </w:p>
        </w:tc>
        <w:tc>
          <w:tcPr>
            <w:tcW w:w="954"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7 826</w:t>
            </w:r>
          </w:p>
        </w:tc>
        <w:tc>
          <w:tcPr>
            <w:tcW w:w="1197" w:type="dxa"/>
            <w:gridSpan w:val="2"/>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-173</w:t>
            </w:r>
          </w:p>
        </w:tc>
        <w:tc>
          <w:tcPr>
            <w:tcW w:w="1044"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-2</w:t>
            </w:r>
          </w:p>
        </w:tc>
      </w:tr>
      <w:tr w:rsidR="00807C58" w:rsidRPr="00292644">
        <w:tc>
          <w:tcPr>
            <w:tcW w:w="3008"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92644">
              <w:rPr>
                <w:sz w:val="17"/>
              </w:rPr>
              <w:t>Exuma y Cays</w:t>
            </w:r>
          </w:p>
        </w:tc>
        <w:tc>
          <w:tcPr>
            <w:tcW w:w="1116"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3 571</w:t>
            </w:r>
          </w:p>
        </w:tc>
        <w:tc>
          <w:tcPr>
            <w:tcW w:w="954"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7 314</w:t>
            </w:r>
          </w:p>
        </w:tc>
        <w:tc>
          <w:tcPr>
            <w:tcW w:w="1197" w:type="dxa"/>
            <w:gridSpan w:val="2"/>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3 743</w:t>
            </w:r>
          </w:p>
        </w:tc>
        <w:tc>
          <w:tcPr>
            <w:tcW w:w="1044"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105</w:t>
            </w:r>
          </w:p>
        </w:tc>
      </w:tr>
      <w:tr w:rsidR="00807C58" w:rsidRPr="00292644">
        <w:tc>
          <w:tcPr>
            <w:tcW w:w="3008"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92644">
              <w:rPr>
                <w:sz w:val="17"/>
              </w:rPr>
              <w:t xml:space="preserve">Isla Harbour </w:t>
            </w:r>
          </w:p>
        </w:tc>
        <w:tc>
          <w:tcPr>
            <w:tcW w:w="1116"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1 639</w:t>
            </w:r>
          </w:p>
        </w:tc>
        <w:tc>
          <w:tcPr>
            <w:tcW w:w="954"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1 702</w:t>
            </w:r>
          </w:p>
        </w:tc>
        <w:tc>
          <w:tcPr>
            <w:tcW w:w="1197" w:type="dxa"/>
            <w:gridSpan w:val="2"/>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63</w:t>
            </w:r>
          </w:p>
        </w:tc>
        <w:tc>
          <w:tcPr>
            <w:tcW w:w="1044"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4</w:t>
            </w:r>
          </w:p>
        </w:tc>
      </w:tr>
      <w:tr w:rsidR="00807C58" w:rsidRPr="00292644">
        <w:tc>
          <w:tcPr>
            <w:tcW w:w="3008"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92644">
              <w:rPr>
                <w:sz w:val="17"/>
              </w:rPr>
              <w:t>Inagua</w:t>
            </w:r>
          </w:p>
        </w:tc>
        <w:tc>
          <w:tcPr>
            <w:tcW w:w="1116"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969</w:t>
            </w:r>
          </w:p>
        </w:tc>
        <w:tc>
          <w:tcPr>
            <w:tcW w:w="954"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911</w:t>
            </w:r>
          </w:p>
        </w:tc>
        <w:tc>
          <w:tcPr>
            <w:tcW w:w="1197" w:type="dxa"/>
            <w:gridSpan w:val="2"/>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-58</w:t>
            </w:r>
          </w:p>
        </w:tc>
        <w:tc>
          <w:tcPr>
            <w:tcW w:w="1044"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-6</w:t>
            </w:r>
          </w:p>
        </w:tc>
      </w:tr>
      <w:tr w:rsidR="00807C58" w:rsidRPr="00292644">
        <w:tc>
          <w:tcPr>
            <w:tcW w:w="3008"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92644">
              <w:rPr>
                <w:sz w:val="17"/>
              </w:rPr>
              <w:t xml:space="preserve">Isla Long </w:t>
            </w:r>
          </w:p>
        </w:tc>
        <w:tc>
          <w:tcPr>
            <w:tcW w:w="1116"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2 992</w:t>
            </w:r>
          </w:p>
        </w:tc>
        <w:tc>
          <w:tcPr>
            <w:tcW w:w="954"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3 024</w:t>
            </w:r>
          </w:p>
        </w:tc>
        <w:tc>
          <w:tcPr>
            <w:tcW w:w="1197" w:type="dxa"/>
            <w:gridSpan w:val="2"/>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32</w:t>
            </w:r>
          </w:p>
        </w:tc>
        <w:tc>
          <w:tcPr>
            <w:tcW w:w="1044"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1</w:t>
            </w:r>
          </w:p>
        </w:tc>
      </w:tr>
      <w:tr w:rsidR="00807C58" w:rsidRPr="00292644">
        <w:tc>
          <w:tcPr>
            <w:tcW w:w="3008"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92644">
              <w:rPr>
                <w:sz w:val="17"/>
              </w:rPr>
              <w:t>Mayaguana</w:t>
            </w:r>
          </w:p>
        </w:tc>
        <w:tc>
          <w:tcPr>
            <w:tcW w:w="1116"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259</w:t>
            </w:r>
          </w:p>
        </w:tc>
        <w:tc>
          <w:tcPr>
            <w:tcW w:w="954"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271</w:t>
            </w:r>
          </w:p>
        </w:tc>
        <w:tc>
          <w:tcPr>
            <w:tcW w:w="1197" w:type="dxa"/>
            <w:gridSpan w:val="2"/>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12</w:t>
            </w:r>
          </w:p>
        </w:tc>
        <w:tc>
          <w:tcPr>
            <w:tcW w:w="1044"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5</w:t>
            </w:r>
          </w:p>
        </w:tc>
      </w:tr>
      <w:tr w:rsidR="00807C58" w:rsidRPr="00292644">
        <w:tc>
          <w:tcPr>
            <w:tcW w:w="3008"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92644">
              <w:rPr>
                <w:sz w:val="17"/>
              </w:rPr>
              <w:t>Isla Ragged</w:t>
            </w:r>
          </w:p>
        </w:tc>
        <w:tc>
          <w:tcPr>
            <w:tcW w:w="1116"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72</w:t>
            </w:r>
          </w:p>
        </w:tc>
        <w:tc>
          <w:tcPr>
            <w:tcW w:w="954"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70</w:t>
            </w:r>
          </w:p>
        </w:tc>
        <w:tc>
          <w:tcPr>
            <w:tcW w:w="1197" w:type="dxa"/>
            <w:gridSpan w:val="2"/>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-2</w:t>
            </w:r>
          </w:p>
        </w:tc>
        <w:tc>
          <w:tcPr>
            <w:tcW w:w="1044"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-3</w:t>
            </w:r>
          </w:p>
        </w:tc>
      </w:tr>
      <w:tr w:rsidR="00807C58" w:rsidRPr="00292644">
        <w:tc>
          <w:tcPr>
            <w:tcW w:w="3008"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92644">
              <w:rPr>
                <w:sz w:val="17"/>
              </w:rPr>
              <w:t>Cayo Rum</w:t>
            </w:r>
          </w:p>
        </w:tc>
        <w:tc>
          <w:tcPr>
            <w:tcW w:w="1116"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80</w:t>
            </w:r>
          </w:p>
        </w:tc>
        <w:tc>
          <w:tcPr>
            <w:tcW w:w="954"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99</w:t>
            </w:r>
          </w:p>
        </w:tc>
        <w:tc>
          <w:tcPr>
            <w:tcW w:w="1197" w:type="dxa"/>
            <w:gridSpan w:val="2"/>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19</w:t>
            </w:r>
          </w:p>
        </w:tc>
        <w:tc>
          <w:tcPr>
            <w:tcW w:w="1044"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24</w:t>
            </w:r>
          </w:p>
        </w:tc>
      </w:tr>
      <w:tr w:rsidR="00807C58" w:rsidRPr="00292644">
        <w:tc>
          <w:tcPr>
            <w:tcW w:w="3008"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92644">
              <w:rPr>
                <w:sz w:val="17"/>
              </w:rPr>
              <w:t>San Salvador</w:t>
            </w:r>
          </w:p>
        </w:tc>
        <w:tc>
          <w:tcPr>
            <w:tcW w:w="1116"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970</w:t>
            </w:r>
          </w:p>
        </w:tc>
        <w:tc>
          <w:tcPr>
            <w:tcW w:w="954"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930</w:t>
            </w:r>
          </w:p>
        </w:tc>
        <w:tc>
          <w:tcPr>
            <w:tcW w:w="1197" w:type="dxa"/>
            <w:gridSpan w:val="2"/>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-40</w:t>
            </w:r>
          </w:p>
        </w:tc>
        <w:tc>
          <w:tcPr>
            <w:tcW w:w="1044" w:type="dxa"/>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-4</w:t>
            </w:r>
          </w:p>
        </w:tc>
      </w:tr>
      <w:tr w:rsidR="00807C58" w:rsidRPr="00292644">
        <w:tc>
          <w:tcPr>
            <w:tcW w:w="3008" w:type="dxa"/>
            <w:tcBorders>
              <w:bottom w:val="single" w:sz="12" w:space="0" w:color="auto"/>
            </w:tcBorders>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92644">
              <w:rPr>
                <w:sz w:val="17"/>
              </w:rPr>
              <w:t>Spanish Wells</w:t>
            </w:r>
          </w:p>
        </w:tc>
        <w:tc>
          <w:tcPr>
            <w:tcW w:w="1116" w:type="dxa"/>
            <w:tcBorders>
              <w:bottom w:val="single" w:sz="12" w:space="0" w:color="auto"/>
            </w:tcBorders>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1 527</w:t>
            </w:r>
          </w:p>
        </w:tc>
        <w:tc>
          <w:tcPr>
            <w:tcW w:w="954" w:type="dxa"/>
            <w:tcBorders>
              <w:bottom w:val="single" w:sz="12" w:space="0" w:color="auto"/>
            </w:tcBorders>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1 537</w:t>
            </w:r>
          </w:p>
        </w:tc>
        <w:tc>
          <w:tcPr>
            <w:tcW w:w="1197" w:type="dxa"/>
            <w:gridSpan w:val="2"/>
            <w:tcBorders>
              <w:bottom w:val="single" w:sz="12" w:space="0" w:color="auto"/>
            </w:tcBorders>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10</w:t>
            </w:r>
          </w:p>
        </w:tc>
        <w:tc>
          <w:tcPr>
            <w:tcW w:w="1044" w:type="dxa"/>
            <w:tcBorders>
              <w:bottom w:val="single" w:sz="12" w:space="0" w:color="auto"/>
            </w:tcBorders>
            <w:shd w:val="clear" w:color="auto" w:fill="auto"/>
            <w:vAlign w:val="bottom"/>
          </w:tcPr>
          <w:p w:rsidR="00807C58" w:rsidRPr="00292644" w:rsidRDefault="00807C58" w:rsidP="00807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92644">
              <w:rPr>
                <w:sz w:val="17"/>
              </w:rPr>
              <w:t>1</w:t>
            </w:r>
          </w:p>
        </w:tc>
      </w:tr>
    </w:tbl>
    <w:p w:rsidR="00807C58" w:rsidRPr="00161925" w:rsidRDefault="00807C58" w:rsidP="00807C58">
      <w:pPr>
        <w:pStyle w:val="SingleTxt"/>
        <w:spacing w:after="0" w:line="120" w:lineRule="exact"/>
        <w:rPr>
          <w:sz w:val="10"/>
        </w:rPr>
      </w:pPr>
    </w:p>
    <w:p w:rsidR="004B7319" w:rsidRPr="00161925" w:rsidRDefault="004B7319" w:rsidP="00807C58">
      <w:pPr>
        <w:pStyle w:val="FootnoteText"/>
        <w:tabs>
          <w:tab w:val="clear" w:pos="418"/>
          <w:tab w:val="right" w:pos="1476"/>
          <w:tab w:val="left" w:pos="1548"/>
          <w:tab w:val="right" w:pos="1836"/>
          <w:tab w:val="left" w:pos="1908"/>
        </w:tabs>
        <w:ind w:left="1548" w:right="1267" w:hanging="288"/>
      </w:pPr>
      <w:r w:rsidRPr="00161925">
        <w:rPr>
          <w:i/>
          <w:iCs/>
        </w:rPr>
        <w:t>Fuente</w:t>
      </w:r>
      <w:r w:rsidRPr="00161925">
        <w:t>: Departamento de Estadística.</w:t>
      </w:r>
    </w:p>
    <w:p w:rsidR="00807C58" w:rsidRPr="00161925" w:rsidRDefault="00807C58" w:rsidP="00807C58">
      <w:pPr>
        <w:pStyle w:val="SingleTxt"/>
        <w:suppressAutoHyphens/>
        <w:spacing w:after="0" w:line="120" w:lineRule="exact"/>
        <w:rPr>
          <w:sz w:val="10"/>
        </w:rPr>
      </w:pPr>
    </w:p>
    <w:p w:rsidR="00807C58" w:rsidRPr="00161925" w:rsidRDefault="00807C58" w:rsidP="00807C58">
      <w:pPr>
        <w:pStyle w:val="SingleTxt"/>
        <w:suppressAutoHyphens/>
        <w:spacing w:after="0" w:line="120" w:lineRule="exact"/>
        <w:rPr>
          <w:sz w:val="10"/>
        </w:rPr>
      </w:pPr>
    </w:p>
    <w:p w:rsidR="009C3279" w:rsidRPr="004669C4" w:rsidRDefault="009C3279" w:rsidP="009C327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Pr>
          <w:lang w:val="es-ES_tradnl"/>
        </w:rPr>
        <w:tab/>
        <w:t>V.</w:t>
      </w:r>
      <w:r>
        <w:rPr>
          <w:lang w:val="es-ES_tradnl"/>
        </w:rPr>
        <w:tab/>
      </w:r>
      <w:r w:rsidRPr="004669C4">
        <w:rPr>
          <w:lang w:val="es-ES_tradnl"/>
        </w:rPr>
        <w:t>Proporción de hombres y mujeres cabezas de familia</w:t>
      </w:r>
    </w:p>
    <w:p w:rsidR="009C3279" w:rsidRPr="009C3279" w:rsidRDefault="009C3279" w:rsidP="009C3279">
      <w:pPr>
        <w:pStyle w:val="SingleTxt"/>
        <w:spacing w:after="0" w:line="120" w:lineRule="exact"/>
        <w:rPr>
          <w:sz w:val="10"/>
          <w:lang w:val="es-ES_tradnl"/>
        </w:rPr>
      </w:pPr>
    </w:p>
    <w:p w:rsidR="009C3279" w:rsidRPr="009C3279" w:rsidRDefault="009C3279" w:rsidP="009C3279">
      <w:pPr>
        <w:pStyle w:val="SingleTxt"/>
        <w:spacing w:after="0" w:line="120" w:lineRule="exact"/>
        <w:rPr>
          <w:sz w:val="10"/>
          <w:lang w:val="es-ES_tradnl"/>
        </w:rPr>
      </w:pPr>
    </w:p>
    <w:p w:rsidR="009C3279" w:rsidRPr="004669C4" w:rsidRDefault="009C3279" w:rsidP="009C3279">
      <w:pPr>
        <w:pStyle w:val="SingleTxt"/>
        <w:numPr>
          <w:ilvl w:val="0"/>
          <w:numId w:val="11"/>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s-ES_tradnl"/>
        </w:rPr>
      </w:pPr>
      <w:r w:rsidRPr="004669C4">
        <w:rPr>
          <w:lang w:val="es-ES_tradnl"/>
        </w:rPr>
        <w:t xml:space="preserve">El </w:t>
      </w:r>
      <w:r>
        <w:rPr>
          <w:lang w:val="es-ES_tradnl"/>
        </w:rPr>
        <w:t>c</w:t>
      </w:r>
      <w:r w:rsidRPr="004669C4">
        <w:rPr>
          <w:lang w:val="es-ES_tradnl"/>
        </w:rPr>
        <w:t xml:space="preserve">enso de 2000 reveló que en todas las Bahamas había 88.107 hogares, mientras que en 2009 el número de hogares se estimaba en 109.270, lo que representaba un aumento de aproximadamente el 24%. De estos hogares, 106.340 facilitaron información indicativa de que el cabeza de familia era un varón en 61.610 hogares (58%). En cambio, 43.730 hogares respondieron que consideraban que el cabeza de familia era una mujer, lo que representaba aproximadamente el 42% del número total de hogares. En New Providence se registró un total de 72.855 hogares, de los cuales el 58% estaba encabezado por varones y el 42% por mujeres. Además, las estadísticas demostraron que el número de hogares encabezados por una mujer está creciendo más rápidamente que el de los encabezados por hombres. </w:t>
      </w:r>
    </w:p>
    <w:p w:rsidR="009C3279" w:rsidRPr="009C3279" w:rsidRDefault="009C3279" w:rsidP="009C3279">
      <w:pPr>
        <w:pStyle w:val="SingleTxt"/>
        <w:spacing w:after="0" w:line="120" w:lineRule="exact"/>
        <w:rPr>
          <w:sz w:val="10"/>
          <w:lang w:val="es-ES_tradnl"/>
        </w:rPr>
      </w:pPr>
    </w:p>
    <w:p w:rsidR="009C3279" w:rsidRPr="004669C4" w:rsidRDefault="009C3279" w:rsidP="009C32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b w:val="0"/>
          <w:lang w:val="es-ES_tradnl"/>
        </w:rPr>
      </w:pPr>
      <w:r w:rsidRPr="004669C4">
        <w:rPr>
          <w:b w:val="0"/>
          <w:lang w:val="es-ES_tradnl"/>
        </w:rPr>
        <w:tab/>
      </w:r>
      <w:r w:rsidRPr="004669C4">
        <w:rPr>
          <w:b w:val="0"/>
          <w:lang w:val="es-ES_tradnl"/>
        </w:rPr>
        <w:tab/>
        <w:t>Cuadro 4</w:t>
      </w:r>
    </w:p>
    <w:p w:rsidR="009C3279" w:rsidRPr="004669C4" w:rsidRDefault="009C3279" w:rsidP="006F5B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04" w:hanging="1267"/>
        <w:rPr>
          <w:lang w:val="es-ES_tradnl"/>
        </w:rPr>
      </w:pPr>
      <w:r>
        <w:rPr>
          <w:lang w:val="es-ES_tradnl"/>
        </w:rPr>
        <w:tab/>
      </w:r>
      <w:r>
        <w:rPr>
          <w:lang w:val="es-ES_tradnl"/>
        </w:rPr>
        <w:tab/>
      </w:r>
      <w:r w:rsidRPr="004669C4">
        <w:rPr>
          <w:lang w:val="es-ES_tradnl"/>
        </w:rPr>
        <w:t>Los hogares y sus ingresos: todo el archipiélago, New Providence y Gran</w:t>
      </w:r>
      <w:r w:rsidR="006F5BC2">
        <w:rPr>
          <w:lang w:val="es-ES_tradnl"/>
        </w:rPr>
        <w:t>d</w:t>
      </w:r>
      <w:r w:rsidRPr="004669C4">
        <w:rPr>
          <w:lang w:val="es-ES_tradnl"/>
        </w:rPr>
        <w:t xml:space="preserve"> Bahama (2009)</w:t>
      </w:r>
    </w:p>
    <w:p w:rsidR="009C3279" w:rsidRPr="009C3279" w:rsidRDefault="009C3279" w:rsidP="009C3279">
      <w:pPr>
        <w:pStyle w:val="SingleTxt"/>
        <w:spacing w:after="0" w:line="120" w:lineRule="exact"/>
        <w:rPr>
          <w:sz w:val="10"/>
          <w:lang w:val="es-ES_tradnl"/>
        </w:rPr>
      </w:pPr>
    </w:p>
    <w:p w:rsidR="009C3279" w:rsidRPr="009C3279" w:rsidRDefault="009C3279" w:rsidP="009C3279">
      <w:pPr>
        <w:pStyle w:val="SingleTxt"/>
        <w:spacing w:after="0" w:line="120" w:lineRule="exact"/>
        <w:rPr>
          <w:sz w:val="10"/>
          <w:lang w:val="es-ES_tradnl"/>
        </w:rPr>
      </w:pPr>
    </w:p>
    <w:tbl>
      <w:tblPr>
        <w:tblW w:w="0" w:type="auto"/>
        <w:tblInd w:w="1260" w:type="dxa"/>
        <w:tblLayout w:type="fixed"/>
        <w:tblCellMar>
          <w:left w:w="0" w:type="dxa"/>
          <w:right w:w="0" w:type="dxa"/>
        </w:tblCellMar>
        <w:tblLook w:val="0000" w:firstRow="0" w:lastRow="0" w:firstColumn="0" w:lastColumn="0" w:noHBand="0" w:noVBand="0"/>
      </w:tblPr>
      <w:tblGrid>
        <w:gridCol w:w="2160"/>
        <w:gridCol w:w="1128"/>
        <w:gridCol w:w="1344"/>
        <w:gridCol w:w="1344"/>
        <w:gridCol w:w="1344"/>
      </w:tblGrid>
      <w:tr w:rsidR="009C3279" w:rsidRPr="003E47DA">
        <w:tblPrEx>
          <w:tblCellMar>
            <w:top w:w="0" w:type="dxa"/>
            <w:bottom w:w="0" w:type="dxa"/>
          </w:tblCellMar>
        </w:tblPrEx>
        <w:trPr>
          <w:tblHeader/>
        </w:trPr>
        <w:tc>
          <w:tcPr>
            <w:tcW w:w="2160" w:type="dxa"/>
            <w:tcBorders>
              <w:top w:val="single" w:sz="4" w:space="0" w:color="auto"/>
              <w:bottom w:val="single" w:sz="12" w:space="0" w:color="auto"/>
            </w:tcBorders>
            <w:shd w:val="clear" w:color="auto" w:fill="auto"/>
            <w:vAlign w:val="bottom"/>
          </w:tcPr>
          <w:p w:rsidR="009C3279" w:rsidRPr="003E47DA" w:rsidRDefault="009C3279" w:rsidP="009C3279">
            <w:pPr>
              <w:tabs>
                <w:tab w:val="left" w:pos="288"/>
                <w:tab w:val="left" w:pos="576"/>
                <w:tab w:val="left" w:pos="864"/>
                <w:tab w:val="left" w:pos="1152"/>
              </w:tabs>
              <w:spacing w:before="80" w:after="80" w:line="160" w:lineRule="exact"/>
              <w:ind w:right="43"/>
              <w:rPr>
                <w:i/>
                <w:sz w:val="14"/>
                <w:lang w:val="es-ES_tradnl"/>
              </w:rPr>
            </w:pPr>
            <w:r w:rsidRPr="003E47DA">
              <w:rPr>
                <w:i/>
                <w:sz w:val="14"/>
                <w:lang w:val="es-ES_tradnl"/>
              </w:rPr>
              <w:t>Isla</w:t>
            </w:r>
          </w:p>
        </w:tc>
        <w:tc>
          <w:tcPr>
            <w:tcW w:w="1128" w:type="dxa"/>
            <w:tcBorders>
              <w:top w:val="single" w:sz="4" w:space="0" w:color="auto"/>
              <w:bottom w:val="single" w:sz="12" w:space="0" w:color="auto"/>
            </w:tcBorders>
            <w:shd w:val="clear" w:color="auto" w:fill="auto"/>
            <w:vAlign w:val="bottom"/>
          </w:tcPr>
          <w:p w:rsidR="009C3279" w:rsidRPr="003E47DA" w:rsidRDefault="009C3279" w:rsidP="009C3279">
            <w:pPr>
              <w:tabs>
                <w:tab w:val="left" w:pos="288"/>
                <w:tab w:val="left" w:pos="576"/>
                <w:tab w:val="left" w:pos="864"/>
                <w:tab w:val="left" w:pos="1152"/>
              </w:tabs>
              <w:spacing w:before="80" w:after="80" w:line="160" w:lineRule="exact"/>
              <w:ind w:right="43"/>
              <w:jc w:val="right"/>
              <w:rPr>
                <w:i/>
                <w:sz w:val="14"/>
                <w:lang w:val="es-ES_tradnl"/>
              </w:rPr>
            </w:pPr>
            <w:r w:rsidRPr="003E47DA">
              <w:rPr>
                <w:i/>
                <w:sz w:val="14"/>
                <w:lang w:val="es-ES_tradnl"/>
              </w:rPr>
              <w:t xml:space="preserve">Número </w:t>
            </w:r>
            <w:r w:rsidRPr="003E47DA">
              <w:rPr>
                <w:i/>
                <w:sz w:val="14"/>
                <w:lang w:val="es-ES_tradnl"/>
              </w:rPr>
              <w:br/>
              <w:t>de hogares</w:t>
            </w:r>
          </w:p>
        </w:tc>
        <w:tc>
          <w:tcPr>
            <w:tcW w:w="1344" w:type="dxa"/>
            <w:tcBorders>
              <w:top w:val="single" w:sz="4" w:space="0" w:color="auto"/>
              <w:bottom w:val="single" w:sz="12" w:space="0" w:color="auto"/>
            </w:tcBorders>
            <w:shd w:val="clear" w:color="auto" w:fill="auto"/>
            <w:vAlign w:val="bottom"/>
          </w:tcPr>
          <w:p w:rsidR="009C3279" w:rsidRPr="003E47DA" w:rsidRDefault="009C3279" w:rsidP="009C3279">
            <w:pPr>
              <w:tabs>
                <w:tab w:val="left" w:pos="288"/>
                <w:tab w:val="left" w:pos="576"/>
                <w:tab w:val="left" w:pos="864"/>
                <w:tab w:val="left" w:pos="1152"/>
              </w:tabs>
              <w:spacing w:before="80" w:after="80" w:line="160" w:lineRule="exact"/>
              <w:ind w:right="43"/>
              <w:jc w:val="right"/>
              <w:rPr>
                <w:i/>
                <w:sz w:val="14"/>
                <w:lang w:val="es-ES_tradnl"/>
              </w:rPr>
            </w:pPr>
            <w:r w:rsidRPr="003E47DA">
              <w:rPr>
                <w:i/>
                <w:sz w:val="14"/>
                <w:lang w:val="es-ES_tradnl"/>
              </w:rPr>
              <w:t xml:space="preserve">Ingreso </w:t>
            </w:r>
            <w:r w:rsidRPr="003E47DA">
              <w:rPr>
                <w:i/>
                <w:sz w:val="14"/>
                <w:lang w:val="es-ES_tradnl"/>
              </w:rPr>
              <w:br/>
              <w:t>total de los</w:t>
            </w:r>
            <w:r w:rsidRPr="003E47DA">
              <w:rPr>
                <w:i/>
                <w:sz w:val="14"/>
                <w:lang w:val="es-ES_tradnl"/>
              </w:rPr>
              <w:br/>
              <w:t xml:space="preserve"> hogares (en B$)</w:t>
            </w:r>
          </w:p>
        </w:tc>
        <w:tc>
          <w:tcPr>
            <w:tcW w:w="1344" w:type="dxa"/>
            <w:tcBorders>
              <w:top w:val="single" w:sz="4" w:space="0" w:color="auto"/>
              <w:bottom w:val="single" w:sz="12" w:space="0" w:color="auto"/>
            </w:tcBorders>
            <w:shd w:val="clear" w:color="auto" w:fill="auto"/>
            <w:vAlign w:val="bottom"/>
          </w:tcPr>
          <w:p w:rsidR="009C3279" w:rsidRPr="003E47DA" w:rsidRDefault="009C3279" w:rsidP="009C3279">
            <w:pPr>
              <w:tabs>
                <w:tab w:val="left" w:pos="288"/>
                <w:tab w:val="left" w:pos="576"/>
                <w:tab w:val="left" w:pos="864"/>
                <w:tab w:val="left" w:pos="1152"/>
              </w:tabs>
              <w:spacing w:before="80" w:after="80" w:line="160" w:lineRule="exact"/>
              <w:ind w:right="43"/>
              <w:jc w:val="right"/>
              <w:rPr>
                <w:i/>
                <w:sz w:val="14"/>
                <w:lang w:val="es-ES_tradnl"/>
              </w:rPr>
            </w:pPr>
            <w:r w:rsidRPr="003E47DA">
              <w:rPr>
                <w:i/>
                <w:sz w:val="14"/>
                <w:lang w:val="es-ES_tradnl"/>
              </w:rPr>
              <w:t>Promedio del</w:t>
            </w:r>
            <w:r w:rsidRPr="003E47DA">
              <w:rPr>
                <w:i/>
                <w:sz w:val="14"/>
                <w:lang w:val="es-ES_tradnl"/>
              </w:rPr>
              <w:br/>
              <w:t xml:space="preserve"> ingreso de los</w:t>
            </w:r>
            <w:r w:rsidRPr="003E47DA">
              <w:rPr>
                <w:i/>
                <w:sz w:val="14"/>
                <w:lang w:val="es-ES_tradnl"/>
              </w:rPr>
              <w:br/>
              <w:t>hogares (en B$)</w:t>
            </w:r>
          </w:p>
        </w:tc>
        <w:tc>
          <w:tcPr>
            <w:tcW w:w="1344" w:type="dxa"/>
            <w:tcBorders>
              <w:top w:val="single" w:sz="4" w:space="0" w:color="auto"/>
              <w:bottom w:val="single" w:sz="12" w:space="0" w:color="auto"/>
            </w:tcBorders>
            <w:shd w:val="clear" w:color="auto" w:fill="auto"/>
            <w:vAlign w:val="bottom"/>
          </w:tcPr>
          <w:p w:rsidR="009C3279" w:rsidRPr="003E47DA" w:rsidRDefault="009C3279" w:rsidP="009C3279">
            <w:pPr>
              <w:tabs>
                <w:tab w:val="left" w:pos="288"/>
                <w:tab w:val="left" w:pos="576"/>
                <w:tab w:val="left" w:pos="864"/>
                <w:tab w:val="left" w:pos="1152"/>
              </w:tabs>
              <w:spacing w:before="80" w:after="80" w:line="160" w:lineRule="exact"/>
              <w:ind w:right="43"/>
              <w:jc w:val="right"/>
              <w:rPr>
                <w:i/>
                <w:sz w:val="14"/>
                <w:lang w:val="es-ES_tradnl"/>
              </w:rPr>
            </w:pPr>
            <w:r w:rsidRPr="003E47DA">
              <w:rPr>
                <w:i/>
                <w:sz w:val="14"/>
                <w:lang w:val="es-ES_tradnl"/>
              </w:rPr>
              <w:t>Mediana del</w:t>
            </w:r>
            <w:r w:rsidRPr="003E47DA">
              <w:rPr>
                <w:i/>
                <w:sz w:val="14"/>
                <w:lang w:val="es-ES_tradnl"/>
              </w:rPr>
              <w:br/>
              <w:t xml:space="preserve"> ingreso de los hogares (en B$)</w:t>
            </w:r>
          </w:p>
        </w:tc>
      </w:tr>
      <w:tr w:rsidR="009C3279" w:rsidRPr="003E47DA">
        <w:tblPrEx>
          <w:tblCellMar>
            <w:top w:w="0" w:type="dxa"/>
            <w:bottom w:w="0" w:type="dxa"/>
          </w:tblCellMar>
        </w:tblPrEx>
        <w:trPr>
          <w:trHeight w:hRule="exact" w:val="115"/>
          <w:tblHeader/>
        </w:trPr>
        <w:tc>
          <w:tcPr>
            <w:tcW w:w="2160" w:type="dxa"/>
            <w:tcBorders>
              <w:top w:val="single" w:sz="12" w:space="0" w:color="auto"/>
            </w:tcBorders>
            <w:shd w:val="clear" w:color="auto" w:fill="auto"/>
            <w:vAlign w:val="bottom"/>
          </w:tcPr>
          <w:p w:rsidR="009C3279" w:rsidRPr="003E47DA" w:rsidRDefault="009C3279" w:rsidP="009C3279">
            <w:pPr>
              <w:tabs>
                <w:tab w:val="left" w:pos="288"/>
                <w:tab w:val="left" w:pos="576"/>
                <w:tab w:val="left" w:pos="864"/>
                <w:tab w:val="left" w:pos="1152"/>
              </w:tabs>
              <w:spacing w:before="40" w:after="40" w:line="210" w:lineRule="exact"/>
              <w:ind w:right="40"/>
              <w:rPr>
                <w:sz w:val="17"/>
                <w:lang w:val="es-ES_tradnl"/>
              </w:rPr>
            </w:pPr>
          </w:p>
        </w:tc>
        <w:tc>
          <w:tcPr>
            <w:tcW w:w="1128" w:type="dxa"/>
            <w:tcBorders>
              <w:top w:val="single" w:sz="12" w:space="0" w:color="auto"/>
            </w:tcBorders>
            <w:shd w:val="clear" w:color="auto" w:fill="auto"/>
            <w:vAlign w:val="bottom"/>
          </w:tcPr>
          <w:p w:rsidR="009C3279" w:rsidRPr="003E47DA" w:rsidRDefault="009C3279" w:rsidP="009C3279">
            <w:pPr>
              <w:tabs>
                <w:tab w:val="left" w:pos="288"/>
                <w:tab w:val="left" w:pos="576"/>
                <w:tab w:val="left" w:pos="864"/>
                <w:tab w:val="left" w:pos="1152"/>
              </w:tabs>
              <w:spacing w:before="40" w:after="40" w:line="210" w:lineRule="exact"/>
              <w:ind w:right="40"/>
              <w:jc w:val="right"/>
              <w:rPr>
                <w:sz w:val="17"/>
                <w:lang w:val="es-ES_tradnl"/>
              </w:rPr>
            </w:pPr>
          </w:p>
        </w:tc>
        <w:tc>
          <w:tcPr>
            <w:tcW w:w="1344" w:type="dxa"/>
            <w:tcBorders>
              <w:top w:val="single" w:sz="12" w:space="0" w:color="auto"/>
            </w:tcBorders>
            <w:shd w:val="clear" w:color="auto" w:fill="auto"/>
            <w:vAlign w:val="bottom"/>
          </w:tcPr>
          <w:p w:rsidR="009C3279" w:rsidRPr="003E47DA" w:rsidRDefault="009C3279" w:rsidP="009C3279">
            <w:pPr>
              <w:tabs>
                <w:tab w:val="left" w:pos="288"/>
                <w:tab w:val="left" w:pos="576"/>
                <w:tab w:val="left" w:pos="864"/>
                <w:tab w:val="left" w:pos="1152"/>
              </w:tabs>
              <w:spacing w:before="40" w:after="40" w:line="210" w:lineRule="exact"/>
              <w:ind w:right="40"/>
              <w:jc w:val="right"/>
              <w:rPr>
                <w:sz w:val="17"/>
                <w:lang w:val="es-ES_tradnl"/>
              </w:rPr>
            </w:pPr>
          </w:p>
        </w:tc>
        <w:tc>
          <w:tcPr>
            <w:tcW w:w="1344" w:type="dxa"/>
            <w:tcBorders>
              <w:top w:val="single" w:sz="12" w:space="0" w:color="auto"/>
            </w:tcBorders>
            <w:shd w:val="clear" w:color="auto" w:fill="auto"/>
            <w:vAlign w:val="bottom"/>
          </w:tcPr>
          <w:p w:rsidR="009C3279" w:rsidRPr="003E47DA" w:rsidRDefault="009C3279" w:rsidP="009C3279">
            <w:pPr>
              <w:tabs>
                <w:tab w:val="left" w:pos="288"/>
                <w:tab w:val="left" w:pos="576"/>
                <w:tab w:val="left" w:pos="864"/>
                <w:tab w:val="left" w:pos="1152"/>
              </w:tabs>
              <w:spacing w:before="40" w:after="40" w:line="210" w:lineRule="exact"/>
              <w:ind w:right="40"/>
              <w:jc w:val="right"/>
              <w:rPr>
                <w:sz w:val="17"/>
                <w:lang w:val="es-ES_tradnl"/>
              </w:rPr>
            </w:pPr>
          </w:p>
        </w:tc>
        <w:tc>
          <w:tcPr>
            <w:tcW w:w="1344" w:type="dxa"/>
            <w:tcBorders>
              <w:top w:val="single" w:sz="12" w:space="0" w:color="auto"/>
            </w:tcBorders>
            <w:shd w:val="clear" w:color="auto" w:fill="auto"/>
            <w:vAlign w:val="bottom"/>
          </w:tcPr>
          <w:p w:rsidR="009C3279" w:rsidRPr="003E47DA" w:rsidRDefault="009C3279" w:rsidP="009C3279">
            <w:pPr>
              <w:tabs>
                <w:tab w:val="left" w:pos="288"/>
                <w:tab w:val="left" w:pos="576"/>
                <w:tab w:val="left" w:pos="864"/>
                <w:tab w:val="left" w:pos="1152"/>
              </w:tabs>
              <w:spacing w:before="40" w:after="40" w:line="210" w:lineRule="exact"/>
              <w:ind w:right="40"/>
              <w:jc w:val="right"/>
              <w:rPr>
                <w:sz w:val="17"/>
                <w:lang w:val="es-ES_tradnl"/>
              </w:rPr>
            </w:pPr>
          </w:p>
        </w:tc>
      </w:tr>
      <w:tr w:rsidR="009C3279" w:rsidRPr="003E47DA">
        <w:tblPrEx>
          <w:tblCellMar>
            <w:top w:w="0" w:type="dxa"/>
            <w:bottom w:w="0" w:type="dxa"/>
          </w:tblCellMar>
        </w:tblPrEx>
        <w:tc>
          <w:tcPr>
            <w:tcW w:w="2160" w:type="dxa"/>
            <w:shd w:val="clear" w:color="auto" w:fill="auto"/>
            <w:vAlign w:val="bottom"/>
          </w:tcPr>
          <w:p w:rsidR="009C3279" w:rsidRPr="003E47DA" w:rsidRDefault="009C3279" w:rsidP="009C3279">
            <w:pPr>
              <w:tabs>
                <w:tab w:val="left" w:pos="288"/>
                <w:tab w:val="left" w:pos="576"/>
                <w:tab w:val="left" w:pos="864"/>
                <w:tab w:val="left" w:pos="1152"/>
              </w:tabs>
              <w:spacing w:before="40" w:after="40" w:line="210" w:lineRule="exact"/>
              <w:ind w:right="40"/>
              <w:rPr>
                <w:sz w:val="17"/>
                <w:lang w:val="es-ES_tradnl"/>
              </w:rPr>
            </w:pPr>
            <w:r w:rsidRPr="003E47DA">
              <w:rPr>
                <w:sz w:val="17"/>
                <w:lang w:val="es-ES_tradnl"/>
              </w:rPr>
              <w:t>Todo el archipiélago</w:t>
            </w:r>
          </w:p>
        </w:tc>
        <w:tc>
          <w:tcPr>
            <w:tcW w:w="1128" w:type="dxa"/>
            <w:shd w:val="clear" w:color="auto" w:fill="auto"/>
            <w:vAlign w:val="bottom"/>
          </w:tcPr>
          <w:p w:rsidR="009C3279" w:rsidRPr="003E47DA"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E47DA">
              <w:rPr>
                <w:sz w:val="17"/>
              </w:rPr>
              <w:t>105 340</w:t>
            </w:r>
          </w:p>
        </w:tc>
        <w:tc>
          <w:tcPr>
            <w:tcW w:w="1344" w:type="dxa"/>
            <w:shd w:val="clear" w:color="auto" w:fill="auto"/>
            <w:vAlign w:val="bottom"/>
          </w:tcPr>
          <w:p w:rsidR="009C3279" w:rsidRPr="003E47DA"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E47DA">
              <w:rPr>
                <w:sz w:val="17"/>
              </w:rPr>
              <w:t>4 036 000 000</w:t>
            </w:r>
          </w:p>
        </w:tc>
        <w:tc>
          <w:tcPr>
            <w:tcW w:w="1344" w:type="dxa"/>
            <w:shd w:val="clear" w:color="auto" w:fill="auto"/>
            <w:vAlign w:val="bottom"/>
          </w:tcPr>
          <w:p w:rsidR="009C3279" w:rsidRPr="003E47DA"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E47DA">
              <w:rPr>
                <w:sz w:val="17"/>
              </w:rPr>
              <w:t>38 314</w:t>
            </w:r>
          </w:p>
        </w:tc>
        <w:tc>
          <w:tcPr>
            <w:tcW w:w="1344" w:type="dxa"/>
            <w:shd w:val="clear" w:color="auto" w:fill="auto"/>
            <w:vAlign w:val="bottom"/>
          </w:tcPr>
          <w:p w:rsidR="009C3279" w:rsidRPr="003E47DA"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E47DA">
              <w:rPr>
                <w:sz w:val="17"/>
              </w:rPr>
              <w:t>30 318</w:t>
            </w:r>
          </w:p>
        </w:tc>
      </w:tr>
      <w:tr w:rsidR="009C3279" w:rsidRPr="003E47DA">
        <w:tblPrEx>
          <w:tblCellMar>
            <w:top w:w="0" w:type="dxa"/>
            <w:bottom w:w="0" w:type="dxa"/>
          </w:tblCellMar>
        </w:tblPrEx>
        <w:tc>
          <w:tcPr>
            <w:tcW w:w="2160" w:type="dxa"/>
            <w:shd w:val="clear" w:color="auto" w:fill="auto"/>
            <w:vAlign w:val="bottom"/>
          </w:tcPr>
          <w:p w:rsidR="009C3279" w:rsidRPr="003E47DA" w:rsidRDefault="009C3279" w:rsidP="009C3279">
            <w:pPr>
              <w:tabs>
                <w:tab w:val="left" w:pos="288"/>
                <w:tab w:val="left" w:pos="576"/>
                <w:tab w:val="left" w:pos="864"/>
                <w:tab w:val="left" w:pos="1152"/>
              </w:tabs>
              <w:spacing w:before="40" w:after="40" w:line="210" w:lineRule="exact"/>
              <w:ind w:right="40"/>
              <w:rPr>
                <w:sz w:val="17"/>
                <w:lang w:val="es-ES_tradnl"/>
              </w:rPr>
            </w:pPr>
            <w:r w:rsidRPr="003E47DA">
              <w:rPr>
                <w:sz w:val="17"/>
                <w:lang w:val="es-ES_tradnl"/>
              </w:rPr>
              <w:t>New Providence</w:t>
            </w:r>
          </w:p>
        </w:tc>
        <w:tc>
          <w:tcPr>
            <w:tcW w:w="1128" w:type="dxa"/>
            <w:shd w:val="clear" w:color="auto" w:fill="auto"/>
            <w:vAlign w:val="bottom"/>
          </w:tcPr>
          <w:p w:rsidR="009C3279" w:rsidRPr="003E47DA"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E47DA">
              <w:rPr>
                <w:sz w:val="17"/>
              </w:rPr>
              <w:t>72 855</w:t>
            </w:r>
          </w:p>
        </w:tc>
        <w:tc>
          <w:tcPr>
            <w:tcW w:w="1344" w:type="dxa"/>
            <w:shd w:val="clear" w:color="auto" w:fill="auto"/>
            <w:vAlign w:val="bottom"/>
          </w:tcPr>
          <w:p w:rsidR="009C3279" w:rsidRPr="003E47DA"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E47DA">
              <w:rPr>
                <w:sz w:val="17"/>
              </w:rPr>
              <w:t>2 952 700 000</w:t>
            </w:r>
          </w:p>
        </w:tc>
        <w:tc>
          <w:tcPr>
            <w:tcW w:w="1344" w:type="dxa"/>
            <w:shd w:val="clear" w:color="auto" w:fill="auto"/>
            <w:vAlign w:val="bottom"/>
          </w:tcPr>
          <w:p w:rsidR="009C3279" w:rsidRPr="003E47DA"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E47DA">
              <w:rPr>
                <w:sz w:val="17"/>
              </w:rPr>
              <w:t>40 528</w:t>
            </w:r>
          </w:p>
        </w:tc>
        <w:tc>
          <w:tcPr>
            <w:tcW w:w="1344" w:type="dxa"/>
            <w:shd w:val="clear" w:color="auto" w:fill="auto"/>
            <w:vAlign w:val="bottom"/>
          </w:tcPr>
          <w:p w:rsidR="009C3279" w:rsidRPr="003E47DA"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E47DA">
              <w:rPr>
                <w:sz w:val="17"/>
              </w:rPr>
              <w:t>32 638</w:t>
            </w:r>
          </w:p>
        </w:tc>
      </w:tr>
      <w:tr w:rsidR="009C3279" w:rsidRPr="003E47DA">
        <w:tblPrEx>
          <w:tblCellMar>
            <w:top w:w="0" w:type="dxa"/>
            <w:bottom w:w="0" w:type="dxa"/>
          </w:tblCellMar>
        </w:tblPrEx>
        <w:tc>
          <w:tcPr>
            <w:tcW w:w="2160" w:type="dxa"/>
            <w:tcBorders>
              <w:bottom w:val="single" w:sz="12" w:space="0" w:color="auto"/>
            </w:tcBorders>
            <w:shd w:val="clear" w:color="auto" w:fill="auto"/>
            <w:vAlign w:val="bottom"/>
          </w:tcPr>
          <w:p w:rsidR="009C3279" w:rsidRPr="003E47DA" w:rsidRDefault="009C3279" w:rsidP="009C3279">
            <w:pPr>
              <w:tabs>
                <w:tab w:val="left" w:pos="288"/>
                <w:tab w:val="left" w:pos="576"/>
                <w:tab w:val="left" w:pos="864"/>
                <w:tab w:val="left" w:pos="1152"/>
              </w:tabs>
              <w:spacing w:before="40" w:after="80" w:line="210" w:lineRule="exact"/>
              <w:ind w:right="40"/>
              <w:rPr>
                <w:sz w:val="17"/>
                <w:lang w:val="es-ES_tradnl"/>
              </w:rPr>
            </w:pPr>
            <w:r w:rsidRPr="003E47DA">
              <w:rPr>
                <w:sz w:val="17"/>
                <w:lang w:val="es-ES_tradnl"/>
              </w:rPr>
              <w:t>Gran</w:t>
            </w:r>
            <w:r w:rsidR="00C43A06">
              <w:rPr>
                <w:sz w:val="17"/>
                <w:lang w:val="es-ES_tradnl"/>
              </w:rPr>
              <w:t>d</w:t>
            </w:r>
            <w:r w:rsidRPr="003E47DA">
              <w:rPr>
                <w:sz w:val="17"/>
                <w:lang w:val="es-ES_tradnl"/>
              </w:rPr>
              <w:t xml:space="preserve"> Bahama</w:t>
            </w:r>
          </w:p>
        </w:tc>
        <w:tc>
          <w:tcPr>
            <w:tcW w:w="1128" w:type="dxa"/>
            <w:tcBorders>
              <w:bottom w:val="single" w:sz="12" w:space="0" w:color="auto"/>
            </w:tcBorders>
            <w:shd w:val="clear" w:color="auto" w:fill="auto"/>
            <w:vAlign w:val="bottom"/>
          </w:tcPr>
          <w:p w:rsidR="009C3279" w:rsidRPr="003E47DA"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sz w:val="17"/>
              </w:rPr>
            </w:pPr>
            <w:r w:rsidRPr="003E47DA">
              <w:rPr>
                <w:sz w:val="17"/>
              </w:rPr>
              <w:t>16 970</w:t>
            </w:r>
          </w:p>
        </w:tc>
        <w:tc>
          <w:tcPr>
            <w:tcW w:w="1344" w:type="dxa"/>
            <w:tcBorders>
              <w:bottom w:val="single" w:sz="12" w:space="0" w:color="auto"/>
            </w:tcBorders>
            <w:shd w:val="clear" w:color="auto" w:fill="auto"/>
            <w:vAlign w:val="bottom"/>
          </w:tcPr>
          <w:p w:rsidR="009C3279" w:rsidRPr="003E47DA"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sz w:val="17"/>
              </w:rPr>
            </w:pPr>
            <w:r w:rsidRPr="003E47DA">
              <w:rPr>
                <w:sz w:val="17"/>
              </w:rPr>
              <w:t>637 425 000</w:t>
            </w:r>
          </w:p>
        </w:tc>
        <w:tc>
          <w:tcPr>
            <w:tcW w:w="1344" w:type="dxa"/>
            <w:tcBorders>
              <w:bottom w:val="single" w:sz="12" w:space="0" w:color="auto"/>
            </w:tcBorders>
            <w:shd w:val="clear" w:color="auto" w:fill="auto"/>
            <w:vAlign w:val="bottom"/>
          </w:tcPr>
          <w:p w:rsidR="009C3279" w:rsidRPr="003E47DA"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sz w:val="17"/>
              </w:rPr>
            </w:pPr>
            <w:r w:rsidRPr="003E47DA">
              <w:rPr>
                <w:sz w:val="17"/>
              </w:rPr>
              <w:t>37 562</w:t>
            </w:r>
          </w:p>
        </w:tc>
        <w:tc>
          <w:tcPr>
            <w:tcW w:w="1344" w:type="dxa"/>
            <w:tcBorders>
              <w:bottom w:val="single" w:sz="12" w:space="0" w:color="auto"/>
            </w:tcBorders>
            <w:shd w:val="clear" w:color="auto" w:fill="auto"/>
            <w:vAlign w:val="bottom"/>
          </w:tcPr>
          <w:p w:rsidR="009C3279" w:rsidRPr="003E47DA"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sz w:val="17"/>
              </w:rPr>
            </w:pPr>
            <w:r w:rsidRPr="003E47DA">
              <w:rPr>
                <w:sz w:val="17"/>
              </w:rPr>
              <w:t>30 000</w:t>
            </w:r>
          </w:p>
        </w:tc>
      </w:tr>
    </w:tbl>
    <w:p w:rsidR="009C3279" w:rsidRPr="009C3279" w:rsidRDefault="009C3279" w:rsidP="009C3279">
      <w:pPr>
        <w:pStyle w:val="SingleTxt"/>
        <w:spacing w:after="0" w:line="120" w:lineRule="exact"/>
        <w:rPr>
          <w:sz w:val="10"/>
        </w:rPr>
      </w:pPr>
    </w:p>
    <w:p w:rsidR="009C3279" w:rsidRPr="004669C4" w:rsidRDefault="009C3279" w:rsidP="009C3279">
      <w:pPr>
        <w:pStyle w:val="FootnoteText"/>
        <w:tabs>
          <w:tab w:val="clear" w:pos="418"/>
          <w:tab w:val="right" w:pos="1476"/>
          <w:tab w:val="left" w:pos="1548"/>
          <w:tab w:val="right" w:pos="1836"/>
          <w:tab w:val="left" w:pos="1908"/>
        </w:tabs>
        <w:ind w:left="1548" w:right="1267" w:hanging="288"/>
      </w:pPr>
      <w:r w:rsidRPr="004669C4">
        <w:rPr>
          <w:i/>
          <w:iCs/>
        </w:rPr>
        <w:t>Fuente</w:t>
      </w:r>
      <w:r w:rsidRPr="004669C4">
        <w:t>: Departamento de Estadística.</w:t>
      </w:r>
    </w:p>
    <w:p w:rsidR="009C3279" w:rsidRPr="004669C4" w:rsidRDefault="009C3279" w:rsidP="009C327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Pr>
          <w:lang w:val="es-ES_tradnl"/>
        </w:rPr>
        <w:tab/>
        <w:t>VI.</w:t>
      </w:r>
      <w:r>
        <w:rPr>
          <w:lang w:val="es-ES_tradnl"/>
        </w:rPr>
        <w:tab/>
      </w:r>
      <w:r w:rsidRPr="004669C4">
        <w:rPr>
          <w:lang w:val="es-ES_tradnl"/>
        </w:rPr>
        <w:t>Características económicas</w:t>
      </w:r>
    </w:p>
    <w:p w:rsidR="009C3279" w:rsidRPr="009C3279" w:rsidRDefault="009C3279" w:rsidP="009C3279">
      <w:pPr>
        <w:pStyle w:val="SingleTxt"/>
        <w:spacing w:after="0" w:line="120" w:lineRule="exact"/>
        <w:rPr>
          <w:sz w:val="10"/>
          <w:lang w:val="es-ES_tradnl"/>
        </w:rPr>
      </w:pPr>
    </w:p>
    <w:p w:rsidR="009C3279" w:rsidRPr="009C3279" w:rsidRDefault="009C3279" w:rsidP="009C3279">
      <w:pPr>
        <w:pStyle w:val="SingleTxt"/>
        <w:spacing w:after="0" w:line="120" w:lineRule="exact"/>
        <w:rPr>
          <w:sz w:val="10"/>
          <w:lang w:val="es-ES_tradnl"/>
        </w:rPr>
      </w:pPr>
    </w:p>
    <w:p w:rsidR="009C3279" w:rsidRDefault="009C3279" w:rsidP="009C3279">
      <w:pPr>
        <w:pStyle w:val="SingleTxt"/>
        <w:numPr>
          <w:ilvl w:val="0"/>
          <w:numId w:val="11"/>
        </w:numPr>
        <w:tabs>
          <w:tab w:val="clear" w:pos="475"/>
          <w:tab w:val="num" w:pos="1742"/>
        </w:tabs>
        <w:ind w:left="1267"/>
        <w:rPr>
          <w:lang w:val="es-ES_tradnl"/>
        </w:rPr>
      </w:pPr>
      <w:r w:rsidRPr="004669C4">
        <w:rPr>
          <w:lang w:val="es-ES_tradnl"/>
        </w:rPr>
        <w:t xml:space="preserve">En 2010 el ingreso </w:t>
      </w:r>
      <w:r>
        <w:rPr>
          <w:i/>
          <w:lang w:val="es-ES_tradnl"/>
        </w:rPr>
        <w:t>per ca</w:t>
      </w:r>
      <w:r w:rsidRPr="006C093F">
        <w:rPr>
          <w:i/>
          <w:lang w:val="es-ES_tradnl"/>
        </w:rPr>
        <w:t>pita</w:t>
      </w:r>
      <w:r w:rsidRPr="004669C4">
        <w:rPr>
          <w:lang w:val="es-ES_tradnl"/>
        </w:rPr>
        <w:t xml:space="preserve"> de las Bahamas ascendía a 21.773 dólares de los Estados Unidos, ubicando al país entre los tres de mayor ingreso </w:t>
      </w:r>
      <w:r w:rsidRPr="006C093F">
        <w:rPr>
          <w:i/>
          <w:lang w:val="es-ES_tradnl"/>
        </w:rPr>
        <w:t>per capita</w:t>
      </w:r>
      <w:r w:rsidRPr="004669C4">
        <w:rPr>
          <w:lang w:val="es-ES_tradnl"/>
        </w:rPr>
        <w:t xml:space="preserve"> del hemisferio occidental. En ese mismo año se estimó que el producto interno bruto (PIB) de las Bahamas tenía un valor de 7.600 millones de dólares y seguía creciendo.</w:t>
      </w:r>
    </w:p>
    <w:p w:rsidR="009C3279" w:rsidRPr="004669C4" w:rsidRDefault="009C3279" w:rsidP="009C3279">
      <w:pPr>
        <w:pStyle w:val="SingleTxt"/>
        <w:numPr>
          <w:ilvl w:val="0"/>
          <w:numId w:val="11"/>
        </w:numPr>
        <w:tabs>
          <w:tab w:val="clear" w:pos="475"/>
          <w:tab w:val="num" w:pos="1742"/>
        </w:tabs>
        <w:ind w:left="1267"/>
        <w:rPr>
          <w:lang w:val="es-ES_tradnl"/>
        </w:rPr>
      </w:pPr>
      <w:r w:rsidRPr="004669C4">
        <w:rPr>
          <w:lang w:val="es-ES_tradnl"/>
        </w:rPr>
        <w:t xml:space="preserve">Entre los años 2006 y 2010 se registró un descenso mínimo del PIB de las Bahamas, a precios corrientes del mercado, debido a la crisis financiera y la recesión mundial subsiguiente. En el cuadro 5 </w:t>
      </w:r>
      <w:r w:rsidRPr="006F01A5">
        <w:rPr>
          <w:i/>
          <w:lang w:val="es-ES_tradnl"/>
        </w:rPr>
        <w:t>infra</w:t>
      </w:r>
      <w:r w:rsidRPr="004669C4">
        <w:rPr>
          <w:lang w:val="es-ES_tradnl"/>
        </w:rPr>
        <w:t xml:space="preserve"> se indica la tasa anual estimada de crecimiento del PIB.</w:t>
      </w:r>
    </w:p>
    <w:p w:rsidR="009C3279" w:rsidRPr="009C3279" w:rsidRDefault="009C3279" w:rsidP="009C3279">
      <w:pPr>
        <w:pStyle w:val="SingleTxt"/>
        <w:spacing w:after="0" w:line="120" w:lineRule="exact"/>
        <w:rPr>
          <w:sz w:val="10"/>
          <w:lang w:val="es-ES_tradnl"/>
        </w:rPr>
      </w:pPr>
    </w:p>
    <w:p w:rsidR="009C3279" w:rsidRPr="004669C4" w:rsidRDefault="009C3279" w:rsidP="009C32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b w:val="0"/>
          <w:lang w:val="es-ES_tradnl"/>
        </w:rPr>
      </w:pPr>
      <w:r>
        <w:rPr>
          <w:lang w:val="es-ES_tradnl"/>
        </w:rPr>
        <w:tab/>
      </w:r>
      <w:r>
        <w:rPr>
          <w:lang w:val="es-ES_tradnl"/>
        </w:rPr>
        <w:tab/>
      </w:r>
      <w:r w:rsidRPr="004669C4">
        <w:rPr>
          <w:b w:val="0"/>
          <w:lang w:val="es-ES_tradnl"/>
        </w:rPr>
        <w:t>Cuadro 5</w:t>
      </w:r>
    </w:p>
    <w:p w:rsidR="009C3279" w:rsidRPr="004669C4" w:rsidRDefault="009C3279" w:rsidP="009C32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Pr>
          <w:lang w:val="es-ES_tradnl"/>
        </w:rPr>
        <w:tab/>
      </w:r>
      <w:r>
        <w:rPr>
          <w:lang w:val="es-ES_tradnl"/>
        </w:rPr>
        <w:tab/>
      </w:r>
      <w:r w:rsidRPr="004669C4">
        <w:rPr>
          <w:lang w:val="es-ES_tradnl"/>
        </w:rPr>
        <w:t>Tasa anual de crecimiento del PIB</w:t>
      </w:r>
      <w:r>
        <w:rPr>
          <w:lang w:val="es-ES_tradnl"/>
        </w:rPr>
        <w:t>,</w:t>
      </w:r>
      <w:r w:rsidRPr="004669C4">
        <w:rPr>
          <w:lang w:val="es-ES_tradnl"/>
        </w:rPr>
        <w:t xml:space="preserve"> 2006-2010</w:t>
      </w:r>
    </w:p>
    <w:p w:rsidR="009C3279" w:rsidRPr="009C3279" w:rsidRDefault="009C3279" w:rsidP="009C3279">
      <w:pPr>
        <w:pStyle w:val="SingleTxt"/>
        <w:spacing w:after="0" w:line="120" w:lineRule="exact"/>
        <w:rPr>
          <w:sz w:val="10"/>
          <w:lang w:val="es-ES_tradnl"/>
        </w:rPr>
      </w:pPr>
    </w:p>
    <w:p w:rsidR="009C3279" w:rsidRPr="009C3279" w:rsidRDefault="009C3279" w:rsidP="009C3279">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960"/>
        <w:gridCol w:w="1360"/>
      </w:tblGrid>
      <w:tr w:rsidR="009C3279" w:rsidRPr="008279A8">
        <w:trPr>
          <w:tblHeader/>
        </w:trPr>
        <w:tc>
          <w:tcPr>
            <w:tcW w:w="5960" w:type="dxa"/>
            <w:tcBorders>
              <w:top w:val="single" w:sz="4" w:space="0" w:color="auto"/>
              <w:bottom w:val="single" w:sz="12" w:space="0" w:color="auto"/>
            </w:tcBorders>
            <w:shd w:val="clear" w:color="auto" w:fill="auto"/>
            <w:vAlign w:val="bottom"/>
          </w:tcPr>
          <w:p w:rsidR="009C3279" w:rsidRPr="008279A8"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Pr>
                <w:i/>
                <w:sz w:val="14"/>
              </w:rPr>
              <w:t>Año</w:t>
            </w:r>
          </w:p>
        </w:tc>
        <w:tc>
          <w:tcPr>
            <w:tcW w:w="1360" w:type="dxa"/>
            <w:tcBorders>
              <w:top w:val="single" w:sz="4" w:space="0" w:color="auto"/>
              <w:bottom w:val="single" w:sz="12" w:space="0" w:color="auto"/>
            </w:tcBorders>
            <w:shd w:val="clear" w:color="auto" w:fill="auto"/>
            <w:vAlign w:val="bottom"/>
          </w:tcPr>
          <w:p w:rsidR="009C3279" w:rsidRPr="008279A8"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4669C4">
              <w:rPr>
                <w:i/>
                <w:sz w:val="14"/>
                <w:lang w:val="es-ES_tradnl"/>
              </w:rPr>
              <w:t>Crecimiento del PIB</w:t>
            </w:r>
            <w:r>
              <w:rPr>
                <w:i/>
                <w:sz w:val="14"/>
                <w:lang w:val="es-ES_tradnl"/>
              </w:rPr>
              <w:br/>
            </w:r>
            <w:r w:rsidRPr="004669C4">
              <w:rPr>
                <w:i/>
                <w:sz w:val="14"/>
                <w:lang w:val="es-ES_tradnl"/>
              </w:rPr>
              <w:t xml:space="preserve"> (en porcentaje)</w:t>
            </w:r>
          </w:p>
        </w:tc>
      </w:tr>
      <w:tr w:rsidR="009C3279" w:rsidRPr="008279A8">
        <w:trPr>
          <w:trHeight w:hRule="exact" w:val="115"/>
          <w:tblHeader/>
        </w:trPr>
        <w:tc>
          <w:tcPr>
            <w:tcW w:w="5960" w:type="dxa"/>
            <w:tcBorders>
              <w:top w:val="single" w:sz="12" w:space="0" w:color="auto"/>
            </w:tcBorders>
            <w:shd w:val="clear" w:color="auto" w:fill="auto"/>
            <w:vAlign w:val="bottom"/>
          </w:tcPr>
          <w:p w:rsidR="009C3279" w:rsidRPr="008279A8"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360" w:type="dxa"/>
            <w:tcBorders>
              <w:top w:val="single" w:sz="12" w:space="0" w:color="auto"/>
            </w:tcBorders>
            <w:shd w:val="clear" w:color="auto" w:fill="auto"/>
            <w:vAlign w:val="bottom"/>
          </w:tcPr>
          <w:p w:rsidR="009C3279" w:rsidRPr="008279A8"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9C3279" w:rsidRPr="008279A8">
        <w:tc>
          <w:tcPr>
            <w:tcW w:w="5960" w:type="dxa"/>
            <w:shd w:val="clear" w:color="auto" w:fill="auto"/>
            <w:vAlign w:val="bottom"/>
          </w:tcPr>
          <w:p w:rsidR="009C3279" w:rsidRPr="004669C4"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leader="dot" w:pos="6329"/>
              </w:tabs>
              <w:spacing w:before="40" w:after="40" w:line="210" w:lineRule="exact"/>
              <w:ind w:left="0" w:right="40"/>
              <w:rPr>
                <w:spacing w:val="60"/>
                <w:sz w:val="17"/>
              </w:rPr>
            </w:pPr>
            <w:r w:rsidRPr="008279A8">
              <w:rPr>
                <w:sz w:val="17"/>
              </w:rPr>
              <w:t>2006</w:t>
            </w:r>
            <w:r>
              <w:rPr>
                <w:spacing w:val="60"/>
                <w:sz w:val="17"/>
              </w:rPr>
              <w:tab/>
            </w:r>
          </w:p>
        </w:tc>
        <w:tc>
          <w:tcPr>
            <w:tcW w:w="1360" w:type="dxa"/>
            <w:shd w:val="clear" w:color="auto" w:fill="auto"/>
            <w:vAlign w:val="bottom"/>
          </w:tcPr>
          <w:p w:rsidR="009C3279" w:rsidRPr="008279A8" w:rsidRDefault="009C3279" w:rsidP="00951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080"/>
              </w:tabs>
              <w:spacing w:before="40" w:after="40" w:line="210" w:lineRule="exact"/>
              <w:ind w:left="0" w:right="43"/>
              <w:jc w:val="right"/>
              <w:rPr>
                <w:sz w:val="17"/>
              </w:rPr>
            </w:pPr>
            <w:r w:rsidRPr="008279A8">
              <w:rPr>
                <w:sz w:val="17"/>
              </w:rPr>
              <w:t>2</w:t>
            </w:r>
            <w:r>
              <w:rPr>
                <w:sz w:val="17"/>
              </w:rPr>
              <w:t>,</w:t>
            </w:r>
            <w:r w:rsidRPr="008279A8">
              <w:rPr>
                <w:sz w:val="17"/>
              </w:rPr>
              <w:t>5</w:t>
            </w:r>
          </w:p>
        </w:tc>
      </w:tr>
      <w:tr w:rsidR="009C3279" w:rsidRPr="008279A8">
        <w:tc>
          <w:tcPr>
            <w:tcW w:w="5960" w:type="dxa"/>
            <w:shd w:val="clear" w:color="auto" w:fill="auto"/>
            <w:vAlign w:val="bottom"/>
          </w:tcPr>
          <w:p w:rsidR="009C3279" w:rsidRPr="004669C4"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leader="dot" w:pos="6329"/>
              </w:tabs>
              <w:spacing w:before="40" w:after="40" w:line="210" w:lineRule="exact"/>
              <w:ind w:left="0" w:right="40"/>
              <w:rPr>
                <w:spacing w:val="60"/>
                <w:sz w:val="17"/>
              </w:rPr>
            </w:pPr>
            <w:r w:rsidRPr="008279A8">
              <w:rPr>
                <w:sz w:val="17"/>
              </w:rPr>
              <w:t>2007</w:t>
            </w:r>
            <w:r>
              <w:rPr>
                <w:spacing w:val="60"/>
                <w:sz w:val="17"/>
              </w:rPr>
              <w:tab/>
            </w:r>
          </w:p>
        </w:tc>
        <w:tc>
          <w:tcPr>
            <w:tcW w:w="1360" w:type="dxa"/>
            <w:shd w:val="clear" w:color="auto" w:fill="auto"/>
            <w:vAlign w:val="bottom"/>
          </w:tcPr>
          <w:p w:rsidR="009C3279" w:rsidRPr="008279A8" w:rsidRDefault="009C3279" w:rsidP="00951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080"/>
              </w:tabs>
              <w:spacing w:before="40" w:after="40" w:line="210" w:lineRule="exact"/>
              <w:ind w:left="0" w:right="43"/>
              <w:jc w:val="right"/>
              <w:rPr>
                <w:sz w:val="17"/>
              </w:rPr>
            </w:pPr>
            <w:r w:rsidRPr="008279A8">
              <w:rPr>
                <w:sz w:val="17"/>
              </w:rPr>
              <w:t>1</w:t>
            </w:r>
            <w:r>
              <w:rPr>
                <w:sz w:val="17"/>
              </w:rPr>
              <w:t>,</w:t>
            </w:r>
            <w:r w:rsidRPr="008279A8">
              <w:rPr>
                <w:sz w:val="17"/>
              </w:rPr>
              <w:t>4</w:t>
            </w:r>
          </w:p>
        </w:tc>
      </w:tr>
      <w:tr w:rsidR="009C3279" w:rsidRPr="008279A8">
        <w:tc>
          <w:tcPr>
            <w:tcW w:w="5960" w:type="dxa"/>
            <w:shd w:val="clear" w:color="auto" w:fill="auto"/>
            <w:vAlign w:val="bottom"/>
          </w:tcPr>
          <w:p w:rsidR="009C3279" w:rsidRPr="004669C4"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leader="dot" w:pos="6329"/>
              </w:tabs>
              <w:spacing w:before="40" w:after="40" w:line="210" w:lineRule="exact"/>
              <w:ind w:left="0" w:right="40"/>
              <w:rPr>
                <w:spacing w:val="60"/>
                <w:sz w:val="17"/>
              </w:rPr>
            </w:pPr>
            <w:r w:rsidRPr="008279A8">
              <w:rPr>
                <w:sz w:val="17"/>
              </w:rPr>
              <w:t>2008</w:t>
            </w:r>
            <w:r>
              <w:rPr>
                <w:spacing w:val="60"/>
                <w:sz w:val="17"/>
              </w:rPr>
              <w:tab/>
            </w:r>
          </w:p>
        </w:tc>
        <w:tc>
          <w:tcPr>
            <w:tcW w:w="1360" w:type="dxa"/>
            <w:shd w:val="clear" w:color="auto" w:fill="auto"/>
            <w:vAlign w:val="bottom"/>
          </w:tcPr>
          <w:p w:rsidR="009C3279" w:rsidRPr="008279A8" w:rsidRDefault="009C3279" w:rsidP="00951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080"/>
              </w:tabs>
              <w:spacing w:before="40" w:after="40" w:line="210" w:lineRule="exact"/>
              <w:ind w:left="0" w:right="43"/>
              <w:jc w:val="right"/>
              <w:rPr>
                <w:sz w:val="17"/>
              </w:rPr>
            </w:pPr>
            <w:r w:rsidRPr="008279A8">
              <w:rPr>
                <w:sz w:val="17"/>
              </w:rPr>
              <w:t>-1</w:t>
            </w:r>
            <w:r>
              <w:rPr>
                <w:sz w:val="17"/>
              </w:rPr>
              <w:t>,</w:t>
            </w:r>
            <w:r w:rsidRPr="008279A8">
              <w:rPr>
                <w:sz w:val="17"/>
              </w:rPr>
              <w:t>3</w:t>
            </w:r>
          </w:p>
        </w:tc>
      </w:tr>
      <w:tr w:rsidR="009C3279" w:rsidRPr="008279A8">
        <w:tc>
          <w:tcPr>
            <w:tcW w:w="5960" w:type="dxa"/>
            <w:shd w:val="clear" w:color="auto" w:fill="auto"/>
            <w:vAlign w:val="bottom"/>
          </w:tcPr>
          <w:p w:rsidR="009C3279" w:rsidRPr="004669C4"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leader="dot" w:pos="6329"/>
              </w:tabs>
              <w:spacing w:before="40" w:after="40" w:line="210" w:lineRule="exact"/>
              <w:ind w:left="0" w:right="40"/>
              <w:rPr>
                <w:spacing w:val="60"/>
                <w:sz w:val="17"/>
              </w:rPr>
            </w:pPr>
            <w:r w:rsidRPr="008279A8">
              <w:rPr>
                <w:sz w:val="17"/>
              </w:rPr>
              <w:t>2009</w:t>
            </w:r>
            <w:r>
              <w:rPr>
                <w:spacing w:val="60"/>
                <w:sz w:val="17"/>
              </w:rPr>
              <w:tab/>
            </w:r>
          </w:p>
        </w:tc>
        <w:tc>
          <w:tcPr>
            <w:tcW w:w="1360" w:type="dxa"/>
            <w:shd w:val="clear" w:color="auto" w:fill="auto"/>
            <w:vAlign w:val="bottom"/>
          </w:tcPr>
          <w:p w:rsidR="009C3279" w:rsidRPr="008279A8" w:rsidRDefault="009C3279" w:rsidP="00951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080"/>
              </w:tabs>
              <w:spacing w:before="40" w:after="40" w:line="210" w:lineRule="exact"/>
              <w:ind w:left="0" w:right="43"/>
              <w:jc w:val="right"/>
              <w:rPr>
                <w:sz w:val="17"/>
              </w:rPr>
            </w:pPr>
            <w:r w:rsidRPr="008279A8">
              <w:rPr>
                <w:sz w:val="17"/>
              </w:rPr>
              <w:t>-5</w:t>
            </w:r>
            <w:r>
              <w:rPr>
                <w:sz w:val="17"/>
              </w:rPr>
              <w:t>,</w:t>
            </w:r>
            <w:r w:rsidRPr="008279A8">
              <w:rPr>
                <w:sz w:val="17"/>
              </w:rPr>
              <w:t>4</w:t>
            </w:r>
          </w:p>
        </w:tc>
      </w:tr>
      <w:tr w:rsidR="009C3279" w:rsidRPr="008279A8">
        <w:tc>
          <w:tcPr>
            <w:tcW w:w="5960" w:type="dxa"/>
            <w:tcBorders>
              <w:bottom w:val="single" w:sz="12" w:space="0" w:color="auto"/>
            </w:tcBorders>
            <w:shd w:val="clear" w:color="auto" w:fill="auto"/>
            <w:vAlign w:val="bottom"/>
          </w:tcPr>
          <w:p w:rsidR="009C3279" w:rsidRPr="004669C4"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leader="dot" w:pos="6329"/>
              </w:tabs>
              <w:spacing w:before="40" w:after="40" w:line="210" w:lineRule="exact"/>
              <w:ind w:left="0" w:right="40"/>
              <w:rPr>
                <w:spacing w:val="60"/>
                <w:sz w:val="17"/>
              </w:rPr>
            </w:pPr>
            <w:r w:rsidRPr="008279A8">
              <w:rPr>
                <w:sz w:val="17"/>
              </w:rPr>
              <w:t>2010</w:t>
            </w:r>
            <w:r>
              <w:rPr>
                <w:spacing w:val="60"/>
                <w:sz w:val="17"/>
              </w:rPr>
              <w:tab/>
            </w:r>
          </w:p>
        </w:tc>
        <w:tc>
          <w:tcPr>
            <w:tcW w:w="1360" w:type="dxa"/>
            <w:tcBorders>
              <w:bottom w:val="single" w:sz="12" w:space="0" w:color="auto"/>
            </w:tcBorders>
            <w:shd w:val="clear" w:color="auto" w:fill="auto"/>
            <w:vAlign w:val="bottom"/>
          </w:tcPr>
          <w:p w:rsidR="009C3279" w:rsidRPr="008279A8" w:rsidRDefault="009C3279" w:rsidP="00951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080"/>
              </w:tabs>
              <w:spacing w:before="40" w:after="40" w:line="210" w:lineRule="exact"/>
              <w:ind w:left="0" w:right="43"/>
              <w:jc w:val="right"/>
              <w:rPr>
                <w:sz w:val="17"/>
              </w:rPr>
            </w:pPr>
            <w:r w:rsidRPr="008279A8">
              <w:rPr>
                <w:sz w:val="17"/>
              </w:rPr>
              <w:t>0</w:t>
            </w:r>
            <w:r>
              <w:rPr>
                <w:sz w:val="17"/>
              </w:rPr>
              <w:t>,</w:t>
            </w:r>
            <w:r w:rsidRPr="008279A8">
              <w:rPr>
                <w:sz w:val="17"/>
              </w:rPr>
              <w:t>96</w:t>
            </w:r>
            <w:r w:rsidR="0095142B">
              <w:rPr>
                <w:sz w:val="17"/>
              </w:rPr>
              <w:t xml:space="preserve">  </w:t>
            </w:r>
          </w:p>
        </w:tc>
      </w:tr>
    </w:tbl>
    <w:p w:rsidR="009C3279" w:rsidRPr="009C3279" w:rsidRDefault="009C3279" w:rsidP="009C3279">
      <w:pPr>
        <w:pStyle w:val="SingleTxt"/>
        <w:spacing w:after="0" w:line="120" w:lineRule="exact"/>
        <w:rPr>
          <w:sz w:val="10"/>
          <w:lang w:val="es-ES_tradnl"/>
        </w:rPr>
      </w:pPr>
    </w:p>
    <w:p w:rsidR="009C3279" w:rsidRPr="004669C4" w:rsidRDefault="009C3279" w:rsidP="0095142B">
      <w:pPr>
        <w:pStyle w:val="FootnoteText"/>
        <w:tabs>
          <w:tab w:val="clear" w:pos="418"/>
          <w:tab w:val="right" w:pos="1476"/>
          <w:tab w:val="left" w:pos="1548"/>
          <w:tab w:val="right" w:pos="1836"/>
          <w:tab w:val="left" w:pos="1908"/>
        </w:tabs>
        <w:ind w:left="1548" w:right="1267" w:hanging="288"/>
        <w:rPr>
          <w:lang w:val="es-ES_tradnl"/>
        </w:rPr>
      </w:pPr>
      <w:r w:rsidRPr="003E47DA">
        <w:rPr>
          <w:i/>
          <w:lang w:val="es-ES_tradnl"/>
        </w:rPr>
        <w:t>Fuente</w:t>
      </w:r>
      <w:r w:rsidRPr="004669C4">
        <w:rPr>
          <w:lang w:val="es-ES_tradnl"/>
        </w:rPr>
        <w:t>: Departamento de Estadística.</w:t>
      </w:r>
    </w:p>
    <w:p w:rsidR="009C3279" w:rsidRPr="009C3279" w:rsidRDefault="009C3279" w:rsidP="009C3279">
      <w:pPr>
        <w:pStyle w:val="SingleTxt"/>
        <w:spacing w:after="0" w:line="120" w:lineRule="exact"/>
        <w:rPr>
          <w:sz w:val="10"/>
          <w:lang w:val="es-ES_tradnl"/>
        </w:rPr>
      </w:pPr>
    </w:p>
    <w:p w:rsidR="009C3279" w:rsidRPr="009C3279" w:rsidRDefault="009C3279" w:rsidP="009C3279">
      <w:pPr>
        <w:pStyle w:val="SingleTxt"/>
        <w:spacing w:after="0" w:line="120" w:lineRule="exact"/>
        <w:rPr>
          <w:sz w:val="10"/>
          <w:lang w:val="es-ES_tradnl"/>
        </w:rPr>
      </w:pPr>
    </w:p>
    <w:p w:rsidR="009C3279" w:rsidRPr="009C3279" w:rsidRDefault="009C3279" w:rsidP="009C3279">
      <w:pPr>
        <w:pStyle w:val="SingleTxt"/>
        <w:spacing w:after="0" w:line="120" w:lineRule="exact"/>
        <w:rPr>
          <w:sz w:val="10"/>
          <w:lang w:val="es-ES_tradnl"/>
        </w:rPr>
      </w:pPr>
    </w:p>
    <w:p w:rsidR="009C3279" w:rsidRPr="004669C4" w:rsidRDefault="009C3279" w:rsidP="009C327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Pr>
          <w:lang w:val="es-ES_tradnl"/>
        </w:rPr>
        <w:tab/>
        <w:t>VII.</w:t>
      </w:r>
      <w:r>
        <w:rPr>
          <w:lang w:val="es-ES_tradnl"/>
        </w:rPr>
        <w:tab/>
      </w:r>
      <w:r w:rsidRPr="004669C4">
        <w:rPr>
          <w:lang w:val="es-ES_tradnl"/>
        </w:rPr>
        <w:t>Turismo</w:t>
      </w:r>
    </w:p>
    <w:p w:rsidR="009C3279" w:rsidRPr="009C3279" w:rsidRDefault="009C3279" w:rsidP="009C3279">
      <w:pPr>
        <w:pStyle w:val="SingleTxt"/>
        <w:spacing w:after="0" w:line="120" w:lineRule="exact"/>
        <w:rPr>
          <w:sz w:val="10"/>
          <w:lang w:val="es-ES_tradnl"/>
        </w:rPr>
      </w:pPr>
    </w:p>
    <w:p w:rsidR="009C3279" w:rsidRPr="009C3279" w:rsidRDefault="009C3279" w:rsidP="009C3279">
      <w:pPr>
        <w:pStyle w:val="SingleTxt"/>
        <w:spacing w:after="0" w:line="120" w:lineRule="exact"/>
        <w:rPr>
          <w:sz w:val="10"/>
          <w:lang w:val="es-ES_tradnl"/>
        </w:rPr>
      </w:pPr>
    </w:p>
    <w:p w:rsidR="009C3279" w:rsidRPr="004669C4" w:rsidRDefault="009C3279" w:rsidP="009C3279">
      <w:pPr>
        <w:pStyle w:val="SingleTxt"/>
        <w:numPr>
          <w:ilvl w:val="0"/>
          <w:numId w:val="11"/>
        </w:numPr>
        <w:tabs>
          <w:tab w:val="clear" w:pos="475"/>
          <w:tab w:val="num" w:pos="1742"/>
        </w:tabs>
        <w:ind w:left="1267"/>
        <w:rPr>
          <w:lang w:val="es-ES_tradnl"/>
        </w:rPr>
      </w:pPr>
      <w:r w:rsidRPr="004669C4">
        <w:rPr>
          <w:lang w:val="es-ES_tradnl"/>
        </w:rPr>
        <w:t>La economía de las Bahamas está dominada por los servicios, entre los cuales el turismo representa las dos terceras partes de toda la actividad económica, seguido de los servicios financieros e insumos relativamente pequeños de los sectores agrícola e industrial.</w:t>
      </w:r>
    </w:p>
    <w:p w:rsidR="009C3279" w:rsidRPr="004669C4" w:rsidRDefault="009C3279" w:rsidP="009C3279">
      <w:pPr>
        <w:pStyle w:val="SingleTxt"/>
        <w:numPr>
          <w:ilvl w:val="0"/>
          <w:numId w:val="11"/>
        </w:numPr>
        <w:tabs>
          <w:tab w:val="clear" w:pos="475"/>
          <w:tab w:val="num" w:pos="1742"/>
        </w:tabs>
        <w:ind w:left="1267"/>
        <w:rPr>
          <w:lang w:val="es-ES_tradnl"/>
        </w:rPr>
      </w:pPr>
      <w:r w:rsidRPr="004669C4">
        <w:rPr>
          <w:lang w:val="es-ES_tradnl"/>
        </w:rPr>
        <w:t xml:space="preserve">Se dice que las aguas de las Bahamas se cuentan entre las más transparentes del mundo. Sus playas y el entorno marítimo han atraído visitantes a las Bahamas aun antes de que el turismo se desarrollara como la principal rama de actividad de la economía </w:t>
      </w:r>
      <w:r>
        <w:rPr>
          <w:lang w:val="es-ES_tradnl"/>
        </w:rPr>
        <w:t>nacional</w:t>
      </w:r>
      <w:r w:rsidRPr="004669C4">
        <w:rPr>
          <w:lang w:val="es-ES_tradnl"/>
        </w:rPr>
        <w:t xml:space="preserve">. El turismo se ha vuelto esencial para la economía del país en los últimos 50 años. En 1950 llegaron al archipiélago 40.000 visitantes y ese número ha crecido exponencialmente hasta 5,2 millones en 2010. A lo largo de los años, el sector del turismo ha crecido a pasos agigantados y hoy representa algo más del 40% del PIB nacional. Tanto el sector del turismo como los servicios financieros se caracterizan por </w:t>
      </w:r>
      <w:r>
        <w:rPr>
          <w:lang w:val="es-ES_tradnl"/>
        </w:rPr>
        <w:t>prestar</w:t>
      </w:r>
      <w:r w:rsidRPr="004669C4">
        <w:rPr>
          <w:lang w:val="es-ES_tradnl"/>
        </w:rPr>
        <w:t xml:space="preserve"> un servicio de gran calidad a todas las personas, independientemente de sus diferencias raciales, étnicas, culturales, de género o religiosas. Por ese motivo, una gran proporción de la población bahamesa participa en esas actividades y se ha acostumbrado a relacionarse con grupos de personas muy diversas, provenientes de todas partes del mundo.</w:t>
      </w:r>
    </w:p>
    <w:p w:rsidR="009C3279" w:rsidRPr="004669C4" w:rsidRDefault="009C3279" w:rsidP="009C3279">
      <w:pPr>
        <w:pStyle w:val="SingleTxt"/>
        <w:numPr>
          <w:ilvl w:val="0"/>
          <w:numId w:val="11"/>
        </w:numPr>
        <w:tabs>
          <w:tab w:val="clear" w:pos="475"/>
          <w:tab w:val="num" w:pos="1742"/>
        </w:tabs>
        <w:ind w:left="1267"/>
        <w:rPr>
          <w:lang w:val="es-ES_tradnl"/>
        </w:rPr>
      </w:pPr>
      <w:r w:rsidRPr="004669C4">
        <w:rPr>
          <w:lang w:val="es-ES_tradnl"/>
        </w:rPr>
        <w:t xml:space="preserve">Aunque la industria turística de las Bahamas ha registrado un crecimiento en los diez últimos años, varios factores adversos </w:t>
      </w:r>
      <w:r>
        <w:rPr>
          <w:lang w:val="es-ES_tradnl"/>
        </w:rPr>
        <w:t>a nivel mundial</w:t>
      </w:r>
      <w:r w:rsidRPr="004669C4">
        <w:rPr>
          <w:lang w:val="es-ES_tradnl"/>
        </w:rPr>
        <w:t xml:space="preserve"> han comenzado a afectarla considerablemente en los últimos tiempos, a saber: 1) la recesión económica en los Estados Unidos de América, principal país de origen de los visitantes de las Bahamas, debido a una acusada disminución de la confianza de los consumidores hasta mínimos sin precedentes en los </w:t>
      </w:r>
      <w:r>
        <w:rPr>
          <w:lang w:val="es-ES_tradnl"/>
        </w:rPr>
        <w:t xml:space="preserve">28 </w:t>
      </w:r>
      <w:r w:rsidRPr="004669C4">
        <w:rPr>
          <w:lang w:val="es-ES_tradnl"/>
        </w:rPr>
        <w:t xml:space="preserve">últimos años; 2) la debilidad del dólar de los Estados Unidos frente a otras divisas internacionales, y 3) el precio del petróleo, del combustible y de los billetes de avión. </w:t>
      </w:r>
    </w:p>
    <w:p w:rsidR="009C3279" w:rsidRPr="009C3279" w:rsidRDefault="009C3279" w:rsidP="009C3279">
      <w:pPr>
        <w:pStyle w:val="SingleTxt"/>
        <w:spacing w:after="0" w:line="120" w:lineRule="exact"/>
        <w:rPr>
          <w:sz w:val="10"/>
          <w:lang w:val="es-ES_tradnl"/>
        </w:rPr>
      </w:pPr>
    </w:p>
    <w:p w:rsidR="009C3279" w:rsidRPr="009C3279" w:rsidRDefault="009C3279" w:rsidP="009C3279">
      <w:pPr>
        <w:pStyle w:val="SingleTxt"/>
        <w:spacing w:after="0" w:line="120" w:lineRule="exact"/>
        <w:rPr>
          <w:sz w:val="10"/>
          <w:lang w:val="es-ES_tradnl"/>
        </w:rPr>
      </w:pPr>
    </w:p>
    <w:p w:rsidR="009C3279" w:rsidRPr="004669C4" w:rsidRDefault="009C3279" w:rsidP="009C327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Pr>
          <w:lang w:val="es-ES_tradnl"/>
        </w:rPr>
        <w:tab/>
        <w:t>VIII.</w:t>
      </w:r>
      <w:r>
        <w:rPr>
          <w:lang w:val="es-ES_tradnl"/>
        </w:rPr>
        <w:tab/>
      </w:r>
      <w:r w:rsidRPr="004669C4">
        <w:rPr>
          <w:lang w:val="es-ES_tradnl"/>
        </w:rPr>
        <w:t>Servicios financieros</w:t>
      </w:r>
    </w:p>
    <w:p w:rsidR="009C3279" w:rsidRPr="009C3279" w:rsidRDefault="009C3279" w:rsidP="009C3279">
      <w:pPr>
        <w:pStyle w:val="SingleTxt"/>
        <w:spacing w:after="0" w:line="120" w:lineRule="exact"/>
        <w:rPr>
          <w:sz w:val="10"/>
          <w:lang w:val="es-ES_tradnl"/>
        </w:rPr>
      </w:pPr>
    </w:p>
    <w:p w:rsidR="009C3279" w:rsidRPr="009C3279" w:rsidRDefault="009C3279" w:rsidP="009C3279">
      <w:pPr>
        <w:pStyle w:val="SingleTxt"/>
        <w:spacing w:after="0" w:line="120" w:lineRule="exact"/>
        <w:rPr>
          <w:sz w:val="10"/>
          <w:lang w:val="es-ES_tradnl"/>
        </w:rPr>
      </w:pPr>
    </w:p>
    <w:p w:rsidR="009C3279" w:rsidRPr="004669C4" w:rsidRDefault="009C3279" w:rsidP="009C3279">
      <w:pPr>
        <w:pStyle w:val="SingleTxt"/>
        <w:numPr>
          <w:ilvl w:val="0"/>
          <w:numId w:val="11"/>
        </w:numPr>
        <w:tabs>
          <w:tab w:val="clear" w:pos="475"/>
          <w:tab w:val="num" w:pos="1742"/>
        </w:tabs>
        <w:ind w:left="1267"/>
        <w:rPr>
          <w:lang w:val="es-ES_tradnl"/>
        </w:rPr>
      </w:pPr>
      <w:r w:rsidRPr="004669C4">
        <w:rPr>
          <w:lang w:val="es-ES_tradnl"/>
        </w:rPr>
        <w:t xml:space="preserve">Las Bahamas son una de las principales jurisdicciones extraterritoriales del mundo y su sector financiero tiene relaciones extensas y arraigadas con instituciones canadienses, suizas y estadounidenses. Aun cuando hay numerosos motivos para que las empresas financieras internacionales se establezcan en las Bahamas, las razones primordiales son las siguientes: 1) la proximidad del país a los principales centros financieros de América del Norte y América Latina; 2) la situación del país a 50 millas de la </w:t>
      </w:r>
      <w:r>
        <w:rPr>
          <w:lang w:val="es-ES_tradnl"/>
        </w:rPr>
        <w:t xml:space="preserve">principal </w:t>
      </w:r>
      <w:r w:rsidRPr="004669C4">
        <w:rPr>
          <w:lang w:val="es-ES_tradnl"/>
        </w:rPr>
        <w:t xml:space="preserve">economía mundial; 3) el mismo huso horario que </w:t>
      </w:r>
      <w:r>
        <w:rPr>
          <w:lang w:val="es-ES_tradnl"/>
        </w:rPr>
        <w:t xml:space="preserve">la ciudad de </w:t>
      </w:r>
      <w:r w:rsidRPr="004669C4">
        <w:rPr>
          <w:lang w:val="es-ES_tradnl"/>
        </w:rPr>
        <w:t xml:space="preserve">Nueva York y Toronto (hora de invierno de Nueva York); 4) el hecho de ser una nación independiente con legislación conforme y un enfoque legislativo de carácter consultivo; 5) la inexistencia de impuestos locales sobre la renta de las sociedades y de las personas físicas, las plusvalías, las sucesiones y los dividendos; 6) la existencia de profesionales industriales muy capacitados y una fuerza de trabajo anglófona; y 7) servicios públicos esenciales e infraestructura moderna. </w:t>
      </w:r>
    </w:p>
    <w:p w:rsidR="009C3279" w:rsidRPr="009C3279" w:rsidRDefault="009C3279" w:rsidP="009C3279">
      <w:pPr>
        <w:pStyle w:val="SingleTxt"/>
        <w:spacing w:after="0" w:line="120" w:lineRule="exact"/>
        <w:rPr>
          <w:sz w:val="10"/>
          <w:lang w:val="es-ES_tradnl"/>
        </w:rPr>
      </w:pPr>
    </w:p>
    <w:p w:rsidR="009C3279" w:rsidRPr="009C3279" w:rsidRDefault="009C3279" w:rsidP="009C3279">
      <w:pPr>
        <w:pStyle w:val="SingleTxt"/>
        <w:spacing w:after="0" w:line="120" w:lineRule="exact"/>
        <w:rPr>
          <w:sz w:val="10"/>
          <w:lang w:val="es-ES_tradnl"/>
        </w:rPr>
      </w:pPr>
    </w:p>
    <w:p w:rsidR="009C3279" w:rsidRPr="004669C4" w:rsidRDefault="009C3279" w:rsidP="009C327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Pr>
          <w:lang w:val="es-ES_tradnl"/>
        </w:rPr>
        <w:tab/>
        <w:t>IX.</w:t>
      </w:r>
      <w:r>
        <w:rPr>
          <w:lang w:val="es-ES_tradnl"/>
        </w:rPr>
        <w:tab/>
      </w:r>
      <w:r w:rsidRPr="004669C4">
        <w:rPr>
          <w:lang w:val="es-ES_tradnl"/>
        </w:rPr>
        <w:t>Empleo</w:t>
      </w:r>
    </w:p>
    <w:p w:rsidR="009C3279" w:rsidRPr="009C3279" w:rsidRDefault="009C3279" w:rsidP="009C3279">
      <w:pPr>
        <w:pStyle w:val="SingleTxt"/>
        <w:spacing w:after="0" w:line="120" w:lineRule="exact"/>
        <w:rPr>
          <w:sz w:val="10"/>
          <w:lang w:val="es-ES_tradnl"/>
        </w:rPr>
      </w:pPr>
    </w:p>
    <w:p w:rsidR="009C3279" w:rsidRPr="009C3279" w:rsidRDefault="009C3279" w:rsidP="009C3279">
      <w:pPr>
        <w:pStyle w:val="SingleTxt"/>
        <w:spacing w:after="0" w:line="120" w:lineRule="exact"/>
        <w:rPr>
          <w:sz w:val="10"/>
          <w:lang w:val="es-ES_tradnl"/>
        </w:rPr>
      </w:pPr>
    </w:p>
    <w:p w:rsidR="009C3279" w:rsidRPr="004669C4" w:rsidRDefault="009C3279" w:rsidP="009C3279">
      <w:pPr>
        <w:pStyle w:val="SingleTxt"/>
        <w:numPr>
          <w:ilvl w:val="0"/>
          <w:numId w:val="11"/>
        </w:numPr>
        <w:tabs>
          <w:tab w:val="clear" w:pos="475"/>
          <w:tab w:val="num" w:pos="1742"/>
        </w:tabs>
        <w:ind w:left="1267"/>
        <w:rPr>
          <w:lang w:val="es-ES_tradnl"/>
        </w:rPr>
      </w:pPr>
      <w:r w:rsidRPr="004669C4">
        <w:rPr>
          <w:lang w:val="es-ES_tradnl"/>
        </w:rPr>
        <w:t>La tasa de desempleo de las Bahamas fue del 14,2% en 2009: 14,4% en el caso de los hombres y 14% en el de las mujeres. La tasa de actividad fue del 73,4% en ese año: del 78,4% para los hombres y del 69,1% para las mujeres.</w:t>
      </w:r>
    </w:p>
    <w:p w:rsidR="009C3279" w:rsidRPr="004669C4" w:rsidRDefault="009C3279" w:rsidP="009C3279">
      <w:pPr>
        <w:pStyle w:val="SingleTxt"/>
        <w:numPr>
          <w:ilvl w:val="0"/>
          <w:numId w:val="11"/>
        </w:numPr>
        <w:tabs>
          <w:tab w:val="clear" w:pos="475"/>
          <w:tab w:val="num" w:pos="1742"/>
        </w:tabs>
        <w:ind w:left="1267"/>
        <w:rPr>
          <w:lang w:val="es-ES_tradnl"/>
        </w:rPr>
      </w:pPr>
      <w:r w:rsidRPr="004669C4">
        <w:rPr>
          <w:lang w:val="es-ES_tradnl"/>
        </w:rPr>
        <w:t>En 2009, las estadísticas de la fuerza de trabajo pusieron de manifiesto que el 66% de los trabajadores estaba empleado en el sector privado, el 20% en la administración pública y el 14% restante correspondía a los trabajadores por cuenta propia.</w:t>
      </w:r>
    </w:p>
    <w:p w:rsidR="009C3279" w:rsidRPr="009C3279" w:rsidRDefault="009C3279" w:rsidP="009C3279">
      <w:pPr>
        <w:pStyle w:val="SingleTxt"/>
        <w:spacing w:after="0" w:line="120" w:lineRule="exact"/>
        <w:rPr>
          <w:sz w:val="10"/>
          <w:lang w:val="es-ES_tradnl"/>
        </w:rPr>
      </w:pPr>
    </w:p>
    <w:p w:rsidR="009C3279" w:rsidRPr="00584D47" w:rsidRDefault="009C3279" w:rsidP="009C32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b w:val="0"/>
          <w:lang w:val="es-ES_tradnl"/>
        </w:rPr>
      </w:pPr>
      <w:r w:rsidRPr="00584D47">
        <w:rPr>
          <w:b w:val="0"/>
          <w:lang w:val="es-ES_tradnl"/>
        </w:rPr>
        <w:t>Cuadro 6</w:t>
      </w:r>
    </w:p>
    <w:p w:rsidR="009C3279" w:rsidRPr="004669C4" w:rsidRDefault="009C3279" w:rsidP="009C32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Pr>
          <w:lang w:val="es-ES_tradnl"/>
        </w:rPr>
        <w:tab/>
      </w:r>
      <w:r w:rsidRPr="004669C4">
        <w:rPr>
          <w:lang w:val="es-ES_tradnl"/>
        </w:rPr>
        <w:t>Estadísticas princi</w:t>
      </w:r>
      <w:r>
        <w:rPr>
          <w:lang w:val="es-ES_tradnl"/>
        </w:rPr>
        <w:t>pales de la fuerza de trabajo,</w:t>
      </w:r>
      <w:r w:rsidRPr="004669C4">
        <w:rPr>
          <w:lang w:val="es-ES_tradnl"/>
        </w:rPr>
        <w:t xml:space="preserve"> 1999 y 2001-2009</w:t>
      </w:r>
    </w:p>
    <w:p w:rsidR="009C3279" w:rsidRPr="009C3279" w:rsidRDefault="009C3279" w:rsidP="009C3279">
      <w:pPr>
        <w:pStyle w:val="SingleTxt"/>
        <w:spacing w:after="0" w:line="120" w:lineRule="exact"/>
        <w:rPr>
          <w:sz w:val="10"/>
          <w:lang w:val="es-ES_tradnl"/>
        </w:rPr>
      </w:pPr>
    </w:p>
    <w:p w:rsidR="009C3279" w:rsidRPr="009C3279" w:rsidRDefault="009C3279" w:rsidP="009C3279">
      <w:pPr>
        <w:pStyle w:val="SingleTxt"/>
        <w:spacing w:after="0" w:line="120" w:lineRule="exact"/>
        <w:rPr>
          <w:sz w:val="10"/>
          <w:lang w:val="es-ES_tradnl"/>
        </w:rPr>
      </w:pPr>
    </w:p>
    <w:tbl>
      <w:tblPr>
        <w:tblStyle w:val="TableGrid"/>
        <w:tblW w:w="98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602"/>
        <w:gridCol w:w="906"/>
        <w:gridCol w:w="795"/>
        <w:gridCol w:w="756"/>
        <w:gridCol w:w="792"/>
        <w:gridCol w:w="838"/>
        <w:gridCol w:w="782"/>
        <w:gridCol w:w="828"/>
        <w:gridCol w:w="854"/>
        <w:gridCol w:w="854"/>
        <w:gridCol w:w="846"/>
      </w:tblGrid>
      <w:tr w:rsidR="009C3279" w:rsidRPr="00F82BA8">
        <w:trPr>
          <w:tblHeader/>
        </w:trPr>
        <w:tc>
          <w:tcPr>
            <w:tcW w:w="1602" w:type="dxa"/>
            <w:tcBorders>
              <w:top w:val="single" w:sz="4" w:space="0" w:color="auto"/>
              <w:bottom w:val="single" w:sz="12" w:space="0" w:color="auto"/>
            </w:tcBorders>
            <w:shd w:val="clear" w:color="auto" w:fill="auto"/>
            <w:vAlign w:val="bottom"/>
          </w:tcPr>
          <w:p w:rsidR="009C3279" w:rsidRPr="00F82BA8"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906" w:type="dxa"/>
            <w:tcBorders>
              <w:top w:val="single" w:sz="4" w:space="0" w:color="auto"/>
              <w:bottom w:val="single" w:sz="12" w:space="0" w:color="auto"/>
            </w:tcBorders>
            <w:shd w:val="clear" w:color="auto" w:fill="auto"/>
            <w:vAlign w:val="bottom"/>
          </w:tcPr>
          <w:p w:rsidR="009C3279" w:rsidRPr="00F82BA8"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82BA8">
              <w:rPr>
                <w:i/>
                <w:sz w:val="14"/>
              </w:rPr>
              <w:t>1999</w:t>
            </w:r>
          </w:p>
        </w:tc>
        <w:tc>
          <w:tcPr>
            <w:tcW w:w="795" w:type="dxa"/>
            <w:tcBorders>
              <w:top w:val="single" w:sz="4" w:space="0" w:color="auto"/>
              <w:bottom w:val="single" w:sz="12" w:space="0" w:color="auto"/>
            </w:tcBorders>
            <w:shd w:val="clear" w:color="auto" w:fill="auto"/>
            <w:vAlign w:val="bottom"/>
          </w:tcPr>
          <w:p w:rsidR="009C3279" w:rsidRPr="00F82BA8"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82BA8">
              <w:rPr>
                <w:i/>
                <w:sz w:val="14"/>
              </w:rPr>
              <w:t>2001</w:t>
            </w:r>
          </w:p>
        </w:tc>
        <w:tc>
          <w:tcPr>
            <w:tcW w:w="756" w:type="dxa"/>
            <w:tcBorders>
              <w:top w:val="single" w:sz="4" w:space="0" w:color="auto"/>
              <w:bottom w:val="single" w:sz="12" w:space="0" w:color="auto"/>
            </w:tcBorders>
            <w:shd w:val="clear" w:color="auto" w:fill="auto"/>
            <w:vAlign w:val="bottom"/>
          </w:tcPr>
          <w:p w:rsidR="009C3279" w:rsidRPr="00F82BA8"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82BA8">
              <w:rPr>
                <w:i/>
                <w:sz w:val="14"/>
              </w:rPr>
              <w:t>2002</w:t>
            </w:r>
          </w:p>
        </w:tc>
        <w:tc>
          <w:tcPr>
            <w:tcW w:w="792" w:type="dxa"/>
            <w:tcBorders>
              <w:top w:val="single" w:sz="4" w:space="0" w:color="auto"/>
              <w:bottom w:val="single" w:sz="12" w:space="0" w:color="auto"/>
            </w:tcBorders>
            <w:shd w:val="clear" w:color="auto" w:fill="auto"/>
            <w:vAlign w:val="bottom"/>
          </w:tcPr>
          <w:p w:rsidR="009C3279" w:rsidRPr="00F82BA8"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82BA8">
              <w:rPr>
                <w:i/>
                <w:sz w:val="14"/>
              </w:rPr>
              <w:t>2003</w:t>
            </w:r>
          </w:p>
        </w:tc>
        <w:tc>
          <w:tcPr>
            <w:tcW w:w="838" w:type="dxa"/>
            <w:tcBorders>
              <w:top w:val="single" w:sz="4" w:space="0" w:color="auto"/>
              <w:bottom w:val="single" w:sz="12" w:space="0" w:color="auto"/>
            </w:tcBorders>
            <w:shd w:val="clear" w:color="auto" w:fill="auto"/>
            <w:vAlign w:val="bottom"/>
          </w:tcPr>
          <w:p w:rsidR="009C3279" w:rsidRPr="00F82BA8"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82BA8">
              <w:rPr>
                <w:i/>
                <w:sz w:val="14"/>
              </w:rPr>
              <w:t>2004</w:t>
            </w:r>
          </w:p>
        </w:tc>
        <w:tc>
          <w:tcPr>
            <w:tcW w:w="782" w:type="dxa"/>
            <w:tcBorders>
              <w:top w:val="single" w:sz="4" w:space="0" w:color="auto"/>
              <w:bottom w:val="single" w:sz="12" w:space="0" w:color="auto"/>
            </w:tcBorders>
            <w:shd w:val="clear" w:color="auto" w:fill="auto"/>
            <w:vAlign w:val="bottom"/>
          </w:tcPr>
          <w:p w:rsidR="009C3279" w:rsidRPr="00F82BA8"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82BA8">
              <w:rPr>
                <w:i/>
                <w:sz w:val="14"/>
              </w:rPr>
              <w:t>2005</w:t>
            </w:r>
          </w:p>
        </w:tc>
        <w:tc>
          <w:tcPr>
            <w:tcW w:w="828" w:type="dxa"/>
            <w:tcBorders>
              <w:top w:val="single" w:sz="4" w:space="0" w:color="auto"/>
              <w:bottom w:val="single" w:sz="12" w:space="0" w:color="auto"/>
            </w:tcBorders>
            <w:shd w:val="clear" w:color="auto" w:fill="auto"/>
            <w:vAlign w:val="bottom"/>
          </w:tcPr>
          <w:p w:rsidR="009C3279" w:rsidRPr="00F82BA8"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82BA8">
              <w:rPr>
                <w:i/>
                <w:sz w:val="14"/>
              </w:rPr>
              <w:t>2006</w:t>
            </w:r>
          </w:p>
        </w:tc>
        <w:tc>
          <w:tcPr>
            <w:tcW w:w="854" w:type="dxa"/>
            <w:tcBorders>
              <w:top w:val="single" w:sz="4" w:space="0" w:color="auto"/>
              <w:bottom w:val="single" w:sz="12" w:space="0" w:color="auto"/>
            </w:tcBorders>
            <w:shd w:val="clear" w:color="auto" w:fill="auto"/>
            <w:vAlign w:val="bottom"/>
          </w:tcPr>
          <w:p w:rsidR="009C3279" w:rsidRPr="00F82BA8"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82BA8">
              <w:rPr>
                <w:i/>
                <w:sz w:val="14"/>
              </w:rPr>
              <w:t>2007</w:t>
            </w:r>
          </w:p>
        </w:tc>
        <w:tc>
          <w:tcPr>
            <w:tcW w:w="854" w:type="dxa"/>
            <w:tcBorders>
              <w:top w:val="single" w:sz="4" w:space="0" w:color="auto"/>
              <w:bottom w:val="single" w:sz="12" w:space="0" w:color="auto"/>
            </w:tcBorders>
            <w:shd w:val="clear" w:color="auto" w:fill="auto"/>
            <w:vAlign w:val="bottom"/>
          </w:tcPr>
          <w:p w:rsidR="009C3279" w:rsidRPr="00F82BA8"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82BA8">
              <w:rPr>
                <w:i/>
                <w:sz w:val="14"/>
              </w:rPr>
              <w:t>2008</w:t>
            </w:r>
          </w:p>
        </w:tc>
        <w:tc>
          <w:tcPr>
            <w:tcW w:w="846" w:type="dxa"/>
            <w:tcBorders>
              <w:top w:val="single" w:sz="4" w:space="0" w:color="auto"/>
              <w:bottom w:val="single" w:sz="12" w:space="0" w:color="auto"/>
            </w:tcBorders>
            <w:shd w:val="clear" w:color="auto" w:fill="auto"/>
            <w:vAlign w:val="bottom"/>
          </w:tcPr>
          <w:p w:rsidR="009C3279" w:rsidRPr="00F82BA8"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82BA8">
              <w:rPr>
                <w:i/>
                <w:sz w:val="14"/>
              </w:rPr>
              <w:t>2009</w:t>
            </w:r>
          </w:p>
        </w:tc>
      </w:tr>
      <w:tr w:rsidR="009C3279" w:rsidRPr="00F82BA8">
        <w:trPr>
          <w:trHeight w:hRule="exact" w:val="115"/>
          <w:tblHeader/>
        </w:trPr>
        <w:tc>
          <w:tcPr>
            <w:tcW w:w="1602" w:type="dxa"/>
            <w:tcBorders>
              <w:top w:val="single" w:sz="12" w:space="0" w:color="auto"/>
            </w:tcBorders>
            <w:shd w:val="clear" w:color="auto" w:fill="auto"/>
            <w:vAlign w:val="bottom"/>
          </w:tcPr>
          <w:p w:rsidR="009C3279" w:rsidRPr="00F82BA8"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906" w:type="dxa"/>
            <w:tcBorders>
              <w:top w:val="single" w:sz="12" w:space="0" w:color="auto"/>
            </w:tcBorders>
            <w:shd w:val="clear" w:color="auto" w:fill="auto"/>
            <w:vAlign w:val="bottom"/>
          </w:tcPr>
          <w:p w:rsidR="009C3279" w:rsidRPr="00F82BA8"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95" w:type="dxa"/>
            <w:tcBorders>
              <w:top w:val="single" w:sz="12" w:space="0" w:color="auto"/>
            </w:tcBorders>
            <w:shd w:val="clear" w:color="auto" w:fill="auto"/>
            <w:vAlign w:val="bottom"/>
          </w:tcPr>
          <w:p w:rsidR="009C3279" w:rsidRPr="00F82BA8"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56" w:type="dxa"/>
            <w:tcBorders>
              <w:top w:val="single" w:sz="12" w:space="0" w:color="auto"/>
            </w:tcBorders>
            <w:shd w:val="clear" w:color="auto" w:fill="auto"/>
            <w:vAlign w:val="bottom"/>
          </w:tcPr>
          <w:p w:rsidR="009C3279" w:rsidRPr="00F82BA8"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92" w:type="dxa"/>
            <w:tcBorders>
              <w:top w:val="single" w:sz="12" w:space="0" w:color="auto"/>
            </w:tcBorders>
            <w:shd w:val="clear" w:color="auto" w:fill="auto"/>
            <w:vAlign w:val="bottom"/>
          </w:tcPr>
          <w:p w:rsidR="009C3279" w:rsidRPr="00F82BA8"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38" w:type="dxa"/>
            <w:tcBorders>
              <w:top w:val="single" w:sz="12" w:space="0" w:color="auto"/>
            </w:tcBorders>
            <w:shd w:val="clear" w:color="auto" w:fill="auto"/>
            <w:vAlign w:val="bottom"/>
          </w:tcPr>
          <w:p w:rsidR="009C3279" w:rsidRPr="00F82BA8"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82" w:type="dxa"/>
            <w:tcBorders>
              <w:top w:val="single" w:sz="12" w:space="0" w:color="auto"/>
            </w:tcBorders>
            <w:shd w:val="clear" w:color="auto" w:fill="auto"/>
            <w:vAlign w:val="bottom"/>
          </w:tcPr>
          <w:p w:rsidR="009C3279" w:rsidRPr="00F82BA8"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28" w:type="dxa"/>
            <w:tcBorders>
              <w:top w:val="single" w:sz="12" w:space="0" w:color="auto"/>
            </w:tcBorders>
            <w:shd w:val="clear" w:color="auto" w:fill="auto"/>
            <w:vAlign w:val="bottom"/>
          </w:tcPr>
          <w:p w:rsidR="009C3279" w:rsidRPr="00F82BA8"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54" w:type="dxa"/>
            <w:tcBorders>
              <w:top w:val="single" w:sz="12" w:space="0" w:color="auto"/>
            </w:tcBorders>
            <w:shd w:val="clear" w:color="auto" w:fill="auto"/>
            <w:vAlign w:val="bottom"/>
          </w:tcPr>
          <w:p w:rsidR="009C3279" w:rsidRPr="00F82BA8"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54" w:type="dxa"/>
            <w:tcBorders>
              <w:top w:val="single" w:sz="12" w:space="0" w:color="auto"/>
            </w:tcBorders>
            <w:shd w:val="clear" w:color="auto" w:fill="auto"/>
            <w:vAlign w:val="bottom"/>
          </w:tcPr>
          <w:p w:rsidR="009C3279" w:rsidRPr="00F82BA8"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46" w:type="dxa"/>
            <w:tcBorders>
              <w:top w:val="single" w:sz="12" w:space="0" w:color="auto"/>
            </w:tcBorders>
            <w:shd w:val="clear" w:color="auto" w:fill="auto"/>
            <w:vAlign w:val="bottom"/>
          </w:tcPr>
          <w:p w:rsidR="009C3279" w:rsidRPr="00F82BA8"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9C3279" w:rsidRPr="009B5172">
        <w:tc>
          <w:tcPr>
            <w:tcW w:w="2508" w:type="dxa"/>
            <w:gridSpan w:val="2"/>
            <w:shd w:val="clear" w:color="auto" w:fill="auto"/>
          </w:tcPr>
          <w:p w:rsidR="009C3279" w:rsidRPr="006F01A5"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es-ES_tradnl"/>
              </w:rPr>
            </w:pPr>
            <w:r w:rsidRPr="006F01A5">
              <w:rPr>
                <w:sz w:val="17"/>
                <w:szCs w:val="17"/>
                <w:lang w:val="es-ES_tradnl"/>
              </w:rPr>
              <w:t xml:space="preserve">Fuerza de trabajo total </w:t>
            </w:r>
          </w:p>
        </w:tc>
        <w:tc>
          <w:tcPr>
            <w:tcW w:w="795"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p>
        </w:tc>
        <w:tc>
          <w:tcPr>
            <w:tcW w:w="756"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p>
        </w:tc>
        <w:tc>
          <w:tcPr>
            <w:tcW w:w="792"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p>
        </w:tc>
        <w:tc>
          <w:tcPr>
            <w:tcW w:w="838"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p>
        </w:tc>
        <w:tc>
          <w:tcPr>
            <w:tcW w:w="782"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p>
        </w:tc>
        <w:tc>
          <w:tcPr>
            <w:tcW w:w="828"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p>
        </w:tc>
        <w:tc>
          <w:tcPr>
            <w:tcW w:w="854"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p>
        </w:tc>
        <w:tc>
          <w:tcPr>
            <w:tcW w:w="854"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p>
        </w:tc>
        <w:tc>
          <w:tcPr>
            <w:tcW w:w="846"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p>
        </w:tc>
      </w:tr>
      <w:tr w:rsidR="009C3279" w:rsidRPr="009B5172">
        <w:tc>
          <w:tcPr>
            <w:tcW w:w="1602" w:type="dxa"/>
            <w:shd w:val="clear" w:color="auto" w:fill="auto"/>
          </w:tcPr>
          <w:p w:rsidR="009C3279" w:rsidRPr="006F01A5"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es-ES_tradnl"/>
              </w:rPr>
            </w:pPr>
            <w:r w:rsidRPr="006F01A5">
              <w:rPr>
                <w:sz w:val="17"/>
                <w:szCs w:val="17"/>
                <w:lang w:val="es-ES_tradnl"/>
              </w:rPr>
              <w:t xml:space="preserve">Las Bahamas </w:t>
            </w:r>
          </w:p>
        </w:tc>
        <w:tc>
          <w:tcPr>
            <w:tcW w:w="906"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B5172">
              <w:rPr>
                <w:sz w:val="17"/>
                <w:szCs w:val="17"/>
              </w:rPr>
              <w:t>157 640</w:t>
            </w:r>
          </w:p>
        </w:tc>
        <w:tc>
          <w:tcPr>
            <w:tcW w:w="795"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B5172">
              <w:rPr>
                <w:sz w:val="17"/>
                <w:szCs w:val="17"/>
              </w:rPr>
              <w:t>164 675</w:t>
            </w:r>
          </w:p>
        </w:tc>
        <w:tc>
          <w:tcPr>
            <w:tcW w:w="756"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B5172">
              <w:rPr>
                <w:sz w:val="17"/>
                <w:szCs w:val="17"/>
              </w:rPr>
              <w:t>167 980</w:t>
            </w:r>
          </w:p>
        </w:tc>
        <w:tc>
          <w:tcPr>
            <w:tcW w:w="792"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B5172">
              <w:rPr>
                <w:sz w:val="17"/>
                <w:szCs w:val="17"/>
              </w:rPr>
              <w:t>173 795</w:t>
            </w:r>
          </w:p>
        </w:tc>
        <w:tc>
          <w:tcPr>
            <w:tcW w:w="838"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B5172">
              <w:rPr>
                <w:sz w:val="17"/>
                <w:szCs w:val="17"/>
              </w:rPr>
              <w:t>176 330</w:t>
            </w:r>
          </w:p>
        </w:tc>
        <w:tc>
          <w:tcPr>
            <w:tcW w:w="782"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B5172">
              <w:rPr>
                <w:sz w:val="17"/>
                <w:szCs w:val="17"/>
              </w:rPr>
              <w:t>178 705</w:t>
            </w:r>
          </w:p>
        </w:tc>
        <w:tc>
          <w:tcPr>
            <w:tcW w:w="828"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B5172">
              <w:rPr>
                <w:sz w:val="17"/>
                <w:szCs w:val="17"/>
              </w:rPr>
              <w:t>180 255</w:t>
            </w:r>
          </w:p>
        </w:tc>
        <w:tc>
          <w:tcPr>
            <w:tcW w:w="854"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B5172">
              <w:rPr>
                <w:sz w:val="17"/>
                <w:szCs w:val="17"/>
              </w:rPr>
              <w:t>186 105</w:t>
            </w:r>
          </w:p>
        </w:tc>
        <w:tc>
          <w:tcPr>
            <w:tcW w:w="854"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B5172">
              <w:rPr>
                <w:sz w:val="17"/>
                <w:szCs w:val="17"/>
              </w:rPr>
              <w:t>191 595</w:t>
            </w:r>
          </w:p>
        </w:tc>
        <w:tc>
          <w:tcPr>
            <w:tcW w:w="846"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B5172">
              <w:rPr>
                <w:sz w:val="17"/>
                <w:szCs w:val="17"/>
              </w:rPr>
              <w:t>184 020</w:t>
            </w:r>
          </w:p>
        </w:tc>
      </w:tr>
      <w:tr w:rsidR="009C3279" w:rsidRPr="009B5172">
        <w:tc>
          <w:tcPr>
            <w:tcW w:w="1602" w:type="dxa"/>
            <w:shd w:val="clear" w:color="auto" w:fill="auto"/>
          </w:tcPr>
          <w:p w:rsidR="009C3279" w:rsidRPr="006F01A5"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es-ES_tradnl"/>
              </w:rPr>
            </w:pPr>
            <w:r w:rsidRPr="006F01A5">
              <w:rPr>
                <w:sz w:val="17"/>
                <w:szCs w:val="17"/>
                <w:lang w:val="es-ES_tradnl"/>
              </w:rPr>
              <w:t xml:space="preserve">New Providence </w:t>
            </w:r>
          </w:p>
        </w:tc>
        <w:tc>
          <w:tcPr>
            <w:tcW w:w="906"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B5172">
              <w:rPr>
                <w:sz w:val="17"/>
                <w:szCs w:val="17"/>
                <w:lang w:val="en-US"/>
              </w:rPr>
              <w:t>113 240</w:t>
            </w:r>
          </w:p>
        </w:tc>
        <w:tc>
          <w:tcPr>
            <w:tcW w:w="795"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117 900</w:t>
            </w:r>
          </w:p>
        </w:tc>
        <w:tc>
          <w:tcPr>
            <w:tcW w:w="756"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B5172">
              <w:rPr>
                <w:sz w:val="17"/>
                <w:szCs w:val="17"/>
                <w:lang w:val="en-US"/>
              </w:rPr>
              <w:t>119 700</w:t>
            </w:r>
          </w:p>
        </w:tc>
        <w:tc>
          <w:tcPr>
            <w:tcW w:w="792"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123 380</w:t>
            </w:r>
          </w:p>
        </w:tc>
        <w:tc>
          <w:tcPr>
            <w:tcW w:w="838"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B5172">
              <w:rPr>
                <w:sz w:val="17"/>
                <w:szCs w:val="17"/>
                <w:lang w:val="en-US"/>
              </w:rPr>
              <w:t>125 385</w:t>
            </w:r>
          </w:p>
        </w:tc>
        <w:tc>
          <w:tcPr>
            <w:tcW w:w="782"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B5172">
              <w:rPr>
                <w:sz w:val="17"/>
                <w:szCs w:val="17"/>
                <w:lang w:val="en-US"/>
              </w:rPr>
              <w:t>128 630</w:t>
            </w:r>
          </w:p>
        </w:tc>
        <w:tc>
          <w:tcPr>
            <w:tcW w:w="828"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B5172">
              <w:rPr>
                <w:sz w:val="17"/>
                <w:szCs w:val="17"/>
                <w:lang w:val="en-US"/>
              </w:rPr>
              <w:t>127 090</w:t>
            </w:r>
          </w:p>
        </w:tc>
        <w:tc>
          <w:tcPr>
            <w:tcW w:w="854"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B5172">
              <w:rPr>
                <w:sz w:val="17"/>
                <w:szCs w:val="17"/>
                <w:lang w:val="en-US"/>
              </w:rPr>
              <w:t>131 105</w:t>
            </w:r>
          </w:p>
        </w:tc>
        <w:tc>
          <w:tcPr>
            <w:tcW w:w="854"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B5172">
              <w:rPr>
                <w:sz w:val="17"/>
                <w:szCs w:val="17"/>
                <w:lang w:val="en-US"/>
              </w:rPr>
              <w:t>135 735</w:t>
            </w:r>
          </w:p>
        </w:tc>
        <w:tc>
          <w:tcPr>
            <w:tcW w:w="846"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B5172">
              <w:rPr>
                <w:sz w:val="17"/>
                <w:szCs w:val="17"/>
                <w:lang w:val="en-US"/>
              </w:rPr>
              <w:t>131 245</w:t>
            </w:r>
          </w:p>
        </w:tc>
      </w:tr>
      <w:tr w:rsidR="009C3279" w:rsidRPr="009B5172">
        <w:tc>
          <w:tcPr>
            <w:tcW w:w="1602" w:type="dxa"/>
            <w:shd w:val="clear" w:color="auto" w:fill="auto"/>
          </w:tcPr>
          <w:p w:rsidR="009C3279" w:rsidRPr="006F01A5"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es-ES_tradnl"/>
              </w:rPr>
            </w:pPr>
            <w:r w:rsidRPr="006F01A5">
              <w:rPr>
                <w:sz w:val="17"/>
                <w:szCs w:val="17"/>
                <w:lang w:val="es-ES_tradnl"/>
              </w:rPr>
              <w:t>Gran</w:t>
            </w:r>
            <w:r w:rsidR="006F5BC2">
              <w:rPr>
                <w:sz w:val="17"/>
                <w:szCs w:val="17"/>
                <w:lang w:val="es-ES_tradnl"/>
              </w:rPr>
              <w:t>d</w:t>
            </w:r>
            <w:r w:rsidRPr="006F01A5">
              <w:rPr>
                <w:sz w:val="17"/>
                <w:szCs w:val="17"/>
                <w:lang w:val="es-ES_tradnl"/>
              </w:rPr>
              <w:t xml:space="preserve"> Bahama </w:t>
            </w:r>
          </w:p>
        </w:tc>
        <w:tc>
          <w:tcPr>
            <w:tcW w:w="906"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 xml:space="preserve"> 23 900</w:t>
            </w:r>
          </w:p>
        </w:tc>
        <w:tc>
          <w:tcPr>
            <w:tcW w:w="795"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25 055</w:t>
            </w:r>
          </w:p>
        </w:tc>
        <w:tc>
          <w:tcPr>
            <w:tcW w:w="756"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 xml:space="preserve"> 25 190</w:t>
            </w:r>
          </w:p>
        </w:tc>
        <w:tc>
          <w:tcPr>
            <w:tcW w:w="792"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26 350</w:t>
            </w:r>
          </w:p>
        </w:tc>
        <w:tc>
          <w:tcPr>
            <w:tcW w:w="838"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26 465</w:t>
            </w:r>
          </w:p>
        </w:tc>
        <w:tc>
          <w:tcPr>
            <w:tcW w:w="782"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27 305</w:t>
            </w:r>
          </w:p>
        </w:tc>
        <w:tc>
          <w:tcPr>
            <w:tcW w:w="828"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27 445</w:t>
            </w:r>
          </w:p>
        </w:tc>
        <w:tc>
          <w:tcPr>
            <w:tcW w:w="854"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28 850</w:t>
            </w:r>
          </w:p>
        </w:tc>
        <w:tc>
          <w:tcPr>
            <w:tcW w:w="854"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29 820</w:t>
            </w:r>
          </w:p>
        </w:tc>
        <w:tc>
          <w:tcPr>
            <w:tcW w:w="846"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28 235</w:t>
            </w:r>
          </w:p>
        </w:tc>
      </w:tr>
      <w:tr w:rsidR="009C3279" w:rsidRPr="009B5172">
        <w:tc>
          <w:tcPr>
            <w:tcW w:w="2508" w:type="dxa"/>
            <w:gridSpan w:val="2"/>
            <w:shd w:val="clear" w:color="auto" w:fill="auto"/>
            <w:vAlign w:val="bottom"/>
          </w:tcPr>
          <w:p w:rsidR="009C3279" w:rsidRPr="006F01A5"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en-US"/>
              </w:rPr>
            </w:pPr>
            <w:r w:rsidRPr="006F01A5">
              <w:rPr>
                <w:sz w:val="17"/>
                <w:szCs w:val="17"/>
                <w:lang w:val="en-US"/>
              </w:rPr>
              <w:t>Fuerza de trabajo empleada</w:t>
            </w:r>
          </w:p>
        </w:tc>
        <w:tc>
          <w:tcPr>
            <w:tcW w:w="795"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p>
        </w:tc>
        <w:tc>
          <w:tcPr>
            <w:tcW w:w="756"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p>
        </w:tc>
        <w:tc>
          <w:tcPr>
            <w:tcW w:w="792"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p>
        </w:tc>
        <w:tc>
          <w:tcPr>
            <w:tcW w:w="838"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p>
        </w:tc>
        <w:tc>
          <w:tcPr>
            <w:tcW w:w="782"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p>
        </w:tc>
        <w:tc>
          <w:tcPr>
            <w:tcW w:w="828"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p>
        </w:tc>
        <w:tc>
          <w:tcPr>
            <w:tcW w:w="854"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p>
        </w:tc>
        <w:tc>
          <w:tcPr>
            <w:tcW w:w="854"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p>
        </w:tc>
        <w:tc>
          <w:tcPr>
            <w:tcW w:w="846"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p>
        </w:tc>
      </w:tr>
      <w:tr w:rsidR="009C3279" w:rsidRPr="009B5172">
        <w:tc>
          <w:tcPr>
            <w:tcW w:w="1602" w:type="dxa"/>
            <w:shd w:val="clear" w:color="auto" w:fill="auto"/>
          </w:tcPr>
          <w:p w:rsidR="009C3279" w:rsidRPr="006F01A5"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es-ES_tradnl"/>
              </w:rPr>
            </w:pPr>
            <w:r w:rsidRPr="006F01A5">
              <w:rPr>
                <w:sz w:val="17"/>
                <w:szCs w:val="17"/>
                <w:lang w:val="es-ES_tradnl"/>
              </w:rPr>
              <w:t xml:space="preserve">Las Bahamas </w:t>
            </w:r>
          </w:p>
        </w:tc>
        <w:tc>
          <w:tcPr>
            <w:tcW w:w="906"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B5172">
              <w:rPr>
                <w:sz w:val="17"/>
                <w:szCs w:val="17"/>
                <w:lang w:val="en-US"/>
              </w:rPr>
              <w:t>145 350</w:t>
            </w:r>
          </w:p>
        </w:tc>
        <w:tc>
          <w:tcPr>
            <w:tcW w:w="795"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B5172">
              <w:rPr>
                <w:sz w:val="17"/>
                <w:szCs w:val="17"/>
                <w:lang w:val="en-US"/>
              </w:rPr>
              <w:t>153 310</w:t>
            </w:r>
          </w:p>
        </w:tc>
        <w:tc>
          <w:tcPr>
            <w:tcW w:w="756"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152 690</w:t>
            </w:r>
          </w:p>
        </w:tc>
        <w:tc>
          <w:tcPr>
            <w:tcW w:w="792"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154 965</w:t>
            </w:r>
          </w:p>
        </w:tc>
        <w:tc>
          <w:tcPr>
            <w:tcW w:w="838"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158 340</w:t>
            </w:r>
          </w:p>
        </w:tc>
        <w:tc>
          <w:tcPr>
            <w:tcW w:w="782"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160 530</w:t>
            </w:r>
          </w:p>
        </w:tc>
        <w:tc>
          <w:tcPr>
            <w:tcW w:w="828"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166 505</w:t>
            </w:r>
          </w:p>
        </w:tc>
        <w:tc>
          <w:tcPr>
            <w:tcW w:w="854"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171 490</w:t>
            </w:r>
          </w:p>
        </w:tc>
        <w:tc>
          <w:tcPr>
            <w:tcW w:w="854"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174 920</w:t>
            </w:r>
          </w:p>
        </w:tc>
        <w:tc>
          <w:tcPr>
            <w:tcW w:w="846"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157 805</w:t>
            </w:r>
          </w:p>
        </w:tc>
      </w:tr>
      <w:tr w:rsidR="009C3279" w:rsidRPr="009B5172">
        <w:tc>
          <w:tcPr>
            <w:tcW w:w="1602" w:type="dxa"/>
            <w:shd w:val="clear" w:color="auto" w:fill="auto"/>
          </w:tcPr>
          <w:p w:rsidR="009C3279" w:rsidRPr="006F01A5"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es-ES_tradnl"/>
              </w:rPr>
            </w:pPr>
            <w:r w:rsidRPr="006F01A5">
              <w:rPr>
                <w:sz w:val="17"/>
                <w:szCs w:val="17"/>
                <w:lang w:val="es-ES_tradnl"/>
              </w:rPr>
              <w:t xml:space="preserve">New Providence </w:t>
            </w:r>
          </w:p>
        </w:tc>
        <w:tc>
          <w:tcPr>
            <w:tcW w:w="906"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104 440</w:t>
            </w:r>
          </w:p>
        </w:tc>
        <w:tc>
          <w:tcPr>
            <w:tcW w:w="795"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109 770</w:t>
            </w:r>
          </w:p>
        </w:tc>
        <w:tc>
          <w:tcPr>
            <w:tcW w:w="756"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108 255</w:t>
            </w:r>
          </w:p>
        </w:tc>
        <w:tc>
          <w:tcPr>
            <w:tcW w:w="792"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108 685</w:t>
            </w:r>
          </w:p>
        </w:tc>
        <w:tc>
          <w:tcPr>
            <w:tcW w:w="838"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111 725</w:t>
            </w:r>
          </w:p>
        </w:tc>
        <w:tc>
          <w:tcPr>
            <w:tcW w:w="782"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114 660</w:t>
            </w:r>
          </w:p>
        </w:tc>
        <w:tc>
          <w:tcPr>
            <w:tcW w:w="828"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118 575</w:t>
            </w:r>
          </w:p>
        </w:tc>
        <w:tc>
          <w:tcPr>
            <w:tcW w:w="854"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120 675</w:t>
            </w:r>
          </w:p>
        </w:tc>
        <w:tc>
          <w:tcPr>
            <w:tcW w:w="854"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123 960</w:t>
            </w:r>
          </w:p>
        </w:tc>
        <w:tc>
          <w:tcPr>
            <w:tcW w:w="846"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112 880</w:t>
            </w:r>
          </w:p>
        </w:tc>
      </w:tr>
      <w:tr w:rsidR="009C3279" w:rsidRPr="009B5172">
        <w:tc>
          <w:tcPr>
            <w:tcW w:w="1602" w:type="dxa"/>
            <w:shd w:val="clear" w:color="auto" w:fill="auto"/>
          </w:tcPr>
          <w:p w:rsidR="009C3279" w:rsidRPr="006F01A5"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es-ES_tradnl"/>
              </w:rPr>
            </w:pPr>
            <w:r w:rsidRPr="006F01A5">
              <w:rPr>
                <w:sz w:val="17"/>
                <w:szCs w:val="17"/>
                <w:lang w:val="es-ES_tradnl"/>
              </w:rPr>
              <w:t>Gran</w:t>
            </w:r>
            <w:r w:rsidR="006F5BC2">
              <w:rPr>
                <w:sz w:val="17"/>
                <w:szCs w:val="17"/>
                <w:lang w:val="es-ES_tradnl"/>
              </w:rPr>
              <w:t>d</w:t>
            </w:r>
            <w:r w:rsidRPr="006F01A5">
              <w:rPr>
                <w:sz w:val="17"/>
                <w:szCs w:val="17"/>
                <w:lang w:val="es-ES_tradnl"/>
              </w:rPr>
              <w:t xml:space="preserve"> Bahama </w:t>
            </w:r>
          </w:p>
        </w:tc>
        <w:tc>
          <w:tcPr>
            <w:tcW w:w="906"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 xml:space="preserve">21 625 </w:t>
            </w:r>
          </w:p>
        </w:tc>
        <w:tc>
          <w:tcPr>
            <w:tcW w:w="795"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23 345</w:t>
            </w:r>
          </w:p>
        </w:tc>
        <w:tc>
          <w:tcPr>
            <w:tcW w:w="756"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23 580</w:t>
            </w:r>
          </w:p>
        </w:tc>
        <w:tc>
          <w:tcPr>
            <w:tcW w:w="792"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24 050</w:t>
            </w:r>
          </w:p>
        </w:tc>
        <w:tc>
          <w:tcPr>
            <w:tcW w:w="838"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24 000</w:t>
            </w:r>
          </w:p>
        </w:tc>
        <w:tc>
          <w:tcPr>
            <w:tcW w:w="782"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24 305</w:t>
            </w:r>
          </w:p>
        </w:tc>
        <w:tc>
          <w:tcPr>
            <w:tcW w:w="828"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25 155</w:t>
            </w:r>
          </w:p>
        </w:tc>
        <w:tc>
          <w:tcPr>
            <w:tcW w:w="854"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26 310</w:t>
            </w:r>
          </w:p>
        </w:tc>
        <w:tc>
          <w:tcPr>
            <w:tcW w:w="854"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27 125</w:t>
            </w:r>
          </w:p>
        </w:tc>
        <w:tc>
          <w:tcPr>
            <w:tcW w:w="846"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23 310</w:t>
            </w:r>
          </w:p>
        </w:tc>
      </w:tr>
      <w:tr w:rsidR="009C3279" w:rsidRPr="009B5172">
        <w:tc>
          <w:tcPr>
            <w:tcW w:w="3303" w:type="dxa"/>
            <w:gridSpan w:val="3"/>
            <w:shd w:val="clear" w:color="auto" w:fill="auto"/>
            <w:vAlign w:val="bottom"/>
          </w:tcPr>
          <w:p w:rsidR="009C3279" w:rsidRPr="009B5172" w:rsidRDefault="009C3279" w:rsidP="00701035">
            <w:pPr>
              <w:keepNext/>
              <w:tabs>
                <w:tab w:val="left" w:pos="288"/>
                <w:tab w:val="left" w:pos="576"/>
                <w:tab w:val="left" w:pos="864"/>
                <w:tab w:val="left" w:pos="1152"/>
              </w:tabs>
              <w:spacing w:before="40" w:after="40" w:line="210" w:lineRule="exact"/>
              <w:ind w:right="43"/>
              <w:rPr>
                <w:sz w:val="17"/>
                <w:szCs w:val="17"/>
                <w:lang w:val="en-US"/>
              </w:rPr>
            </w:pPr>
            <w:r w:rsidRPr="006F01A5">
              <w:rPr>
                <w:sz w:val="17"/>
                <w:szCs w:val="17"/>
                <w:lang w:val="es-ES_tradnl"/>
              </w:rPr>
              <w:t>Fuerza de trabajo desempleada</w:t>
            </w:r>
          </w:p>
        </w:tc>
        <w:tc>
          <w:tcPr>
            <w:tcW w:w="756" w:type="dxa"/>
            <w:shd w:val="clear" w:color="auto" w:fill="auto"/>
            <w:vAlign w:val="bottom"/>
          </w:tcPr>
          <w:p w:rsidR="009C3279" w:rsidRPr="009B5172" w:rsidRDefault="009C3279" w:rsidP="0070103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p>
        </w:tc>
        <w:tc>
          <w:tcPr>
            <w:tcW w:w="792" w:type="dxa"/>
            <w:shd w:val="clear" w:color="auto" w:fill="auto"/>
            <w:vAlign w:val="bottom"/>
          </w:tcPr>
          <w:p w:rsidR="009C3279" w:rsidRPr="009B5172" w:rsidRDefault="009C3279" w:rsidP="0070103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p>
        </w:tc>
        <w:tc>
          <w:tcPr>
            <w:tcW w:w="838" w:type="dxa"/>
            <w:shd w:val="clear" w:color="auto" w:fill="auto"/>
            <w:vAlign w:val="bottom"/>
          </w:tcPr>
          <w:p w:rsidR="009C3279" w:rsidRPr="009B5172" w:rsidRDefault="009C3279" w:rsidP="0070103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p>
        </w:tc>
        <w:tc>
          <w:tcPr>
            <w:tcW w:w="782" w:type="dxa"/>
            <w:shd w:val="clear" w:color="auto" w:fill="auto"/>
            <w:vAlign w:val="bottom"/>
          </w:tcPr>
          <w:p w:rsidR="009C3279" w:rsidRPr="009B5172" w:rsidRDefault="009C3279" w:rsidP="0070103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p>
        </w:tc>
        <w:tc>
          <w:tcPr>
            <w:tcW w:w="828" w:type="dxa"/>
            <w:shd w:val="clear" w:color="auto" w:fill="auto"/>
            <w:vAlign w:val="bottom"/>
          </w:tcPr>
          <w:p w:rsidR="009C3279" w:rsidRPr="009B5172" w:rsidRDefault="009C3279" w:rsidP="0070103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p>
        </w:tc>
        <w:tc>
          <w:tcPr>
            <w:tcW w:w="854" w:type="dxa"/>
            <w:shd w:val="clear" w:color="auto" w:fill="auto"/>
            <w:vAlign w:val="bottom"/>
          </w:tcPr>
          <w:p w:rsidR="009C3279" w:rsidRPr="009B5172" w:rsidRDefault="009C3279" w:rsidP="0070103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p>
        </w:tc>
        <w:tc>
          <w:tcPr>
            <w:tcW w:w="854" w:type="dxa"/>
            <w:shd w:val="clear" w:color="auto" w:fill="auto"/>
            <w:vAlign w:val="bottom"/>
          </w:tcPr>
          <w:p w:rsidR="009C3279" w:rsidRPr="009B5172" w:rsidRDefault="009C3279" w:rsidP="0070103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p>
        </w:tc>
        <w:tc>
          <w:tcPr>
            <w:tcW w:w="846" w:type="dxa"/>
            <w:shd w:val="clear" w:color="auto" w:fill="auto"/>
            <w:vAlign w:val="bottom"/>
          </w:tcPr>
          <w:p w:rsidR="009C3279" w:rsidRPr="009B5172" w:rsidRDefault="009C3279" w:rsidP="0070103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p>
        </w:tc>
      </w:tr>
      <w:tr w:rsidR="009C3279" w:rsidRPr="009B5172">
        <w:tc>
          <w:tcPr>
            <w:tcW w:w="1602" w:type="dxa"/>
            <w:shd w:val="clear" w:color="auto" w:fill="auto"/>
          </w:tcPr>
          <w:p w:rsidR="009C3279" w:rsidRPr="006F01A5" w:rsidRDefault="009C3279" w:rsidP="0070103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es-ES_tradnl"/>
              </w:rPr>
            </w:pPr>
            <w:r w:rsidRPr="006F01A5">
              <w:rPr>
                <w:sz w:val="17"/>
                <w:szCs w:val="17"/>
                <w:lang w:val="es-ES_tradnl"/>
              </w:rPr>
              <w:t xml:space="preserve">Las Bahamas </w:t>
            </w:r>
          </w:p>
        </w:tc>
        <w:tc>
          <w:tcPr>
            <w:tcW w:w="906" w:type="dxa"/>
            <w:shd w:val="clear" w:color="auto" w:fill="auto"/>
            <w:vAlign w:val="bottom"/>
          </w:tcPr>
          <w:p w:rsidR="009C3279" w:rsidRPr="009B5172" w:rsidRDefault="009C3279" w:rsidP="0070103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B5172">
              <w:rPr>
                <w:sz w:val="17"/>
                <w:szCs w:val="17"/>
                <w:lang w:val="en-US"/>
              </w:rPr>
              <w:t>12 290</w:t>
            </w:r>
          </w:p>
        </w:tc>
        <w:tc>
          <w:tcPr>
            <w:tcW w:w="795" w:type="dxa"/>
            <w:shd w:val="clear" w:color="auto" w:fill="auto"/>
            <w:vAlign w:val="bottom"/>
          </w:tcPr>
          <w:p w:rsidR="009C3279" w:rsidRPr="009B5172" w:rsidRDefault="009C3279" w:rsidP="00701035">
            <w:pPr>
              <w:keepNext/>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11 365</w:t>
            </w:r>
          </w:p>
        </w:tc>
        <w:tc>
          <w:tcPr>
            <w:tcW w:w="756" w:type="dxa"/>
            <w:shd w:val="clear" w:color="auto" w:fill="auto"/>
            <w:vAlign w:val="bottom"/>
          </w:tcPr>
          <w:p w:rsidR="009C3279" w:rsidRPr="009B5172" w:rsidRDefault="009C3279" w:rsidP="0070103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B5172">
              <w:rPr>
                <w:sz w:val="17"/>
                <w:szCs w:val="17"/>
                <w:lang w:val="en-US"/>
              </w:rPr>
              <w:t>15 290</w:t>
            </w:r>
          </w:p>
        </w:tc>
        <w:tc>
          <w:tcPr>
            <w:tcW w:w="792" w:type="dxa"/>
            <w:shd w:val="clear" w:color="auto" w:fill="auto"/>
            <w:vAlign w:val="bottom"/>
          </w:tcPr>
          <w:p w:rsidR="009C3279" w:rsidRPr="009B5172" w:rsidRDefault="009C3279" w:rsidP="0070103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B5172">
              <w:rPr>
                <w:sz w:val="17"/>
                <w:szCs w:val="17"/>
                <w:lang w:val="en-US"/>
              </w:rPr>
              <w:t>18 830</w:t>
            </w:r>
          </w:p>
        </w:tc>
        <w:tc>
          <w:tcPr>
            <w:tcW w:w="838" w:type="dxa"/>
            <w:shd w:val="clear" w:color="auto" w:fill="auto"/>
            <w:vAlign w:val="bottom"/>
          </w:tcPr>
          <w:p w:rsidR="009C3279" w:rsidRPr="009B5172" w:rsidRDefault="009C3279" w:rsidP="0070103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B5172">
              <w:rPr>
                <w:sz w:val="17"/>
                <w:szCs w:val="17"/>
                <w:lang w:val="en-US"/>
              </w:rPr>
              <w:t>17 990</w:t>
            </w:r>
          </w:p>
        </w:tc>
        <w:tc>
          <w:tcPr>
            <w:tcW w:w="782" w:type="dxa"/>
            <w:shd w:val="clear" w:color="auto" w:fill="auto"/>
            <w:vAlign w:val="bottom"/>
          </w:tcPr>
          <w:p w:rsidR="009C3279" w:rsidRPr="009B5172" w:rsidRDefault="009C3279" w:rsidP="0070103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B5172">
              <w:rPr>
                <w:sz w:val="17"/>
                <w:szCs w:val="17"/>
                <w:lang w:val="en-US"/>
              </w:rPr>
              <w:t>18 175</w:t>
            </w:r>
          </w:p>
        </w:tc>
        <w:tc>
          <w:tcPr>
            <w:tcW w:w="828" w:type="dxa"/>
            <w:shd w:val="clear" w:color="auto" w:fill="auto"/>
            <w:vAlign w:val="bottom"/>
          </w:tcPr>
          <w:p w:rsidR="009C3279" w:rsidRPr="009B5172" w:rsidRDefault="009C3279" w:rsidP="0070103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B5172">
              <w:rPr>
                <w:sz w:val="17"/>
                <w:szCs w:val="17"/>
                <w:lang w:val="en-US"/>
              </w:rPr>
              <w:t>13 750</w:t>
            </w:r>
          </w:p>
        </w:tc>
        <w:tc>
          <w:tcPr>
            <w:tcW w:w="854" w:type="dxa"/>
            <w:shd w:val="clear" w:color="auto" w:fill="auto"/>
            <w:vAlign w:val="bottom"/>
          </w:tcPr>
          <w:p w:rsidR="009C3279" w:rsidRPr="009B5172" w:rsidRDefault="009C3279" w:rsidP="0070103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B5172">
              <w:rPr>
                <w:sz w:val="17"/>
                <w:szCs w:val="17"/>
                <w:lang w:val="en-US"/>
              </w:rPr>
              <w:t>14 615</w:t>
            </w:r>
          </w:p>
        </w:tc>
        <w:tc>
          <w:tcPr>
            <w:tcW w:w="854" w:type="dxa"/>
            <w:shd w:val="clear" w:color="auto" w:fill="auto"/>
            <w:vAlign w:val="bottom"/>
          </w:tcPr>
          <w:p w:rsidR="009C3279" w:rsidRPr="009B5172" w:rsidRDefault="009C3279" w:rsidP="0070103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B5172">
              <w:rPr>
                <w:sz w:val="17"/>
                <w:szCs w:val="17"/>
                <w:lang w:val="en-US"/>
              </w:rPr>
              <w:t>16 675</w:t>
            </w:r>
          </w:p>
        </w:tc>
        <w:tc>
          <w:tcPr>
            <w:tcW w:w="846" w:type="dxa"/>
            <w:shd w:val="clear" w:color="auto" w:fill="auto"/>
            <w:vAlign w:val="bottom"/>
          </w:tcPr>
          <w:p w:rsidR="009C3279" w:rsidRPr="009B5172" w:rsidRDefault="009C3279" w:rsidP="0070103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B5172">
              <w:rPr>
                <w:sz w:val="17"/>
                <w:szCs w:val="17"/>
                <w:lang w:val="en-US"/>
              </w:rPr>
              <w:t>26 215</w:t>
            </w:r>
          </w:p>
        </w:tc>
      </w:tr>
      <w:tr w:rsidR="009C3279" w:rsidRPr="009B5172">
        <w:tc>
          <w:tcPr>
            <w:tcW w:w="1602" w:type="dxa"/>
            <w:shd w:val="clear" w:color="auto" w:fill="auto"/>
          </w:tcPr>
          <w:p w:rsidR="009C3279" w:rsidRPr="006F01A5"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es-ES_tradnl"/>
              </w:rPr>
            </w:pPr>
            <w:r w:rsidRPr="006F01A5">
              <w:rPr>
                <w:sz w:val="17"/>
                <w:szCs w:val="17"/>
                <w:lang w:val="es-ES_tradnl"/>
              </w:rPr>
              <w:t xml:space="preserve">New Providence </w:t>
            </w:r>
          </w:p>
        </w:tc>
        <w:tc>
          <w:tcPr>
            <w:tcW w:w="906"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8 800</w:t>
            </w:r>
          </w:p>
        </w:tc>
        <w:tc>
          <w:tcPr>
            <w:tcW w:w="795"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8 130</w:t>
            </w:r>
          </w:p>
        </w:tc>
        <w:tc>
          <w:tcPr>
            <w:tcW w:w="756"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11 445</w:t>
            </w:r>
          </w:p>
        </w:tc>
        <w:tc>
          <w:tcPr>
            <w:tcW w:w="792"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14 695</w:t>
            </w:r>
          </w:p>
        </w:tc>
        <w:tc>
          <w:tcPr>
            <w:tcW w:w="838"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13 660</w:t>
            </w:r>
          </w:p>
        </w:tc>
        <w:tc>
          <w:tcPr>
            <w:tcW w:w="782"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13 970</w:t>
            </w:r>
          </w:p>
        </w:tc>
        <w:tc>
          <w:tcPr>
            <w:tcW w:w="828"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8 515</w:t>
            </w:r>
          </w:p>
        </w:tc>
        <w:tc>
          <w:tcPr>
            <w:tcW w:w="854"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10 430</w:t>
            </w:r>
          </w:p>
        </w:tc>
        <w:tc>
          <w:tcPr>
            <w:tcW w:w="854"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11 775</w:t>
            </w:r>
          </w:p>
        </w:tc>
        <w:tc>
          <w:tcPr>
            <w:tcW w:w="846"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16 365</w:t>
            </w:r>
          </w:p>
        </w:tc>
      </w:tr>
      <w:tr w:rsidR="009C3279" w:rsidRPr="009B5172">
        <w:tc>
          <w:tcPr>
            <w:tcW w:w="1602" w:type="dxa"/>
            <w:shd w:val="clear" w:color="auto" w:fill="auto"/>
          </w:tcPr>
          <w:p w:rsidR="009C3279" w:rsidRPr="006F01A5"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es-ES_tradnl"/>
              </w:rPr>
            </w:pPr>
            <w:r w:rsidRPr="006F01A5">
              <w:rPr>
                <w:sz w:val="17"/>
                <w:szCs w:val="17"/>
                <w:lang w:val="es-ES_tradnl"/>
              </w:rPr>
              <w:t>Gran</w:t>
            </w:r>
            <w:r w:rsidR="006F5BC2">
              <w:rPr>
                <w:sz w:val="17"/>
                <w:szCs w:val="17"/>
                <w:lang w:val="es-ES_tradnl"/>
              </w:rPr>
              <w:t>d</w:t>
            </w:r>
            <w:r w:rsidRPr="006F01A5">
              <w:rPr>
                <w:sz w:val="17"/>
                <w:szCs w:val="17"/>
                <w:lang w:val="es-ES_tradnl"/>
              </w:rPr>
              <w:t xml:space="preserve"> Bahama </w:t>
            </w:r>
          </w:p>
        </w:tc>
        <w:tc>
          <w:tcPr>
            <w:tcW w:w="906"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2 275</w:t>
            </w:r>
          </w:p>
        </w:tc>
        <w:tc>
          <w:tcPr>
            <w:tcW w:w="795"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1 710</w:t>
            </w:r>
          </w:p>
        </w:tc>
        <w:tc>
          <w:tcPr>
            <w:tcW w:w="756"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1 610</w:t>
            </w:r>
          </w:p>
        </w:tc>
        <w:tc>
          <w:tcPr>
            <w:tcW w:w="792"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2 300</w:t>
            </w:r>
          </w:p>
        </w:tc>
        <w:tc>
          <w:tcPr>
            <w:tcW w:w="838"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2 465</w:t>
            </w:r>
          </w:p>
        </w:tc>
        <w:tc>
          <w:tcPr>
            <w:tcW w:w="782"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 xml:space="preserve"> 3 000</w:t>
            </w:r>
          </w:p>
        </w:tc>
        <w:tc>
          <w:tcPr>
            <w:tcW w:w="828"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2 290</w:t>
            </w:r>
          </w:p>
        </w:tc>
        <w:tc>
          <w:tcPr>
            <w:tcW w:w="854"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 xml:space="preserve"> 2 540</w:t>
            </w:r>
          </w:p>
        </w:tc>
        <w:tc>
          <w:tcPr>
            <w:tcW w:w="854"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2 695</w:t>
            </w:r>
          </w:p>
        </w:tc>
        <w:tc>
          <w:tcPr>
            <w:tcW w:w="846"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4 925</w:t>
            </w:r>
          </w:p>
        </w:tc>
      </w:tr>
      <w:tr w:rsidR="009C3279" w:rsidRPr="009B5172">
        <w:tc>
          <w:tcPr>
            <w:tcW w:w="1602" w:type="dxa"/>
            <w:shd w:val="clear" w:color="auto" w:fill="auto"/>
            <w:vAlign w:val="bottom"/>
          </w:tcPr>
          <w:p w:rsidR="009C3279" w:rsidRPr="006F01A5"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n-US"/>
              </w:rPr>
            </w:pPr>
            <w:r w:rsidRPr="006F01A5">
              <w:rPr>
                <w:sz w:val="17"/>
                <w:szCs w:val="17"/>
                <w:lang w:val="es-ES_tradnl"/>
              </w:rPr>
              <w:t>Fuerza de trabajo</w:t>
            </w:r>
          </w:p>
        </w:tc>
        <w:tc>
          <w:tcPr>
            <w:tcW w:w="906"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p>
        </w:tc>
        <w:tc>
          <w:tcPr>
            <w:tcW w:w="795"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p>
        </w:tc>
        <w:tc>
          <w:tcPr>
            <w:tcW w:w="756"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p>
        </w:tc>
        <w:tc>
          <w:tcPr>
            <w:tcW w:w="792"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p>
        </w:tc>
        <w:tc>
          <w:tcPr>
            <w:tcW w:w="838"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p>
        </w:tc>
        <w:tc>
          <w:tcPr>
            <w:tcW w:w="782"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p>
        </w:tc>
        <w:tc>
          <w:tcPr>
            <w:tcW w:w="828"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p>
        </w:tc>
        <w:tc>
          <w:tcPr>
            <w:tcW w:w="854"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p>
        </w:tc>
        <w:tc>
          <w:tcPr>
            <w:tcW w:w="854"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p>
        </w:tc>
        <w:tc>
          <w:tcPr>
            <w:tcW w:w="846"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p>
        </w:tc>
      </w:tr>
      <w:tr w:rsidR="009C3279" w:rsidRPr="009B5172">
        <w:tc>
          <w:tcPr>
            <w:tcW w:w="1602" w:type="dxa"/>
            <w:shd w:val="clear" w:color="auto" w:fill="auto"/>
          </w:tcPr>
          <w:p w:rsidR="009C3279"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lang w:val="es-ES_tradnl"/>
              </w:rPr>
            </w:pPr>
            <w:r w:rsidRPr="006F01A5">
              <w:rPr>
                <w:sz w:val="17"/>
                <w:szCs w:val="17"/>
                <w:lang w:val="en-US"/>
              </w:rPr>
              <w:t>Tasa de actividad</w:t>
            </w:r>
            <w:r>
              <w:rPr>
                <w:lang w:val="es-ES_tradnl"/>
              </w:rPr>
              <w:t xml:space="preserve"> </w:t>
            </w:r>
          </w:p>
        </w:tc>
        <w:tc>
          <w:tcPr>
            <w:tcW w:w="906"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p>
        </w:tc>
        <w:tc>
          <w:tcPr>
            <w:tcW w:w="795"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p>
        </w:tc>
        <w:tc>
          <w:tcPr>
            <w:tcW w:w="756"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p>
        </w:tc>
        <w:tc>
          <w:tcPr>
            <w:tcW w:w="792"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p>
        </w:tc>
        <w:tc>
          <w:tcPr>
            <w:tcW w:w="838"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p>
        </w:tc>
        <w:tc>
          <w:tcPr>
            <w:tcW w:w="782"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p>
        </w:tc>
        <w:tc>
          <w:tcPr>
            <w:tcW w:w="828"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p>
        </w:tc>
        <w:tc>
          <w:tcPr>
            <w:tcW w:w="854"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p>
        </w:tc>
        <w:tc>
          <w:tcPr>
            <w:tcW w:w="854"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p>
        </w:tc>
        <w:tc>
          <w:tcPr>
            <w:tcW w:w="846"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p>
        </w:tc>
      </w:tr>
      <w:tr w:rsidR="009C3279" w:rsidRPr="009B5172">
        <w:tc>
          <w:tcPr>
            <w:tcW w:w="1602" w:type="dxa"/>
            <w:shd w:val="clear" w:color="auto" w:fill="auto"/>
          </w:tcPr>
          <w:p w:rsidR="009C3279" w:rsidRPr="006F01A5"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es-ES_tradnl"/>
              </w:rPr>
            </w:pPr>
            <w:r w:rsidRPr="006F01A5">
              <w:rPr>
                <w:sz w:val="17"/>
                <w:szCs w:val="17"/>
                <w:lang w:val="es-ES_tradnl"/>
              </w:rPr>
              <w:t xml:space="preserve">Las Bahamas </w:t>
            </w:r>
          </w:p>
        </w:tc>
        <w:tc>
          <w:tcPr>
            <w:tcW w:w="906"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76</w:t>
            </w:r>
            <w:r>
              <w:rPr>
                <w:sz w:val="17"/>
                <w:szCs w:val="17"/>
                <w:lang w:val="en-US"/>
              </w:rPr>
              <w:t>,</w:t>
            </w:r>
            <w:r w:rsidRPr="009B5172">
              <w:rPr>
                <w:sz w:val="17"/>
                <w:szCs w:val="17"/>
                <w:lang w:val="en-US"/>
              </w:rPr>
              <w:t>8%</w:t>
            </w:r>
          </w:p>
        </w:tc>
        <w:tc>
          <w:tcPr>
            <w:tcW w:w="795"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 xml:space="preserve"> 76</w:t>
            </w:r>
            <w:r>
              <w:rPr>
                <w:sz w:val="17"/>
                <w:szCs w:val="17"/>
                <w:lang w:val="en-US"/>
              </w:rPr>
              <w:t>,</w:t>
            </w:r>
            <w:r w:rsidRPr="009B5172">
              <w:rPr>
                <w:sz w:val="17"/>
                <w:szCs w:val="17"/>
                <w:lang w:val="en-US"/>
              </w:rPr>
              <w:t>2%</w:t>
            </w:r>
          </w:p>
        </w:tc>
        <w:tc>
          <w:tcPr>
            <w:tcW w:w="756"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 xml:space="preserve"> 76</w:t>
            </w:r>
            <w:r>
              <w:rPr>
                <w:sz w:val="17"/>
                <w:szCs w:val="17"/>
                <w:lang w:val="en-US"/>
              </w:rPr>
              <w:t>,</w:t>
            </w:r>
            <w:r w:rsidRPr="009B5172">
              <w:rPr>
                <w:sz w:val="17"/>
                <w:szCs w:val="17"/>
                <w:lang w:val="en-US"/>
              </w:rPr>
              <w:t>4%</w:t>
            </w:r>
          </w:p>
        </w:tc>
        <w:tc>
          <w:tcPr>
            <w:tcW w:w="792"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76</w:t>
            </w:r>
            <w:r>
              <w:rPr>
                <w:sz w:val="17"/>
                <w:szCs w:val="17"/>
                <w:lang w:val="en-US"/>
              </w:rPr>
              <w:t>,</w:t>
            </w:r>
            <w:r w:rsidRPr="009B5172">
              <w:rPr>
                <w:sz w:val="17"/>
                <w:szCs w:val="17"/>
                <w:lang w:val="en-US"/>
              </w:rPr>
              <w:t>5%</w:t>
            </w:r>
          </w:p>
        </w:tc>
        <w:tc>
          <w:tcPr>
            <w:tcW w:w="838"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75</w:t>
            </w:r>
            <w:r>
              <w:rPr>
                <w:sz w:val="17"/>
                <w:szCs w:val="17"/>
                <w:lang w:val="en-US"/>
              </w:rPr>
              <w:t>,</w:t>
            </w:r>
            <w:r w:rsidRPr="009B5172">
              <w:rPr>
                <w:sz w:val="17"/>
                <w:szCs w:val="17"/>
                <w:lang w:val="en-US"/>
              </w:rPr>
              <w:t>7%</w:t>
            </w:r>
          </w:p>
        </w:tc>
        <w:tc>
          <w:tcPr>
            <w:tcW w:w="782"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76</w:t>
            </w:r>
            <w:r>
              <w:rPr>
                <w:sz w:val="17"/>
                <w:szCs w:val="17"/>
                <w:lang w:val="en-US"/>
              </w:rPr>
              <w:t>,</w:t>
            </w:r>
            <w:r w:rsidRPr="009B5172">
              <w:rPr>
                <w:sz w:val="17"/>
                <w:szCs w:val="17"/>
                <w:lang w:val="en-US"/>
              </w:rPr>
              <w:t>3%</w:t>
            </w:r>
          </w:p>
        </w:tc>
        <w:tc>
          <w:tcPr>
            <w:tcW w:w="828"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75</w:t>
            </w:r>
            <w:r>
              <w:rPr>
                <w:sz w:val="17"/>
                <w:szCs w:val="17"/>
                <w:lang w:val="en-US"/>
              </w:rPr>
              <w:t>,</w:t>
            </w:r>
            <w:r w:rsidRPr="009B5172">
              <w:rPr>
                <w:sz w:val="17"/>
                <w:szCs w:val="17"/>
                <w:lang w:val="en-US"/>
              </w:rPr>
              <w:t>1%</w:t>
            </w:r>
          </w:p>
        </w:tc>
        <w:tc>
          <w:tcPr>
            <w:tcW w:w="854"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76</w:t>
            </w:r>
            <w:r>
              <w:rPr>
                <w:sz w:val="17"/>
                <w:szCs w:val="17"/>
                <w:lang w:val="en-US"/>
              </w:rPr>
              <w:t>,</w:t>
            </w:r>
            <w:r w:rsidRPr="009B5172">
              <w:rPr>
                <w:sz w:val="17"/>
                <w:szCs w:val="17"/>
                <w:lang w:val="en-US"/>
              </w:rPr>
              <w:t>2%</w:t>
            </w:r>
          </w:p>
        </w:tc>
        <w:tc>
          <w:tcPr>
            <w:tcW w:w="854"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76</w:t>
            </w:r>
            <w:r>
              <w:rPr>
                <w:sz w:val="17"/>
                <w:szCs w:val="17"/>
                <w:lang w:val="en-US"/>
              </w:rPr>
              <w:t>,</w:t>
            </w:r>
            <w:r w:rsidRPr="009B5172">
              <w:rPr>
                <w:sz w:val="17"/>
                <w:szCs w:val="17"/>
                <w:lang w:val="en-US"/>
              </w:rPr>
              <w:t>3%</w:t>
            </w:r>
          </w:p>
        </w:tc>
        <w:tc>
          <w:tcPr>
            <w:tcW w:w="846"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73</w:t>
            </w:r>
            <w:r>
              <w:rPr>
                <w:sz w:val="17"/>
                <w:szCs w:val="17"/>
                <w:lang w:val="en-US"/>
              </w:rPr>
              <w:t>,</w:t>
            </w:r>
            <w:r w:rsidRPr="009B5172">
              <w:rPr>
                <w:sz w:val="17"/>
                <w:szCs w:val="17"/>
                <w:lang w:val="en-US"/>
              </w:rPr>
              <w:t>4%</w:t>
            </w:r>
          </w:p>
        </w:tc>
      </w:tr>
      <w:tr w:rsidR="009C3279" w:rsidRPr="009B5172">
        <w:tc>
          <w:tcPr>
            <w:tcW w:w="1602" w:type="dxa"/>
            <w:shd w:val="clear" w:color="auto" w:fill="auto"/>
          </w:tcPr>
          <w:p w:rsidR="009C3279" w:rsidRPr="006F01A5"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es-ES_tradnl"/>
              </w:rPr>
            </w:pPr>
            <w:r w:rsidRPr="006F01A5">
              <w:rPr>
                <w:sz w:val="17"/>
                <w:szCs w:val="17"/>
                <w:lang w:val="es-ES_tradnl"/>
              </w:rPr>
              <w:t xml:space="preserve">New Providence </w:t>
            </w:r>
          </w:p>
        </w:tc>
        <w:tc>
          <w:tcPr>
            <w:tcW w:w="906"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 xml:space="preserve"> 77</w:t>
            </w:r>
            <w:r>
              <w:rPr>
                <w:sz w:val="17"/>
                <w:szCs w:val="17"/>
                <w:lang w:val="en-US"/>
              </w:rPr>
              <w:t>,</w:t>
            </w:r>
            <w:r w:rsidRPr="009B5172">
              <w:rPr>
                <w:sz w:val="17"/>
                <w:szCs w:val="17"/>
                <w:lang w:val="en-US"/>
              </w:rPr>
              <w:t>7%</w:t>
            </w:r>
          </w:p>
        </w:tc>
        <w:tc>
          <w:tcPr>
            <w:tcW w:w="795"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 xml:space="preserve"> 78</w:t>
            </w:r>
            <w:r>
              <w:rPr>
                <w:sz w:val="17"/>
                <w:szCs w:val="17"/>
                <w:lang w:val="en-US"/>
              </w:rPr>
              <w:t>,</w:t>
            </w:r>
            <w:r w:rsidRPr="009B5172">
              <w:rPr>
                <w:sz w:val="17"/>
                <w:szCs w:val="17"/>
                <w:lang w:val="en-US"/>
              </w:rPr>
              <w:t>1%</w:t>
            </w:r>
          </w:p>
        </w:tc>
        <w:tc>
          <w:tcPr>
            <w:tcW w:w="756"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 xml:space="preserve"> 77</w:t>
            </w:r>
            <w:r>
              <w:rPr>
                <w:sz w:val="17"/>
                <w:szCs w:val="17"/>
                <w:lang w:val="en-US"/>
              </w:rPr>
              <w:t>,</w:t>
            </w:r>
            <w:r w:rsidRPr="009B5172">
              <w:rPr>
                <w:sz w:val="17"/>
                <w:szCs w:val="17"/>
                <w:lang w:val="en-US"/>
              </w:rPr>
              <w:t>6%</w:t>
            </w:r>
          </w:p>
        </w:tc>
        <w:tc>
          <w:tcPr>
            <w:tcW w:w="792"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78</w:t>
            </w:r>
            <w:r>
              <w:rPr>
                <w:sz w:val="17"/>
                <w:szCs w:val="17"/>
                <w:lang w:val="en-US"/>
              </w:rPr>
              <w:t>,</w:t>
            </w:r>
            <w:r w:rsidRPr="009B5172">
              <w:rPr>
                <w:sz w:val="17"/>
                <w:szCs w:val="17"/>
                <w:lang w:val="en-US"/>
              </w:rPr>
              <w:t>0%</w:t>
            </w:r>
          </w:p>
        </w:tc>
        <w:tc>
          <w:tcPr>
            <w:tcW w:w="838"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77</w:t>
            </w:r>
            <w:r>
              <w:rPr>
                <w:sz w:val="17"/>
                <w:szCs w:val="17"/>
                <w:lang w:val="en-US"/>
              </w:rPr>
              <w:t>,</w:t>
            </w:r>
            <w:r w:rsidRPr="009B5172">
              <w:rPr>
                <w:sz w:val="17"/>
                <w:szCs w:val="17"/>
                <w:lang w:val="en-US"/>
              </w:rPr>
              <w:t>5%</w:t>
            </w:r>
          </w:p>
        </w:tc>
        <w:tc>
          <w:tcPr>
            <w:tcW w:w="782"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77</w:t>
            </w:r>
            <w:r>
              <w:rPr>
                <w:sz w:val="17"/>
                <w:szCs w:val="17"/>
                <w:lang w:val="en-US"/>
              </w:rPr>
              <w:t>,</w:t>
            </w:r>
            <w:r w:rsidRPr="009B5172">
              <w:rPr>
                <w:sz w:val="17"/>
                <w:szCs w:val="17"/>
                <w:lang w:val="en-US"/>
              </w:rPr>
              <w:t>5%</w:t>
            </w:r>
          </w:p>
        </w:tc>
        <w:tc>
          <w:tcPr>
            <w:tcW w:w="828"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79</w:t>
            </w:r>
            <w:r>
              <w:rPr>
                <w:sz w:val="17"/>
                <w:szCs w:val="17"/>
                <w:lang w:val="en-US"/>
              </w:rPr>
              <w:t>,</w:t>
            </w:r>
            <w:r w:rsidRPr="009B5172">
              <w:rPr>
                <w:sz w:val="17"/>
                <w:szCs w:val="17"/>
                <w:lang w:val="en-US"/>
              </w:rPr>
              <w:t>7%</w:t>
            </w:r>
          </w:p>
        </w:tc>
        <w:tc>
          <w:tcPr>
            <w:tcW w:w="854"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77</w:t>
            </w:r>
            <w:r>
              <w:rPr>
                <w:sz w:val="17"/>
                <w:szCs w:val="17"/>
                <w:lang w:val="en-US"/>
              </w:rPr>
              <w:t>,</w:t>
            </w:r>
            <w:r w:rsidRPr="009B5172">
              <w:rPr>
                <w:sz w:val="17"/>
                <w:szCs w:val="17"/>
                <w:lang w:val="en-US"/>
              </w:rPr>
              <w:t>1%</w:t>
            </w:r>
          </w:p>
        </w:tc>
        <w:tc>
          <w:tcPr>
            <w:tcW w:w="854"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77</w:t>
            </w:r>
            <w:r>
              <w:rPr>
                <w:sz w:val="17"/>
                <w:szCs w:val="17"/>
                <w:lang w:val="en-US"/>
              </w:rPr>
              <w:t>,</w:t>
            </w:r>
            <w:r w:rsidRPr="009B5172">
              <w:rPr>
                <w:sz w:val="17"/>
                <w:szCs w:val="17"/>
                <w:lang w:val="en-US"/>
              </w:rPr>
              <w:t>3%</w:t>
            </w:r>
          </w:p>
        </w:tc>
        <w:tc>
          <w:tcPr>
            <w:tcW w:w="846"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74</w:t>
            </w:r>
            <w:r>
              <w:rPr>
                <w:sz w:val="17"/>
                <w:szCs w:val="17"/>
                <w:lang w:val="en-US"/>
              </w:rPr>
              <w:t>,</w:t>
            </w:r>
            <w:r w:rsidRPr="009B5172">
              <w:rPr>
                <w:sz w:val="17"/>
                <w:szCs w:val="17"/>
                <w:lang w:val="en-US"/>
              </w:rPr>
              <w:t>0%</w:t>
            </w:r>
          </w:p>
        </w:tc>
      </w:tr>
      <w:tr w:rsidR="009C3279" w:rsidRPr="009B5172">
        <w:tc>
          <w:tcPr>
            <w:tcW w:w="1602" w:type="dxa"/>
            <w:shd w:val="clear" w:color="auto" w:fill="auto"/>
          </w:tcPr>
          <w:p w:rsidR="009C3279" w:rsidRPr="006F01A5"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es-ES_tradnl"/>
              </w:rPr>
            </w:pPr>
            <w:r w:rsidRPr="006F01A5">
              <w:rPr>
                <w:sz w:val="17"/>
                <w:szCs w:val="17"/>
                <w:lang w:val="es-ES_tradnl"/>
              </w:rPr>
              <w:t>Gran</w:t>
            </w:r>
            <w:r w:rsidR="00546B8D">
              <w:rPr>
                <w:sz w:val="17"/>
                <w:szCs w:val="17"/>
                <w:lang w:val="es-ES_tradnl"/>
              </w:rPr>
              <w:t>d</w:t>
            </w:r>
            <w:r w:rsidRPr="006F01A5">
              <w:rPr>
                <w:sz w:val="17"/>
                <w:szCs w:val="17"/>
                <w:lang w:val="es-ES_tradnl"/>
              </w:rPr>
              <w:t xml:space="preserve"> Bahama </w:t>
            </w:r>
          </w:p>
        </w:tc>
        <w:tc>
          <w:tcPr>
            <w:tcW w:w="906"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 xml:space="preserve"> 75</w:t>
            </w:r>
            <w:r>
              <w:rPr>
                <w:sz w:val="17"/>
                <w:szCs w:val="17"/>
                <w:lang w:val="en-US"/>
              </w:rPr>
              <w:t>,</w:t>
            </w:r>
            <w:r w:rsidRPr="009B5172">
              <w:rPr>
                <w:sz w:val="17"/>
                <w:szCs w:val="17"/>
                <w:lang w:val="en-US"/>
              </w:rPr>
              <w:t>3%</w:t>
            </w:r>
          </w:p>
        </w:tc>
        <w:tc>
          <w:tcPr>
            <w:tcW w:w="795"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 xml:space="preserve"> 75</w:t>
            </w:r>
            <w:r>
              <w:rPr>
                <w:sz w:val="17"/>
                <w:szCs w:val="17"/>
                <w:lang w:val="en-US"/>
              </w:rPr>
              <w:t>,</w:t>
            </w:r>
            <w:r w:rsidRPr="009B5172">
              <w:rPr>
                <w:sz w:val="17"/>
                <w:szCs w:val="17"/>
                <w:lang w:val="en-US"/>
              </w:rPr>
              <w:t>2%</w:t>
            </w:r>
          </w:p>
        </w:tc>
        <w:tc>
          <w:tcPr>
            <w:tcW w:w="756"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 xml:space="preserve"> 74</w:t>
            </w:r>
            <w:r>
              <w:rPr>
                <w:sz w:val="17"/>
                <w:szCs w:val="17"/>
                <w:lang w:val="en-US"/>
              </w:rPr>
              <w:t>,</w:t>
            </w:r>
            <w:r w:rsidRPr="009B5172">
              <w:rPr>
                <w:sz w:val="17"/>
                <w:szCs w:val="17"/>
                <w:lang w:val="en-US"/>
              </w:rPr>
              <w:t>4%</w:t>
            </w:r>
          </w:p>
        </w:tc>
        <w:tc>
          <w:tcPr>
            <w:tcW w:w="792"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76</w:t>
            </w:r>
            <w:r>
              <w:rPr>
                <w:sz w:val="17"/>
                <w:szCs w:val="17"/>
                <w:lang w:val="en-US"/>
              </w:rPr>
              <w:t>,</w:t>
            </w:r>
            <w:r w:rsidRPr="009B5172">
              <w:rPr>
                <w:sz w:val="17"/>
                <w:szCs w:val="17"/>
                <w:lang w:val="en-US"/>
              </w:rPr>
              <w:t>0%</w:t>
            </w:r>
          </w:p>
        </w:tc>
        <w:tc>
          <w:tcPr>
            <w:tcW w:w="838"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74</w:t>
            </w:r>
            <w:r>
              <w:rPr>
                <w:sz w:val="17"/>
                <w:szCs w:val="17"/>
                <w:lang w:val="en-US"/>
              </w:rPr>
              <w:t>,</w:t>
            </w:r>
            <w:r w:rsidRPr="009B5172">
              <w:rPr>
                <w:sz w:val="17"/>
                <w:szCs w:val="17"/>
                <w:lang w:val="en-US"/>
              </w:rPr>
              <w:t>7%</w:t>
            </w:r>
          </w:p>
        </w:tc>
        <w:tc>
          <w:tcPr>
            <w:tcW w:w="782"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74</w:t>
            </w:r>
            <w:r>
              <w:rPr>
                <w:sz w:val="17"/>
                <w:szCs w:val="17"/>
                <w:lang w:val="en-US"/>
              </w:rPr>
              <w:t>,</w:t>
            </w:r>
            <w:r w:rsidRPr="009B5172">
              <w:rPr>
                <w:sz w:val="17"/>
                <w:szCs w:val="17"/>
                <w:lang w:val="en-US"/>
              </w:rPr>
              <w:t>7%</w:t>
            </w:r>
          </w:p>
        </w:tc>
        <w:tc>
          <w:tcPr>
            <w:tcW w:w="828"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74</w:t>
            </w:r>
            <w:r>
              <w:rPr>
                <w:sz w:val="17"/>
                <w:szCs w:val="17"/>
                <w:lang w:val="en-US"/>
              </w:rPr>
              <w:t>,</w:t>
            </w:r>
            <w:r w:rsidRPr="009B5172">
              <w:rPr>
                <w:sz w:val="17"/>
                <w:szCs w:val="17"/>
                <w:lang w:val="en-US"/>
              </w:rPr>
              <w:t>6%</w:t>
            </w:r>
          </w:p>
        </w:tc>
        <w:tc>
          <w:tcPr>
            <w:tcW w:w="854"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76</w:t>
            </w:r>
            <w:r>
              <w:rPr>
                <w:sz w:val="17"/>
                <w:szCs w:val="17"/>
                <w:lang w:val="en-US"/>
              </w:rPr>
              <w:t>,</w:t>
            </w:r>
            <w:r w:rsidRPr="009B5172">
              <w:rPr>
                <w:sz w:val="17"/>
                <w:szCs w:val="17"/>
                <w:lang w:val="en-US"/>
              </w:rPr>
              <w:t>8%</w:t>
            </w:r>
          </w:p>
        </w:tc>
        <w:tc>
          <w:tcPr>
            <w:tcW w:w="854"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76</w:t>
            </w:r>
            <w:r>
              <w:rPr>
                <w:sz w:val="17"/>
                <w:szCs w:val="17"/>
                <w:lang w:val="en-US"/>
              </w:rPr>
              <w:t>,</w:t>
            </w:r>
            <w:r w:rsidRPr="009B5172">
              <w:rPr>
                <w:sz w:val="17"/>
                <w:szCs w:val="17"/>
                <w:lang w:val="en-US"/>
              </w:rPr>
              <w:t>9%</w:t>
            </w:r>
          </w:p>
        </w:tc>
        <w:tc>
          <w:tcPr>
            <w:tcW w:w="846"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74</w:t>
            </w:r>
            <w:r>
              <w:rPr>
                <w:sz w:val="17"/>
                <w:szCs w:val="17"/>
                <w:lang w:val="en-US"/>
              </w:rPr>
              <w:t>,</w:t>
            </w:r>
            <w:r w:rsidRPr="009B5172">
              <w:rPr>
                <w:sz w:val="17"/>
                <w:szCs w:val="17"/>
                <w:lang w:val="en-US"/>
              </w:rPr>
              <w:t>2%</w:t>
            </w:r>
          </w:p>
        </w:tc>
      </w:tr>
      <w:tr w:rsidR="009C3279" w:rsidRPr="009B5172">
        <w:tc>
          <w:tcPr>
            <w:tcW w:w="2508" w:type="dxa"/>
            <w:gridSpan w:val="2"/>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en-US"/>
              </w:rPr>
            </w:pPr>
            <w:r w:rsidRPr="006F01A5">
              <w:rPr>
                <w:sz w:val="17"/>
                <w:szCs w:val="17"/>
                <w:lang w:val="es-ES_tradnl"/>
              </w:rPr>
              <w:t>Tasa de desempleo</w:t>
            </w:r>
          </w:p>
        </w:tc>
        <w:tc>
          <w:tcPr>
            <w:tcW w:w="795"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p>
        </w:tc>
        <w:tc>
          <w:tcPr>
            <w:tcW w:w="756"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p>
        </w:tc>
        <w:tc>
          <w:tcPr>
            <w:tcW w:w="792"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p>
        </w:tc>
        <w:tc>
          <w:tcPr>
            <w:tcW w:w="838"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p>
        </w:tc>
        <w:tc>
          <w:tcPr>
            <w:tcW w:w="782"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p>
        </w:tc>
        <w:tc>
          <w:tcPr>
            <w:tcW w:w="828"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p>
        </w:tc>
        <w:tc>
          <w:tcPr>
            <w:tcW w:w="854"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p>
        </w:tc>
        <w:tc>
          <w:tcPr>
            <w:tcW w:w="854"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p>
        </w:tc>
        <w:tc>
          <w:tcPr>
            <w:tcW w:w="846"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p>
        </w:tc>
      </w:tr>
      <w:tr w:rsidR="009C3279" w:rsidRPr="009B5172">
        <w:tc>
          <w:tcPr>
            <w:tcW w:w="1602" w:type="dxa"/>
            <w:shd w:val="clear" w:color="auto" w:fill="auto"/>
          </w:tcPr>
          <w:p w:rsidR="009C3279" w:rsidRPr="006F01A5"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es-ES_tradnl"/>
              </w:rPr>
            </w:pPr>
            <w:r w:rsidRPr="006F01A5">
              <w:rPr>
                <w:sz w:val="17"/>
                <w:szCs w:val="17"/>
                <w:lang w:val="es-ES_tradnl"/>
              </w:rPr>
              <w:t xml:space="preserve">Las Bahamas </w:t>
            </w:r>
          </w:p>
        </w:tc>
        <w:tc>
          <w:tcPr>
            <w:tcW w:w="906"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7</w:t>
            </w:r>
            <w:r>
              <w:rPr>
                <w:sz w:val="17"/>
                <w:szCs w:val="17"/>
                <w:lang w:val="en-US"/>
              </w:rPr>
              <w:t>,</w:t>
            </w:r>
            <w:r w:rsidRPr="009B5172">
              <w:rPr>
                <w:sz w:val="17"/>
                <w:szCs w:val="17"/>
                <w:lang w:val="en-US"/>
              </w:rPr>
              <w:t>8%</w:t>
            </w:r>
          </w:p>
        </w:tc>
        <w:tc>
          <w:tcPr>
            <w:tcW w:w="795"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6</w:t>
            </w:r>
            <w:r>
              <w:rPr>
                <w:sz w:val="17"/>
                <w:szCs w:val="17"/>
                <w:lang w:val="en-US"/>
              </w:rPr>
              <w:t>,</w:t>
            </w:r>
            <w:r w:rsidRPr="009B5172">
              <w:rPr>
                <w:sz w:val="17"/>
                <w:szCs w:val="17"/>
                <w:lang w:val="en-US"/>
              </w:rPr>
              <w:t>9%</w:t>
            </w:r>
          </w:p>
        </w:tc>
        <w:tc>
          <w:tcPr>
            <w:tcW w:w="756"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9</w:t>
            </w:r>
            <w:r>
              <w:rPr>
                <w:sz w:val="17"/>
                <w:szCs w:val="17"/>
                <w:lang w:val="en-US"/>
              </w:rPr>
              <w:t>,</w:t>
            </w:r>
            <w:r w:rsidRPr="009B5172">
              <w:rPr>
                <w:sz w:val="17"/>
                <w:szCs w:val="17"/>
                <w:lang w:val="en-US"/>
              </w:rPr>
              <w:t>1%</w:t>
            </w:r>
          </w:p>
        </w:tc>
        <w:tc>
          <w:tcPr>
            <w:tcW w:w="792"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10</w:t>
            </w:r>
            <w:r>
              <w:rPr>
                <w:sz w:val="17"/>
                <w:szCs w:val="17"/>
                <w:lang w:val="en-US"/>
              </w:rPr>
              <w:t>,</w:t>
            </w:r>
            <w:r w:rsidRPr="009B5172">
              <w:rPr>
                <w:sz w:val="17"/>
                <w:szCs w:val="17"/>
                <w:lang w:val="en-US"/>
              </w:rPr>
              <w:t>8%</w:t>
            </w:r>
          </w:p>
        </w:tc>
        <w:tc>
          <w:tcPr>
            <w:tcW w:w="838"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10</w:t>
            </w:r>
            <w:r>
              <w:rPr>
                <w:sz w:val="17"/>
                <w:szCs w:val="17"/>
                <w:lang w:val="en-US"/>
              </w:rPr>
              <w:t>,</w:t>
            </w:r>
            <w:r w:rsidRPr="009B5172">
              <w:rPr>
                <w:sz w:val="17"/>
                <w:szCs w:val="17"/>
                <w:lang w:val="en-US"/>
              </w:rPr>
              <w:t>2%</w:t>
            </w:r>
          </w:p>
        </w:tc>
        <w:tc>
          <w:tcPr>
            <w:tcW w:w="782"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10</w:t>
            </w:r>
            <w:r>
              <w:rPr>
                <w:sz w:val="17"/>
                <w:szCs w:val="17"/>
                <w:lang w:val="en-US"/>
              </w:rPr>
              <w:t>,</w:t>
            </w:r>
            <w:r w:rsidRPr="009B5172">
              <w:rPr>
                <w:sz w:val="17"/>
                <w:szCs w:val="17"/>
                <w:lang w:val="en-US"/>
              </w:rPr>
              <w:t>2%</w:t>
            </w:r>
          </w:p>
        </w:tc>
        <w:tc>
          <w:tcPr>
            <w:tcW w:w="828"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7</w:t>
            </w:r>
            <w:r>
              <w:rPr>
                <w:sz w:val="17"/>
                <w:szCs w:val="17"/>
                <w:lang w:val="en-US"/>
              </w:rPr>
              <w:t>,</w:t>
            </w:r>
            <w:r w:rsidRPr="009B5172">
              <w:rPr>
                <w:sz w:val="17"/>
                <w:szCs w:val="17"/>
                <w:lang w:val="en-US"/>
              </w:rPr>
              <w:t>6%</w:t>
            </w:r>
          </w:p>
        </w:tc>
        <w:tc>
          <w:tcPr>
            <w:tcW w:w="854"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7</w:t>
            </w:r>
            <w:r>
              <w:rPr>
                <w:sz w:val="17"/>
                <w:szCs w:val="17"/>
                <w:lang w:val="en-US"/>
              </w:rPr>
              <w:t>,</w:t>
            </w:r>
            <w:r w:rsidRPr="009B5172">
              <w:rPr>
                <w:sz w:val="17"/>
                <w:szCs w:val="17"/>
                <w:lang w:val="en-US"/>
              </w:rPr>
              <w:t>9%</w:t>
            </w:r>
          </w:p>
        </w:tc>
        <w:tc>
          <w:tcPr>
            <w:tcW w:w="854"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8</w:t>
            </w:r>
            <w:r>
              <w:rPr>
                <w:sz w:val="17"/>
                <w:szCs w:val="17"/>
                <w:lang w:val="en-US"/>
              </w:rPr>
              <w:t>,</w:t>
            </w:r>
            <w:r w:rsidRPr="009B5172">
              <w:rPr>
                <w:sz w:val="17"/>
                <w:szCs w:val="17"/>
                <w:lang w:val="en-US"/>
              </w:rPr>
              <w:t>7%</w:t>
            </w:r>
          </w:p>
        </w:tc>
        <w:tc>
          <w:tcPr>
            <w:tcW w:w="846"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14</w:t>
            </w:r>
            <w:r>
              <w:rPr>
                <w:sz w:val="17"/>
                <w:szCs w:val="17"/>
                <w:lang w:val="en-US"/>
              </w:rPr>
              <w:t>,</w:t>
            </w:r>
            <w:r w:rsidRPr="009B5172">
              <w:rPr>
                <w:sz w:val="17"/>
                <w:szCs w:val="17"/>
                <w:lang w:val="en-US"/>
              </w:rPr>
              <w:t>2%</w:t>
            </w:r>
          </w:p>
        </w:tc>
      </w:tr>
      <w:tr w:rsidR="009C3279" w:rsidRPr="009B5172">
        <w:tc>
          <w:tcPr>
            <w:tcW w:w="1602" w:type="dxa"/>
            <w:shd w:val="clear" w:color="auto" w:fill="auto"/>
          </w:tcPr>
          <w:p w:rsidR="009C3279" w:rsidRPr="006F01A5"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es-ES_tradnl"/>
              </w:rPr>
            </w:pPr>
            <w:r w:rsidRPr="006F01A5">
              <w:rPr>
                <w:sz w:val="17"/>
                <w:szCs w:val="17"/>
                <w:lang w:val="es-ES_tradnl"/>
              </w:rPr>
              <w:t xml:space="preserve">New Providence </w:t>
            </w:r>
          </w:p>
        </w:tc>
        <w:tc>
          <w:tcPr>
            <w:tcW w:w="906"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7</w:t>
            </w:r>
            <w:r>
              <w:rPr>
                <w:sz w:val="17"/>
                <w:szCs w:val="17"/>
                <w:lang w:val="en-US"/>
              </w:rPr>
              <w:t>,</w:t>
            </w:r>
            <w:r w:rsidRPr="009B5172">
              <w:rPr>
                <w:sz w:val="17"/>
                <w:szCs w:val="17"/>
                <w:lang w:val="en-US"/>
              </w:rPr>
              <w:t>8%</w:t>
            </w:r>
          </w:p>
        </w:tc>
        <w:tc>
          <w:tcPr>
            <w:tcW w:w="795"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6</w:t>
            </w:r>
            <w:r>
              <w:rPr>
                <w:sz w:val="17"/>
                <w:szCs w:val="17"/>
                <w:lang w:val="en-US"/>
              </w:rPr>
              <w:t>,</w:t>
            </w:r>
            <w:r w:rsidRPr="009B5172">
              <w:rPr>
                <w:sz w:val="17"/>
                <w:szCs w:val="17"/>
                <w:lang w:val="en-US"/>
              </w:rPr>
              <w:t>9%</w:t>
            </w:r>
          </w:p>
        </w:tc>
        <w:tc>
          <w:tcPr>
            <w:tcW w:w="756"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9</w:t>
            </w:r>
            <w:r>
              <w:rPr>
                <w:sz w:val="17"/>
                <w:szCs w:val="17"/>
                <w:lang w:val="en-US"/>
              </w:rPr>
              <w:t>,</w:t>
            </w:r>
            <w:r w:rsidRPr="009B5172">
              <w:rPr>
                <w:sz w:val="17"/>
                <w:szCs w:val="17"/>
                <w:lang w:val="en-US"/>
              </w:rPr>
              <w:t>6%</w:t>
            </w:r>
          </w:p>
        </w:tc>
        <w:tc>
          <w:tcPr>
            <w:tcW w:w="792"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11</w:t>
            </w:r>
            <w:r>
              <w:rPr>
                <w:sz w:val="17"/>
                <w:szCs w:val="17"/>
                <w:lang w:val="en-US"/>
              </w:rPr>
              <w:t>,</w:t>
            </w:r>
            <w:r w:rsidRPr="009B5172">
              <w:rPr>
                <w:sz w:val="17"/>
                <w:szCs w:val="17"/>
                <w:lang w:val="en-US"/>
              </w:rPr>
              <w:t>9%</w:t>
            </w:r>
          </w:p>
        </w:tc>
        <w:tc>
          <w:tcPr>
            <w:tcW w:w="838"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10</w:t>
            </w:r>
            <w:r>
              <w:rPr>
                <w:sz w:val="17"/>
                <w:szCs w:val="17"/>
                <w:lang w:val="en-US"/>
              </w:rPr>
              <w:t>,</w:t>
            </w:r>
            <w:r w:rsidRPr="009B5172">
              <w:rPr>
                <w:sz w:val="17"/>
                <w:szCs w:val="17"/>
                <w:lang w:val="en-US"/>
              </w:rPr>
              <w:t>9%</w:t>
            </w:r>
          </w:p>
        </w:tc>
        <w:tc>
          <w:tcPr>
            <w:tcW w:w="782"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10</w:t>
            </w:r>
            <w:r>
              <w:rPr>
                <w:sz w:val="17"/>
                <w:szCs w:val="17"/>
                <w:lang w:val="en-US"/>
              </w:rPr>
              <w:t>,</w:t>
            </w:r>
            <w:r w:rsidRPr="009B5172">
              <w:rPr>
                <w:sz w:val="17"/>
                <w:szCs w:val="17"/>
                <w:lang w:val="en-US"/>
              </w:rPr>
              <w:t>2%</w:t>
            </w:r>
          </w:p>
        </w:tc>
        <w:tc>
          <w:tcPr>
            <w:tcW w:w="828"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6</w:t>
            </w:r>
            <w:r>
              <w:rPr>
                <w:sz w:val="17"/>
                <w:szCs w:val="17"/>
                <w:lang w:val="en-US"/>
              </w:rPr>
              <w:t>,</w:t>
            </w:r>
            <w:r w:rsidRPr="009B5172">
              <w:rPr>
                <w:sz w:val="17"/>
                <w:szCs w:val="17"/>
                <w:lang w:val="en-US"/>
              </w:rPr>
              <w:t>7%</w:t>
            </w:r>
          </w:p>
        </w:tc>
        <w:tc>
          <w:tcPr>
            <w:tcW w:w="854"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8</w:t>
            </w:r>
            <w:r>
              <w:rPr>
                <w:sz w:val="17"/>
                <w:szCs w:val="17"/>
                <w:lang w:val="en-US"/>
              </w:rPr>
              <w:t>,</w:t>
            </w:r>
            <w:r w:rsidRPr="009B5172">
              <w:rPr>
                <w:sz w:val="17"/>
                <w:szCs w:val="17"/>
                <w:lang w:val="en-US"/>
              </w:rPr>
              <w:t>0%</w:t>
            </w:r>
          </w:p>
        </w:tc>
        <w:tc>
          <w:tcPr>
            <w:tcW w:w="854" w:type="dxa"/>
            <w:shd w:val="clear" w:color="auto" w:fill="auto"/>
            <w:vAlign w:val="bottom"/>
          </w:tcPr>
          <w:p w:rsidR="009C3279" w:rsidRPr="009B5172" w:rsidRDefault="009C3279" w:rsidP="009C327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8</w:t>
            </w:r>
            <w:r>
              <w:rPr>
                <w:sz w:val="17"/>
                <w:szCs w:val="17"/>
                <w:lang w:val="en-US"/>
              </w:rPr>
              <w:t>,</w:t>
            </w:r>
            <w:r w:rsidRPr="009B5172">
              <w:rPr>
                <w:sz w:val="17"/>
                <w:szCs w:val="17"/>
                <w:lang w:val="en-US"/>
              </w:rPr>
              <w:t>7%</w:t>
            </w:r>
          </w:p>
        </w:tc>
        <w:tc>
          <w:tcPr>
            <w:tcW w:w="846" w:type="dxa"/>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14</w:t>
            </w:r>
            <w:r>
              <w:rPr>
                <w:sz w:val="17"/>
                <w:szCs w:val="17"/>
                <w:lang w:val="en-US"/>
              </w:rPr>
              <w:t>,</w:t>
            </w:r>
            <w:r w:rsidRPr="009B5172">
              <w:rPr>
                <w:sz w:val="17"/>
                <w:szCs w:val="17"/>
                <w:lang w:val="en-US"/>
              </w:rPr>
              <w:t>0%</w:t>
            </w:r>
          </w:p>
        </w:tc>
      </w:tr>
      <w:tr w:rsidR="009C3279" w:rsidRPr="009B5172">
        <w:tc>
          <w:tcPr>
            <w:tcW w:w="1602" w:type="dxa"/>
            <w:tcBorders>
              <w:bottom w:val="single" w:sz="12" w:space="0" w:color="auto"/>
            </w:tcBorders>
            <w:shd w:val="clear" w:color="auto" w:fill="auto"/>
            <w:vAlign w:val="bottom"/>
          </w:tcPr>
          <w:p w:rsidR="009C3279" w:rsidRPr="006F01A5"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left"/>
              <w:rPr>
                <w:sz w:val="17"/>
                <w:szCs w:val="17"/>
                <w:lang w:val="es-ES_tradnl"/>
              </w:rPr>
            </w:pPr>
            <w:r w:rsidRPr="006F01A5">
              <w:rPr>
                <w:sz w:val="17"/>
                <w:szCs w:val="17"/>
                <w:lang w:val="es-ES_tradnl"/>
              </w:rPr>
              <w:t>Gran</w:t>
            </w:r>
            <w:r w:rsidR="006F5BC2">
              <w:rPr>
                <w:sz w:val="17"/>
                <w:szCs w:val="17"/>
                <w:lang w:val="es-ES_tradnl"/>
              </w:rPr>
              <w:t>d</w:t>
            </w:r>
            <w:r w:rsidRPr="006F01A5">
              <w:rPr>
                <w:sz w:val="17"/>
                <w:szCs w:val="17"/>
                <w:lang w:val="es-ES_tradnl"/>
              </w:rPr>
              <w:t xml:space="preserve"> Bahama </w:t>
            </w:r>
          </w:p>
        </w:tc>
        <w:tc>
          <w:tcPr>
            <w:tcW w:w="906" w:type="dxa"/>
            <w:tcBorders>
              <w:bottom w:val="single" w:sz="12" w:space="0" w:color="auto"/>
            </w:tcBorders>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sz w:val="17"/>
                <w:szCs w:val="17"/>
                <w:lang w:val="en-US"/>
              </w:rPr>
            </w:pPr>
            <w:r w:rsidRPr="009B5172">
              <w:rPr>
                <w:sz w:val="17"/>
                <w:szCs w:val="17"/>
                <w:lang w:val="en-US"/>
              </w:rPr>
              <w:t>9</w:t>
            </w:r>
            <w:r>
              <w:rPr>
                <w:sz w:val="17"/>
                <w:szCs w:val="17"/>
                <w:lang w:val="en-US"/>
              </w:rPr>
              <w:t>,</w:t>
            </w:r>
            <w:r w:rsidRPr="009B5172">
              <w:rPr>
                <w:sz w:val="17"/>
                <w:szCs w:val="17"/>
                <w:lang w:val="en-US"/>
              </w:rPr>
              <w:t>5%</w:t>
            </w:r>
          </w:p>
        </w:tc>
        <w:tc>
          <w:tcPr>
            <w:tcW w:w="795" w:type="dxa"/>
            <w:tcBorders>
              <w:bottom w:val="single" w:sz="12" w:space="0" w:color="auto"/>
            </w:tcBorders>
            <w:shd w:val="clear" w:color="auto" w:fill="auto"/>
            <w:vAlign w:val="bottom"/>
          </w:tcPr>
          <w:p w:rsidR="009C3279" w:rsidRPr="009B5172" w:rsidRDefault="009C3279" w:rsidP="009C3279">
            <w:pPr>
              <w:tabs>
                <w:tab w:val="left" w:pos="288"/>
                <w:tab w:val="left" w:pos="576"/>
                <w:tab w:val="left" w:pos="864"/>
                <w:tab w:val="left" w:pos="1152"/>
              </w:tabs>
              <w:spacing w:before="40" w:after="80" w:line="210" w:lineRule="exact"/>
              <w:ind w:right="43"/>
              <w:jc w:val="right"/>
              <w:rPr>
                <w:sz w:val="17"/>
                <w:szCs w:val="17"/>
                <w:lang w:val="en-US"/>
              </w:rPr>
            </w:pPr>
            <w:r w:rsidRPr="009B5172">
              <w:rPr>
                <w:sz w:val="17"/>
                <w:szCs w:val="17"/>
                <w:lang w:val="en-US"/>
              </w:rPr>
              <w:t>6</w:t>
            </w:r>
            <w:r>
              <w:rPr>
                <w:sz w:val="17"/>
                <w:szCs w:val="17"/>
                <w:lang w:val="en-US"/>
              </w:rPr>
              <w:t>,</w:t>
            </w:r>
            <w:r w:rsidRPr="009B5172">
              <w:rPr>
                <w:sz w:val="17"/>
                <w:szCs w:val="17"/>
                <w:lang w:val="en-US"/>
              </w:rPr>
              <w:t>8%</w:t>
            </w:r>
          </w:p>
        </w:tc>
        <w:tc>
          <w:tcPr>
            <w:tcW w:w="756" w:type="dxa"/>
            <w:tcBorders>
              <w:bottom w:val="single" w:sz="12" w:space="0" w:color="auto"/>
            </w:tcBorders>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sz w:val="17"/>
                <w:szCs w:val="17"/>
                <w:lang w:val="en-US"/>
              </w:rPr>
            </w:pPr>
            <w:r w:rsidRPr="009B5172">
              <w:rPr>
                <w:sz w:val="17"/>
                <w:szCs w:val="17"/>
                <w:lang w:val="en-US"/>
              </w:rPr>
              <w:t>6</w:t>
            </w:r>
            <w:r>
              <w:rPr>
                <w:sz w:val="17"/>
                <w:szCs w:val="17"/>
                <w:lang w:val="en-US"/>
              </w:rPr>
              <w:t>,</w:t>
            </w:r>
            <w:r w:rsidRPr="009B5172">
              <w:rPr>
                <w:sz w:val="17"/>
                <w:szCs w:val="17"/>
                <w:lang w:val="en-US"/>
              </w:rPr>
              <w:t>4%</w:t>
            </w:r>
          </w:p>
        </w:tc>
        <w:tc>
          <w:tcPr>
            <w:tcW w:w="792" w:type="dxa"/>
            <w:tcBorders>
              <w:bottom w:val="single" w:sz="12" w:space="0" w:color="auto"/>
            </w:tcBorders>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sz w:val="17"/>
                <w:szCs w:val="17"/>
                <w:lang w:val="en-US"/>
              </w:rPr>
            </w:pPr>
            <w:r w:rsidRPr="009B5172">
              <w:rPr>
                <w:sz w:val="17"/>
                <w:szCs w:val="17"/>
                <w:lang w:val="en-US"/>
              </w:rPr>
              <w:t>8</w:t>
            </w:r>
            <w:r>
              <w:rPr>
                <w:sz w:val="17"/>
                <w:szCs w:val="17"/>
                <w:lang w:val="en-US"/>
              </w:rPr>
              <w:t>,</w:t>
            </w:r>
            <w:r w:rsidRPr="009B5172">
              <w:rPr>
                <w:sz w:val="17"/>
                <w:szCs w:val="17"/>
                <w:lang w:val="en-US"/>
              </w:rPr>
              <w:t>7%</w:t>
            </w:r>
          </w:p>
        </w:tc>
        <w:tc>
          <w:tcPr>
            <w:tcW w:w="838" w:type="dxa"/>
            <w:tcBorders>
              <w:bottom w:val="single" w:sz="12" w:space="0" w:color="auto"/>
            </w:tcBorders>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sz w:val="17"/>
                <w:szCs w:val="17"/>
                <w:lang w:val="en-US"/>
              </w:rPr>
            </w:pPr>
            <w:r w:rsidRPr="009B5172">
              <w:rPr>
                <w:sz w:val="17"/>
                <w:szCs w:val="17"/>
                <w:lang w:val="en-US"/>
              </w:rPr>
              <w:t>9</w:t>
            </w:r>
            <w:r>
              <w:rPr>
                <w:sz w:val="17"/>
                <w:szCs w:val="17"/>
                <w:lang w:val="en-US"/>
              </w:rPr>
              <w:t>,</w:t>
            </w:r>
            <w:r w:rsidRPr="009B5172">
              <w:rPr>
                <w:sz w:val="17"/>
                <w:szCs w:val="17"/>
                <w:lang w:val="en-US"/>
              </w:rPr>
              <w:t>3%</w:t>
            </w:r>
          </w:p>
        </w:tc>
        <w:tc>
          <w:tcPr>
            <w:tcW w:w="782" w:type="dxa"/>
            <w:tcBorders>
              <w:bottom w:val="single" w:sz="12" w:space="0" w:color="auto"/>
            </w:tcBorders>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sz w:val="17"/>
                <w:szCs w:val="17"/>
                <w:lang w:val="en-US"/>
              </w:rPr>
            </w:pPr>
            <w:r w:rsidRPr="009B5172">
              <w:rPr>
                <w:sz w:val="17"/>
                <w:szCs w:val="17"/>
                <w:lang w:val="en-US"/>
              </w:rPr>
              <w:t>11</w:t>
            </w:r>
            <w:r>
              <w:rPr>
                <w:sz w:val="17"/>
                <w:szCs w:val="17"/>
                <w:lang w:val="en-US"/>
              </w:rPr>
              <w:t>,</w:t>
            </w:r>
            <w:r w:rsidRPr="009B5172">
              <w:rPr>
                <w:sz w:val="17"/>
                <w:szCs w:val="17"/>
                <w:lang w:val="en-US"/>
              </w:rPr>
              <w:t>0%</w:t>
            </w:r>
          </w:p>
        </w:tc>
        <w:tc>
          <w:tcPr>
            <w:tcW w:w="828" w:type="dxa"/>
            <w:tcBorders>
              <w:bottom w:val="single" w:sz="12" w:space="0" w:color="auto"/>
            </w:tcBorders>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sz w:val="17"/>
                <w:szCs w:val="17"/>
                <w:lang w:val="en-US"/>
              </w:rPr>
            </w:pPr>
            <w:r w:rsidRPr="009B5172">
              <w:rPr>
                <w:sz w:val="17"/>
                <w:szCs w:val="17"/>
                <w:lang w:val="en-US"/>
              </w:rPr>
              <w:t>8</w:t>
            </w:r>
            <w:r>
              <w:rPr>
                <w:sz w:val="17"/>
                <w:szCs w:val="17"/>
                <w:lang w:val="en-US"/>
              </w:rPr>
              <w:t>,</w:t>
            </w:r>
            <w:r w:rsidRPr="009B5172">
              <w:rPr>
                <w:sz w:val="17"/>
                <w:szCs w:val="17"/>
                <w:lang w:val="en-US"/>
              </w:rPr>
              <w:t>3%</w:t>
            </w:r>
          </w:p>
        </w:tc>
        <w:tc>
          <w:tcPr>
            <w:tcW w:w="854" w:type="dxa"/>
            <w:tcBorders>
              <w:bottom w:val="single" w:sz="12" w:space="0" w:color="auto"/>
            </w:tcBorders>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sz w:val="17"/>
                <w:szCs w:val="17"/>
                <w:lang w:val="en-US"/>
              </w:rPr>
            </w:pPr>
            <w:r w:rsidRPr="009B5172">
              <w:rPr>
                <w:sz w:val="17"/>
                <w:szCs w:val="17"/>
                <w:lang w:val="en-US"/>
              </w:rPr>
              <w:t>8</w:t>
            </w:r>
            <w:r>
              <w:rPr>
                <w:sz w:val="17"/>
                <w:szCs w:val="17"/>
                <w:lang w:val="en-US"/>
              </w:rPr>
              <w:t>,</w:t>
            </w:r>
            <w:r w:rsidRPr="009B5172">
              <w:rPr>
                <w:sz w:val="17"/>
                <w:szCs w:val="17"/>
                <w:lang w:val="en-US"/>
              </w:rPr>
              <w:t>8%</w:t>
            </w:r>
          </w:p>
        </w:tc>
        <w:tc>
          <w:tcPr>
            <w:tcW w:w="854" w:type="dxa"/>
            <w:tcBorders>
              <w:bottom w:val="single" w:sz="12" w:space="0" w:color="auto"/>
            </w:tcBorders>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sz w:val="17"/>
                <w:szCs w:val="17"/>
                <w:lang w:val="en-US"/>
              </w:rPr>
            </w:pPr>
            <w:r w:rsidRPr="009B5172">
              <w:rPr>
                <w:sz w:val="17"/>
                <w:szCs w:val="17"/>
                <w:lang w:val="en-US"/>
              </w:rPr>
              <w:t>9</w:t>
            </w:r>
            <w:r>
              <w:rPr>
                <w:sz w:val="17"/>
                <w:szCs w:val="17"/>
                <w:lang w:val="en-US"/>
              </w:rPr>
              <w:t>,</w:t>
            </w:r>
            <w:r w:rsidRPr="009B5172">
              <w:rPr>
                <w:sz w:val="17"/>
                <w:szCs w:val="17"/>
                <w:lang w:val="en-US"/>
              </w:rPr>
              <w:t>0%</w:t>
            </w:r>
          </w:p>
        </w:tc>
        <w:tc>
          <w:tcPr>
            <w:tcW w:w="846" w:type="dxa"/>
            <w:tcBorders>
              <w:bottom w:val="single" w:sz="12" w:space="0" w:color="auto"/>
            </w:tcBorders>
            <w:shd w:val="clear" w:color="auto" w:fill="auto"/>
            <w:vAlign w:val="bottom"/>
          </w:tcPr>
          <w:p w:rsidR="009C3279" w:rsidRPr="009B5172" w:rsidRDefault="009C3279" w:rsidP="009C32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sz w:val="17"/>
                <w:szCs w:val="17"/>
                <w:lang w:val="en-US"/>
              </w:rPr>
            </w:pPr>
            <w:r w:rsidRPr="009B5172">
              <w:rPr>
                <w:sz w:val="17"/>
                <w:szCs w:val="17"/>
                <w:lang w:val="en-US"/>
              </w:rPr>
              <w:t>17</w:t>
            </w:r>
            <w:r>
              <w:rPr>
                <w:sz w:val="17"/>
                <w:szCs w:val="17"/>
                <w:lang w:val="en-US"/>
              </w:rPr>
              <w:t>,</w:t>
            </w:r>
            <w:r w:rsidRPr="009B5172">
              <w:rPr>
                <w:sz w:val="17"/>
                <w:szCs w:val="17"/>
                <w:lang w:val="en-US"/>
              </w:rPr>
              <w:t>4%</w:t>
            </w:r>
          </w:p>
        </w:tc>
      </w:tr>
    </w:tbl>
    <w:p w:rsidR="009C3279" w:rsidRPr="009C3279" w:rsidRDefault="009C3279" w:rsidP="009C3279">
      <w:pPr>
        <w:pStyle w:val="SingleTxt"/>
        <w:spacing w:after="0" w:line="120" w:lineRule="exact"/>
        <w:rPr>
          <w:sz w:val="10"/>
          <w:lang w:val="es-ES_tradnl"/>
        </w:rPr>
      </w:pPr>
    </w:p>
    <w:p w:rsidR="009C3279" w:rsidRPr="004669C4" w:rsidRDefault="00701035" w:rsidP="00701035">
      <w:pPr>
        <w:pStyle w:val="FootnoteText"/>
        <w:tabs>
          <w:tab w:val="clear" w:pos="418"/>
          <w:tab w:val="right" w:pos="216"/>
          <w:tab w:val="left" w:pos="288"/>
          <w:tab w:val="right" w:pos="576"/>
          <w:tab w:val="left" w:pos="648"/>
        </w:tabs>
        <w:ind w:left="288" w:hanging="288"/>
        <w:rPr>
          <w:lang w:val="es-ES_tradnl"/>
        </w:rPr>
      </w:pPr>
      <w:r>
        <w:rPr>
          <w:i/>
          <w:lang w:val="es-ES_tradnl"/>
        </w:rPr>
        <w:tab/>
      </w:r>
      <w:r w:rsidR="009C3279" w:rsidRPr="006F01A5">
        <w:rPr>
          <w:i/>
          <w:lang w:val="es-ES_tradnl"/>
        </w:rPr>
        <w:t>Fuente</w:t>
      </w:r>
      <w:r w:rsidR="009C3279" w:rsidRPr="004669C4">
        <w:rPr>
          <w:lang w:val="es-ES_tradnl"/>
        </w:rPr>
        <w:t>: Departamento de Estadística.</w:t>
      </w:r>
    </w:p>
    <w:p w:rsidR="009C3279" w:rsidRPr="009C3279" w:rsidRDefault="009C3279" w:rsidP="009C3279">
      <w:pPr>
        <w:pStyle w:val="SingleTxt"/>
        <w:spacing w:after="0" w:line="120" w:lineRule="exact"/>
        <w:rPr>
          <w:sz w:val="10"/>
          <w:lang w:val="es-ES_tradnl"/>
        </w:rPr>
      </w:pPr>
    </w:p>
    <w:p w:rsidR="009C3279" w:rsidRPr="004669C4" w:rsidRDefault="00701035" w:rsidP="00701035">
      <w:pPr>
        <w:pStyle w:val="FootnoteText"/>
        <w:tabs>
          <w:tab w:val="clear" w:pos="418"/>
          <w:tab w:val="right" w:pos="216"/>
          <w:tab w:val="left" w:pos="288"/>
          <w:tab w:val="right" w:pos="576"/>
          <w:tab w:val="left" w:pos="648"/>
        </w:tabs>
        <w:ind w:left="288" w:hanging="288"/>
        <w:rPr>
          <w:lang w:val="es-ES_tradnl"/>
        </w:rPr>
      </w:pPr>
      <w:r>
        <w:rPr>
          <w:i/>
          <w:lang w:val="es-ES_tradnl"/>
        </w:rPr>
        <w:tab/>
      </w:r>
      <w:r w:rsidR="009C3279" w:rsidRPr="006F01A5">
        <w:rPr>
          <w:i/>
          <w:lang w:val="es-ES_tradnl"/>
        </w:rPr>
        <w:t>Nota</w:t>
      </w:r>
      <w:r w:rsidR="009C3279">
        <w:rPr>
          <w:lang w:val="es-ES_tradnl"/>
        </w:rPr>
        <w:t xml:space="preserve">: </w:t>
      </w:r>
      <w:r w:rsidR="009C3279" w:rsidRPr="004669C4">
        <w:rPr>
          <w:lang w:val="es-ES_tradnl"/>
        </w:rPr>
        <w:t>No se dispone de datos sobre la fuerza de trabajo en 2000, ya que fue un año censal. El censo es un importante proyecto nacional, por lo que el Departamento de Estadística no emprende durante ese año ningún otro estudio sobre los hogares.</w:t>
      </w:r>
    </w:p>
    <w:p w:rsidR="009C3279" w:rsidRPr="009C3279" w:rsidRDefault="009C3279" w:rsidP="009C3279">
      <w:pPr>
        <w:pStyle w:val="SingleTxt"/>
        <w:spacing w:after="0" w:line="120" w:lineRule="exact"/>
        <w:rPr>
          <w:sz w:val="10"/>
          <w:lang w:val="es-ES_tradnl"/>
        </w:rPr>
      </w:pPr>
    </w:p>
    <w:p w:rsidR="009C3279" w:rsidRPr="009C3279" w:rsidRDefault="009C3279" w:rsidP="009C3279">
      <w:pPr>
        <w:pStyle w:val="SingleTxt"/>
        <w:spacing w:after="0" w:line="120" w:lineRule="exact"/>
        <w:rPr>
          <w:sz w:val="10"/>
          <w:lang w:val="es-ES_tradnl"/>
        </w:rPr>
      </w:pPr>
    </w:p>
    <w:p w:rsidR="009C3279" w:rsidRPr="009C3279" w:rsidRDefault="009C3279" w:rsidP="009C3279">
      <w:pPr>
        <w:pStyle w:val="SingleTxt"/>
        <w:spacing w:after="0" w:line="120" w:lineRule="exact"/>
        <w:rPr>
          <w:sz w:val="10"/>
          <w:lang w:val="es-ES_tradnl"/>
        </w:rPr>
      </w:pPr>
    </w:p>
    <w:p w:rsidR="009C3279" w:rsidRPr="004669C4" w:rsidRDefault="009C3279" w:rsidP="009C327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Pr>
          <w:lang w:val="es-ES_tradnl"/>
        </w:rPr>
        <w:tab/>
        <w:t>X.</w:t>
      </w:r>
      <w:r>
        <w:rPr>
          <w:lang w:val="es-ES_tradnl"/>
        </w:rPr>
        <w:tab/>
      </w:r>
      <w:r w:rsidRPr="004669C4">
        <w:rPr>
          <w:lang w:val="es-ES_tradnl"/>
        </w:rPr>
        <w:t>Organización Internacional para las Migraciones</w:t>
      </w:r>
    </w:p>
    <w:p w:rsidR="009C3279" w:rsidRPr="009C3279" w:rsidRDefault="009C3279" w:rsidP="009C3279">
      <w:pPr>
        <w:pStyle w:val="SingleTxt"/>
        <w:spacing w:after="0" w:line="120" w:lineRule="exact"/>
        <w:rPr>
          <w:sz w:val="10"/>
          <w:lang w:val="es-ES_tradnl"/>
        </w:rPr>
      </w:pPr>
    </w:p>
    <w:p w:rsidR="009C3279" w:rsidRPr="009C3279" w:rsidRDefault="009C3279" w:rsidP="009C3279">
      <w:pPr>
        <w:pStyle w:val="SingleTxt"/>
        <w:spacing w:after="0" w:line="120" w:lineRule="exact"/>
        <w:rPr>
          <w:sz w:val="10"/>
          <w:lang w:val="es-ES_tradnl"/>
        </w:rPr>
      </w:pPr>
    </w:p>
    <w:p w:rsidR="009C3279" w:rsidRPr="004669C4" w:rsidRDefault="009C3279" w:rsidP="009C3279">
      <w:pPr>
        <w:pStyle w:val="SingleTxt"/>
        <w:numPr>
          <w:ilvl w:val="0"/>
          <w:numId w:val="11"/>
        </w:numPr>
        <w:tabs>
          <w:tab w:val="clear" w:pos="475"/>
          <w:tab w:val="num" w:pos="1742"/>
        </w:tabs>
        <w:ind w:left="1267"/>
        <w:rPr>
          <w:lang w:val="es-ES_tradnl"/>
        </w:rPr>
      </w:pPr>
      <w:r w:rsidRPr="004669C4">
        <w:rPr>
          <w:lang w:val="es-ES_tradnl"/>
        </w:rPr>
        <w:t>En los últimos años, las Bahamas han demostrado su compromiso de abordar la situación de los migrantes, especialmente entre los grupos de población vulnerables, y han buscado respuestas prácticas y duraderas a los complejos retos de la migración mediante su participación activa en diversos programas, facilitados en general por la Organización Int</w:t>
      </w:r>
      <w:r>
        <w:rPr>
          <w:lang w:val="es-ES_tradnl"/>
        </w:rPr>
        <w:t>ernacional para las Migraciones (OIM) como se expone a continuación.</w:t>
      </w:r>
    </w:p>
    <w:p w:rsidR="009C3279" w:rsidRPr="004669C4" w:rsidRDefault="009C3279" w:rsidP="009C3279">
      <w:pPr>
        <w:pStyle w:val="SingleTxt"/>
        <w:numPr>
          <w:ilvl w:val="0"/>
          <w:numId w:val="11"/>
        </w:numPr>
        <w:tabs>
          <w:tab w:val="clear" w:pos="475"/>
          <w:tab w:val="num" w:pos="1742"/>
        </w:tabs>
        <w:ind w:left="1267"/>
        <w:rPr>
          <w:lang w:val="es-ES_tradnl"/>
        </w:rPr>
      </w:pPr>
      <w:r w:rsidRPr="004669C4">
        <w:rPr>
          <w:lang w:val="es-ES_tradnl"/>
        </w:rPr>
        <w:t xml:space="preserve">Las Bahamas participaron en los siguientes actos patrocinados por la OIM: </w:t>
      </w:r>
      <w:r>
        <w:rPr>
          <w:lang w:val="es-ES_tradnl"/>
        </w:rPr>
        <w:t xml:space="preserve">el </w:t>
      </w:r>
      <w:r w:rsidRPr="004669C4">
        <w:rPr>
          <w:lang w:val="es-ES_tradnl"/>
        </w:rPr>
        <w:t xml:space="preserve">octavo seminario de la región del Caribe, celebrado del 16 al 20 de noviembre de 2008 en Santa Lucía; </w:t>
      </w:r>
      <w:r>
        <w:rPr>
          <w:lang w:val="es-ES_tradnl"/>
        </w:rPr>
        <w:t xml:space="preserve">la </w:t>
      </w:r>
      <w:r w:rsidRPr="004669C4">
        <w:rPr>
          <w:lang w:val="es-ES_tradnl"/>
        </w:rPr>
        <w:t xml:space="preserve">segunda reunión de autoridades nacionales sobre trata de personas, celebrada del 25 al 29 de marzo de 2009 en Buenos Aires; </w:t>
      </w:r>
      <w:r>
        <w:rPr>
          <w:lang w:val="es-ES_tradnl"/>
        </w:rPr>
        <w:t xml:space="preserve">el </w:t>
      </w:r>
      <w:r w:rsidRPr="004669C4">
        <w:rPr>
          <w:lang w:val="es-ES_tradnl"/>
        </w:rPr>
        <w:t xml:space="preserve">cuarto seminario transfronterizo </w:t>
      </w:r>
      <w:r>
        <w:rPr>
          <w:lang w:val="es-ES_tradnl"/>
        </w:rPr>
        <w:t xml:space="preserve">titulado </w:t>
      </w:r>
      <w:r w:rsidRPr="004669C4">
        <w:rPr>
          <w:lang w:val="es-ES_tradnl"/>
        </w:rPr>
        <w:t xml:space="preserve">“El sistema de producción de pasaportes personalizados: recopilación de datos”, celebrado en Puerto Príncipe el 12 de noviembre de 2009; </w:t>
      </w:r>
      <w:r>
        <w:rPr>
          <w:lang w:val="es-ES_tradnl"/>
        </w:rPr>
        <w:t xml:space="preserve">el </w:t>
      </w:r>
      <w:r w:rsidRPr="004669C4">
        <w:rPr>
          <w:lang w:val="es-ES_tradnl"/>
        </w:rPr>
        <w:t xml:space="preserve">octavo seminario anual de la región del Caribe sobre migración, celebrado del 7 al 9 de diciembre de 2009 en Antigua y Barbuda; y </w:t>
      </w:r>
      <w:r>
        <w:rPr>
          <w:lang w:val="es-ES_tradnl"/>
        </w:rPr>
        <w:t xml:space="preserve">la </w:t>
      </w:r>
      <w:r w:rsidRPr="004669C4">
        <w:rPr>
          <w:lang w:val="es-ES_tradnl"/>
        </w:rPr>
        <w:t>cuarta reunión del Foro Mundial sobre Migración y Desarrollo, celebrada del 8 al 11 de noviembre de 2010 en México.</w:t>
      </w:r>
    </w:p>
    <w:p w:rsidR="009C3279" w:rsidRPr="004669C4" w:rsidRDefault="009C3279" w:rsidP="009C3279">
      <w:pPr>
        <w:pStyle w:val="SingleTxt"/>
        <w:numPr>
          <w:ilvl w:val="0"/>
          <w:numId w:val="11"/>
        </w:numPr>
        <w:tabs>
          <w:tab w:val="clear" w:pos="475"/>
          <w:tab w:val="num" w:pos="1742"/>
        </w:tabs>
        <w:ind w:left="1267"/>
        <w:rPr>
          <w:lang w:val="es-ES_tradnl"/>
        </w:rPr>
      </w:pPr>
      <w:r w:rsidRPr="004669C4">
        <w:rPr>
          <w:lang w:val="es-ES_tradnl"/>
        </w:rPr>
        <w:t xml:space="preserve">En 2009, la OIM, en el marco de su programa de asistencia técnica en el ámbito de la migración, se ofreció a prestar asistencia para recopilar información sobre los efectos positivos y negativos de la migración infantil en la región del Caribe, facilitando a la vez el debate y la cooperación con objeto de entender mejor el problema y formular políticas que respondan a él. Ello se tradujo en la convocatoria de dos períodos de sesiones del Grupo de Expertos sobre </w:t>
      </w:r>
      <w:r>
        <w:rPr>
          <w:lang w:val="es-ES_tradnl"/>
        </w:rPr>
        <w:t>m</w:t>
      </w:r>
      <w:r w:rsidRPr="004669C4">
        <w:rPr>
          <w:lang w:val="es-ES_tradnl"/>
        </w:rPr>
        <w:t xml:space="preserve">igración infantil en el Caribe, celebrados los días 24 y 25 de junio de 2009 en Barbados y los días 9 y 10 de septiembre de 2009 en Georgetown (Guyana), en </w:t>
      </w:r>
      <w:r>
        <w:rPr>
          <w:lang w:val="es-ES_tradnl"/>
        </w:rPr>
        <w:t xml:space="preserve">los </w:t>
      </w:r>
      <w:r w:rsidRPr="004669C4">
        <w:rPr>
          <w:lang w:val="es-ES_tradnl"/>
        </w:rPr>
        <w:t>que los Estados miembros de la Comunidad del Caribe, incluidas las Bahamas, intercambiaron experiencias prácticas, determinaron cuáles eran los puntos fuertes y débiles y formularon propuestas en relación con la migración infantil en el Caribe.</w:t>
      </w:r>
    </w:p>
    <w:p w:rsidR="009C3279" w:rsidRPr="004669C4" w:rsidRDefault="009C3279" w:rsidP="009C3279">
      <w:pPr>
        <w:pStyle w:val="SingleTxt"/>
        <w:numPr>
          <w:ilvl w:val="0"/>
          <w:numId w:val="11"/>
        </w:numPr>
        <w:tabs>
          <w:tab w:val="clear" w:pos="475"/>
          <w:tab w:val="num" w:pos="1742"/>
        </w:tabs>
        <w:ind w:left="1267"/>
        <w:rPr>
          <w:lang w:val="es-ES_tradnl"/>
        </w:rPr>
      </w:pPr>
      <w:r w:rsidRPr="004669C4">
        <w:rPr>
          <w:lang w:val="es-ES_tradnl"/>
        </w:rPr>
        <w:t>A juicio de las Bahamas, su participación en estos seminarios y períodos de sesiones de la OIM aportar</w:t>
      </w:r>
      <w:r>
        <w:rPr>
          <w:lang w:val="es-ES_tradnl"/>
        </w:rPr>
        <w:t>á</w:t>
      </w:r>
      <w:r w:rsidRPr="004669C4">
        <w:rPr>
          <w:lang w:val="es-ES_tradnl"/>
        </w:rPr>
        <w:t xml:space="preserve"> contribuciones duraderas a sus intentos por afrontar los complejos desafíos de la mig</w:t>
      </w:r>
      <w:r>
        <w:rPr>
          <w:lang w:val="es-ES_tradnl"/>
        </w:rPr>
        <w:t>ración y, en general, reforzará</w:t>
      </w:r>
      <w:r w:rsidRPr="004669C4">
        <w:rPr>
          <w:lang w:val="es-ES_tradnl"/>
        </w:rPr>
        <w:t xml:space="preserve"> la cooperación regional para encarar los problemas que plantean la gestión de la migración y la seguridad fronteriza en la región del Caribe.</w:t>
      </w:r>
    </w:p>
    <w:p w:rsidR="009C3279" w:rsidRPr="004669C4" w:rsidRDefault="009C3279" w:rsidP="009C3279">
      <w:pPr>
        <w:pStyle w:val="SingleTxt"/>
        <w:numPr>
          <w:ilvl w:val="0"/>
          <w:numId w:val="11"/>
        </w:numPr>
        <w:tabs>
          <w:tab w:val="clear" w:pos="475"/>
          <w:tab w:val="num" w:pos="1742"/>
        </w:tabs>
        <w:ind w:left="1267"/>
        <w:rPr>
          <w:lang w:val="es-ES_tradnl"/>
        </w:rPr>
      </w:pPr>
      <w:r w:rsidRPr="004669C4">
        <w:rPr>
          <w:lang w:val="es-ES_tradnl"/>
        </w:rPr>
        <w:t xml:space="preserve">En marzo de 2009, las Bahamas convinieron en participar en un proyecto piloto de un año de duración sobre la repatriación al país de los delincuentes deportados. El objetivo general del proyecto de la OIM, financiado por el Gobierno de los Estados Unidos, era contribuir a la reintegración a largo plazo de los repatriados de los Estados Unidos. El proyecto, que </w:t>
      </w:r>
      <w:r>
        <w:rPr>
          <w:lang w:val="es-ES_tradnl"/>
        </w:rPr>
        <w:t xml:space="preserve">requirió </w:t>
      </w:r>
      <w:r w:rsidRPr="004669C4">
        <w:rPr>
          <w:lang w:val="es-ES_tradnl"/>
        </w:rPr>
        <w:t xml:space="preserve">apoyo y colaboración a nivel interinstitucional, facilitó la reintegración de unos 75 repatriados en la sociedad bahameña mediante la prestación de orientación a su llegada, asistencia posterior y capacitación en la creación </w:t>
      </w:r>
      <w:r>
        <w:rPr>
          <w:lang w:val="es-ES_tradnl"/>
        </w:rPr>
        <w:t xml:space="preserve">de pequeñas empresas y la </w:t>
      </w:r>
      <w:r w:rsidRPr="004669C4">
        <w:rPr>
          <w:lang w:val="es-ES_tradnl"/>
        </w:rPr>
        <w:t>administración de empresas, entre otras cosas.</w:t>
      </w:r>
    </w:p>
    <w:p w:rsidR="00FD7240" w:rsidRPr="00FD7240" w:rsidRDefault="00FD7240" w:rsidP="00FD7240">
      <w:pPr>
        <w:pStyle w:val="SingleTxt"/>
        <w:spacing w:after="0" w:line="120" w:lineRule="exact"/>
        <w:rPr>
          <w:sz w:val="10"/>
          <w:lang w:val="es-ES_tradnl"/>
        </w:rPr>
      </w:pPr>
    </w:p>
    <w:p w:rsidR="009C3279" w:rsidRPr="009C3279" w:rsidRDefault="009C3279" w:rsidP="009C3279">
      <w:pPr>
        <w:pStyle w:val="SingleTxt"/>
        <w:spacing w:after="0" w:line="120" w:lineRule="exact"/>
        <w:rPr>
          <w:sz w:val="10"/>
          <w:lang w:val="es-ES_tradnl"/>
        </w:rPr>
      </w:pPr>
    </w:p>
    <w:p w:rsidR="009C3279" w:rsidRPr="004669C4" w:rsidRDefault="009C3279" w:rsidP="00FD724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FD7240">
        <w:rPr>
          <w:lang w:val="es-ES_tradnl"/>
        </w:rPr>
        <w:t>X</w:t>
      </w:r>
      <w:r w:rsidR="00CE5D7C">
        <w:rPr>
          <w:lang w:val="es-ES_tradnl"/>
        </w:rPr>
        <w:t>I</w:t>
      </w:r>
      <w:r w:rsidR="00FD7240">
        <w:rPr>
          <w:lang w:val="es-ES_tradnl"/>
        </w:rPr>
        <w:t>.</w:t>
      </w:r>
      <w:r>
        <w:rPr>
          <w:lang w:val="es-ES_tradnl"/>
        </w:rPr>
        <w:tab/>
      </w:r>
      <w:r w:rsidRPr="004669C4">
        <w:rPr>
          <w:lang w:val="es-ES_tradnl"/>
        </w:rPr>
        <w:t>Índice de desarrollo humano de las Naciones Unidas</w:t>
      </w:r>
    </w:p>
    <w:p w:rsidR="00FD7240" w:rsidRPr="00FD7240" w:rsidRDefault="00FD7240" w:rsidP="00FD7240">
      <w:pPr>
        <w:pStyle w:val="SingleTxt"/>
        <w:spacing w:after="0" w:line="120" w:lineRule="exact"/>
        <w:rPr>
          <w:sz w:val="10"/>
          <w:lang w:val="es-ES_tradnl"/>
        </w:rPr>
      </w:pPr>
    </w:p>
    <w:p w:rsidR="009C3279" w:rsidRPr="009C3279" w:rsidRDefault="009C3279" w:rsidP="009C3279">
      <w:pPr>
        <w:pStyle w:val="SingleTxt"/>
        <w:spacing w:after="0" w:line="120" w:lineRule="exact"/>
        <w:rPr>
          <w:sz w:val="10"/>
          <w:lang w:val="es-ES_tradnl"/>
        </w:rPr>
      </w:pPr>
    </w:p>
    <w:p w:rsidR="009C3279" w:rsidRPr="004669C4" w:rsidRDefault="009C3279" w:rsidP="009C3279">
      <w:pPr>
        <w:pStyle w:val="SingleTxt"/>
        <w:numPr>
          <w:ilvl w:val="0"/>
          <w:numId w:val="11"/>
        </w:numPr>
        <w:tabs>
          <w:tab w:val="clear" w:pos="475"/>
          <w:tab w:val="num" w:pos="1742"/>
        </w:tabs>
        <w:ind w:left="1267"/>
      </w:pPr>
      <w:r w:rsidRPr="004669C4">
        <w:rPr>
          <w:lang w:val="es-ES_tradnl"/>
        </w:rPr>
        <w:t xml:space="preserve">En 2010 las Naciones Unidas revelaron que el valor del índice de desarrollo humano de las Bahamas era de 0,784. La tendencia </w:t>
      </w:r>
      <w:r>
        <w:rPr>
          <w:lang w:val="es-ES_tradnl"/>
        </w:rPr>
        <w:t xml:space="preserve">general </w:t>
      </w:r>
      <w:r w:rsidRPr="004669C4">
        <w:rPr>
          <w:lang w:val="es-ES_tradnl"/>
        </w:rPr>
        <w:t xml:space="preserve">del índice indica que en las Bahamas esos valores han ido aumentando progresivamente a medida que mejoraba constantemente la correlación entre una vida larga y saludable, el acceso al conocimiento y un nivel de vida digno, que son las principales dimensiones subyacentes al índice. Según el informe de 2007/2008, que aportaba datos sobre la tendencia observada entre 1980 y 2005, el índice de desarrollo humano de las Bahamas creció más que </w:t>
      </w:r>
      <w:r>
        <w:rPr>
          <w:lang w:val="es-ES_tradnl"/>
        </w:rPr>
        <w:t xml:space="preserve">el de </w:t>
      </w:r>
      <w:r w:rsidRPr="004669C4">
        <w:rPr>
          <w:lang w:val="es-ES_tradnl"/>
        </w:rPr>
        <w:t xml:space="preserve">la mayor parte de los pequeños Estados insulares en desarrollo durante ese período de 25 años del que se tienen datos. En </w:t>
      </w:r>
      <w:r>
        <w:rPr>
          <w:lang w:val="es-ES_tradnl"/>
        </w:rPr>
        <w:t>el continente americano</w:t>
      </w:r>
      <w:r w:rsidRPr="004669C4">
        <w:rPr>
          <w:lang w:val="es-ES_tradnl"/>
        </w:rPr>
        <w:t>, las Bahamas ocuparon en 2010 el cuarto lugar entre los diez países con un índice de desarrollo humano más elevado, alcanzando un valor equivalente a Lituania y Chile (0,783) y Barbados (0,788). En lo que respecta a</w:t>
      </w:r>
      <w:r>
        <w:rPr>
          <w:lang w:val="es-ES_tradnl"/>
        </w:rPr>
        <w:t xml:space="preserve"> la dimensión de</w:t>
      </w:r>
      <w:r w:rsidRPr="004669C4">
        <w:rPr>
          <w:lang w:val="es-ES_tradnl"/>
        </w:rPr>
        <w:t xml:space="preserve"> “empoderamiento”, que abarca las libertades civiles y políticas, las Bahamas obtuvieron una puntuación de 2 en democracia (0</w:t>
      </w:r>
      <w:r w:rsidRPr="004669C4">
        <w:t>=no democr</w:t>
      </w:r>
      <w:r w:rsidRPr="004669C4">
        <w:rPr>
          <w:lang w:val="es-ES_tradnl"/>
        </w:rPr>
        <w:t>ático y 2</w:t>
      </w:r>
      <w:r w:rsidRPr="004669C4">
        <w:t>=democr</w:t>
      </w:r>
      <w:r w:rsidRPr="004669C4">
        <w:rPr>
          <w:lang w:val="es-ES_tradnl"/>
        </w:rPr>
        <w:t>ático). Además, con respecto a las conculcaciones de los derechos humanos, las Bahamas obtuvieron un 2 de una puntuación total de 5</w:t>
      </w:r>
      <w:r>
        <w:rPr>
          <w:lang w:val="es-ES_tradnl"/>
        </w:rPr>
        <w:t xml:space="preserve"> (1=mínimo de conculcaciones y 5=máximo de conculcaciones). </w:t>
      </w:r>
    </w:p>
    <w:p w:rsidR="00C43A06" w:rsidRPr="00C43A06" w:rsidRDefault="00C43A06" w:rsidP="00C43A06">
      <w:pPr>
        <w:pStyle w:val="SingleTxt"/>
        <w:suppressAutoHyphens/>
        <w:spacing w:after="0" w:line="120" w:lineRule="exact"/>
        <w:rPr>
          <w:sz w:val="10"/>
        </w:rPr>
      </w:pPr>
    </w:p>
    <w:p w:rsidR="00C43A06" w:rsidRPr="00C43A06" w:rsidRDefault="00C43A06" w:rsidP="00C43A06">
      <w:pPr>
        <w:pStyle w:val="SingleTxt"/>
        <w:suppressAutoHyphens/>
        <w:spacing w:after="0" w:line="120" w:lineRule="exact"/>
        <w:rPr>
          <w:sz w:val="10"/>
        </w:rPr>
      </w:pPr>
    </w:p>
    <w:p w:rsidR="00C43A06" w:rsidRDefault="00C43A06" w:rsidP="00C43A0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0E674F">
        <w:t>Parte II</w:t>
      </w:r>
    </w:p>
    <w:p w:rsidR="00C43A06" w:rsidRPr="00C43A06" w:rsidRDefault="00C43A06" w:rsidP="00C43A06">
      <w:pPr>
        <w:pStyle w:val="SingleTxt"/>
        <w:spacing w:after="0" w:line="120" w:lineRule="exact"/>
        <w:rPr>
          <w:sz w:val="10"/>
        </w:rPr>
      </w:pPr>
    </w:p>
    <w:p w:rsidR="00C43A06" w:rsidRPr="00C43A06" w:rsidRDefault="00C43A06" w:rsidP="00C43A06">
      <w:pPr>
        <w:pStyle w:val="SingleTxt"/>
        <w:spacing w:after="0" w:line="120" w:lineRule="exact"/>
        <w:rPr>
          <w:sz w:val="10"/>
        </w:rPr>
      </w:pPr>
    </w:p>
    <w:p w:rsidR="00C43A06" w:rsidRDefault="00C43A06" w:rsidP="00C43A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0E674F">
        <w:t xml:space="preserve">Artículo 1: </w:t>
      </w:r>
      <w:r>
        <w:t>D</w:t>
      </w:r>
      <w:r w:rsidRPr="000E674F">
        <w:t>efinición de discriminación contra la mujer</w:t>
      </w:r>
    </w:p>
    <w:p w:rsidR="00C43A06" w:rsidRPr="00C43A06" w:rsidRDefault="00C43A06" w:rsidP="00C43A06">
      <w:pPr>
        <w:pStyle w:val="SingleTxt"/>
        <w:spacing w:after="0" w:line="120" w:lineRule="exact"/>
        <w:rPr>
          <w:sz w:val="10"/>
        </w:rPr>
      </w:pPr>
    </w:p>
    <w:p w:rsidR="00C43A06" w:rsidRPr="00C43A06" w:rsidRDefault="00C43A06" w:rsidP="00C43A06">
      <w:pPr>
        <w:pStyle w:val="SingleTxt"/>
        <w:spacing w:after="0" w:line="120" w:lineRule="exact"/>
        <w:rPr>
          <w:sz w:val="10"/>
        </w:rPr>
      </w:pPr>
    </w:p>
    <w:p w:rsidR="00C43A06" w:rsidRPr="000E674F" w:rsidRDefault="00C43A06" w:rsidP="00C43A06">
      <w:pPr>
        <w:pStyle w:val="SingleTxt"/>
        <w:numPr>
          <w:ilvl w:val="0"/>
          <w:numId w:val="11"/>
        </w:numPr>
        <w:tabs>
          <w:tab w:val="clear" w:pos="475"/>
          <w:tab w:val="num" w:pos="1742"/>
        </w:tabs>
        <w:ind w:left="1267"/>
      </w:pPr>
      <w:r w:rsidRPr="000E674F">
        <w:t xml:space="preserve">Las leyes del Commonwealth de las Bahamas relativas a la discriminación contra la mujer </w:t>
      </w:r>
      <w:r>
        <w:t xml:space="preserve">están </w:t>
      </w:r>
      <w:r w:rsidRPr="000E674F">
        <w:t>formuladas en la Constitución de las Bahamas.</w:t>
      </w:r>
    </w:p>
    <w:p w:rsidR="00C43A06" w:rsidRPr="000E674F" w:rsidRDefault="00C43A06" w:rsidP="00C43A06">
      <w:pPr>
        <w:pStyle w:val="SingleTxt"/>
        <w:numPr>
          <w:ilvl w:val="0"/>
          <w:numId w:val="11"/>
        </w:numPr>
        <w:tabs>
          <w:tab w:val="clear" w:pos="475"/>
          <w:tab w:val="num" w:pos="1742"/>
        </w:tabs>
        <w:ind w:left="1267"/>
      </w:pPr>
      <w:r w:rsidRPr="000E674F">
        <w:t xml:space="preserve">A los efectos de la Convención el término </w:t>
      </w:r>
      <w:r>
        <w:t>“</w:t>
      </w:r>
      <w:r w:rsidRPr="000E674F">
        <w:t>discriminación</w:t>
      </w:r>
      <w:r>
        <w:t>”</w:t>
      </w:r>
      <w:r w:rsidRPr="000E674F">
        <w:t xml:space="preserve"> denota toda distinción, exclusión o restricción basada en el sexo que tenga por objeto o por resultado menoscabar o anular el reconocimiento, goce o ejercicio por la mujer, independientemente de su estado civil, sobre la base de la igualdad entre el hombre y la mujer, de los derechos humanos y las libertades fundamentales en las esferas política, económica, social, cultural y civil o cualquier otra esfera.</w:t>
      </w:r>
    </w:p>
    <w:p w:rsidR="00C43A06" w:rsidRPr="000E674F" w:rsidRDefault="00C43A06" w:rsidP="00C43A06">
      <w:pPr>
        <w:pStyle w:val="SingleTxt"/>
        <w:numPr>
          <w:ilvl w:val="0"/>
          <w:numId w:val="11"/>
        </w:numPr>
        <w:tabs>
          <w:tab w:val="clear" w:pos="475"/>
          <w:tab w:val="num" w:pos="1742"/>
        </w:tabs>
        <w:ind w:left="1267"/>
      </w:pPr>
      <w:r w:rsidRPr="000E674F">
        <w:t>En la Convención, el concepto de prácticas discriminatorias incluye toda diferenciación, por vía de distinción, exclusión o restricción, que tenga la finalidad o el efecto de impedir u obstaculizar el goce por parte de las mujeres, casadas o no, de sus derechos humanos en la misma medida que los hombres (Assessing the Status of Women, 1996, pág. 11).</w:t>
      </w:r>
    </w:p>
    <w:p w:rsidR="00C43A06" w:rsidRDefault="00C43A06" w:rsidP="00C43A06">
      <w:pPr>
        <w:pStyle w:val="SingleTxt"/>
        <w:numPr>
          <w:ilvl w:val="0"/>
          <w:numId w:val="11"/>
        </w:numPr>
        <w:tabs>
          <w:tab w:val="clear" w:pos="475"/>
          <w:tab w:val="num" w:pos="1742"/>
        </w:tabs>
        <w:ind w:left="1267"/>
      </w:pPr>
      <w:r w:rsidRPr="000E674F">
        <w:t xml:space="preserve">En el artículo 15 del capítulo </w:t>
      </w:r>
      <w:smartTag w:uri="urn:schemas-microsoft-com:office:smarttags" w:element="stockticker">
        <w:r w:rsidRPr="000E674F">
          <w:t>III</w:t>
        </w:r>
      </w:smartTag>
      <w:r w:rsidRPr="000E674F">
        <w:t xml:space="preserve"> de la Constitución de las Bahamas se estipula que toda persona, sin distinción de raza, lugar de origen, opiniones políticas, color de la piel, religión o sexo, goza de ciertos derechos y libertades fundamentales. Entre esos derechos figuran </w:t>
      </w:r>
      <w:r>
        <w:t>“</w:t>
      </w:r>
      <w:r w:rsidRPr="000E674F">
        <w:t>el dere</w:t>
      </w:r>
      <w:r>
        <w:t xml:space="preserve">cho de toda persona, cualquiera, que </w:t>
      </w:r>
      <w:r w:rsidRPr="000E674F">
        <w:t>sea su raza, lugar de origen, opiniones políticas, color de la piel, credo o sexo</w:t>
      </w:r>
      <w:r>
        <w:t xml:space="preserve"> </w:t>
      </w:r>
      <w:r w:rsidRPr="000E674F">
        <w:t>… a que le correspondan todos y cada uno de los derechos siguientes, a saber:</w:t>
      </w:r>
    </w:p>
    <w:p w:rsidR="00C43A06" w:rsidRDefault="00C43A06" w:rsidP="00C43A06">
      <w:pPr>
        <w:pStyle w:val="SingleTxt"/>
        <w:tabs>
          <w:tab w:val="clear" w:pos="1742"/>
          <w:tab w:val="left" w:pos="1647"/>
        </w:tabs>
        <w:suppressAutoHyphens/>
      </w:pPr>
      <w:r>
        <w:tab/>
        <w:t>“a)</w:t>
      </w:r>
      <w:r>
        <w:tab/>
      </w:r>
      <w:r w:rsidRPr="000E674F">
        <w:t>La vida, la libertad, la seguridad de la persona y la protección de la ley;</w:t>
      </w:r>
    </w:p>
    <w:p w:rsidR="00C43A06" w:rsidRDefault="00C43A06" w:rsidP="00C43A06">
      <w:pPr>
        <w:pStyle w:val="SingleTxt"/>
        <w:suppressAutoHyphens/>
      </w:pPr>
      <w:r>
        <w:tab/>
        <w:t>b)</w:t>
      </w:r>
      <w:r>
        <w:tab/>
      </w:r>
      <w:r w:rsidRPr="000E674F">
        <w:t>La libertad de conciencia, de expresión y de reunión y asociación; y</w:t>
      </w:r>
    </w:p>
    <w:p w:rsidR="00C43A06" w:rsidRPr="000E674F" w:rsidRDefault="00C43A06" w:rsidP="00C43A06">
      <w:pPr>
        <w:pStyle w:val="SingleTxt"/>
        <w:suppressAutoHyphens/>
      </w:pPr>
      <w:r>
        <w:tab/>
        <w:t>c)</w:t>
      </w:r>
      <w:r>
        <w:tab/>
      </w:r>
      <w:r w:rsidRPr="000E674F">
        <w:t>La protección de su intimidad, de su hogar y de otros bienes (...)</w:t>
      </w:r>
      <w:r>
        <w:t>”</w:t>
      </w:r>
    </w:p>
    <w:p w:rsidR="00C43A06" w:rsidRPr="000E674F" w:rsidRDefault="00C43A06" w:rsidP="00C43A06">
      <w:pPr>
        <w:pStyle w:val="SingleTxt"/>
        <w:numPr>
          <w:ilvl w:val="0"/>
          <w:numId w:val="11"/>
        </w:numPr>
        <w:tabs>
          <w:tab w:val="clear" w:pos="475"/>
          <w:tab w:val="num" w:pos="1742"/>
        </w:tabs>
        <w:ind w:left="1267"/>
      </w:pPr>
      <w:r w:rsidRPr="000E674F">
        <w:t xml:space="preserve">Estos derechos, que son garantizados a todas las personas (tanto hombres como mujeres), se describen con mayor detalle en los artículos 15 a 27 del capítulo </w:t>
      </w:r>
      <w:smartTag w:uri="urn:schemas-microsoft-com:office:smarttags" w:element="stockticker">
        <w:r w:rsidRPr="000E674F">
          <w:t>III</w:t>
        </w:r>
      </w:smartTag>
      <w:r w:rsidRPr="000E674F">
        <w:t>.</w:t>
      </w:r>
    </w:p>
    <w:p w:rsidR="00C43A06" w:rsidRPr="000E674F" w:rsidRDefault="00C43A06" w:rsidP="00C43A06">
      <w:pPr>
        <w:pStyle w:val="SingleTxt"/>
        <w:numPr>
          <w:ilvl w:val="0"/>
          <w:numId w:val="11"/>
        </w:numPr>
        <w:tabs>
          <w:tab w:val="clear" w:pos="475"/>
          <w:tab w:val="num" w:pos="1742"/>
        </w:tabs>
        <w:ind w:left="1267"/>
      </w:pPr>
      <w:r w:rsidRPr="000E674F">
        <w:t xml:space="preserve">En el artículo 15 de la Constitución se consagra claramente el principio de igualdad de todos los bahameses sin distinción de sexo. Este principio se considera de hecho un derecho fundamental de todos los ciudadanos de las Bahamas, tal como se consagra en la Constitución. En el artículo 15 se </w:t>
      </w:r>
      <w:r>
        <w:t>afirma</w:t>
      </w:r>
      <w:r w:rsidRPr="000E674F">
        <w:t xml:space="preserve">, en particular, que </w:t>
      </w:r>
      <w:r>
        <w:t>“</w:t>
      </w:r>
      <w:r w:rsidRPr="000E674F">
        <w:t>las disposiciones del presente capítulo se aplicarán con fines de protección de las libertades y los derechos mencionados antedichos</w:t>
      </w:r>
      <w:r>
        <w:t>”</w:t>
      </w:r>
      <w:r w:rsidRPr="000E674F">
        <w:t>. Por consiguiente, esa</w:t>
      </w:r>
      <w:r>
        <w:t>s disposiciones se aplican no so</w:t>
      </w:r>
      <w:r w:rsidRPr="000E674F">
        <w:t>lo 1) al derecho a la vida, 2) la protección contra el trato inhumano, 3) la protección contra la esclavitud y el trabajo forzado, 4) la protección contra el arresto o la detención arbitrarios, 5) el derecho a tener garantizada la protección de la ley, 6) la protección de la privacidad del hogar y otros bienes, 7) la protección de la libertad de conciencia, 8) la protección de la libertad de expresión, 9) la protección de la libertad de reunión y asociación y 10) la protección de la libertad de circulación, sino también 11) a la protección contra la discriminación por motivos de raza, lugar de origen, opiniones políticas, color de la piel o credo.</w:t>
      </w:r>
    </w:p>
    <w:p w:rsidR="00C43A06" w:rsidRPr="000E674F" w:rsidRDefault="00C43A06" w:rsidP="00C43A06">
      <w:pPr>
        <w:pStyle w:val="SingleTxt"/>
        <w:numPr>
          <w:ilvl w:val="0"/>
          <w:numId w:val="11"/>
        </w:numPr>
        <w:tabs>
          <w:tab w:val="clear" w:pos="475"/>
          <w:tab w:val="num" w:pos="1742"/>
        </w:tabs>
        <w:ind w:left="1267"/>
      </w:pPr>
      <w:r w:rsidRPr="000E674F">
        <w:t xml:space="preserve">Podría, por tanto, afirmarse que la Constitución garantiza claramente la protección de las mujeres y los hombres de las Bahamas contra la discriminación por motivos de raza, lugar de origen, color de la piel, credo u opinión política. Por consiguiente, resulta contrario al principio de igualdad entre los hombres y las mujeres consagrado en la Constitución afirmar que uno u otro sexo ha quedado exento de cualquiera de las protecciones antes mencionadas, incluida la protección contra la discriminación por motivos de raza, lugar de origen, opiniones políticas, color de la piel o credo. La protección contra la discriminación por motivos de raza, lugar de origen, opiniones políticas, color de la piel o credo está relacionada con el principio de igualdad entre ambos sexos, tanto hombres como mujeres, y, por lo tanto, proscribe la discriminación por razones de sexo. En otras palabras, la discriminación basada en el sexo sería contraria al derecho </w:t>
      </w:r>
      <w:r>
        <w:t xml:space="preserve">específico </w:t>
      </w:r>
      <w:r w:rsidRPr="000E674F">
        <w:t xml:space="preserve">de toda persona, </w:t>
      </w:r>
      <w:r>
        <w:t>“</w:t>
      </w:r>
      <w:r w:rsidRPr="000E674F">
        <w:t>cualquiera sea su raza, lugar de origen, opiniones políticas, color de la piel, credo o sexo</w:t>
      </w:r>
      <w:r>
        <w:t>”</w:t>
      </w:r>
      <w:r w:rsidRPr="000E674F">
        <w:t xml:space="preserve">, a </w:t>
      </w:r>
      <w:r>
        <w:t>“</w:t>
      </w:r>
      <w:r w:rsidRPr="000E674F">
        <w:t>la protección contra la discriminación por motivos de raza, lugar de origen, opiniones políticas, color de la piel o credo</w:t>
      </w:r>
      <w:r>
        <w:t>”</w:t>
      </w:r>
      <w:r w:rsidRPr="000E674F">
        <w:t>.</w:t>
      </w:r>
    </w:p>
    <w:p w:rsidR="00C43A06" w:rsidRPr="000E674F" w:rsidRDefault="00C43A06" w:rsidP="00C43A06">
      <w:pPr>
        <w:pStyle w:val="SingleTxt"/>
        <w:numPr>
          <w:ilvl w:val="0"/>
          <w:numId w:val="11"/>
        </w:numPr>
        <w:tabs>
          <w:tab w:val="clear" w:pos="475"/>
          <w:tab w:val="num" w:pos="1742"/>
        </w:tabs>
        <w:ind w:left="1267"/>
      </w:pPr>
      <w:r w:rsidRPr="000E674F">
        <w:t xml:space="preserve">Conforme a lo dispuesto en el artículo 26 3) de la Constitución de las Bahamas, se entiende por </w:t>
      </w:r>
      <w:r>
        <w:t>“</w:t>
      </w:r>
      <w:r w:rsidRPr="000E674F">
        <w:t>discriminatorio</w:t>
      </w:r>
      <w:r>
        <w:t>”</w:t>
      </w:r>
      <w:r w:rsidRPr="000E674F">
        <w:t xml:space="preserve"> el </w:t>
      </w:r>
      <w:r>
        <w:t>“</w:t>
      </w:r>
      <w:r w:rsidRPr="000E674F">
        <w:t>trato distinto dispensado a diferentes personas debido, única o principalmente, a sus respectivas características de raza, lugar de origen, opiniones políticas, color de la piel o credo, con arreglo a las cuales esas personas están sometidas a incapacidades o restricciones que no se aplican a las personas que no responden a tales características, o gozan de privilegios y ventajas que no se conceden a otras personas que responden a las mismas o a otras características</w:t>
      </w:r>
      <w:r>
        <w:t>”</w:t>
      </w:r>
      <w:r w:rsidRPr="000E674F">
        <w:t>. Esta definición no excluye el principio de igualdad entre los hombres y las mujeres refrendado en la Constitución.</w:t>
      </w:r>
    </w:p>
    <w:p w:rsidR="00C43A06" w:rsidRPr="000E674F" w:rsidRDefault="00C43A06" w:rsidP="00C43A06">
      <w:pPr>
        <w:pStyle w:val="SingleTxt"/>
        <w:numPr>
          <w:ilvl w:val="0"/>
          <w:numId w:val="11"/>
        </w:numPr>
        <w:tabs>
          <w:tab w:val="clear" w:pos="475"/>
          <w:tab w:val="num" w:pos="1742"/>
        </w:tabs>
        <w:ind w:left="1267"/>
      </w:pPr>
      <w:r w:rsidRPr="000E674F">
        <w:t xml:space="preserve">En el artículo 26 1), sin embargo, se afirma que </w:t>
      </w:r>
      <w:r>
        <w:t>“</w:t>
      </w:r>
      <w:r w:rsidRPr="000E674F">
        <w:t>ninguna ley contendrá disposición alguna que sea discriminatoria por sí misma o en cuanto a sus efectos</w:t>
      </w:r>
      <w:r>
        <w:t>”</w:t>
      </w:r>
      <w:r w:rsidRPr="000E674F">
        <w:t>. Consecuentemente, en el artículo 28 del capítulo 3 se estipula que todo bahamés que considere que sus derechos han sido infringidos podrá interponer recursos con el fin de obtener reparación.</w:t>
      </w:r>
    </w:p>
    <w:p w:rsidR="00C43A06" w:rsidRPr="000E674F" w:rsidRDefault="00C43A06" w:rsidP="00C43A06">
      <w:pPr>
        <w:pStyle w:val="SingleTxt"/>
        <w:numPr>
          <w:ilvl w:val="0"/>
          <w:numId w:val="11"/>
        </w:numPr>
        <w:tabs>
          <w:tab w:val="clear" w:pos="475"/>
          <w:tab w:val="num" w:pos="1742"/>
        </w:tabs>
        <w:ind w:left="1267"/>
      </w:pPr>
      <w:r w:rsidRPr="000E674F">
        <w:t xml:space="preserve">Por otro lado, en el artículo 15 se estipula que este derecho fundamental prevalece sobre cualquier limitación contenida en el capítulo, y es independiente de la misma, y se </w:t>
      </w:r>
      <w:r>
        <w:t xml:space="preserve">afirma </w:t>
      </w:r>
      <w:r w:rsidRPr="000E674F">
        <w:t xml:space="preserve">que las disposiciones del capítulo están </w:t>
      </w:r>
      <w:r>
        <w:t>“</w:t>
      </w:r>
      <w:r w:rsidRPr="000E674F">
        <w:t>sujetas a las limitaciones previstas en las disposiciones [subsiguientes], limitaciones que han sido concebidas para garantizar que el ejercicio de esos derechos y libertades por cada individuo no menoscabe los derechos y las libertades de los demás ni el interés público</w:t>
      </w:r>
      <w:r>
        <w:t>”</w:t>
      </w:r>
      <w:r w:rsidRPr="000E674F">
        <w:t>.</w:t>
      </w:r>
    </w:p>
    <w:p w:rsidR="00C43A06" w:rsidRPr="000E674F" w:rsidRDefault="00C43A06" w:rsidP="00C43A06">
      <w:pPr>
        <w:pStyle w:val="SingleTxt"/>
        <w:numPr>
          <w:ilvl w:val="0"/>
          <w:numId w:val="11"/>
        </w:numPr>
        <w:tabs>
          <w:tab w:val="clear" w:pos="475"/>
          <w:tab w:val="num" w:pos="1742"/>
        </w:tabs>
        <w:ind w:left="1267"/>
      </w:pPr>
      <w:r w:rsidRPr="000E674F">
        <w:t>De ser así, sería lógico concluir que existe la necesidad de reafirmar el principio de igualdad ya existente en la Constitución en lugar de modificar la manera en que se define la discriminación, por cuanto, habida cuenta de lo anterior, la Constitución consagra el derecho humano fundamental de cada mujer a disfrutar de las protecciones otorgadas por cada una de las disposiciones anteriores, incluido el derecho a la protección contra la discriminación.</w:t>
      </w:r>
    </w:p>
    <w:p w:rsidR="00C43A06" w:rsidRPr="000E674F" w:rsidRDefault="00C43A06" w:rsidP="00C43A06">
      <w:pPr>
        <w:pStyle w:val="SingleTxt"/>
        <w:numPr>
          <w:ilvl w:val="0"/>
          <w:numId w:val="11"/>
        </w:numPr>
        <w:tabs>
          <w:tab w:val="clear" w:pos="475"/>
          <w:tab w:val="num" w:pos="1742"/>
        </w:tabs>
        <w:ind w:left="1267"/>
      </w:pPr>
      <w:r w:rsidRPr="000E674F">
        <w:t xml:space="preserve">Cuando en la Convención se define como práctica discriminatoria </w:t>
      </w:r>
      <w:r>
        <w:t>“</w:t>
      </w:r>
      <w:r w:rsidRPr="000E674F">
        <w:t>toda diferenciación</w:t>
      </w:r>
      <w:r>
        <w:t xml:space="preserve"> </w:t>
      </w:r>
      <w:r w:rsidRPr="000E674F">
        <w:t>… basada en el sexo</w:t>
      </w:r>
      <w:r>
        <w:t>”</w:t>
      </w:r>
      <w:r w:rsidRPr="000E674F">
        <w:t>, dicha definición se diferencia ligeramente de la postulada en la Constitución del Commonwealth de Bahamas.</w:t>
      </w:r>
    </w:p>
    <w:p w:rsidR="00C43A06" w:rsidRPr="00C43A06" w:rsidRDefault="00C43A06" w:rsidP="00C43A06">
      <w:pPr>
        <w:pStyle w:val="SingleTxt"/>
        <w:spacing w:after="0" w:line="120" w:lineRule="exact"/>
        <w:rPr>
          <w:sz w:val="10"/>
        </w:rPr>
      </w:pPr>
    </w:p>
    <w:p w:rsidR="00C43A06" w:rsidRPr="00C43A06" w:rsidRDefault="00C43A06" w:rsidP="00C43A06">
      <w:pPr>
        <w:pStyle w:val="SingleTxt"/>
        <w:spacing w:after="0" w:line="120" w:lineRule="exact"/>
        <w:rPr>
          <w:sz w:val="10"/>
        </w:rPr>
      </w:pPr>
    </w:p>
    <w:p w:rsidR="00C43A06" w:rsidRDefault="00C43A06" w:rsidP="00C43A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911" w:hanging="1267"/>
      </w:pPr>
      <w:r>
        <w:tab/>
      </w:r>
      <w:r>
        <w:tab/>
      </w:r>
      <w:r w:rsidRPr="000E674F">
        <w:t xml:space="preserve">Artículo 2: </w:t>
      </w:r>
      <w:r>
        <w:t>O</w:t>
      </w:r>
      <w:r w:rsidRPr="000E674F">
        <w:t xml:space="preserve">bligación de eliminar todas las formas de discriminación </w:t>
      </w:r>
      <w:r>
        <w:t xml:space="preserve">racial </w:t>
      </w:r>
      <w:r w:rsidRPr="000E674F">
        <w:t>contra la mujer</w:t>
      </w:r>
    </w:p>
    <w:p w:rsidR="00C43A06" w:rsidRPr="00C43A06" w:rsidRDefault="00C43A06" w:rsidP="00C43A06">
      <w:pPr>
        <w:pStyle w:val="SingleTxt"/>
        <w:spacing w:after="0" w:line="120" w:lineRule="exact"/>
        <w:rPr>
          <w:sz w:val="10"/>
        </w:rPr>
      </w:pPr>
    </w:p>
    <w:p w:rsidR="00C43A06" w:rsidRPr="00C43A06" w:rsidRDefault="00C43A06" w:rsidP="00C43A06">
      <w:pPr>
        <w:pStyle w:val="SingleTxt"/>
        <w:spacing w:after="0" w:line="120" w:lineRule="exact"/>
        <w:rPr>
          <w:sz w:val="10"/>
        </w:rPr>
      </w:pPr>
    </w:p>
    <w:p w:rsidR="00C43A06" w:rsidRPr="000E674F" w:rsidRDefault="00C43A06" w:rsidP="00C43A06">
      <w:pPr>
        <w:pStyle w:val="SingleTxt"/>
        <w:numPr>
          <w:ilvl w:val="0"/>
          <w:numId w:val="11"/>
        </w:numPr>
        <w:tabs>
          <w:tab w:val="clear" w:pos="475"/>
          <w:tab w:val="num" w:pos="1742"/>
        </w:tabs>
        <w:ind w:left="1267"/>
      </w:pPr>
      <w:r w:rsidRPr="000E674F">
        <w:t>En su condición de Estado Parte en la Convención sobre la eliminación de la discriminación racial contra la mujer, las Bahamas tienen la obligación de asegurar la igualdad y la no discriminación de todos los ciudadanos de ambos sexos. La Oficina de Asuntos de la Mujer sigue empeñada en conciencia</w:t>
      </w:r>
      <w:r>
        <w:t>r</w:t>
      </w:r>
      <w:r w:rsidRPr="000E674F">
        <w:t xml:space="preserve"> </w:t>
      </w:r>
      <w:r>
        <w:t xml:space="preserve">sobre </w:t>
      </w:r>
      <w:r w:rsidRPr="000E674F">
        <w:t>la necesidad, conforme a lo dispuesto en la Convención, de adoptar las medidas adecuadas para prohibir toda forma de discriminación contra la mujer y abogar por la revisión y el examen y debate ulteriores de los artículos 2 a) y 9</w:t>
      </w:r>
      <w:r>
        <w:t xml:space="preserve">, párrafo </w:t>
      </w:r>
      <w:r w:rsidRPr="000E674F">
        <w:t>2, respecto de los cuales las Bahamas han formulado reservas, de conformidad con el párrafo 230 c) de la Plataforma de Acción de Beijing.</w:t>
      </w:r>
    </w:p>
    <w:p w:rsidR="00C43A06" w:rsidRDefault="00C43A06" w:rsidP="00C43A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0E674F">
        <w:t>Reservas</w:t>
      </w:r>
    </w:p>
    <w:p w:rsidR="00C43A06" w:rsidRPr="00C43A06" w:rsidRDefault="00C43A06" w:rsidP="00C43A06">
      <w:pPr>
        <w:pStyle w:val="SingleTxt"/>
        <w:spacing w:after="0" w:line="120" w:lineRule="exact"/>
        <w:rPr>
          <w:sz w:val="10"/>
        </w:rPr>
      </w:pPr>
    </w:p>
    <w:p w:rsidR="00C43A06" w:rsidRPr="000E674F" w:rsidRDefault="00C43A06" w:rsidP="00C43A06">
      <w:pPr>
        <w:pStyle w:val="SingleTxt"/>
        <w:numPr>
          <w:ilvl w:val="0"/>
          <w:numId w:val="11"/>
        </w:numPr>
        <w:tabs>
          <w:tab w:val="clear" w:pos="475"/>
          <w:tab w:val="num" w:pos="1742"/>
        </w:tabs>
        <w:ind w:left="1267"/>
      </w:pPr>
      <w:r w:rsidRPr="000E674F">
        <w:t>Las Bahamas se reserva</w:t>
      </w:r>
      <w:r>
        <w:t>n</w:t>
      </w:r>
      <w:r w:rsidRPr="000E674F">
        <w:t xml:space="preserve"> el derecho de aplicar las disposiciones contenidas en los artículos 2 a) y 9</w:t>
      </w:r>
      <w:r>
        <w:t>, párrafo</w:t>
      </w:r>
      <w:r w:rsidRPr="000E674F">
        <w:t xml:space="preserve"> 2, dentro de los límites establecidos por la Constitución y la legislación nacional. La Constitución prescribe los procedimientos judiciales que deben seguirse en caso de violación de los derechos previstos en el artículo 26</w:t>
      </w:r>
      <w:r>
        <w:t>, párrafo</w:t>
      </w:r>
      <w:r w:rsidRPr="000E674F">
        <w:t xml:space="preserve"> 1, según el cual </w:t>
      </w:r>
      <w:r>
        <w:t>“</w:t>
      </w:r>
      <w:r w:rsidRPr="000E674F">
        <w:t>ninguna ley deberá contener disposiciones que sean discriminatorias en sí mismas o en su efecto</w:t>
      </w:r>
      <w:r>
        <w:t>”</w:t>
      </w:r>
      <w:r w:rsidRPr="000E674F">
        <w:t>, ya sea por el Estado o un particular. La aceptación de esta Convención por el Commonwealth de las Bahamas no implica la aceptación de obligaciones de un alcance mayor a lo establecido en la Constitución.</w:t>
      </w:r>
    </w:p>
    <w:p w:rsidR="00C43A06" w:rsidRDefault="00C43A06" w:rsidP="00C43A06">
      <w:pPr>
        <w:pStyle w:val="SingleTxt"/>
        <w:numPr>
          <w:ilvl w:val="0"/>
          <w:numId w:val="11"/>
        </w:numPr>
        <w:tabs>
          <w:tab w:val="clear" w:pos="475"/>
          <w:tab w:val="num" w:pos="1742"/>
        </w:tabs>
        <w:ind w:left="1267"/>
      </w:pPr>
      <w:r w:rsidRPr="000E674F">
        <w:t xml:space="preserve">Antes de 2002, el Gobierno de las Bahamas trató de impulsar cambios y, a tal fin, estableció una Comisión de Reforma Constitucional tras el referéndum celebrado en febrero de 2002. En 2003, la Comisión publicó un informe titulado </w:t>
      </w:r>
      <w:r>
        <w:t>“</w:t>
      </w:r>
      <w:r w:rsidRPr="000E674F">
        <w:t>La Constitución de las Bahamas: opciones de cambio</w:t>
      </w:r>
      <w:r>
        <w:t>”</w:t>
      </w:r>
      <w:r w:rsidRPr="000E674F">
        <w:t>, con el fin de elevar la conciencia del electorado</w:t>
      </w:r>
      <w:r>
        <w:t>,</w:t>
      </w:r>
      <w:r w:rsidRPr="000E674F">
        <w:t xml:space="preserve"> profundizar el conocimiento público de la propia Constitución y estimular el interés y el debate públicos en relación con los temas constitucionales. En la práctica, se han promulgado leyes que proscriben la discriminación contra la mujer, en particular:</w:t>
      </w:r>
    </w:p>
    <w:p w:rsidR="00C43A06" w:rsidRPr="008C08BB" w:rsidRDefault="00C43A06" w:rsidP="00C43A06">
      <w:pPr>
        <w:pStyle w:val="SingleTxt"/>
        <w:suppressAutoHyphens/>
        <w:ind w:left="1742" w:hanging="475"/>
        <w:rPr>
          <w:spacing w:val="2"/>
        </w:rPr>
      </w:pPr>
      <w:r>
        <w:tab/>
      </w:r>
      <w:r w:rsidRPr="008C08BB">
        <w:rPr>
          <w:spacing w:val="2"/>
        </w:rPr>
        <w:t>i)</w:t>
      </w:r>
      <w:r w:rsidRPr="008C08BB">
        <w:rPr>
          <w:spacing w:val="2"/>
        </w:rPr>
        <w:tab/>
        <w:t>La sección 6 de la Ley de empleo de 2001, en la que se dispone que “ningún empleador o persona que actúe en nombre de un empleador podrá discriminar por motivos de raza, credo, sexo, estado civil, opinión política, edad o infección por el VIH/SIDA a un empleado o una persona que solicita empleo”;</w:t>
      </w:r>
    </w:p>
    <w:p w:rsidR="00C43A06" w:rsidRDefault="00C43A06" w:rsidP="00C43A06">
      <w:pPr>
        <w:pStyle w:val="SingleTxt"/>
        <w:suppressAutoHyphens/>
        <w:ind w:left="1742" w:hanging="475"/>
      </w:pPr>
      <w:r>
        <w:tab/>
      </w:r>
      <w:r w:rsidRPr="000E674F">
        <w:t>ii)</w:t>
      </w:r>
      <w:r>
        <w:tab/>
      </w:r>
      <w:r w:rsidRPr="000E674F">
        <w:t>La Ley de sucesiones (2002), en la que se establece que la sucesión se determina por igual por hombres y mujeres (sección 4);</w:t>
      </w:r>
    </w:p>
    <w:p w:rsidR="00C43A06" w:rsidRDefault="00C43A06" w:rsidP="00C43A06">
      <w:pPr>
        <w:pStyle w:val="SingleTxt"/>
        <w:suppressAutoHyphens/>
        <w:ind w:left="1742" w:hanging="475"/>
      </w:pPr>
      <w:r>
        <w:tab/>
      </w:r>
      <w:r w:rsidRPr="000E674F">
        <w:t>iii)</w:t>
      </w:r>
      <w:r>
        <w:tab/>
      </w:r>
      <w:r w:rsidRPr="000E674F">
        <w:t>La Ley de protección del niño (2007), en que se proclama que todos los niños deben ser protegidos contra la discriminación, la violencia, el abuso y el abandono (sección 5</w:t>
      </w:r>
      <w:r>
        <w:t>, párrafo</w:t>
      </w:r>
      <w:r w:rsidRPr="000E674F">
        <w:t xml:space="preserve"> 2</w:t>
      </w:r>
      <w:r>
        <w:t>);</w:t>
      </w:r>
    </w:p>
    <w:p w:rsidR="00C43A06" w:rsidRDefault="00C43A06" w:rsidP="00C43A06">
      <w:pPr>
        <w:pStyle w:val="SingleTxt"/>
        <w:suppressAutoHyphens/>
        <w:ind w:left="1742" w:hanging="475"/>
      </w:pPr>
      <w:r>
        <w:tab/>
      </w:r>
      <w:r w:rsidRPr="000E674F">
        <w:t>iv)</w:t>
      </w:r>
      <w:r>
        <w:tab/>
      </w:r>
      <w:r w:rsidRPr="000E674F">
        <w:t>Si bien las disposiciones de los tratados internacionales ratificados por las Bahamas no prevalecen sobre el derecho interno, se han realizado esfuerzos por incorporar en la legislación nacional los convenios internacionales a los que se ha adherido el país, como ha quedado demostrado con la promulgación de leyes sobre:</w:t>
      </w:r>
    </w:p>
    <w:p w:rsidR="00C43A06" w:rsidRDefault="00C43A06" w:rsidP="00C43A06">
      <w:pPr>
        <w:pStyle w:val="SingleTxt"/>
        <w:suppressAutoHyphens/>
        <w:ind w:left="2218" w:hanging="951"/>
      </w:pPr>
      <w:r>
        <w:tab/>
      </w:r>
      <w:r>
        <w:tab/>
        <w:t>i)</w:t>
      </w:r>
      <w:r>
        <w:tab/>
      </w:r>
      <w:r w:rsidRPr="000E674F">
        <w:t>El secuestro de menores; las disposiciones de la Convención de La Haya relativas a los aspectos civiles del secuestro de menores han sido incorporadas en el derecho interno;</w:t>
      </w:r>
    </w:p>
    <w:p w:rsidR="00C43A06" w:rsidRDefault="00C43A06" w:rsidP="00C43A06">
      <w:pPr>
        <w:pStyle w:val="SingleTxt"/>
        <w:suppressAutoHyphens/>
        <w:ind w:left="2218" w:hanging="951"/>
      </w:pPr>
      <w:r>
        <w:tab/>
      </w:r>
      <w:r>
        <w:tab/>
      </w:r>
      <w:r w:rsidRPr="000E674F">
        <w:t>ii)</w:t>
      </w:r>
      <w:r w:rsidRPr="000E674F">
        <w:tab/>
        <w:t>La trata de personas; en la Ley sobre la trata de personas (prevención y represión) de 2008 se tipifican los delitos de trata de personas, retención ilícita de documentos de identificación</w:t>
      </w:r>
      <w:r>
        <w:t xml:space="preserve"> y</w:t>
      </w:r>
      <w:r w:rsidRPr="000E674F">
        <w:t xml:space="preserve"> transportación de personas con fines de explotación sexual, </w:t>
      </w:r>
      <w:r>
        <w:t xml:space="preserve">garantizándose además la </w:t>
      </w:r>
      <w:r w:rsidRPr="000E674F">
        <w:t xml:space="preserve">protección de la seguridad </w:t>
      </w:r>
      <w:r>
        <w:t xml:space="preserve">y la </w:t>
      </w:r>
      <w:r w:rsidRPr="000E674F">
        <w:t>inmunidad judicial de la</w:t>
      </w:r>
      <w:r>
        <w:t>s</w:t>
      </w:r>
      <w:r w:rsidRPr="000E674F">
        <w:t xml:space="preserve"> víctima</w:t>
      </w:r>
      <w:r>
        <w:t>s</w:t>
      </w:r>
      <w:r w:rsidRPr="000E674F">
        <w:t>;</w:t>
      </w:r>
    </w:p>
    <w:p w:rsidR="00C43A06" w:rsidRPr="000E674F" w:rsidRDefault="00C43A06" w:rsidP="00C43A06">
      <w:pPr>
        <w:pStyle w:val="SingleTxt"/>
        <w:suppressAutoHyphens/>
        <w:ind w:left="2218" w:hanging="951"/>
      </w:pPr>
      <w:r>
        <w:tab/>
      </w:r>
      <w:r>
        <w:tab/>
      </w:r>
      <w:r w:rsidRPr="000E674F">
        <w:t>iii)</w:t>
      </w:r>
      <w:r>
        <w:tab/>
      </w:r>
      <w:r w:rsidRPr="000E674F">
        <w:t xml:space="preserve">La protección de menores; en la sección 4 c) de la Ley de protección del niño de 2007 se incorpora el derecho del niño a ejercer, además de todos los derechos establecidos en dicha Ley, todos los derechos enunciados en la Convención de las Naciones Unidas sobre </w:t>
      </w:r>
      <w:r>
        <w:t xml:space="preserve">los </w:t>
      </w:r>
      <w:r w:rsidRPr="000E674F">
        <w:t>Derechos del Niño</w:t>
      </w:r>
      <w:r>
        <w:t>.</w:t>
      </w:r>
    </w:p>
    <w:p w:rsidR="00C43A06" w:rsidRDefault="00C43A06" w:rsidP="00C43A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0E674F">
        <w:t>Artículo 3:</w:t>
      </w:r>
      <w:r>
        <w:t xml:space="preserve"> D</w:t>
      </w:r>
      <w:r w:rsidRPr="000E674F">
        <w:t>esarrollo y adelanto de la mujer</w:t>
      </w:r>
    </w:p>
    <w:p w:rsidR="00C43A06" w:rsidRPr="00C43A06" w:rsidRDefault="00C43A06" w:rsidP="00C43A06">
      <w:pPr>
        <w:pStyle w:val="SingleTxt"/>
        <w:spacing w:after="0" w:line="120" w:lineRule="exact"/>
        <w:rPr>
          <w:sz w:val="10"/>
        </w:rPr>
      </w:pPr>
    </w:p>
    <w:p w:rsidR="00C43A06" w:rsidRPr="00C43A06" w:rsidRDefault="00C43A06" w:rsidP="00C43A06">
      <w:pPr>
        <w:pStyle w:val="SingleTxt"/>
        <w:spacing w:after="0" w:line="120" w:lineRule="exact"/>
        <w:rPr>
          <w:sz w:val="10"/>
        </w:rPr>
      </w:pPr>
    </w:p>
    <w:p w:rsidR="00C43A06" w:rsidRPr="000E674F" w:rsidRDefault="00C43A06" w:rsidP="00C43A06">
      <w:pPr>
        <w:pStyle w:val="SingleTxt"/>
        <w:numPr>
          <w:ilvl w:val="0"/>
          <w:numId w:val="11"/>
        </w:numPr>
        <w:tabs>
          <w:tab w:val="clear" w:pos="475"/>
          <w:tab w:val="num" w:pos="1742"/>
        </w:tabs>
        <w:ind w:left="1267"/>
      </w:pPr>
      <w:r w:rsidRPr="000E674F">
        <w:t>De acuerdo con el artículo 3 de la Convención, el Gobierno de las Bahamas, por intermedio de su principal organismo, la Oficina de Asuntos de la Mujer, se esfuerza por asegurar el pleno desarrollo y adelanto de la mujer. A tal fin, la Oficina celebra reuniones mensuales con un amplio abanico de mujeres de las comunidades, establece redes de contacto con otras organizaciones no gubernamentales y promueve cambios que aumenten las posibilidades de desarrollo de la mujer.</w:t>
      </w:r>
    </w:p>
    <w:p w:rsidR="00C43A06" w:rsidRDefault="00C43A06" w:rsidP="00C43A06">
      <w:pPr>
        <w:pStyle w:val="SingleTxt"/>
        <w:numPr>
          <w:ilvl w:val="0"/>
          <w:numId w:val="11"/>
        </w:numPr>
        <w:tabs>
          <w:tab w:val="clear" w:pos="475"/>
          <w:tab w:val="num" w:pos="1742"/>
        </w:tabs>
        <w:ind w:left="1267"/>
      </w:pPr>
      <w:r w:rsidRPr="000E674F">
        <w:t xml:space="preserve">Si bien el contenido de esta sección no ha sufrido muchos cambios desde la </w:t>
      </w:r>
      <w:r>
        <w:t xml:space="preserve">presentación </w:t>
      </w:r>
      <w:r w:rsidRPr="000E674F">
        <w:t xml:space="preserve">del anterior informe </w:t>
      </w:r>
      <w:r>
        <w:t>periódico</w:t>
      </w:r>
      <w:r w:rsidRPr="000E674F">
        <w:t xml:space="preserve">, la Oficina se propone celebrar en los próximos dos años varios hitos, lo que sin duda repercutirá positivamente en la labor de la Oficina y </w:t>
      </w:r>
      <w:r>
        <w:t xml:space="preserve">favorecerá </w:t>
      </w:r>
      <w:r w:rsidRPr="000E674F">
        <w:t xml:space="preserve">el desarrollo de las mujeres bahamesas. </w:t>
      </w:r>
      <w:r>
        <w:t xml:space="preserve">Se trata del </w:t>
      </w:r>
      <w:r w:rsidRPr="000E674F">
        <w:t xml:space="preserve">centenario del Día Internacional de la Mujer (8 de marzo de 2011), el 30º aniversario de la creación de la Oficina de Asuntos de la Mujer (23 de junio de 2011), el 50º aniversario del movimiento </w:t>
      </w:r>
      <w:r>
        <w:t xml:space="preserve">sufragista </w:t>
      </w:r>
      <w:r w:rsidRPr="000E674F">
        <w:t>(junio de 2012), el 30º aniversario de la elección de la primera mujer al Parlamento (agosto de 2012) y el 30º aniversario de la creación del Centro de Crisis de las Bahamas (junio de 2012).</w:t>
      </w:r>
    </w:p>
    <w:p w:rsidR="00C43A06" w:rsidRPr="00C43A06" w:rsidRDefault="00C43A06" w:rsidP="00C43A06">
      <w:pPr>
        <w:pStyle w:val="SingleTxt"/>
        <w:spacing w:after="0" w:line="120" w:lineRule="exact"/>
        <w:rPr>
          <w:sz w:val="10"/>
        </w:rPr>
      </w:pPr>
    </w:p>
    <w:p w:rsidR="00C43A06" w:rsidRPr="00C43A06" w:rsidRDefault="00C43A06" w:rsidP="00C43A06">
      <w:pPr>
        <w:pStyle w:val="SingleTxt"/>
        <w:spacing w:after="0" w:line="120" w:lineRule="exact"/>
        <w:rPr>
          <w:sz w:val="10"/>
        </w:rPr>
      </w:pPr>
    </w:p>
    <w:p w:rsidR="00C43A06" w:rsidRDefault="00C43A06" w:rsidP="00C43A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326"/>
        </w:tabs>
        <w:ind w:left="1267" w:right="1267" w:hanging="1267"/>
      </w:pPr>
      <w:r>
        <w:tab/>
      </w:r>
      <w:r>
        <w:tab/>
      </w:r>
      <w:r w:rsidRPr="00E93313">
        <w:t>Artículo 4:</w:t>
      </w:r>
      <w:r>
        <w:t xml:space="preserve"> </w:t>
      </w:r>
      <w:r w:rsidR="008C08BB">
        <w:t>A</w:t>
      </w:r>
      <w:r w:rsidRPr="00E93313">
        <w:t>celeración de la igualdad entre el hombre y la mujer</w:t>
      </w:r>
    </w:p>
    <w:p w:rsidR="00C43A06" w:rsidRPr="00C43A06" w:rsidRDefault="00C43A06" w:rsidP="00C43A06">
      <w:pPr>
        <w:pStyle w:val="SingleTxt"/>
        <w:spacing w:after="0" w:line="120" w:lineRule="exact"/>
        <w:rPr>
          <w:sz w:val="10"/>
        </w:rPr>
      </w:pPr>
    </w:p>
    <w:p w:rsidR="00C43A06" w:rsidRPr="00C43A06" w:rsidRDefault="00C43A06" w:rsidP="00C43A06">
      <w:pPr>
        <w:pStyle w:val="SingleTxt"/>
        <w:spacing w:after="0" w:line="120" w:lineRule="exact"/>
        <w:rPr>
          <w:sz w:val="10"/>
        </w:rPr>
      </w:pPr>
    </w:p>
    <w:p w:rsidR="00C43A06" w:rsidRPr="00E93313" w:rsidRDefault="00C43A06" w:rsidP="00C43A06">
      <w:pPr>
        <w:pStyle w:val="SingleTxt"/>
        <w:numPr>
          <w:ilvl w:val="0"/>
          <w:numId w:val="11"/>
        </w:numPr>
        <w:tabs>
          <w:tab w:val="clear" w:pos="475"/>
          <w:tab w:val="num" w:pos="1742"/>
        </w:tabs>
        <w:ind w:left="1267"/>
      </w:pPr>
      <w:r w:rsidRPr="00E93313">
        <w:t xml:space="preserve">En su informe anterior, la Oficina de Asuntos de la Mujer </w:t>
      </w:r>
      <w:r>
        <w:t xml:space="preserve">declaró </w:t>
      </w:r>
      <w:r w:rsidRPr="00E93313">
        <w:t xml:space="preserve">que estaba </w:t>
      </w:r>
      <w:r>
        <w:t xml:space="preserve">elaborando </w:t>
      </w:r>
      <w:r w:rsidRPr="00E93313">
        <w:t xml:space="preserve">una política nacional sobre las cuestiones de género en las Bahamas, en un esfuerzo conjunto con organismos regionales e internacionales. En el marco de esa labor se realizó un estudio para </w:t>
      </w:r>
      <w:r>
        <w:t xml:space="preserve">evaluar </w:t>
      </w:r>
      <w:r w:rsidRPr="00E93313">
        <w:t xml:space="preserve">las necesidades nacionales, en consulta con las partes interesadas de todo el archipiélago de las Bahamas. Ya finalizó </w:t>
      </w:r>
      <w:r>
        <w:t xml:space="preserve">la </w:t>
      </w:r>
      <w:r w:rsidRPr="00E93313">
        <w:t>de evaluación de necesidades nacionales y actualmente es objeto de examen. La Oficina confía en que, como próximo</w:t>
      </w:r>
      <w:r>
        <w:t>s</w:t>
      </w:r>
      <w:r w:rsidRPr="00E93313">
        <w:t xml:space="preserve"> pasos, se aprueben los resultados de la evaluación y se ponga en marcha la elaboración de una política nacional sobre las cuestiones de género para las Bahamas.</w:t>
      </w:r>
    </w:p>
    <w:p w:rsidR="00C43A06" w:rsidRPr="00C43A06" w:rsidRDefault="00C43A06" w:rsidP="00C43A06">
      <w:pPr>
        <w:pStyle w:val="SingleTxt"/>
        <w:spacing w:after="0" w:line="120" w:lineRule="exact"/>
        <w:rPr>
          <w:sz w:val="10"/>
        </w:rPr>
      </w:pPr>
    </w:p>
    <w:p w:rsidR="00C43A06" w:rsidRPr="00C43A06" w:rsidRDefault="00C43A06" w:rsidP="00C43A06">
      <w:pPr>
        <w:pStyle w:val="SingleTxt"/>
        <w:spacing w:after="0" w:line="120" w:lineRule="exact"/>
        <w:rPr>
          <w:sz w:val="10"/>
        </w:rPr>
      </w:pPr>
    </w:p>
    <w:p w:rsidR="00C43A06" w:rsidRDefault="00C43A06" w:rsidP="00C43A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 xml:space="preserve">Artículo 5: </w:t>
      </w:r>
      <w:r w:rsidR="008C08BB">
        <w:t>F</w:t>
      </w:r>
      <w:r w:rsidRPr="00E93313">
        <w:t>unciones y estereotipos sexuales</w:t>
      </w:r>
    </w:p>
    <w:p w:rsidR="00C43A06" w:rsidRPr="00C43A06" w:rsidRDefault="00C43A06" w:rsidP="00C43A06">
      <w:pPr>
        <w:pStyle w:val="SingleTxt"/>
        <w:spacing w:after="0" w:line="120" w:lineRule="exact"/>
        <w:rPr>
          <w:sz w:val="10"/>
        </w:rPr>
      </w:pPr>
    </w:p>
    <w:p w:rsidR="00C43A06" w:rsidRPr="00C43A06" w:rsidRDefault="00C43A06" w:rsidP="00C43A06">
      <w:pPr>
        <w:pStyle w:val="SingleTxt"/>
        <w:spacing w:after="0" w:line="120" w:lineRule="exact"/>
        <w:rPr>
          <w:sz w:val="10"/>
        </w:rPr>
      </w:pPr>
    </w:p>
    <w:p w:rsidR="00C43A06" w:rsidRPr="00E93313" w:rsidRDefault="00C43A06" w:rsidP="00C43A06">
      <w:pPr>
        <w:pStyle w:val="SingleTxt"/>
        <w:numPr>
          <w:ilvl w:val="0"/>
          <w:numId w:val="11"/>
        </w:numPr>
        <w:tabs>
          <w:tab w:val="clear" w:pos="475"/>
          <w:tab w:val="num" w:pos="1742"/>
        </w:tabs>
        <w:ind w:left="1267"/>
      </w:pPr>
      <w:r w:rsidRPr="00E93313">
        <w:t>En las ondas radiales de las Bahamas se debaten cada vez más abiertamente las cuestiones de género con respecto a determinados patrones sociales y culturales de conducta de hombres y mujeres, con miras a alcanzar la eliminación de los prejuicios y las prácticas consuetudinarias y de cualquier otra índole que estén basados en la idea de la inferioridad o superioridad de cualquiera de los sexos o en funciones estereotipadas de hombres y mujeres.</w:t>
      </w:r>
    </w:p>
    <w:p w:rsidR="00C43A06" w:rsidRPr="00E93313" w:rsidRDefault="00C43A06" w:rsidP="00C43A06">
      <w:pPr>
        <w:pStyle w:val="SingleTxt"/>
        <w:numPr>
          <w:ilvl w:val="0"/>
          <w:numId w:val="11"/>
        </w:numPr>
        <w:tabs>
          <w:tab w:val="clear" w:pos="475"/>
          <w:tab w:val="num" w:pos="1742"/>
        </w:tabs>
        <w:ind w:left="1267"/>
      </w:pPr>
      <w:r w:rsidRPr="00E93313">
        <w:t xml:space="preserve">En la sociedad bahamesa se espera que el hombre responda por la manutención de la familia. Sin embargo, a medida que aumenta el número de hogares encabezados por mujeres, disminuye el peso de los hombres en esa función. Todavía prevalece la percepción de la mujer como encargada del hogar. No obstante, el hecho de que un número cada vez mayor de mujeres se conviertan en cabeza de familia </w:t>
      </w:r>
      <w:r>
        <w:t>está</w:t>
      </w:r>
      <w:r w:rsidRPr="00E93313">
        <w:t xml:space="preserve"> socavando esa mentalidad. Con todo, queda mucho por hacer en este ámbito para asegurar la plena igualdad no s</w:t>
      </w:r>
      <w:r>
        <w:t>o</w:t>
      </w:r>
      <w:r w:rsidRPr="00E93313">
        <w:t>lo en el plano jurídico, sino también en la mentalidad y la actitud de los bahameses.</w:t>
      </w:r>
    </w:p>
    <w:p w:rsidR="00C43A06" w:rsidRDefault="00C43A06" w:rsidP="00C43A06">
      <w:pPr>
        <w:pStyle w:val="SingleTxt"/>
        <w:numPr>
          <w:ilvl w:val="0"/>
          <w:numId w:val="11"/>
        </w:numPr>
        <w:tabs>
          <w:tab w:val="clear" w:pos="475"/>
          <w:tab w:val="num" w:pos="1742"/>
        </w:tabs>
        <w:ind w:left="1267"/>
      </w:pPr>
      <w:r w:rsidRPr="00E93313">
        <w:t xml:space="preserve">A tal fin, la Oficina de Asuntos de la Mujer continúa asegurándose de que esta cuestión </w:t>
      </w:r>
      <w:r>
        <w:t xml:space="preserve">suscite </w:t>
      </w:r>
      <w:r w:rsidRPr="00E93313">
        <w:t xml:space="preserve">el interés de la opinión pública a través de reuniones mensuales de mujeres en las que participa una amplia representación de las mujeres de New Providence y </w:t>
      </w:r>
      <w:r w:rsidR="008340B8">
        <w:t xml:space="preserve">las </w:t>
      </w:r>
      <w:r w:rsidRPr="00E93313">
        <w:t xml:space="preserve">islas </w:t>
      </w:r>
      <w:r w:rsidR="008340B8">
        <w:t xml:space="preserve">que constituyen </w:t>
      </w:r>
      <w:r w:rsidR="001278FA">
        <w:t>la familia de las Bahamas</w:t>
      </w:r>
      <w:r w:rsidRPr="00E93313">
        <w:t>.</w:t>
      </w:r>
    </w:p>
    <w:p w:rsidR="00C43A06" w:rsidRPr="00E93313" w:rsidRDefault="00C43A06" w:rsidP="00C43A06">
      <w:pPr>
        <w:pStyle w:val="SingleTxt"/>
        <w:numPr>
          <w:ilvl w:val="0"/>
          <w:numId w:val="11"/>
        </w:numPr>
        <w:tabs>
          <w:tab w:val="clear" w:pos="475"/>
          <w:tab w:val="num" w:pos="1742"/>
        </w:tabs>
        <w:ind w:left="1267"/>
      </w:pPr>
      <w:r w:rsidRPr="00E93313">
        <w:t>A nivel nacional, esta cuestión es debatida con frecuencia en los medios de comunicación por comentaristas de ambos sexos. Dichos debates cuentan siempre con la participación animada del público en general.</w:t>
      </w:r>
    </w:p>
    <w:p w:rsidR="00C43A06" w:rsidRPr="00C43A06" w:rsidRDefault="00C43A06" w:rsidP="00C43A06">
      <w:pPr>
        <w:pStyle w:val="SingleTxt"/>
        <w:spacing w:after="0" w:line="120" w:lineRule="exact"/>
        <w:rPr>
          <w:sz w:val="10"/>
        </w:rPr>
      </w:pPr>
    </w:p>
    <w:p w:rsidR="00C43A06" w:rsidRDefault="00C43A06" w:rsidP="00C43A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E93313">
        <w:t>Educación para la salud y la vida familiar</w:t>
      </w:r>
    </w:p>
    <w:p w:rsidR="00C43A06" w:rsidRPr="00C43A06" w:rsidRDefault="00C43A06" w:rsidP="00C43A06">
      <w:pPr>
        <w:pStyle w:val="SingleTxt"/>
        <w:spacing w:after="0" w:line="120" w:lineRule="exact"/>
        <w:rPr>
          <w:sz w:val="10"/>
        </w:rPr>
      </w:pPr>
    </w:p>
    <w:p w:rsidR="00C43A06" w:rsidRPr="00E93313" w:rsidRDefault="00C43A06" w:rsidP="00C43A06">
      <w:pPr>
        <w:pStyle w:val="SingleTxt"/>
        <w:numPr>
          <w:ilvl w:val="0"/>
          <w:numId w:val="11"/>
        </w:numPr>
        <w:tabs>
          <w:tab w:val="clear" w:pos="475"/>
          <w:tab w:val="num" w:pos="1742"/>
        </w:tabs>
        <w:ind w:left="1267"/>
      </w:pPr>
      <w:r w:rsidRPr="00E93313">
        <w:t>La educación para la salud y la vida familiar es obligatoria en las escuelas públicas y el plan de estudios se ha puesto al día a fin de combatir los estereotipos de género.</w:t>
      </w:r>
    </w:p>
    <w:p w:rsidR="00C43A06" w:rsidRPr="00C43A06" w:rsidRDefault="00C43A06" w:rsidP="00C43A06">
      <w:pPr>
        <w:pStyle w:val="SingleTxt"/>
        <w:spacing w:after="0" w:line="120" w:lineRule="exact"/>
        <w:rPr>
          <w:sz w:val="10"/>
        </w:rPr>
      </w:pPr>
    </w:p>
    <w:p w:rsidR="00C43A06" w:rsidRDefault="00C43A06" w:rsidP="00C43A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 xml:space="preserve">Violencia conyugal </w:t>
      </w:r>
    </w:p>
    <w:p w:rsidR="00C43A06" w:rsidRPr="00C43A06" w:rsidRDefault="00C43A06" w:rsidP="00C43A06">
      <w:pPr>
        <w:pStyle w:val="SingleTxt"/>
        <w:spacing w:after="0" w:line="120" w:lineRule="exact"/>
        <w:rPr>
          <w:sz w:val="10"/>
        </w:rPr>
      </w:pPr>
    </w:p>
    <w:p w:rsidR="00C43A06" w:rsidRPr="00E93313" w:rsidRDefault="00C43A06" w:rsidP="00C43A06">
      <w:pPr>
        <w:pStyle w:val="SingleTxt"/>
        <w:numPr>
          <w:ilvl w:val="0"/>
          <w:numId w:val="11"/>
        </w:numPr>
        <w:tabs>
          <w:tab w:val="clear" w:pos="475"/>
          <w:tab w:val="num" w:pos="1742"/>
        </w:tabs>
        <w:ind w:left="1267"/>
      </w:pPr>
      <w:r w:rsidRPr="00E93313">
        <w:t xml:space="preserve">Las mujeres siguen siendo las principales víctimas de la violencia </w:t>
      </w:r>
      <w:r>
        <w:t>conyugal</w:t>
      </w:r>
      <w:r w:rsidRPr="00E93313">
        <w:t>. No obstante, según el Centro de Crisis de las Bahamas ha aumentado el número de hombres en busca de ayuda en relación con su vida conyugal.</w:t>
      </w:r>
    </w:p>
    <w:p w:rsidR="00C43A06" w:rsidRDefault="00C43A06" w:rsidP="00C43A06">
      <w:pPr>
        <w:pStyle w:val="SingleTxt"/>
        <w:numPr>
          <w:ilvl w:val="0"/>
          <w:numId w:val="11"/>
        </w:numPr>
        <w:tabs>
          <w:tab w:val="clear" w:pos="475"/>
          <w:tab w:val="num" w:pos="1742"/>
        </w:tabs>
        <w:ind w:left="1267"/>
      </w:pPr>
      <w:r w:rsidRPr="00E93313">
        <w:t>Entre las iniciativas adoptadas para combatir la violencia contra la mujer figuran:</w:t>
      </w:r>
    </w:p>
    <w:p w:rsidR="00C43A06" w:rsidRDefault="00C43A06" w:rsidP="00C43A06">
      <w:pPr>
        <w:pStyle w:val="SingleTxt"/>
        <w:tabs>
          <w:tab w:val="right" w:pos="1685"/>
        </w:tabs>
        <w:suppressAutoHyphens/>
        <w:ind w:left="1742" w:hanging="475"/>
      </w:pPr>
      <w:r>
        <w:tab/>
        <w:t>•</w:t>
      </w:r>
      <w:r>
        <w:tab/>
      </w:r>
      <w:r w:rsidRPr="00E93313">
        <w:t>La promulgación de la Ley sobre la violencia en el hogar (</w:t>
      </w:r>
      <w:r>
        <w:t xml:space="preserve">Ley sobre </w:t>
      </w:r>
      <w:r w:rsidRPr="00E93313">
        <w:t xml:space="preserve">órdenes de protección) de 2007, documento legislativo de trascendencia histórica que revolucionó </w:t>
      </w:r>
      <w:r>
        <w:t xml:space="preserve">la consideración </w:t>
      </w:r>
      <w:r w:rsidRPr="00E93313">
        <w:t xml:space="preserve">de la violencia </w:t>
      </w:r>
      <w:r>
        <w:t xml:space="preserve">dentro de la </w:t>
      </w:r>
      <w:r w:rsidRPr="00E93313">
        <w:t>pareja</w:t>
      </w:r>
      <w:r>
        <w:t>;</w:t>
      </w:r>
      <w:r w:rsidRPr="00E93313">
        <w:t xml:space="preserve"> la ley proporciona una definición amplia de la violencia en el hogar, tipifica como delito el acoso y el hostigamiento y faculta a los tribunales para </w:t>
      </w:r>
      <w:r>
        <w:t xml:space="preserve">dictar </w:t>
      </w:r>
      <w:r w:rsidRPr="00E93313">
        <w:t xml:space="preserve">órdenes contra los perpetradores de </w:t>
      </w:r>
      <w:r>
        <w:t>malos tratos</w:t>
      </w:r>
    </w:p>
    <w:p w:rsidR="00C43A06" w:rsidRDefault="00C43A06" w:rsidP="00C43A06">
      <w:pPr>
        <w:pStyle w:val="SingleTxt"/>
        <w:tabs>
          <w:tab w:val="right" w:pos="1685"/>
        </w:tabs>
        <w:suppressAutoHyphens/>
        <w:ind w:left="1742" w:hanging="475"/>
      </w:pPr>
      <w:r>
        <w:tab/>
        <w:t>•</w:t>
      </w:r>
      <w:r>
        <w:tab/>
      </w:r>
      <w:r w:rsidRPr="00E93313">
        <w:t>El establecimiento de una línea telefónica de emergencia operada por el Centro de Crisis de las Bahamas las 24 horas del día</w:t>
      </w:r>
    </w:p>
    <w:p w:rsidR="00C43A06" w:rsidRDefault="00C43A06" w:rsidP="00C43A06">
      <w:pPr>
        <w:pStyle w:val="SingleTxt"/>
        <w:tabs>
          <w:tab w:val="right" w:pos="1685"/>
        </w:tabs>
        <w:suppressAutoHyphens/>
        <w:ind w:left="1742" w:hanging="475"/>
      </w:pPr>
      <w:r>
        <w:tab/>
        <w:t>•</w:t>
      </w:r>
      <w:r>
        <w:tab/>
      </w:r>
      <w:r w:rsidRPr="00E93313">
        <w:t>La realización de talleres, seminarios y debates públicos</w:t>
      </w:r>
    </w:p>
    <w:p w:rsidR="00C43A06" w:rsidRDefault="00C43A06" w:rsidP="00C43A06">
      <w:pPr>
        <w:pStyle w:val="SingleTxt"/>
        <w:tabs>
          <w:tab w:val="right" w:pos="1685"/>
        </w:tabs>
        <w:suppressAutoHyphens/>
        <w:ind w:left="1742" w:hanging="475"/>
      </w:pPr>
      <w:r>
        <w:tab/>
        <w:t>•</w:t>
      </w:r>
      <w:r>
        <w:tab/>
      </w:r>
      <w:r w:rsidRPr="00E93313">
        <w:t>La inclusión en el programa de educación para la salud y la vida familiar de cuestiones relativas a la resolución de conflictos</w:t>
      </w:r>
    </w:p>
    <w:p w:rsidR="00C43A06" w:rsidRDefault="00C43A06" w:rsidP="00C43A06">
      <w:pPr>
        <w:pStyle w:val="SingleTxt"/>
        <w:tabs>
          <w:tab w:val="right" w:pos="1685"/>
        </w:tabs>
        <w:suppressAutoHyphens/>
        <w:ind w:left="1742" w:hanging="475"/>
      </w:pPr>
      <w:r>
        <w:tab/>
        <w:t>•</w:t>
      </w:r>
      <w:r>
        <w:tab/>
      </w:r>
      <w:r w:rsidRPr="00E93313">
        <w:t xml:space="preserve">El establecimiento de sendas dependencias </w:t>
      </w:r>
      <w:r>
        <w:t>policiales</w:t>
      </w:r>
      <w:r w:rsidRPr="00E93313">
        <w:t xml:space="preserve"> encargadas de combatir los delitos sexuales y la violencia en el hogar, incluida la capacitación de </w:t>
      </w:r>
      <w:r>
        <w:t>sus agentes</w:t>
      </w:r>
    </w:p>
    <w:p w:rsidR="00C43A06" w:rsidRDefault="00C43A06" w:rsidP="00C43A06">
      <w:pPr>
        <w:pStyle w:val="SingleTxt"/>
        <w:tabs>
          <w:tab w:val="right" w:pos="1685"/>
        </w:tabs>
        <w:suppressAutoHyphens/>
        <w:ind w:left="1742" w:hanging="475"/>
      </w:pPr>
      <w:r>
        <w:tab/>
        <w:t>•</w:t>
      </w:r>
      <w:r>
        <w:tab/>
      </w:r>
      <w:r w:rsidRPr="00E93313">
        <w:t xml:space="preserve">La realización de talleres jurídicos patrocinados por </w:t>
      </w:r>
      <w:r>
        <w:t xml:space="preserve">hermandades </w:t>
      </w:r>
      <w:r w:rsidRPr="00E93313">
        <w:t>de mujeres para educar a sus congéneres acerca de sus derechos</w:t>
      </w:r>
    </w:p>
    <w:p w:rsidR="00C43A06" w:rsidRDefault="00C43A06" w:rsidP="00C43A06">
      <w:pPr>
        <w:pStyle w:val="SingleTxt"/>
        <w:tabs>
          <w:tab w:val="right" w:pos="1685"/>
        </w:tabs>
        <w:suppressAutoHyphens/>
        <w:ind w:left="1742" w:hanging="475"/>
      </w:pPr>
      <w:r>
        <w:tab/>
        <w:t>•</w:t>
      </w:r>
      <w:r>
        <w:tab/>
      </w:r>
      <w:r w:rsidRPr="00E93313">
        <w:t xml:space="preserve">La </w:t>
      </w:r>
      <w:r>
        <w:t xml:space="preserve">inclusión </w:t>
      </w:r>
      <w:r w:rsidRPr="00E93313">
        <w:t xml:space="preserve">de </w:t>
      </w:r>
      <w:r>
        <w:t xml:space="preserve">fervientes </w:t>
      </w:r>
      <w:r w:rsidRPr="00E93313">
        <w:t>artículos y debates en medios de comunicación electrónicos e impresos</w:t>
      </w:r>
    </w:p>
    <w:p w:rsidR="00C43A06" w:rsidRDefault="00C43A06" w:rsidP="00C43A06">
      <w:pPr>
        <w:pStyle w:val="SingleTxt"/>
        <w:tabs>
          <w:tab w:val="right" w:pos="1685"/>
        </w:tabs>
        <w:suppressAutoHyphens/>
        <w:ind w:left="1742" w:hanging="475"/>
      </w:pPr>
      <w:r>
        <w:tab/>
        <w:t>•</w:t>
      </w:r>
      <w:r>
        <w:tab/>
      </w:r>
      <w:r w:rsidRPr="00E93313">
        <w:t>El establecimiento en las Bahamas de una filial de Caribbean Male Action Network (cariMAN), organización no gubernamental encabezada por hombres que, en cooperación con organizaciones de mujeres, se esfuerzan por poner fin a la violencia basada en el género</w:t>
      </w:r>
      <w:r>
        <w:t>.</w:t>
      </w:r>
    </w:p>
    <w:p w:rsidR="00D62F8D" w:rsidRPr="00D62F8D" w:rsidRDefault="00D62F8D" w:rsidP="00D62F8D">
      <w:pPr>
        <w:pStyle w:val="SingleTxt"/>
        <w:tabs>
          <w:tab w:val="right" w:pos="1685"/>
        </w:tabs>
        <w:suppressAutoHyphens/>
        <w:spacing w:after="0" w:line="120" w:lineRule="exact"/>
        <w:ind w:left="1742" w:hanging="475"/>
        <w:rPr>
          <w:sz w:val="10"/>
        </w:rPr>
      </w:pPr>
    </w:p>
    <w:p w:rsidR="00D62F8D" w:rsidRPr="00DA4998" w:rsidRDefault="00D62F8D" w:rsidP="00D62F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DA4998">
        <w:tab/>
      </w:r>
      <w:r w:rsidRPr="00DA4998">
        <w:tab/>
        <w:t>Educación sobre la resolución de conflictos para las mujeres y los hombres</w:t>
      </w:r>
    </w:p>
    <w:p w:rsidR="00D62F8D" w:rsidRPr="00D62F8D" w:rsidRDefault="00D62F8D" w:rsidP="00D62F8D">
      <w:pPr>
        <w:pStyle w:val="SingleTxt"/>
        <w:spacing w:after="0" w:line="120" w:lineRule="exact"/>
        <w:rPr>
          <w:sz w:val="10"/>
        </w:rPr>
      </w:pPr>
    </w:p>
    <w:p w:rsidR="00D62F8D" w:rsidRPr="00DA4998" w:rsidRDefault="00D62F8D" w:rsidP="00D62F8D">
      <w:pPr>
        <w:pStyle w:val="SingleTxt"/>
        <w:numPr>
          <w:ilvl w:val="0"/>
          <w:numId w:val="11"/>
        </w:numPr>
        <w:tabs>
          <w:tab w:val="clear" w:pos="475"/>
          <w:tab w:val="num" w:pos="1742"/>
        </w:tabs>
        <w:ind w:left="1267"/>
      </w:pPr>
      <w:r w:rsidRPr="00DA4998">
        <w:t xml:space="preserve">Los programas de educación sobre la resolución de conflictos son impartidos por grupos religiosos y otros grupos cívicos interesados en la promoción de conductas no violentas. El Ministerio de Salud, por intermedio del Servicio de Salud Mental, ofrece un programa de control de la agresividad de seis semanas de duración a través de su centro comunitario de asesoramiento y evaluación. La Iglesia Católica Romana puso en marcha un programa para hombres que maltratan a las mujeres. La Real Fuerza de Policía de las Bahamas también promueve actividades de capacitación para la mediación en las comunidades y las escuelas y el Centro de Crisis de las Bahamas ha instrumentado una </w:t>
      </w:r>
      <w:r>
        <w:t>“</w:t>
      </w:r>
      <w:r w:rsidRPr="00DA4998">
        <w:t>Campaña en favor de la paz</w:t>
      </w:r>
      <w:r>
        <w:t>”</w:t>
      </w:r>
      <w:r w:rsidRPr="00DA4998">
        <w:t xml:space="preserve"> en las escuelas públicas y privadas.</w:t>
      </w:r>
    </w:p>
    <w:p w:rsidR="00D62F8D" w:rsidRPr="00D62F8D" w:rsidRDefault="00D62F8D" w:rsidP="00D62F8D">
      <w:pPr>
        <w:pStyle w:val="SingleTxt"/>
        <w:spacing w:after="0" w:line="120" w:lineRule="exact"/>
        <w:rPr>
          <w:sz w:val="10"/>
        </w:rPr>
      </w:pPr>
    </w:p>
    <w:p w:rsidR="00D62F8D" w:rsidRPr="00DA4998" w:rsidRDefault="00D62F8D" w:rsidP="00D62F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162" w:hanging="1267"/>
      </w:pPr>
      <w:r w:rsidRPr="00DA4998">
        <w:tab/>
      </w:r>
      <w:r w:rsidRPr="00DA4998">
        <w:tab/>
        <w:t>Iniciativas de sensibilización sobre la violencia en el hogar para los</w:t>
      </w:r>
      <w:r>
        <w:t xml:space="preserve"> </w:t>
      </w:r>
      <w:r w:rsidRPr="00DA4998">
        <w:t>funcionarios encargados de hacer cumplir la ley</w:t>
      </w:r>
    </w:p>
    <w:p w:rsidR="00D62F8D" w:rsidRPr="00D62F8D" w:rsidRDefault="00D62F8D" w:rsidP="00D62F8D">
      <w:pPr>
        <w:pStyle w:val="SingleTxt"/>
        <w:spacing w:after="0" w:line="120" w:lineRule="exact"/>
        <w:rPr>
          <w:sz w:val="10"/>
        </w:rPr>
      </w:pPr>
    </w:p>
    <w:p w:rsidR="00D62F8D" w:rsidRPr="00DA4998" w:rsidRDefault="00D62F8D" w:rsidP="00D62F8D">
      <w:pPr>
        <w:pStyle w:val="SingleTxt"/>
        <w:numPr>
          <w:ilvl w:val="0"/>
          <w:numId w:val="11"/>
        </w:numPr>
        <w:tabs>
          <w:tab w:val="clear" w:pos="475"/>
          <w:tab w:val="num" w:pos="1742"/>
        </w:tabs>
        <w:ind w:left="1267"/>
      </w:pPr>
      <w:r w:rsidRPr="00DA4998">
        <w:t xml:space="preserve">En 2010, se pusieron en marcha en la escuela de la Real Fuerza de Policía de las Bahamas cursos trimestrales de capacitación para agentes de policía a fin de mejorar sus aptitudes en la prestación de ayuda a las víctimas de la violencia doméstica. Las </w:t>
      </w:r>
      <w:r>
        <w:t>comisarías</w:t>
      </w:r>
      <w:r w:rsidRPr="00DA4998">
        <w:t xml:space="preserve"> de policía de todo el país reciben denuncias de actos de violencia contra las mujeres y deben presentar informes escritos sobre esos casos. También tienen la obligación de responder a las personas que denuncien incidentes de violencia en el hogar, conforme a lo establecido en la sección 27 de la Ley sobre la violencia en el hogar (Ley sobre órdenes de protección) de 2007.</w:t>
      </w:r>
    </w:p>
    <w:p w:rsidR="00D62F8D" w:rsidRPr="00DA4998" w:rsidRDefault="00D62F8D" w:rsidP="00D62F8D">
      <w:pPr>
        <w:pStyle w:val="SingleTxt"/>
        <w:numPr>
          <w:ilvl w:val="0"/>
          <w:numId w:val="11"/>
        </w:numPr>
        <w:tabs>
          <w:tab w:val="clear" w:pos="475"/>
          <w:tab w:val="num" w:pos="1742"/>
        </w:tabs>
        <w:ind w:left="1267"/>
      </w:pPr>
      <w:r w:rsidRPr="00DA4998">
        <w:t xml:space="preserve">Gracias a la amplia capacitación de la Real Fuerza de Policía de las Bahamas en materia de violencia en el hogar y a la revisión de sus procedimientos para procesar esas denuncias, en la actualidad la policía investiga activamente esos casos. La policía ha adoptado el criterio de que todas las denuncias recibidas pueden ser retiradas </w:t>
      </w:r>
      <w:r>
        <w:t>solo</w:t>
      </w:r>
      <w:r w:rsidRPr="00DA4998">
        <w:t xml:space="preserve"> por el demandante ante el tribunal de primera instancia, una vez que se presenten cargos contra alguien en particular.</w:t>
      </w:r>
    </w:p>
    <w:p w:rsidR="00D62F8D" w:rsidRPr="00D62F8D" w:rsidRDefault="00D62F8D" w:rsidP="00D62F8D">
      <w:pPr>
        <w:pStyle w:val="SingleTxt"/>
        <w:spacing w:after="0" w:line="120" w:lineRule="exact"/>
        <w:rPr>
          <w:sz w:val="10"/>
        </w:rPr>
      </w:pPr>
    </w:p>
    <w:p w:rsidR="00D62F8D" w:rsidRPr="00DA4998" w:rsidRDefault="00D62F8D" w:rsidP="00D62F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DA4998">
        <w:tab/>
      </w:r>
      <w:r w:rsidRPr="00DA4998">
        <w:tab/>
        <w:t>Refugios para las víctimas de la violencia en el hogar</w:t>
      </w:r>
    </w:p>
    <w:p w:rsidR="00D62F8D" w:rsidRPr="00D62F8D" w:rsidRDefault="00D62F8D" w:rsidP="00D62F8D">
      <w:pPr>
        <w:pStyle w:val="SingleTxt"/>
        <w:spacing w:after="0" w:line="120" w:lineRule="exact"/>
        <w:rPr>
          <w:sz w:val="10"/>
        </w:rPr>
      </w:pPr>
    </w:p>
    <w:p w:rsidR="00D62F8D" w:rsidRPr="00DA4998" w:rsidRDefault="00D62F8D" w:rsidP="00D62F8D">
      <w:pPr>
        <w:pStyle w:val="SingleTxt"/>
        <w:numPr>
          <w:ilvl w:val="0"/>
          <w:numId w:val="11"/>
        </w:numPr>
        <w:tabs>
          <w:tab w:val="clear" w:pos="475"/>
          <w:tab w:val="num" w:pos="1742"/>
        </w:tabs>
        <w:ind w:left="1267"/>
      </w:pPr>
      <w:r w:rsidRPr="00DA4998">
        <w:t xml:space="preserve">Tres entidades privadas, en asociación con el Departamento de Servicios Sociales, administran refugios en que se presta asistencia a mujeres golpeadas, pero se necesitaría tener más refugios en todo el país. El Centro de Crisis también dirige una línea telefónica gratuita de emergencia que funciona las 24 horas del día para las víctimas de la violencia en el hogar en New Providence y </w:t>
      </w:r>
      <w:r w:rsidR="008340B8">
        <w:t xml:space="preserve">y las islas que constituyen </w:t>
      </w:r>
      <w:r w:rsidR="00620218">
        <w:t>la familia de las Bahamas</w:t>
      </w:r>
      <w:r w:rsidRPr="00DA4998">
        <w:t>. Gran</w:t>
      </w:r>
      <w:r w:rsidR="00FF6C8A">
        <w:t>d</w:t>
      </w:r>
      <w:r w:rsidRPr="00DA4998">
        <w:t xml:space="preserve"> Bahama cuenta con un centro de crisis que tiene su propia línea telefónica de emergencia las 24 horas.</w:t>
      </w:r>
    </w:p>
    <w:p w:rsidR="00D62F8D" w:rsidRPr="00D62F8D" w:rsidRDefault="00D62F8D" w:rsidP="00D62F8D">
      <w:pPr>
        <w:pStyle w:val="SingleTxt"/>
        <w:spacing w:after="0" w:line="120" w:lineRule="exact"/>
        <w:rPr>
          <w:sz w:val="10"/>
        </w:rPr>
      </w:pPr>
    </w:p>
    <w:p w:rsidR="00D62F8D" w:rsidRPr="00DA4998" w:rsidRDefault="00D62F8D" w:rsidP="00D62F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50" w:hanging="1267"/>
      </w:pPr>
      <w:r w:rsidRPr="00DA4998">
        <w:tab/>
      </w:r>
      <w:r w:rsidRPr="00DA4998">
        <w:tab/>
        <w:t>Trato que deben dispensar los funcionarios encargados de hacer cumplir</w:t>
      </w:r>
      <w:r>
        <w:t xml:space="preserve"> </w:t>
      </w:r>
      <w:r w:rsidRPr="00DA4998">
        <w:t>la ley a las víctimas de agresiones sexuales</w:t>
      </w:r>
    </w:p>
    <w:p w:rsidR="00D62F8D" w:rsidRPr="00D62F8D" w:rsidRDefault="00D62F8D" w:rsidP="00D62F8D">
      <w:pPr>
        <w:pStyle w:val="SingleTxt"/>
        <w:spacing w:after="0" w:line="120" w:lineRule="exact"/>
        <w:rPr>
          <w:sz w:val="10"/>
        </w:rPr>
      </w:pPr>
    </w:p>
    <w:p w:rsidR="00D62F8D" w:rsidRPr="00DA4998" w:rsidRDefault="00D62F8D" w:rsidP="00D62F8D">
      <w:pPr>
        <w:pStyle w:val="SingleTxt"/>
        <w:numPr>
          <w:ilvl w:val="0"/>
          <w:numId w:val="11"/>
        </w:numPr>
        <w:tabs>
          <w:tab w:val="clear" w:pos="475"/>
          <w:tab w:val="num" w:pos="1742"/>
        </w:tabs>
        <w:ind w:left="1267"/>
      </w:pPr>
      <w:r w:rsidRPr="00DA4998">
        <w:t>A lo largo de los años, la Real Fuerza de Policía de las Bahamas ha prestado una atención cada vez mayor a esta cuestión, en particular al trato que reciben las víctimas de agresiones sexuales, sean adultos o niños. Se han establecido dependencias de apoyo a las víctimas, en New Providence y Gran</w:t>
      </w:r>
      <w:r w:rsidR="00546B8D">
        <w:t>d</w:t>
      </w:r>
      <w:r w:rsidRPr="00DA4998">
        <w:t xml:space="preserve"> Bahama, con personal altamente capacitado cuya labor se centra en orientar a las víctimas de agresiones sexuales durante las investigaciones y mantenerlas informadas al respecto. Las víctimas también reciben apoyo para comparecer ante los tribunales.</w:t>
      </w:r>
    </w:p>
    <w:p w:rsidR="00D62F8D" w:rsidRPr="00DA4998" w:rsidRDefault="00D62F8D" w:rsidP="00D62F8D">
      <w:pPr>
        <w:pStyle w:val="SingleTxt"/>
        <w:numPr>
          <w:ilvl w:val="0"/>
          <w:numId w:val="11"/>
        </w:numPr>
        <w:tabs>
          <w:tab w:val="clear" w:pos="475"/>
          <w:tab w:val="num" w:pos="1742"/>
        </w:tabs>
        <w:ind w:left="1267"/>
      </w:pPr>
      <w:r w:rsidRPr="00DA4998">
        <w:t xml:space="preserve">Por otro lado, la policía ha establecido, en su Dependencia Central de Investigaciones, una sala para atender a mujeres que hayan </w:t>
      </w:r>
      <w:r>
        <w:t xml:space="preserve">sido </w:t>
      </w:r>
      <w:r w:rsidRPr="00DA4998">
        <w:t>víctimas de violaciones y otra sala especialmente dedicada a los niños; ambas salas ya funcionan a plena capacidad. Además, en la actualidad los investigadores policiales cuentan con la formación y los conocimientos necesarios en materia de asesoramiento y servicio social, y entre ellos figura una detective con un título de máster en asesoramiento clínico. Todos los agentes capacitados en la materia están en condiciones de ayudar a víctimas y testigos especiales (incluidos los implicados en casos de violencia en el hogar) durante las investigaciones.</w:t>
      </w:r>
    </w:p>
    <w:p w:rsidR="00D62F8D" w:rsidRPr="00D62F8D" w:rsidRDefault="00D62F8D" w:rsidP="00D62F8D">
      <w:pPr>
        <w:pStyle w:val="SingleTxt"/>
        <w:spacing w:after="0" w:line="120" w:lineRule="exact"/>
        <w:rPr>
          <w:sz w:val="10"/>
        </w:rPr>
      </w:pPr>
    </w:p>
    <w:p w:rsidR="00D62F8D" w:rsidRPr="00DA4998" w:rsidRDefault="00D62F8D" w:rsidP="00D62F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298" w:hanging="1267"/>
      </w:pPr>
      <w:r w:rsidRPr="00DA4998">
        <w:tab/>
      </w:r>
      <w:r w:rsidRPr="00DA4998">
        <w:tab/>
        <w:t>Medidas especiales encaminadas a solucionar el problema del abuso</w:t>
      </w:r>
      <w:r>
        <w:t xml:space="preserve"> </w:t>
      </w:r>
      <w:r w:rsidRPr="00DA4998">
        <w:t>sexual de los niños en las Bahamas</w:t>
      </w:r>
    </w:p>
    <w:p w:rsidR="00D62F8D" w:rsidRPr="00D62F8D" w:rsidRDefault="00D62F8D" w:rsidP="00D62F8D">
      <w:pPr>
        <w:pStyle w:val="SingleTxt"/>
        <w:spacing w:after="0" w:line="120" w:lineRule="exact"/>
        <w:rPr>
          <w:sz w:val="10"/>
        </w:rPr>
      </w:pPr>
    </w:p>
    <w:p w:rsidR="00D62F8D" w:rsidRPr="00DA4998" w:rsidRDefault="00D62F8D" w:rsidP="00D62F8D">
      <w:pPr>
        <w:pStyle w:val="SingleTxt"/>
        <w:numPr>
          <w:ilvl w:val="0"/>
          <w:numId w:val="11"/>
        </w:numPr>
        <w:tabs>
          <w:tab w:val="clear" w:pos="475"/>
          <w:tab w:val="num" w:pos="1742"/>
        </w:tabs>
        <w:ind w:left="1267"/>
      </w:pPr>
      <w:r w:rsidRPr="00DA4998">
        <w:t>En 1991 se penalizaron el incesto y el abuso sexual de niños y se estableció la obligatoriedad de notificar tales actos. Hace más de diez años que el Ministerio de Trabajo y Desarrollo Social puso en funcionamiento una línea telefónica nacional de emergencia para notificar los abusos de menores y nombró un Consejo Nacional de Protección de Menores, integrado por organismos gubernamentales y no gubernamentales, con el fin de prevenir el abuso de menores y protegerlos contra esos actos. Por su parte, el Ministerio de Salud estableció una dependencia de casos sospechosos de abuso y descuido de niños, encargada de intervenir y prestar asistencia a niños menores de 12 años de edad que sean víctimas de abusos. En 2007 se aprobó la Ley de protección del niño, en vigor desde 2009.</w:t>
      </w:r>
    </w:p>
    <w:p w:rsidR="00D62F8D" w:rsidRPr="00DA4998" w:rsidRDefault="00D62F8D" w:rsidP="00D62F8D">
      <w:pPr>
        <w:pStyle w:val="SingleTxt"/>
        <w:numPr>
          <w:ilvl w:val="0"/>
          <w:numId w:val="11"/>
        </w:numPr>
        <w:tabs>
          <w:tab w:val="clear" w:pos="475"/>
          <w:tab w:val="num" w:pos="1742"/>
        </w:tabs>
        <w:ind w:left="1267"/>
      </w:pPr>
      <w:r w:rsidRPr="00DA4998">
        <w:t xml:space="preserve">Ha aumentado la conciencia pública acerca de la violencia en el hogar y el maltrato infantil, lo que a su vez se ha traducido en un aumento del número de denuncias de casos de ese tipo desde la presentación del anterior informe periódico en 2009. No obstante, es necesario asignar más recursos a la capacitación en ese ámbito, en particular de los jóvenes, en las islas </w:t>
      </w:r>
      <w:r w:rsidR="00620218">
        <w:t>de la familia de las Bahamas</w:t>
      </w:r>
      <w:r w:rsidRPr="00DA4998">
        <w:t>.</w:t>
      </w:r>
    </w:p>
    <w:p w:rsidR="00D62F8D" w:rsidRPr="00D62F8D" w:rsidRDefault="00D62F8D" w:rsidP="00D62F8D">
      <w:pPr>
        <w:pStyle w:val="SingleTxt"/>
        <w:spacing w:after="0" w:line="120" w:lineRule="exact"/>
        <w:rPr>
          <w:sz w:val="10"/>
        </w:rPr>
      </w:pPr>
    </w:p>
    <w:p w:rsidR="00D62F8D" w:rsidRPr="00D62F8D" w:rsidRDefault="00D62F8D" w:rsidP="00D62F8D">
      <w:pPr>
        <w:pStyle w:val="SingleTxt"/>
        <w:spacing w:after="0" w:line="120" w:lineRule="exact"/>
        <w:rPr>
          <w:sz w:val="10"/>
        </w:rPr>
      </w:pPr>
    </w:p>
    <w:p w:rsidR="00D62F8D" w:rsidRPr="00DA4998" w:rsidRDefault="00D62F8D" w:rsidP="00D62F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DA4998">
        <w:tab/>
      </w:r>
      <w:r w:rsidRPr="00DA4998">
        <w:tab/>
        <w:t>Artículo 6</w:t>
      </w:r>
      <w:r>
        <w:t>: E</w:t>
      </w:r>
      <w:r w:rsidRPr="00DA4998">
        <w:t>xplotación de la mujer</w:t>
      </w:r>
    </w:p>
    <w:p w:rsidR="00D62F8D" w:rsidRPr="00D62F8D" w:rsidRDefault="00D62F8D" w:rsidP="00D62F8D">
      <w:pPr>
        <w:pStyle w:val="SingleTxt"/>
        <w:spacing w:after="0" w:line="120" w:lineRule="exact"/>
        <w:rPr>
          <w:sz w:val="10"/>
        </w:rPr>
      </w:pPr>
    </w:p>
    <w:p w:rsidR="00D62F8D" w:rsidRPr="00DA4998" w:rsidRDefault="00D62F8D" w:rsidP="00D62F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DA4998">
        <w:tab/>
      </w:r>
      <w:r w:rsidRPr="00DA4998">
        <w:tab/>
        <w:t>Trata de personas</w:t>
      </w:r>
    </w:p>
    <w:p w:rsidR="00D62F8D" w:rsidRPr="00D62F8D" w:rsidRDefault="00D62F8D" w:rsidP="00D62F8D">
      <w:pPr>
        <w:pStyle w:val="SingleTxt"/>
        <w:spacing w:after="0" w:line="120" w:lineRule="exact"/>
        <w:rPr>
          <w:sz w:val="10"/>
        </w:rPr>
      </w:pPr>
    </w:p>
    <w:p w:rsidR="00D62F8D" w:rsidRPr="00DA4998" w:rsidRDefault="00D62F8D" w:rsidP="00D62F8D">
      <w:pPr>
        <w:pStyle w:val="SingleTxt"/>
        <w:numPr>
          <w:ilvl w:val="0"/>
          <w:numId w:val="11"/>
        </w:numPr>
        <w:tabs>
          <w:tab w:val="clear" w:pos="475"/>
          <w:tab w:val="num" w:pos="1742"/>
        </w:tabs>
        <w:ind w:left="1267"/>
      </w:pPr>
      <w:r w:rsidRPr="00DA4998">
        <w:t>A finales de 2009, en un esfuerzo por educar y formar al público en relación con la trata de personas y dotarlo de las competencias necesarias para identificar y ayudar a víctimas de la trata, la Oficina de Asuntos de la Mujer, en colaboración con la Organización Internacional para las Migraciones (OIM), llevó a cabo una serie de cursos de capacitación de instructores en las islas de New Providence, Gran</w:t>
      </w:r>
      <w:r w:rsidR="00546B8D">
        <w:t>d</w:t>
      </w:r>
      <w:r w:rsidRPr="00DA4998">
        <w:t xml:space="preserve"> Bahama, Abaco y Eleuthera. Chissey Mueller, Directora de Programas de la OIM, facilitó la realización de todos los cursos, con la ayuda de instructores bahameses que habían sido capacitados en el primer curso impartido en New Providence.</w:t>
      </w:r>
    </w:p>
    <w:p w:rsidR="00D62F8D" w:rsidRPr="00DA4998" w:rsidRDefault="00D62F8D" w:rsidP="00D62F8D">
      <w:pPr>
        <w:pStyle w:val="SingleTxt"/>
        <w:numPr>
          <w:ilvl w:val="0"/>
          <w:numId w:val="11"/>
        </w:numPr>
        <w:tabs>
          <w:tab w:val="clear" w:pos="475"/>
          <w:tab w:val="num" w:pos="1742"/>
        </w:tabs>
        <w:ind w:left="1267"/>
      </w:pPr>
      <w:r w:rsidRPr="00DA4998">
        <w:t xml:space="preserve">La OIM también patrocinó la participación de la nueva jefa de la Oficina, que asumió el cargo a principios de octubre, en la Conferencia del Caribe contra la Trata, celebrada del 26 al 28 de octubre </w:t>
      </w:r>
      <w:r>
        <w:t xml:space="preserve">de </w:t>
      </w:r>
      <w:r w:rsidRPr="00DA4998">
        <w:t>2010 en Miami (Florida).</w:t>
      </w:r>
    </w:p>
    <w:p w:rsidR="00D62F8D" w:rsidRPr="00DA4998" w:rsidRDefault="00D62F8D" w:rsidP="00D62F8D">
      <w:pPr>
        <w:pStyle w:val="SingleTxt"/>
        <w:numPr>
          <w:ilvl w:val="0"/>
          <w:numId w:val="11"/>
        </w:numPr>
        <w:tabs>
          <w:tab w:val="clear" w:pos="475"/>
          <w:tab w:val="num" w:pos="1742"/>
        </w:tabs>
        <w:ind w:left="1267"/>
      </w:pPr>
      <w:r w:rsidRPr="00DA4998">
        <w:t>La Oficina también contrató a un productor para difundir anuncios de interés público en la televisión sobre la trata de personas.</w:t>
      </w:r>
    </w:p>
    <w:p w:rsidR="00D62F8D" w:rsidRPr="00D62F8D" w:rsidRDefault="00D62F8D" w:rsidP="00D62F8D">
      <w:pPr>
        <w:pStyle w:val="SingleTxt"/>
        <w:spacing w:after="0" w:line="120" w:lineRule="exact"/>
        <w:rPr>
          <w:sz w:val="10"/>
        </w:rPr>
      </w:pPr>
    </w:p>
    <w:p w:rsidR="00D62F8D" w:rsidRPr="00DA4998" w:rsidRDefault="00D62F8D" w:rsidP="00D62F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DA4998">
        <w:tab/>
      </w:r>
      <w:r w:rsidRPr="00DA4998">
        <w:tab/>
        <w:t>Violencia contra la mujer</w:t>
      </w:r>
    </w:p>
    <w:p w:rsidR="00D62F8D" w:rsidRPr="00D62F8D" w:rsidRDefault="00D62F8D" w:rsidP="00D62F8D">
      <w:pPr>
        <w:pStyle w:val="SingleTxt"/>
        <w:spacing w:after="0" w:line="120" w:lineRule="exact"/>
        <w:rPr>
          <w:sz w:val="10"/>
        </w:rPr>
      </w:pPr>
    </w:p>
    <w:p w:rsidR="00D62F8D" w:rsidRPr="00DA4998" w:rsidRDefault="00D62F8D" w:rsidP="00D62F8D">
      <w:pPr>
        <w:pStyle w:val="SingleTxt"/>
        <w:numPr>
          <w:ilvl w:val="0"/>
          <w:numId w:val="11"/>
        </w:numPr>
        <w:tabs>
          <w:tab w:val="clear" w:pos="475"/>
          <w:tab w:val="num" w:pos="1742"/>
        </w:tabs>
        <w:ind w:left="1267"/>
      </w:pPr>
      <w:r w:rsidRPr="00DA4998">
        <w:t>Si bien en la legislación vigente no existen disposiciones que definan en particular la violencia contra la mujer, en todas las leyes pertinentes se caracteriza la violencia basada en el género como conducta delictiva e inaceptable. Entre esas leyes figuran la Ley sobre los delitos sexuales de 1991 (oficialmente denominada Ley sobre los delitos sexuales y la violencia en el hogar), la Ley sobre los delitos sexuales (enmendada) de 2008, la Ley sobre la violencia en el hogar (Ley sobre órdenes de protección) de 2007, la Ley de protección del niño de 2007 y el Código Penal (1924). Todas estas leyes abarcan conductas delictivas tanto en el ámbito público como el privado.</w:t>
      </w:r>
    </w:p>
    <w:p w:rsidR="00D62F8D" w:rsidRPr="00DA4998" w:rsidRDefault="00D62F8D" w:rsidP="00D62F8D">
      <w:pPr>
        <w:pStyle w:val="SingleTxt"/>
        <w:numPr>
          <w:ilvl w:val="0"/>
          <w:numId w:val="11"/>
        </w:numPr>
        <w:tabs>
          <w:tab w:val="clear" w:pos="475"/>
          <w:tab w:val="num" w:pos="1742"/>
        </w:tabs>
        <w:ind w:left="1267"/>
      </w:pPr>
      <w:r w:rsidRPr="00DA4998">
        <w:t>Además de la reforma legislativa y los programas de educación pública y sensibilización, las Bahamas han prestado especial atención a la formación de profesionales en el combate contra la violencia y la ayuda a las víctimas.</w:t>
      </w:r>
    </w:p>
    <w:p w:rsidR="00D62F8D" w:rsidRPr="00D62F8D" w:rsidRDefault="00D62F8D" w:rsidP="00D62F8D">
      <w:pPr>
        <w:pStyle w:val="SingleTxt"/>
        <w:spacing w:after="0" w:line="120" w:lineRule="exact"/>
        <w:rPr>
          <w:sz w:val="10"/>
        </w:rPr>
      </w:pPr>
    </w:p>
    <w:p w:rsidR="00D62F8D" w:rsidRPr="00D62F8D" w:rsidRDefault="00D62F8D" w:rsidP="00D62F8D">
      <w:pPr>
        <w:pStyle w:val="SingleTxt"/>
        <w:spacing w:after="0" w:line="120" w:lineRule="exact"/>
        <w:rPr>
          <w:sz w:val="10"/>
        </w:rPr>
      </w:pPr>
    </w:p>
    <w:p w:rsidR="00D62F8D" w:rsidRPr="00DA4998" w:rsidRDefault="00D62F8D" w:rsidP="00D62F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DA4998">
        <w:tab/>
      </w:r>
      <w:r w:rsidRPr="00DA4998">
        <w:tab/>
        <w:t>Artículo 7</w:t>
      </w:r>
      <w:r>
        <w:t xml:space="preserve">: </w:t>
      </w:r>
      <w:r w:rsidR="00720903">
        <w:t>P</w:t>
      </w:r>
      <w:r w:rsidRPr="00DA4998">
        <w:t>articipación en la vida pública y política</w:t>
      </w:r>
    </w:p>
    <w:p w:rsidR="00D62F8D" w:rsidRPr="00D62F8D" w:rsidRDefault="00D62F8D" w:rsidP="00D62F8D">
      <w:pPr>
        <w:pStyle w:val="SingleTxt"/>
        <w:spacing w:after="0" w:line="120" w:lineRule="exact"/>
        <w:rPr>
          <w:sz w:val="10"/>
        </w:rPr>
      </w:pPr>
    </w:p>
    <w:p w:rsidR="00D62F8D" w:rsidRPr="00D62F8D" w:rsidRDefault="00D62F8D" w:rsidP="00D62F8D">
      <w:pPr>
        <w:pStyle w:val="SingleTxt"/>
        <w:spacing w:after="0" w:line="120" w:lineRule="exact"/>
        <w:rPr>
          <w:sz w:val="10"/>
        </w:rPr>
      </w:pPr>
    </w:p>
    <w:p w:rsidR="00D62F8D" w:rsidRPr="00DA4998" w:rsidRDefault="00D62F8D" w:rsidP="00D62F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DA4998">
        <w:tab/>
      </w:r>
      <w:r w:rsidRPr="00DA4998">
        <w:tab/>
        <w:t>Igualdad de derechos de voto y participación en las elecciones</w:t>
      </w:r>
    </w:p>
    <w:p w:rsidR="00D62F8D" w:rsidRPr="00D62F8D" w:rsidRDefault="00D62F8D" w:rsidP="00D62F8D">
      <w:pPr>
        <w:pStyle w:val="SingleTxt"/>
        <w:spacing w:after="0" w:line="120" w:lineRule="exact"/>
        <w:rPr>
          <w:sz w:val="10"/>
        </w:rPr>
      </w:pPr>
    </w:p>
    <w:p w:rsidR="00D62F8D" w:rsidRPr="00DA4998" w:rsidRDefault="00D62F8D" w:rsidP="00D62F8D">
      <w:pPr>
        <w:pStyle w:val="SingleTxt"/>
        <w:numPr>
          <w:ilvl w:val="0"/>
          <w:numId w:val="11"/>
        </w:numPr>
        <w:tabs>
          <w:tab w:val="clear" w:pos="475"/>
          <w:tab w:val="num" w:pos="1742"/>
        </w:tabs>
        <w:ind w:left="1267"/>
      </w:pPr>
      <w:r w:rsidRPr="00DA4998">
        <w:t>Las mujeres de las Bahamas tienen el derecho a votar en cualquier elección y participar en las elecciones en igualdad de condiciones con los hombres. En 1961, las mujeres de las Bahamas obtuvieron el derecho parcial</w:t>
      </w:r>
      <w:r>
        <w:t xml:space="preserve"> </w:t>
      </w:r>
      <w:r w:rsidRPr="00DA4998">
        <w:t>al voto y en 1962 lograron plenos derechos. No existen, por tanto, restricciones legales al derecho de voto de las mujeres o los hombres en todas las elecciones y referéndums públicos, ni al derecho a presentarse a todos los organismos públicos electivos.</w:t>
      </w:r>
    </w:p>
    <w:p w:rsidR="00D62F8D" w:rsidRPr="00D62F8D" w:rsidRDefault="00D62F8D" w:rsidP="00D62F8D">
      <w:pPr>
        <w:pStyle w:val="SingleTxt"/>
        <w:spacing w:after="0" w:line="120" w:lineRule="exact"/>
        <w:rPr>
          <w:sz w:val="10"/>
        </w:rPr>
      </w:pPr>
    </w:p>
    <w:p w:rsidR="00D62F8D" w:rsidRPr="00DA4998" w:rsidRDefault="00D62F8D" w:rsidP="00D62F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DA4998">
        <w:tab/>
      </w:r>
      <w:r w:rsidRPr="00DA4998">
        <w:tab/>
        <w:t>Porcentaje de mujeres que participan en las elecciones</w:t>
      </w:r>
    </w:p>
    <w:p w:rsidR="00D62F8D" w:rsidRPr="00D62F8D" w:rsidRDefault="00D62F8D" w:rsidP="00D62F8D">
      <w:pPr>
        <w:pStyle w:val="SingleTxt"/>
        <w:spacing w:after="0" w:line="120" w:lineRule="exact"/>
        <w:rPr>
          <w:sz w:val="10"/>
        </w:rPr>
      </w:pPr>
    </w:p>
    <w:p w:rsidR="00D62F8D" w:rsidRPr="00DA4998" w:rsidRDefault="00D62F8D" w:rsidP="00D62F8D">
      <w:pPr>
        <w:pStyle w:val="SingleTxt"/>
        <w:numPr>
          <w:ilvl w:val="0"/>
          <w:numId w:val="11"/>
        </w:numPr>
        <w:tabs>
          <w:tab w:val="clear" w:pos="475"/>
          <w:tab w:val="num" w:pos="1742"/>
        </w:tabs>
        <w:ind w:left="1267"/>
      </w:pPr>
      <w:r w:rsidRPr="00DA4998">
        <w:t>Desde la presentación del informe anterior no ha habido elecciones.</w:t>
      </w:r>
    </w:p>
    <w:p w:rsidR="00D62F8D" w:rsidRPr="00D62F8D" w:rsidRDefault="00D62F8D" w:rsidP="00D62F8D">
      <w:pPr>
        <w:pStyle w:val="SingleTxt"/>
        <w:spacing w:after="0" w:line="120" w:lineRule="exact"/>
        <w:rPr>
          <w:sz w:val="10"/>
        </w:rPr>
      </w:pPr>
    </w:p>
    <w:p w:rsidR="00D62F8D" w:rsidRPr="00DA4998" w:rsidRDefault="00D62F8D" w:rsidP="00D62F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DA4998">
        <w:tab/>
      </w:r>
      <w:r w:rsidRPr="00DA4998">
        <w:tab/>
        <w:t>Cargos públicos ejercidos por mujeres</w:t>
      </w:r>
    </w:p>
    <w:p w:rsidR="00D62F8D" w:rsidRPr="00D62F8D" w:rsidRDefault="00D62F8D" w:rsidP="00D62F8D">
      <w:pPr>
        <w:pStyle w:val="SingleTxt"/>
        <w:spacing w:after="0" w:line="120" w:lineRule="exact"/>
        <w:rPr>
          <w:sz w:val="10"/>
        </w:rPr>
      </w:pPr>
    </w:p>
    <w:p w:rsidR="00D62F8D" w:rsidRPr="00DA4998" w:rsidRDefault="00D62F8D" w:rsidP="00D62F8D">
      <w:pPr>
        <w:pStyle w:val="SingleTxt"/>
        <w:numPr>
          <w:ilvl w:val="0"/>
          <w:numId w:val="11"/>
        </w:numPr>
        <w:tabs>
          <w:tab w:val="clear" w:pos="475"/>
          <w:tab w:val="num" w:pos="1742"/>
        </w:tabs>
        <w:ind w:left="1267"/>
      </w:pPr>
      <w:r w:rsidRPr="00DA4998">
        <w:t>En las Bahamas, las mujeres ocupan cargos al más alto nivel que les permiten influir en la formulación de políticas, supervisar su aplicación y lograr cambios. En el momento de publicarse el presente informe periódico, además de los cargos que se mencionan en el cuadro que aparece a continuación, los siguientes cargos estaban ocupados por mujeres: Presidenta del Tribunal de Apelaciones, magistradas de la Corte Suprema de Justicia (4), Gobernadora del Banco Central, Presidenta del Colegio de Abogados, Oficial Médica Jefe y Secretaria del Gabinete.</w:t>
      </w:r>
    </w:p>
    <w:p w:rsidR="00D62F8D" w:rsidRPr="00D62F8D" w:rsidRDefault="00D62F8D" w:rsidP="00D62F8D">
      <w:pPr>
        <w:pStyle w:val="SingleTxt"/>
        <w:spacing w:after="0" w:line="120" w:lineRule="exact"/>
        <w:rPr>
          <w:sz w:val="10"/>
        </w:rPr>
      </w:pPr>
    </w:p>
    <w:p w:rsidR="00D62F8D" w:rsidRPr="00DA4998" w:rsidRDefault="00D62F8D" w:rsidP="00D62F8D">
      <w:pPr>
        <w:pStyle w:val="SingleTxt"/>
        <w:spacing w:after="0"/>
        <w:jc w:val="left"/>
        <w:rPr>
          <w:b/>
          <w:bCs/>
        </w:rPr>
      </w:pPr>
      <w:r w:rsidRPr="00DA4998">
        <w:t>Cuadro 7</w:t>
      </w:r>
      <w:r w:rsidRPr="00DA4998">
        <w:br/>
      </w:r>
      <w:r w:rsidRPr="00DA4998">
        <w:rPr>
          <w:b/>
        </w:rPr>
        <w:t>Mujeres en cargos públicos y directivos superiores en 2010</w:t>
      </w:r>
    </w:p>
    <w:p w:rsidR="00D62F8D" w:rsidRPr="00D62F8D" w:rsidRDefault="00D62F8D" w:rsidP="00D62F8D">
      <w:pPr>
        <w:pStyle w:val="SingleTxt"/>
        <w:spacing w:after="0" w:line="120" w:lineRule="exact"/>
        <w:rPr>
          <w:sz w:val="10"/>
        </w:rPr>
      </w:pPr>
    </w:p>
    <w:p w:rsidR="00D62F8D" w:rsidRPr="00D62F8D" w:rsidRDefault="00D62F8D" w:rsidP="00D62F8D">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6840"/>
        <w:gridCol w:w="450"/>
      </w:tblGrid>
      <w:tr w:rsidR="00D62F8D" w:rsidRPr="00DA4998">
        <w:tblPrEx>
          <w:tblCellMar>
            <w:top w:w="0" w:type="dxa"/>
            <w:bottom w:w="0" w:type="dxa"/>
          </w:tblCellMar>
        </w:tblPrEx>
        <w:tc>
          <w:tcPr>
            <w:tcW w:w="6840" w:type="dxa"/>
            <w:tcBorders>
              <w:top w:val="single" w:sz="4" w:space="0" w:color="auto"/>
            </w:tcBorders>
            <w:shd w:val="clear" w:color="auto" w:fill="auto"/>
            <w:vAlign w:val="bottom"/>
          </w:tcPr>
          <w:p w:rsidR="00D62F8D" w:rsidRPr="003B5690" w:rsidRDefault="00D62F8D" w:rsidP="00D62F8D">
            <w:pPr>
              <w:tabs>
                <w:tab w:val="left" w:pos="288"/>
                <w:tab w:val="left" w:pos="576"/>
                <w:tab w:val="left" w:pos="864"/>
                <w:tab w:val="left" w:pos="1152"/>
                <w:tab w:val="left" w:leader="dot" w:pos="6800"/>
              </w:tabs>
              <w:spacing w:before="40" w:after="40" w:line="210" w:lineRule="exact"/>
              <w:ind w:right="40"/>
              <w:rPr>
                <w:spacing w:val="60"/>
                <w:sz w:val="17"/>
                <w:szCs w:val="17"/>
              </w:rPr>
            </w:pPr>
            <w:r w:rsidRPr="00DA4998">
              <w:rPr>
                <w:sz w:val="17"/>
                <w:szCs w:val="17"/>
              </w:rPr>
              <w:t>Secretarias permanentes</w:t>
            </w:r>
          </w:p>
        </w:tc>
        <w:tc>
          <w:tcPr>
            <w:tcW w:w="450" w:type="dxa"/>
            <w:tcBorders>
              <w:top w:val="single" w:sz="4" w:space="0" w:color="auto"/>
            </w:tcBorders>
            <w:shd w:val="clear" w:color="auto" w:fill="auto"/>
            <w:vAlign w:val="bottom"/>
          </w:tcPr>
          <w:p w:rsidR="00D62F8D" w:rsidRPr="00DA4998" w:rsidRDefault="00D62F8D" w:rsidP="00D62F8D">
            <w:pPr>
              <w:tabs>
                <w:tab w:val="left" w:pos="288"/>
                <w:tab w:val="left" w:pos="576"/>
                <w:tab w:val="left" w:pos="864"/>
                <w:tab w:val="left" w:pos="1152"/>
              </w:tabs>
              <w:spacing w:before="40" w:after="40" w:line="210" w:lineRule="exact"/>
              <w:ind w:right="43"/>
              <w:jc w:val="right"/>
              <w:rPr>
                <w:sz w:val="17"/>
                <w:szCs w:val="17"/>
              </w:rPr>
            </w:pPr>
          </w:p>
        </w:tc>
      </w:tr>
      <w:tr w:rsidR="00D62F8D" w:rsidRPr="00DA4998">
        <w:tblPrEx>
          <w:tblCellMar>
            <w:top w:w="0" w:type="dxa"/>
            <w:bottom w:w="0" w:type="dxa"/>
          </w:tblCellMar>
        </w:tblPrEx>
        <w:tc>
          <w:tcPr>
            <w:tcW w:w="6840" w:type="dxa"/>
            <w:shd w:val="clear" w:color="auto" w:fill="auto"/>
            <w:vAlign w:val="bottom"/>
          </w:tcPr>
          <w:p w:rsidR="00D62F8D" w:rsidRPr="003B5690" w:rsidRDefault="00D62F8D" w:rsidP="00D62F8D">
            <w:pPr>
              <w:tabs>
                <w:tab w:val="left" w:pos="288"/>
                <w:tab w:val="left" w:pos="576"/>
                <w:tab w:val="left" w:leader="dot" w:pos="6800"/>
              </w:tabs>
              <w:spacing w:before="40" w:after="40" w:line="210" w:lineRule="exact"/>
              <w:ind w:right="40"/>
              <w:rPr>
                <w:spacing w:val="60"/>
                <w:sz w:val="17"/>
                <w:szCs w:val="17"/>
              </w:rPr>
            </w:pPr>
            <w:r w:rsidRPr="00DA4998">
              <w:rPr>
                <w:sz w:val="17"/>
                <w:szCs w:val="17"/>
              </w:rPr>
              <w:t>Mujeres</w:t>
            </w:r>
            <w:r>
              <w:rPr>
                <w:spacing w:val="60"/>
                <w:sz w:val="17"/>
                <w:szCs w:val="17"/>
              </w:rPr>
              <w:tab/>
            </w:r>
          </w:p>
        </w:tc>
        <w:tc>
          <w:tcPr>
            <w:tcW w:w="450" w:type="dxa"/>
            <w:shd w:val="clear" w:color="auto" w:fill="auto"/>
            <w:vAlign w:val="bottom"/>
          </w:tcPr>
          <w:p w:rsidR="00D62F8D" w:rsidRPr="00DA4998" w:rsidRDefault="00D62F8D" w:rsidP="00D62F8D">
            <w:pPr>
              <w:tabs>
                <w:tab w:val="left" w:pos="288"/>
                <w:tab w:val="left" w:pos="576"/>
                <w:tab w:val="left" w:pos="864"/>
                <w:tab w:val="left" w:pos="1152"/>
              </w:tabs>
              <w:spacing w:before="40" w:after="40" w:line="210" w:lineRule="exact"/>
              <w:ind w:right="43"/>
              <w:jc w:val="right"/>
              <w:rPr>
                <w:sz w:val="17"/>
                <w:szCs w:val="17"/>
              </w:rPr>
            </w:pPr>
            <w:r w:rsidRPr="00DA4998">
              <w:rPr>
                <w:sz w:val="17"/>
                <w:szCs w:val="17"/>
              </w:rPr>
              <w:t>11</w:t>
            </w:r>
          </w:p>
        </w:tc>
      </w:tr>
      <w:tr w:rsidR="00D62F8D" w:rsidRPr="00DA4998">
        <w:tblPrEx>
          <w:tblCellMar>
            <w:top w:w="0" w:type="dxa"/>
            <w:bottom w:w="0" w:type="dxa"/>
          </w:tblCellMar>
        </w:tblPrEx>
        <w:tc>
          <w:tcPr>
            <w:tcW w:w="6840" w:type="dxa"/>
            <w:tcBorders>
              <w:bottom w:val="single" w:sz="4" w:space="0" w:color="auto"/>
            </w:tcBorders>
            <w:shd w:val="clear" w:color="auto" w:fill="auto"/>
            <w:vAlign w:val="bottom"/>
          </w:tcPr>
          <w:p w:rsidR="00D62F8D" w:rsidRPr="003B5690" w:rsidRDefault="00D62F8D" w:rsidP="00D62F8D">
            <w:pPr>
              <w:tabs>
                <w:tab w:val="left" w:pos="288"/>
                <w:tab w:val="left" w:pos="576"/>
                <w:tab w:val="left" w:leader="dot" w:pos="6800"/>
              </w:tabs>
              <w:spacing w:before="40" w:after="81" w:line="210" w:lineRule="exact"/>
              <w:ind w:right="40"/>
              <w:rPr>
                <w:spacing w:val="60"/>
                <w:sz w:val="17"/>
                <w:szCs w:val="17"/>
              </w:rPr>
            </w:pPr>
            <w:r w:rsidRPr="00DA4998">
              <w:rPr>
                <w:sz w:val="17"/>
                <w:szCs w:val="17"/>
              </w:rPr>
              <w:t>Hombres</w:t>
            </w:r>
            <w:r>
              <w:rPr>
                <w:spacing w:val="60"/>
                <w:sz w:val="17"/>
                <w:szCs w:val="17"/>
              </w:rPr>
              <w:tab/>
            </w:r>
          </w:p>
        </w:tc>
        <w:tc>
          <w:tcPr>
            <w:tcW w:w="450" w:type="dxa"/>
            <w:tcBorders>
              <w:bottom w:val="single" w:sz="4" w:space="0" w:color="auto"/>
            </w:tcBorders>
            <w:shd w:val="clear" w:color="auto" w:fill="auto"/>
            <w:vAlign w:val="bottom"/>
          </w:tcPr>
          <w:p w:rsidR="00D62F8D" w:rsidRPr="00DA4998" w:rsidRDefault="00D62F8D" w:rsidP="00D62F8D">
            <w:pPr>
              <w:tabs>
                <w:tab w:val="left" w:pos="288"/>
                <w:tab w:val="left" w:pos="576"/>
                <w:tab w:val="left" w:pos="864"/>
                <w:tab w:val="left" w:pos="1152"/>
              </w:tabs>
              <w:spacing w:before="40" w:after="81" w:line="210" w:lineRule="exact"/>
              <w:ind w:right="43"/>
              <w:jc w:val="right"/>
              <w:rPr>
                <w:sz w:val="17"/>
                <w:szCs w:val="17"/>
              </w:rPr>
            </w:pPr>
            <w:r w:rsidRPr="00DA4998">
              <w:rPr>
                <w:sz w:val="17"/>
                <w:szCs w:val="17"/>
              </w:rPr>
              <w:t>7</w:t>
            </w:r>
          </w:p>
        </w:tc>
      </w:tr>
      <w:tr w:rsidR="00D62F8D" w:rsidRPr="00DA4998">
        <w:tblPrEx>
          <w:tblCellMar>
            <w:top w:w="0" w:type="dxa"/>
            <w:bottom w:w="0" w:type="dxa"/>
          </w:tblCellMar>
        </w:tblPrEx>
        <w:tc>
          <w:tcPr>
            <w:tcW w:w="6840" w:type="dxa"/>
            <w:tcBorders>
              <w:top w:val="single" w:sz="4" w:space="0" w:color="auto"/>
              <w:bottom w:val="single" w:sz="12" w:space="0" w:color="auto"/>
            </w:tcBorders>
            <w:shd w:val="clear" w:color="auto" w:fill="auto"/>
            <w:vAlign w:val="bottom"/>
          </w:tcPr>
          <w:p w:rsidR="00D62F8D" w:rsidRPr="003B5690" w:rsidRDefault="00D62F8D" w:rsidP="00D62F8D">
            <w:pPr>
              <w:tabs>
                <w:tab w:val="left" w:pos="288"/>
                <w:tab w:val="left" w:pos="576"/>
                <w:tab w:val="left" w:leader="dot" w:pos="6800"/>
              </w:tabs>
              <w:spacing w:before="81" w:after="81" w:line="210" w:lineRule="exact"/>
              <w:ind w:right="40"/>
              <w:rPr>
                <w:b/>
                <w:spacing w:val="60"/>
                <w:sz w:val="17"/>
                <w:szCs w:val="17"/>
              </w:rPr>
            </w:pPr>
            <w:r w:rsidRPr="00DA4998">
              <w:rPr>
                <w:b/>
                <w:sz w:val="17"/>
                <w:szCs w:val="17"/>
              </w:rPr>
              <w:tab/>
              <w:t>Total</w:t>
            </w:r>
            <w:r>
              <w:rPr>
                <w:b/>
                <w:spacing w:val="60"/>
                <w:sz w:val="17"/>
                <w:szCs w:val="17"/>
              </w:rPr>
              <w:tab/>
            </w:r>
          </w:p>
        </w:tc>
        <w:tc>
          <w:tcPr>
            <w:tcW w:w="450" w:type="dxa"/>
            <w:tcBorders>
              <w:top w:val="single" w:sz="4" w:space="0" w:color="auto"/>
              <w:bottom w:val="single" w:sz="12" w:space="0" w:color="auto"/>
            </w:tcBorders>
            <w:shd w:val="clear" w:color="auto" w:fill="auto"/>
            <w:vAlign w:val="bottom"/>
          </w:tcPr>
          <w:p w:rsidR="00D62F8D" w:rsidRPr="00DA4998" w:rsidRDefault="00D62F8D" w:rsidP="00D62F8D">
            <w:pPr>
              <w:tabs>
                <w:tab w:val="left" w:pos="288"/>
                <w:tab w:val="left" w:pos="576"/>
                <w:tab w:val="left" w:pos="864"/>
                <w:tab w:val="left" w:pos="1152"/>
              </w:tabs>
              <w:spacing w:before="81" w:after="81" w:line="210" w:lineRule="exact"/>
              <w:ind w:right="43"/>
              <w:jc w:val="right"/>
              <w:rPr>
                <w:b/>
                <w:sz w:val="17"/>
                <w:szCs w:val="17"/>
              </w:rPr>
            </w:pPr>
            <w:r w:rsidRPr="00DA4998">
              <w:rPr>
                <w:b/>
                <w:sz w:val="17"/>
                <w:szCs w:val="17"/>
              </w:rPr>
              <w:t>18</w:t>
            </w:r>
          </w:p>
        </w:tc>
      </w:tr>
    </w:tbl>
    <w:p w:rsidR="00D62F8D" w:rsidRPr="00D62F8D" w:rsidRDefault="00D62F8D" w:rsidP="00D62F8D">
      <w:pPr>
        <w:pStyle w:val="SingleTxt"/>
        <w:spacing w:after="0" w:line="120" w:lineRule="exact"/>
        <w:rPr>
          <w:sz w:val="10"/>
        </w:rPr>
      </w:pPr>
    </w:p>
    <w:p w:rsidR="00D62F8D" w:rsidRPr="00D62F8D" w:rsidRDefault="00D62F8D" w:rsidP="00D62F8D">
      <w:pPr>
        <w:pStyle w:val="SingleTxt"/>
        <w:spacing w:after="0" w:line="120" w:lineRule="exact"/>
        <w:rPr>
          <w:sz w:val="10"/>
        </w:rPr>
      </w:pPr>
    </w:p>
    <w:p w:rsidR="00D62F8D" w:rsidRPr="00DA4998" w:rsidRDefault="00D62F8D" w:rsidP="00D62F8D">
      <w:pPr>
        <w:pStyle w:val="SingleTxt"/>
        <w:spacing w:after="0"/>
        <w:ind w:right="2821"/>
        <w:jc w:val="left"/>
        <w:rPr>
          <w:b/>
        </w:rPr>
      </w:pPr>
      <w:r w:rsidRPr="00DA4998">
        <w:t>Cuadro 8</w:t>
      </w:r>
      <w:r w:rsidRPr="00DA4998">
        <w:br/>
      </w:r>
      <w:r w:rsidRPr="00DA4998">
        <w:rPr>
          <w:b/>
        </w:rPr>
        <w:t>Mujeres en determinados cargos de orden público y seguridad en 2010</w:t>
      </w:r>
    </w:p>
    <w:p w:rsidR="00D62F8D" w:rsidRPr="00D62F8D" w:rsidRDefault="00D62F8D" w:rsidP="00D62F8D">
      <w:pPr>
        <w:pStyle w:val="SingleTxt"/>
        <w:spacing w:after="0" w:line="120" w:lineRule="exact"/>
        <w:rPr>
          <w:sz w:val="10"/>
        </w:rPr>
      </w:pPr>
    </w:p>
    <w:p w:rsidR="00D62F8D" w:rsidRPr="00D62F8D" w:rsidRDefault="00D62F8D" w:rsidP="00D62F8D">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878"/>
        <w:gridCol w:w="2052"/>
        <w:gridCol w:w="390"/>
      </w:tblGrid>
      <w:tr w:rsidR="00D62F8D" w:rsidRPr="00DA4998">
        <w:tblPrEx>
          <w:tblCellMar>
            <w:top w:w="0" w:type="dxa"/>
            <w:bottom w:w="0" w:type="dxa"/>
          </w:tblCellMar>
        </w:tblPrEx>
        <w:trPr>
          <w:tblHeader/>
        </w:trPr>
        <w:tc>
          <w:tcPr>
            <w:tcW w:w="4878" w:type="dxa"/>
            <w:tcBorders>
              <w:top w:val="single" w:sz="4" w:space="0" w:color="auto"/>
              <w:bottom w:val="single" w:sz="12" w:space="0" w:color="auto"/>
            </w:tcBorders>
            <w:shd w:val="clear" w:color="auto" w:fill="auto"/>
            <w:vAlign w:val="bottom"/>
          </w:tcPr>
          <w:p w:rsidR="00D62F8D" w:rsidRPr="004C6853" w:rsidRDefault="00D62F8D" w:rsidP="00D62F8D">
            <w:pPr>
              <w:tabs>
                <w:tab w:val="left" w:pos="288"/>
                <w:tab w:val="left" w:leader="dot" w:pos="4840"/>
              </w:tabs>
              <w:spacing w:before="81" w:after="81" w:line="160" w:lineRule="exact"/>
              <w:ind w:right="40"/>
              <w:rPr>
                <w:i/>
                <w:spacing w:val="60"/>
                <w:sz w:val="17"/>
                <w:szCs w:val="17"/>
              </w:rPr>
            </w:pPr>
            <w:r w:rsidRPr="00DA4998">
              <w:rPr>
                <w:i/>
                <w:sz w:val="14"/>
                <w:szCs w:val="17"/>
              </w:rPr>
              <w:t>Cargo</w:t>
            </w:r>
          </w:p>
        </w:tc>
        <w:tc>
          <w:tcPr>
            <w:tcW w:w="2442" w:type="dxa"/>
            <w:gridSpan w:val="2"/>
            <w:tcBorders>
              <w:top w:val="single" w:sz="4" w:space="0" w:color="auto"/>
              <w:bottom w:val="single" w:sz="12" w:space="0" w:color="auto"/>
            </w:tcBorders>
            <w:shd w:val="clear" w:color="auto" w:fill="auto"/>
            <w:vAlign w:val="bottom"/>
          </w:tcPr>
          <w:p w:rsidR="00D62F8D" w:rsidRPr="00DA4998" w:rsidRDefault="00D62F8D" w:rsidP="00D62F8D">
            <w:pPr>
              <w:tabs>
                <w:tab w:val="left" w:pos="288"/>
                <w:tab w:val="left" w:pos="576"/>
                <w:tab w:val="left" w:pos="864"/>
                <w:tab w:val="left" w:pos="1152"/>
              </w:tabs>
              <w:spacing w:before="81" w:after="81" w:line="160" w:lineRule="exact"/>
              <w:ind w:right="43"/>
              <w:jc w:val="right"/>
              <w:rPr>
                <w:i/>
                <w:sz w:val="14"/>
                <w:szCs w:val="17"/>
              </w:rPr>
            </w:pPr>
            <w:r w:rsidRPr="00DA4998">
              <w:rPr>
                <w:i/>
                <w:sz w:val="14"/>
                <w:szCs w:val="17"/>
              </w:rPr>
              <w:t>Número de mujeres</w:t>
            </w:r>
          </w:p>
        </w:tc>
      </w:tr>
      <w:tr w:rsidR="00D62F8D" w:rsidRPr="00DA4998">
        <w:tblPrEx>
          <w:tblCellMar>
            <w:top w:w="0" w:type="dxa"/>
            <w:bottom w:w="0" w:type="dxa"/>
          </w:tblCellMar>
        </w:tblPrEx>
        <w:trPr>
          <w:trHeight w:hRule="exact" w:val="115"/>
          <w:tblHeader/>
        </w:trPr>
        <w:tc>
          <w:tcPr>
            <w:tcW w:w="4878" w:type="dxa"/>
            <w:tcBorders>
              <w:top w:val="single" w:sz="12" w:space="0" w:color="auto"/>
            </w:tcBorders>
            <w:shd w:val="clear" w:color="auto" w:fill="auto"/>
            <w:vAlign w:val="bottom"/>
          </w:tcPr>
          <w:p w:rsidR="00D62F8D" w:rsidRPr="004C6853" w:rsidRDefault="00D62F8D" w:rsidP="00D62F8D">
            <w:pPr>
              <w:tabs>
                <w:tab w:val="left" w:leader="dot" w:pos="4840"/>
              </w:tabs>
              <w:spacing w:before="40" w:after="40" w:line="210" w:lineRule="exact"/>
              <w:ind w:right="40"/>
              <w:rPr>
                <w:spacing w:val="60"/>
                <w:sz w:val="17"/>
                <w:szCs w:val="17"/>
              </w:rPr>
            </w:pPr>
            <w:r>
              <w:rPr>
                <w:spacing w:val="60"/>
                <w:sz w:val="17"/>
                <w:szCs w:val="17"/>
              </w:rPr>
              <w:tab/>
            </w:r>
          </w:p>
        </w:tc>
        <w:tc>
          <w:tcPr>
            <w:tcW w:w="2442" w:type="dxa"/>
            <w:gridSpan w:val="2"/>
            <w:tcBorders>
              <w:top w:val="single" w:sz="12" w:space="0" w:color="auto"/>
            </w:tcBorders>
            <w:shd w:val="clear" w:color="auto" w:fill="auto"/>
            <w:vAlign w:val="bottom"/>
          </w:tcPr>
          <w:p w:rsidR="00D62F8D" w:rsidRPr="00DA4998" w:rsidRDefault="00D62F8D" w:rsidP="00D62F8D">
            <w:pPr>
              <w:tabs>
                <w:tab w:val="left" w:pos="288"/>
                <w:tab w:val="left" w:pos="576"/>
                <w:tab w:val="left" w:pos="864"/>
                <w:tab w:val="left" w:pos="1152"/>
              </w:tabs>
              <w:spacing w:before="40" w:after="40" w:line="210" w:lineRule="exact"/>
              <w:ind w:right="43"/>
              <w:jc w:val="right"/>
              <w:rPr>
                <w:sz w:val="17"/>
                <w:szCs w:val="17"/>
              </w:rPr>
            </w:pPr>
          </w:p>
        </w:tc>
      </w:tr>
      <w:tr w:rsidR="00D62F8D" w:rsidRPr="00DA4998">
        <w:tblPrEx>
          <w:tblCellMar>
            <w:top w:w="0" w:type="dxa"/>
            <w:bottom w:w="0" w:type="dxa"/>
          </w:tblCellMar>
        </w:tblPrEx>
        <w:tc>
          <w:tcPr>
            <w:tcW w:w="6930" w:type="dxa"/>
            <w:gridSpan w:val="2"/>
            <w:shd w:val="clear" w:color="auto" w:fill="auto"/>
            <w:vAlign w:val="bottom"/>
          </w:tcPr>
          <w:p w:rsidR="00D62F8D" w:rsidRPr="004C6853" w:rsidRDefault="00D62F8D" w:rsidP="00D62F8D">
            <w:pPr>
              <w:tabs>
                <w:tab w:val="left" w:pos="288"/>
                <w:tab w:val="left" w:pos="576"/>
                <w:tab w:val="left" w:pos="864"/>
                <w:tab w:val="left" w:pos="1152"/>
                <w:tab w:val="left" w:leader="dot" w:pos="6880"/>
              </w:tabs>
              <w:spacing w:before="40" w:after="40" w:line="210" w:lineRule="exact"/>
              <w:ind w:right="40"/>
              <w:rPr>
                <w:spacing w:val="60"/>
                <w:sz w:val="17"/>
                <w:szCs w:val="17"/>
              </w:rPr>
            </w:pPr>
            <w:r w:rsidRPr="00DA4998">
              <w:rPr>
                <w:sz w:val="17"/>
                <w:szCs w:val="17"/>
              </w:rPr>
              <w:t>Directora de Asuntos Jurídicos</w:t>
            </w:r>
            <w:r>
              <w:rPr>
                <w:spacing w:val="60"/>
                <w:sz w:val="17"/>
                <w:szCs w:val="17"/>
              </w:rPr>
              <w:tab/>
            </w:r>
          </w:p>
        </w:tc>
        <w:tc>
          <w:tcPr>
            <w:tcW w:w="390" w:type="dxa"/>
            <w:shd w:val="clear" w:color="auto" w:fill="auto"/>
            <w:vAlign w:val="bottom"/>
          </w:tcPr>
          <w:p w:rsidR="00D62F8D" w:rsidRPr="00DA4998" w:rsidRDefault="00D62F8D" w:rsidP="00D62F8D">
            <w:pPr>
              <w:tabs>
                <w:tab w:val="left" w:pos="288"/>
                <w:tab w:val="left" w:pos="576"/>
                <w:tab w:val="left" w:pos="864"/>
                <w:tab w:val="left" w:pos="1152"/>
              </w:tabs>
              <w:spacing w:before="40" w:after="40" w:line="210" w:lineRule="exact"/>
              <w:ind w:right="43"/>
              <w:jc w:val="right"/>
              <w:rPr>
                <w:sz w:val="17"/>
                <w:szCs w:val="17"/>
              </w:rPr>
            </w:pPr>
            <w:r w:rsidRPr="00DA4998">
              <w:rPr>
                <w:sz w:val="17"/>
                <w:szCs w:val="17"/>
              </w:rPr>
              <w:t>1</w:t>
            </w:r>
          </w:p>
        </w:tc>
      </w:tr>
      <w:tr w:rsidR="00D62F8D" w:rsidRPr="00DA4998">
        <w:tblPrEx>
          <w:tblCellMar>
            <w:top w:w="0" w:type="dxa"/>
            <w:bottom w:w="0" w:type="dxa"/>
          </w:tblCellMar>
        </w:tblPrEx>
        <w:tc>
          <w:tcPr>
            <w:tcW w:w="6930" w:type="dxa"/>
            <w:gridSpan w:val="2"/>
            <w:shd w:val="clear" w:color="auto" w:fill="auto"/>
            <w:vAlign w:val="bottom"/>
          </w:tcPr>
          <w:p w:rsidR="00D62F8D" w:rsidRPr="004C6853" w:rsidRDefault="00D62F8D" w:rsidP="00D62F8D">
            <w:pPr>
              <w:tabs>
                <w:tab w:val="left" w:pos="288"/>
                <w:tab w:val="left" w:pos="576"/>
                <w:tab w:val="left" w:pos="864"/>
                <w:tab w:val="left" w:pos="1152"/>
                <w:tab w:val="left" w:leader="dot" w:pos="6880"/>
              </w:tabs>
              <w:spacing w:before="40" w:after="40" w:line="210" w:lineRule="exact"/>
              <w:ind w:right="40"/>
              <w:rPr>
                <w:spacing w:val="60"/>
                <w:sz w:val="17"/>
                <w:szCs w:val="17"/>
              </w:rPr>
            </w:pPr>
            <w:r w:rsidRPr="00DA4998">
              <w:rPr>
                <w:sz w:val="17"/>
                <w:szCs w:val="17"/>
              </w:rPr>
              <w:t>Directora de la Fiscalía Pública</w:t>
            </w:r>
            <w:r>
              <w:rPr>
                <w:spacing w:val="60"/>
                <w:sz w:val="17"/>
                <w:szCs w:val="17"/>
              </w:rPr>
              <w:tab/>
            </w:r>
          </w:p>
        </w:tc>
        <w:tc>
          <w:tcPr>
            <w:tcW w:w="390" w:type="dxa"/>
            <w:shd w:val="clear" w:color="auto" w:fill="auto"/>
            <w:vAlign w:val="bottom"/>
          </w:tcPr>
          <w:p w:rsidR="00D62F8D" w:rsidRPr="00DA4998" w:rsidRDefault="00D62F8D" w:rsidP="00D62F8D">
            <w:pPr>
              <w:tabs>
                <w:tab w:val="left" w:pos="288"/>
                <w:tab w:val="left" w:pos="576"/>
                <w:tab w:val="left" w:pos="864"/>
                <w:tab w:val="left" w:pos="1152"/>
              </w:tabs>
              <w:spacing w:before="40" w:after="40" w:line="210" w:lineRule="exact"/>
              <w:ind w:right="43"/>
              <w:jc w:val="right"/>
              <w:rPr>
                <w:sz w:val="17"/>
                <w:szCs w:val="17"/>
              </w:rPr>
            </w:pPr>
            <w:r w:rsidRPr="00DA4998">
              <w:rPr>
                <w:sz w:val="17"/>
                <w:szCs w:val="17"/>
              </w:rPr>
              <w:t>1</w:t>
            </w:r>
          </w:p>
        </w:tc>
      </w:tr>
      <w:tr w:rsidR="00D62F8D" w:rsidRPr="00DA4998">
        <w:tblPrEx>
          <w:tblCellMar>
            <w:top w:w="0" w:type="dxa"/>
            <w:bottom w:w="0" w:type="dxa"/>
          </w:tblCellMar>
        </w:tblPrEx>
        <w:tc>
          <w:tcPr>
            <w:tcW w:w="6930" w:type="dxa"/>
            <w:gridSpan w:val="2"/>
            <w:shd w:val="clear" w:color="auto" w:fill="auto"/>
            <w:vAlign w:val="bottom"/>
          </w:tcPr>
          <w:p w:rsidR="00D62F8D" w:rsidRPr="004C6853" w:rsidRDefault="00D62F8D" w:rsidP="00D62F8D">
            <w:pPr>
              <w:tabs>
                <w:tab w:val="left" w:pos="288"/>
                <w:tab w:val="left" w:pos="576"/>
                <w:tab w:val="left" w:pos="864"/>
                <w:tab w:val="left" w:pos="1152"/>
                <w:tab w:val="left" w:leader="dot" w:pos="6880"/>
              </w:tabs>
              <w:spacing w:before="40" w:after="40" w:line="210" w:lineRule="exact"/>
              <w:ind w:right="40"/>
              <w:rPr>
                <w:spacing w:val="60"/>
                <w:sz w:val="17"/>
                <w:szCs w:val="17"/>
              </w:rPr>
            </w:pPr>
            <w:r w:rsidRPr="00DA4998">
              <w:rPr>
                <w:sz w:val="17"/>
                <w:szCs w:val="17"/>
              </w:rPr>
              <w:t>Secretaria de la Corte Suprema</w:t>
            </w:r>
            <w:r>
              <w:rPr>
                <w:spacing w:val="60"/>
                <w:sz w:val="17"/>
                <w:szCs w:val="17"/>
              </w:rPr>
              <w:tab/>
            </w:r>
          </w:p>
        </w:tc>
        <w:tc>
          <w:tcPr>
            <w:tcW w:w="390" w:type="dxa"/>
            <w:shd w:val="clear" w:color="auto" w:fill="auto"/>
            <w:vAlign w:val="bottom"/>
          </w:tcPr>
          <w:p w:rsidR="00D62F8D" w:rsidRPr="00DA4998" w:rsidRDefault="00D62F8D" w:rsidP="00D62F8D">
            <w:pPr>
              <w:tabs>
                <w:tab w:val="left" w:pos="288"/>
                <w:tab w:val="left" w:pos="576"/>
                <w:tab w:val="left" w:pos="864"/>
                <w:tab w:val="left" w:pos="1152"/>
              </w:tabs>
              <w:spacing w:before="40" w:after="40" w:line="210" w:lineRule="exact"/>
              <w:ind w:right="43"/>
              <w:jc w:val="right"/>
              <w:rPr>
                <w:sz w:val="17"/>
                <w:szCs w:val="17"/>
              </w:rPr>
            </w:pPr>
            <w:r w:rsidRPr="00DA4998">
              <w:rPr>
                <w:sz w:val="17"/>
                <w:szCs w:val="17"/>
              </w:rPr>
              <w:t>1</w:t>
            </w:r>
          </w:p>
        </w:tc>
      </w:tr>
      <w:tr w:rsidR="00D62F8D" w:rsidRPr="00DA4998">
        <w:tblPrEx>
          <w:tblCellMar>
            <w:top w:w="0" w:type="dxa"/>
            <w:bottom w:w="0" w:type="dxa"/>
          </w:tblCellMar>
        </w:tblPrEx>
        <w:tc>
          <w:tcPr>
            <w:tcW w:w="6930" w:type="dxa"/>
            <w:gridSpan w:val="2"/>
            <w:shd w:val="clear" w:color="auto" w:fill="auto"/>
            <w:vAlign w:val="bottom"/>
          </w:tcPr>
          <w:p w:rsidR="00D62F8D" w:rsidRPr="004C6853" w:rsidRDefault="00D62F8D" w:rsidP="00D62F8D">
            <w:pPr>
              <w:tabs>
                <w:tab w:val="left" w:pos="288"/>
                <w:tab w:val="left" w:pos="576"/>
                <w:tab w:val="left" w:pos="864"/>
                <w:tab w:val="left" w:pos="1152"/>
                <w:tab w:val="left" w:leader="dot" w:pos="6880"/>
              </w:tabs>
              <w:spacing w:before="40" w:after="40" w:line="210" w:lineRule="exact"/>
              <w:ind w:right="40"/>
              <w:rPr>
                <w:spacing w:val="60"/>
                <w:sz w:val="17"/>
                <w:szCs w:val="17"/>
              </w:rPr>
            </w:pPr>
            <w:r w:rsidRPr="00DA4998">
              <w:rPr>
                <w:sz w:val="17"/>
                <w:szCs w:val="17"/>
              </w:rPr>
              <w:t>Secretaria Adjunta</w:t>
            </w:r>
            <w:r>
              <w:rPr>
                <w:spacing w:val="60"/>
                <w:sz w:val="17"/>
                <w:szCs w:val="17"/>
              </w:rPr>
              <w:tab/>
            </w:r>
          </w:p>
        </w:tc>
        <w:tc>
          <w:tcPr>
            <w:tcW w:w="390" w:type="dxa"/>
            <w:shd w:val="clear" w:color="auto" w:fill="auto"/>
            <w:vAlign w:val="bottom"/>
          </w:tcPr>
          <w:p w:rsidR="00D62F8D" w:rsidRPr="00DA4998" w:rsidRDefault="00D62F8D" w:rsidP="00D62F8D">
            <w:pPr>
              <w:tabs>
                <w:tab w:val="left" w:pos="288"/>
                <w:tab w:val="left" w:pos="576"/>
                <w:tab w:val="left" w:pos="864"/>
                <w:tab w:val="left" w:pos="1152"/>
              </w:tabs>
              <w:spacing w:before="40" w:after="40" w:line="210" w:lineRule="exact"/>
              <w:ind w:right="43"/>
              <w:jc w:val="right"/>
              <w:rPr>
                <w:sz w:val="17"/>
                <w:szCs w:val="17"/>
              </w:rPr>
            </w:pPr>
            <w:r w:rsidRPr="00DA4998">
              <w:rPr>
                <w:sz w:val="17"/>
                <w:szCs w:val="17"/>
              </w:rPr>
              <w:t>1</w:t>
            </w:r>
          </w:p>
        </w:tc>
      </w:tr>
      <w:tr w:rsidR="00D62F8D" w:rsidRPr="00DA4998">
        <w:tblPrEx>
          <w:tblCellMar>
            <w:top w:w="0" w:type="dxa"/>
            <w:bottom w:w="0" w:type="dxa"/>
          </w:tblCellMar>
        </w:tblPrEx>
        <w:tc>
          <w:tcPr>
            <w:tcW w:w="6930" w:type="dxa"/>
            <w:gridSpan w:val="2"/>
            <w:shd w:val="clear" w:color="auto" w:fill="auto"/>
            <w:vAlign w:val="bottom"/>
          </w:tcPr>
          <w:p w:rsidR="00D62F8D" w:rsidRPr="004C6853" w:rsidRDefault="00D62F8D" w:rsidP="00D62F8D">
            <w:pPr>
              <w:tabs>
                <w:tab w:val="left" w:pos="288"/>
                <w:tab w:val="left" w:pos="576"/>
                <w:tab w:val="left" w:pos="864"/>
                <w:tab w:val="left" w:pos="1152"/>
                <w:tab w:val="left" w:leader="dot" w:pos="6880"/>
              </w:tabs>
              <w:spacing w:before="40" w:after="40" w:line="210" w:lineRule="exact"/>
              <w:ind w:right="40"/>
              <w:rPr>
                <w:spacing w:val="60"/>
                <w:sz w:val="17"/>
                <w:szCs w:val="17"/>
              </w:rPr>
            </w:pPr>
            <w:r>
              <w:rPr>
                <w:sz w:val="17"/>
                <w:szCs w:val="17"/>
              </w:rPr>
              <w:t>Juec</w:t>
            </w:r>
            <w:r w:rsidRPr="00DA4998">
              <w:rPr>
                <w:sz w:val="17"/>
                <w:szCs w:val="17"/>
              </w:rPr>
              <w:t>es estipendiarios y territoriales</w:t>
            </w:r>
            <w:r>
              <w:rPr>
                <w:sz w:val="17"/>
                <w:szCs w:val="17"/>
              </w:rPr>
              <w:t>:</w:t>
            </w:r>
            <w:r>
              <w:rPr>
                <w:spacing w:val="60"/>
                <w:sz w:val="17"/>
                <w:szCs w:val="17"/>
              </w:rPr>
              <w:tab/>
            </w:r>
          </w:p>
        </w:tc>
        <w:tc>
          <w:tcPr>
            <w:tcW w:w="390" w:type="dxa"/>
            <w:shd w:val="clear" w:color="auto" w:fill="auto"/>
            <w:vAlign w:val="bottom"/>
          </w:tcPr>
          <w:p w:rsidR="00D62F8D" w:rsidRPr="00DA4998" w:rsidRDefault="00D62F8D" w:rsidP="00D62F8D">
            <w:pPr>
              <w:tabs>
                <w:tab w:val="left" w:pos="288"/>
                <w:tab w:val="left" w:pos="576"/>
                <w:tab w:val="left" w:pos="864"/>
                <w:tab w:val="left" w:pos="1152"/>
              </w:tabs>
              <w:spacing w:before="40" w:after="40" w:line="210" w:lineRule="exact"/>
              <w:ind w:right="43"/>
              <w:jc w:val="right"/>
              <w:rPr>
                <w:sz w:val="17"/>
                <w:szCs w:val="17"/>
              </w:rPr>
            </w:pPr>
          </w:p>
        </w:tc>
      </w:tr>
      <w:tr w:rsidR="00D62F8D" w:rsidRPr="00DA4998">
        <w:tblPrEx>
          <w:tblCellMar>
            <w:top w:w="0" w:type="dxa"/>
            <w:bottom w:w="0" w:type="dxa"/>
          </w:tblCellMar>
        </w:tblPrEx>
        <w:tc>
          <w:tcPr>
            <w:tcW w:w="6930" w:type="dxa"/>
            <w:gridSpan w:val="2"/>
            <w:tcBorders>
              <w:bottom w:val="single" w:sz="4" w:space="0" w:color="auto"/>
            </w:tcBorders>
            <w:shd w:val="clear" w:color="auto" w:fill="auto"/>
            <w:vAlign w:val="bottom"/>
          </w:tcPr>
          <w:p w:rsidR="00D62F8D" w:rsidRPr="004C6853" w:rsidRDefault="00D62F8D" w:rsidP="00D62F8D">
            <w:pPr>
              <w:tabs>
                <w:tab w:val="left" w:pos="288"/>
                <w:tab w:val="left" w:pos="576"/>
                <w:tab w:val="left" w:pos="864"/>
                <w:tab w:val="left" w:leader="dot" w:pos="6880"/>
              </w:tabs>
              <w:spacing w:before="40" w:after="81" w:line="210" w:lineRule="exact"/>
              <w:ind w:right="40"/>
              <w:rPr>
                <w:spacing w:val="60"/>
                <w:sz w:val="17"/>
                <w:szCs w:val="17"/>
              </w:rPr>
            </w:pPr>
            <w:r w:rsidRPr="00DA4998">
              <w:rPr>
                <w:sz w:val="17"/>
                <w:szCs w:val="17"/>
              </w:rPr>
              <w:t>Magistradas</w:t>
            </w:r>
            <w:r>
              <w:rPr>
                <w:spacing w:val="60"/>
                <w:sz w:val="17"/>
                <w:szCs w:val="17"/>
              </w:rPr>
              <w:tab/>
            </w:r>
          </w:p>
        </w:tc>
        <w:tc>
          <w:tcPr>
            <w:tcW w:w="390" w:type="dxa"/>
            <w:tcBorders>
              <w:bottom w:val="single" w:sz="4" w:space="0" w:color="auto"/>
            </w:tcBorders>
            <w:shd w:val="clear" w:color="auto" w:fill="auto"/>
            <w:vAlign w:val="bottom"/>
          </w:tcPr>
          <w:p w:rsidR="00D62F8D" w:rsidRPr="00DA4998" w:rsidRDefault="00D62F8D" w:rsidP="00D62F8D">
            <w:pPr>
              <w:tabs>
                <w:tab w:val="left" w:pos="288"/>
                <w:tab w:val="left" w:pos="576"/>
                <w:tab w:val="left" w:pos="864"/>
                <w:tab w:val="left" w:pos="1152"/>
              </w:tabs>
              <w:spacing w:before="40" w:after="81" w:line="210" w:lineRule="exact"/>
              <w:ind w:right="43"/>
              <w:jc w:val="right"/>
              <w:rPr>
                <w:sz w:val="17"/>
                <w:szCs w:val="17"/>
              </w:rPr>
            </w:pPr>
            <w:r w:rsidRPr="00DA4998">
              <w:rPr>
                <w:sz w:val="17"/>
                <w:szCs w:val="17"/>
              </w:rPr>
              <w:t>11</w:t>
            </w:r>
          </w:p>
        </w:tc>
      </w:tr>
      <w:tr w:rsidR="00D62F8D" w:rsidRPr="00DA4998">
        <w:tblPrEx>
          <w:tblCellMar>
            <w:top w:w="0" w:type="dxa"/>
            <w:bottom w:w="0" w:type="dxa"/>
          </w:tblCellMar>
        </w:tblPrEx>
        <w:tc>
          <w:tcPr>
            <w:tcW w:w="6930" w:type="dxa"/>
            <w:gridSpan w:val="2"/>
            <w:tcBorders>
              <w:top w:val="single" w:sz="4" w:space="0" w:color="auto"/>
              <w:bottom w:val="single" w:sz="12" w:space="0" w:color="auto"/>
            </w:tcBorders>
            <w:shd w:val="clear" w:color="auto" w:fill="auto"/>
            <w:vAlign w:val="bottom"/>
          </w:tcPr>
          <w:p w:rsidR="00D62F8D" w:rsidRPr="004C6853" w:rsidRDefault="00D62F8D" w:rsidP="00D62F8D">
            <w:pPr>
              <w:tabs>
                <w:tab w:val="left" w:pos="288"/>
                <w:tab w:val="left" w:pos="576"/>
                <w:tab w:val="left" w:leader="dot" w:pos="6880"/>
              </w:tabs>
              <w:spacing w:before="81" w:after="81" w:line="210" w:lineRule="exact"/>
              <w:ind w:right="40"/>
              <w:rPr>
                <w:b/>
                <w:spacing w:val="60"/>
                <w:sz w:val="17"/>
                <w:szCs w:val="17"/>
              </w:rPr>
            </w:pPr>
            <w:r w:rsidRPr="00DA4998">
              <w:rPr>
                <w:b/>
                <w:sz w:val="17"/>
                <w:szCs w:val="17"/>
              </w:rPr>
              <w:tab/>
              <w:t>Total</w:t>
            </w:r>
            <w:r>
              <w:rPr>
                <w:b/>
                <w:spacing w:val="60"/>
                <w:sz w:val="17"/>
                <w:szCs w:val="17"/>
              </w:rPr>
              <w:tab/>
            </w:r>
          </w:p>
        </w:tc>
        <w:tc>
          <w:tcPr>
            <w:tcW w:w="390" w:type="dxa"/>
            <w:tcBorders>
              <w:top w:val="single" w:sz="4" w:space="0" w:color="auto"/>
              <w:bottom w:val="single" w:sz="12" w:space="0" w:color="auto"/>
            </w:tcBorders>
            <w:shd w:val="clear" w:color="auto" w:fill="auto"/>
            <w:vAlign w:val="bottom"/>
          </w:tcPr>
          <w:p w:rsidR="00D62F8D" w:rsidRPr="00DA4998" w:rsidRDefault="00D62F8D" w:rsidP="00D62F8D">
            <w:pPr>
              <w:tabs>
                <w:tab w:val="left" w:pos="288"/>
                <w:tab w:val="left" w:pos="576"/>
                <w:tab w:val="left" w:pos="864"/>
                <w:tab w:val="left" w:pos="1152"/>
              </w:tabs>
              <w:spacing w:before="81" w:after="81" w:line="210" w:lineRule="exact"/>
              <w:ind w:right="43"/>
              <w:jc w:val="right"/>
              <w:rPr>
                <w:b/>
                <w:sz w:val="17"/>
                <w:szCs w:val="17"/>
              </w:rPr>
            </w:pPr>
            <w:r w:rsidRPr="00DA4998">
              <w:rPr>
                <w:b/>
                <w:sz w:val="17"/>
                <w:szCs w:val="17"/>
              </w:rPr>
              <w:t>15</w:t>
            </w:r>
          </w:p>
        </w:tc>
      </w:tr>
    </w:tbl>
    <w:p w:rsidR="00D62F8D" w:rsidRPr="00D62F8D" w:rsidRDefault="00D62F8D" w:rsidP="00D62F8D">
      <w:pPr>
        <w:pStyle w:val="SingleTxt"/>
        <w:spacing w:after="0" w:line="120" w:lineRule="exact"/>
        <w:rPr>
          <w:sz w:val="10"/>
        </w:rPr>
      </w:pPr>
    </w:p>
    <w:p w:rsidR="00D62F8D" w:rsidRPr="00D62F8D" w:rsidRDefault="00D62F8D" w:rsidP="00D62F8D">
      <w:pPr>
        <w:pStyle w:val="SingleTxt"/>
        <w:spacing w:after="0" w:line="120" w:lineRule="exact"/>
        <w:rPr>
          <w:sz w:val="10"/>
        </w:rPr>
      </w:pPr>
    </w:p>
    <w:p w:rsidR="00D62F8D" w:rsidRPr="00DA4998" w:rsidRDefault="00D62F8D" w:rsidP="00D62F8D">
      <w:pPr>
        <w:pStyle w:val="SingleTxt"/>
        <w:numPr>
          <w:ilvl w:val="0"/>
          <w:numId w:val="11"/>
        </w:numPr>
        <w:tabs>
          <w:tab w:val="clear" w:pos="475"/>
          <w:tab w:val="num" w:pos="1742"/>
        </w:tabs>
        <w:ind w:left="1267"/>
      </w:pPr>
      <w:r w:rsidRPr="00DA4998">
        <w:t>Como se afirmó en el informe periódico anterior, en las elecciones celebradas en mayo de 2007 fueron elegidas al Parlamento (Cámara Baja) 5 mujeres (12,2%), sobre un total de 41 miembros, y al Senado (Cámara Alta) 8 mujeres (53,3%), sobre un total de 15 miembros. Hay una sola mujer en el Gabinete.</w:t>
      </w:r>
    </w:p>
    <w:p w:rsidR="00D62F8D" w:rsidRPr="00D62F8D" w:rsidRDefault="00D62F8D" w:rsidP="00D62F8D">
      <w:pPr>
        <w:pStyle w:val="SingleTxt"/>
        <w:spacing w:after="0" w:line="120" w:lineRule="exact"/>
        <w:rPr>
          <w:sz w:val="10"/>
        </w:rPr>
      </w:pPr>
    </w:p>
    <w:p w:rsidR="00D62F8D" w:rsidRPr="00DA4998" w:rsidRDefault="00D62F8D" w:rsidP="00D62F8D">
      <w:pPr>
        <w:pStyle w:val="SingleTxt"/>
        <w:spacing w:after="0"/>
        <w:jc w:val="left"/>
        <w:rPr>
          <w:b/>
        </w:rPr>
      </w:pPr>
      <w:r w:rsidRPr="00DA4998">
        <w:t>Cuadro 9</w:t>
      </w:r>
      <w:r w:rsidRPr="00DA4998">
        <w:br/>
      </w:r>
      <w:r w:rsidRPr="00DA4998">
        <w:rPr>
          <w:b/>
        </w:rPr>
        <w:t>Mujeres en cargos políticos superiores en 2010</w:t>
      </w:r>
    </w:p>
    <w:p w:rsidR="00D62F8D" w:rsidRPr="00D62F8D" w:rsidRDefault="00D62F8D" w:rsidP="00D62F8D">
      <w:pPr>
        <w:pStyle w:val="SingleTxt"/>
        <w:spacing w:after="0" w:line="120" w:lineRule="exact"/>
        <w:rPr>
          <w:sz w:val="10"/>
        </w:rPr>
      </w:pPr>
    </w:p>
    <w:p w:rsidR="00D62F8D" w:rsidRPr="00D62F8D" w:rsidRDefault="00D62F8D" w:rsidP="00D62F8D">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321"/>
        <w:gridCol w:w="1338"/>
        <w:gridCol w:w="1338"/>
        <w:gridCol w:w="1338"/>
      </w:tblGrid>
      <w:tr w:rsidR="00D62F8D" w:rsidRPr="00DA4998">
        <w:tblPrEx>
          <w:tblCellMar>
            <w:top w:w="0" w:type="dxa"/>
            <w:bottom w:w="0" w:type="dxa"/>
          </w:tblCellMar>
        </w:tblPrEx>
        <w:trPr>
          <w:tblHeader/>
        </w:trPr>
        <w:tc>
          <w:tcPr>
            <w:tcW w:w="3321" w:type="dxa"/>
            <w:tcBorders>
              <w:top w:val="single" w:sz="4" w:space="0" w:color="auto"/>
              <w:bottom w:val="single" w:sz="12" w:space="0" w:color="auto"/>
            </w:tcBorders>
            <w:shd w:val="clear" w:color="auto" w:fill="auto"/>
            <w:vAlign w:val="bottom"/>
          </w:tcPr>
          <w:p w:rsidR="00D62F8D" w:rsidRPr="00DA4998" w:rsidRDefault="00D62F8D" w:rsidP="00D62F8D">
            <w:pPr>
              <w:tabs>
                <w:tab w:val="left" w:pos="288"/>
                <w:tab w:val="left" w:pos="576"/>
                <w:tab w:val="left" w:pos="864"/>
                <w:tab w:val="left" w:pos="1152"/>
              </w:tabs>
              <w:spacing w:before="81" w:after="81" w:line="160" w:lineRule="exact"/>
              <w:ind w:right="40"/>
              <w:rPr>
                <w:i/>
                <w:sz w:val="14"/>
                <w:szCs w:val="14"/>
              </w:rPr>
            </w:pPr>
            <w:r w:rsidRPr="00DA4998">
              <w:rPr>
                <w:i/>
                <w:sz w:val="14"/>
                <w:szCs w:val="14"/>
              </w:rPr>
              <w:t>Cargo</w:t>
            </w:r>
          </w:p>
        </w:tc>
        <w:tc>
          <w:tcPr>
            <w:tcW w:w="1338" w:type="dxa"/>
            <w:tcBorders>
              <w:top w:val="single" w:sz="4" w:space="0" w:color="auto"/>
              <w:bottom w:val="single" w:sz="12" w:space="0" w:color="auto"/>
            </w:tcBorders>
            <w:shd w:val="clear" w:color="auto" w:fill="auto"/>
            <w:vAlign w:val="bottom"/>
          </w:tcPr>
          <w:p w:rsidR="00D62F8D" w:rsidRPr="00DA4998" w:rsidRDefault="00D62F8D" w:rsidP="00D62F8D">
            <w:pPr>
              <w:tabs>
                <w:tab w:val="left" w:pos="288"/>
                <w:tab w:val="left" w:pos="576"/>
                <w:tab w:val="left" w:pos="864"/>
                <w:tab w:val="left" w:pos="1152"/>
              </w:tabs>
              <w:spacing w:before="81" w:after="81" w:line="160" w:lineRule="exact"/>
              <w:ind w:right="43"/>
              <w:jc w:val="right"/>
              <w:rPr>
                <w:i/>
                <w:sz w:val="14"/>
              </w:rPr>
            </w:pPr>
            <w:r w:rsidRPr="00DA4998">
              <w:rPr>
                <w:i/>
                <w:sz w:val="14"/>
              </w:rPr>
              <w:t>Mujeres</w:t>
            </w:r>
          </w:p>
        </w:tc>
        <w:tc>
          <w:tcPr>
            <w:tcW w:w="1338" w:type="dxa"/>
            <w:tcBorders>
              <w:top w:val="single" w:sz="4" w:space="0" w:color="auto"/>
              <w:bottom w:val="single" w:sz="12" w:space="0" w:color="auto"/>
            </w:tcBorders>
            <w:shd w:val="clear" w:color="auto" w:fill="auto"/>
            <w:vAlign w:val="bottom"/>
          </w:tcPr>
          <w:p w:rsidR="00D62F8D" w:rsidRPr="00DA4998" w:rsidRDefault="00D62F8D" w:rsidP="00D62F8D">
            <w:pPr>
              <w:tabs>
                <w:tab w:val="left" w:pos="288"/>
                <w:tab w:val="left" w:pos="576"/>
                <w:tab w:val="left" w:pos="864"/>
                <w:tab w:val="left" w:pos="1152"/>
              </w:tabs>
              <w:spacing w:before="81" w:after="81" w:line="160" w:lineRule="exact"/>
              <w:ind w:right="43"/>
              <w:jc w:val="right"/>
              <w:rPr>
                <w:i/>
                <w:sz w:val="14"/>
              </w:rPr>
            </w:pPr>
            <w:r w:rsidRPr="00DA4998">
              <w:rPr>
                <w:i/>
                <w:sz w:val="14"/>
              </w:rPr>
              <w:t>Hombres</w:t>
            </w:r>
          </w:p>
        </w:tc>
        <w:tc>
          <w:tcPr>
            <w:tcW w:w="1338" w:type="dxa"/>
            <w:tcBorders>
              <w:top w:val="single" w:sz="4" w:space="0" w:color="auto"/>
              <w:bottom w:val="single" w:sz="12" w:space="0" w:color="auto"/>
            </w:tcBorders>
            <w:shd w:val="clear" w:color="auto" w:fill="auto"/>
            <w:vAlign w:val="bottom"/>
          </w:tcPr>
          <w:p w:rsidR="00D62F8D" w:rsidRPr="004C6853" w:rsidRDefault="00D62F8D" w:rsidP="00D62F8D">
            <w:pPr>
              <w:tabs>
                <w:tab w:val="left" w:pos="288"/>
                <w:tab w:val="left" w:pos="576"/>
                <w:tab w:val="left" w:pos="864"/>
                <w:tab w:val="left" w:pos="1152"/>
              </w:tabs>
              <w:spacing w:before="81" w:after="81" w:line="160" w:lineRule="exact"/>
              <w:ind w:right="43"/>
              <w:jc w:val="right"/>
              <w:rPr>
                <w:b/>
                <w:sz w:val="14"/>
              </w:rPr>
            </w:pPr>
            <w:r w:rsidRPr="004C6853">
              <w:rPr>
                <w:b/>
                <w:sz w:val="14"/>
              </w:rPr>
              <w:t>Total</w:t>
            </w:r>
          </w:p>
        </w:tc>
      </w:tr>
      <w:tr w:rsidR="00D62F8D" w:rsidRPr="00DA4998">
        <w:tblPrEx>
          <w:tblCellMar>
            <w:top w:w="0" w:type="dxa"/>
            <w:bottom w:w="0" w:type="dxa"/>
          </w:tblCellMar>
        </w:tblPrEx>
        <w:trPr>
          <w:trHeight w:hRule="exact" w:val="115"/>
          <w:tblHeader/>
        </w:trPr>
        <w:tc>
          <w:tcPr>
            <w:tcW w:w="3321" w:type="dxa"/>
            <w:tcBorders>
              <w:top w:val="single" w:sz="12" w:space="0" w:color="auto"/>
            </w:tcBorders>
            <w:shd w:val="clear" w:color="auto" w:fill="auto"/>
            <w:vAlign w:val="bottom"/>
          </w:tcPr>
          <w:p w:rsidR="00D62F8D" w:rsidRPr="00DA4998" w:rsidRDefault="00D62F8D" w:rsidP="00D62F8D">
            <w:pPr>
              <w:tabs>
                <w:tab w:val="left" w:pos="288"/>
                <w:tab w:val="left" w:pos="576"/>
                <w:tab w:val="left" w:pos="864"/>
                <w:tab w:val="left" w:pos="1152"/>
              </w:tabs>
              <w:spacing w:before="40" w:after="40" w:line="210" w:lineRule="exact"/>
              <w:ind w:right="40"/>
              <w:rPr>
                <w:sz w:val="17"/>
              </w:rPr>
            </w:pPr>
          </w:p>
        </w:tc>
        <w:tc>
          <w:tcPr>
            <w:tcW w:w="1338" w:type="dxa"/>
            <w:tcBorders>
              <w:top w:val="single" w:sz="12" w:space="0" w:color="auto"/>
            </w:tcBorders>
            <w:shd w:val="clear" w:color="auto" w:fill="auto"/>
            <w:vAlign w:val="bottom"/>
          </w:tcPr>
          <w:p w:rsidR="00D62F8D" w:rsidRPr="00DA4998" w:rsidRDefault="00D62F8D" w:rsidP="00D62F8D">
            <w:pPr>
              <w:tabs>
                <w:tab w:val="left" w:pos="288"/>
                <w:tab w:val="left" w:pos="576"/>
                <w:tab w:val="left" w:pos="864"/>
                <w:tab w:val="left" w:pos="1152"/>
              </w:tabs>
              <w:spacing w:before="40" w:after="40" w:line="210" w:lineRule="exact"/>
              <w:ind w:right="43"/>
              <w:jc w:val="right"/>
              <w:rPr>
                <w:sz w:val="17"/>
              </w:rPr>
            </w:pPr>
          </w:p>
        </w:tc>
        <w:tc>
          <w:tcPr>
            <w:tcW w:w="1338" w:type="dxa"/>
            <w:tcBorders>
              <w:top w:val="single" w:sz="12" w:space="0" w:color="auto"/>
            </w:tcBorders>
            <w:shd w:val="clear" w:color="auto" w:fill="auto"/>
            <w:vAlign w:val="bottom"/>
          </w:tcPr>
          <w:p w:rsidR="00D62F8D" w:rsidRPr="00DA4998" w:rsidRDefault="00D62F8D" w:rsidP="00D62F8D">
            <w:pPr>
              <w:tabs>
                <w:tab w:val="left" w:pos="288"/>
                <w:tab w:val="left" w:pos="576"/>
                <w:tab w:val="left" w:pos="864"/>
                <w:tab w:val="left" w:pos="1152"/>
              </w:tabs>
              <w:spacing w:before="40" w:after="40" w:line="210" w:lineRule="exact"/>
              <w:ind w:right="43"/>
              <w:jc w:val="right"/>
              <w:rPr>
                <w:sz w:val="17"/>
              </w:rPr>
            </w:pPr>
          </w:p>
        </w:tc>
        <w:tc>
          <w:tcPr>
            <w:tcW w:w="1338" w:type="dxa"/>
            <w:tcBorders>
              <w:top w:val="single" w:sz="12" w:space="0" w:color="auto"/>
            </w:tcBorders>
            <w:shd w:val="clear" w:color="auto" w:fill="auto"/>
            <w:vAlign w:val="bottom"/>
          </w:tcPr>
          <w:p w:rsidR="00D62F8D" w:rsidRPr="004C6853" w:rsidRDefault="00D62F8D" w:rsidP="00D62F8D">
            <w:pPr>
              <w:tabs>
                <w:tab w:val="left" w:pos="288"/>
                <w:tab w:val="left" w:pos="576"/>
                <w:tab w:val="left" w:pos="864"/>
                <w:tab w:val="left" w:pos="1152"/>
              </w:tabs>
              <w:spacing w:before="40" w:after="40" w:line="210" w:lineRule="exact"/>
              <w:ind w:right="43"/>
              <w:jc w:val="right"/>
              <w:rPr>
                <w:b/>
                <w:sz w:val="17"/>
              </w:rPr>
            </w:pPr>
          </w:p>
        </w:tc>
      </w:tr>
      <w:tr w:rsidR="00D62F8D" w:rsidRPr="00DA4998">
        <w:tblPrEx>
          <w:tblCellMar>
            <w:top w:w="0" w:type="dxa"/>
            <w:bottom w:w="0" w:type="dxa"/>
          </w:tblCellMar>
        </w:tblPrEx>
        <w:tc>
          <w:tcPr>
            <w:tcW w:w="3321" w:type="dxa"/>
            <w:shd w:val="clear" w:color="auto" w:fill="auto"/>
            <w:vAlign w:val="bottom"/>
          </w:tcPr>
          <w:p w:rsidR="00D62F8D" w:rsidRPr="00DA4998" w:rsidRDefault="00D62F8D" w:rsidP="00D62F8D">
            <w:pPr>
              <w:tabs>
                <w:tab w:val="left" w:pos="288"/>
                <w:tab w:val="left" w:pos="576"/>
                <w:tab w:val="left" w:pos="864"/>
                <w:tab w:val="left" w:pos="1152"/>
              </w:tabs>
              <w:spacing w:before="40" w:after="40" w:line="210" w:lineRule="exact"/>
              <w:ind w:right="40"/>
              <w:rPr>
                <w:sz w:val="17"/>
                <w:szCs w:val="17"/>
              </w:rPr>
            </w:pPr>
            <w:r w:rsidRPr="00DA4998">
              <w:rPr>
                <w:sz w:val="17"/>
                <w:szCs w:val="17"/>
              </w:rPr>
              <w:t>Miembros del Senado</w:t>
            </w:r>
          </w:p>
        </w:tc>
        <w:tc>
          <w:tcPr>
            <w:tcW w:w="1338" w:type="dxa"/>
            <w:shd w:val="clear" w:color="auto" w:fill="auto"/>
            <w:vAlign w:val="bottom"/>
          </w:tcPr>
          <w:p w:rsidR="00D62F8D" w:rsidRPr="00DA4998" w:rsidRDefault="00D62F8D" w:rsidP="00D62F8D">
            <w:pPr>
              <w:tabs>
                <w:tab w:val="left" w:pos="288"/>
                <w:tab w:val="left" w:pos="576"/>
                <w:tab w:val="left" w:pos="864"/>
                <w:tab w:val="left" w:pos="1152"/>
              </w:tabs>
              <w:spacing w:before="40" w:after="40" w:line="210" w:lineRule="exact"/>
              <w:ind w:right="43"/>
              <w:jc w:val="right"/>
              <w:rPr>
                <w:sz w:val="17"/>
                <w:szCs w:val="17"/>
              </w:rPr>
            </w:pPr>
            <w:r w:rsidRPr="00DA4998">
              <w:rPr>
                <w:sz w:val="17"/>
                <w:szCs w:val="17"/>
              </w:rPr>
              <w:t>5</w:t>
            </w:r>
          </w:p>
        </w:tc>
        <w:tc>
          <w:tcPr>
            <w:tcW w:w="1338" w:type="dxa"/>
            <w:shd w:val="clear" w:color="auto" w:fill="auto"/>
            <w:vAlign w:val="bottom"/>
          </w:tcPr>
          <w:p w:rsidR="00D62F8D" w:rsidRPr="00DA4998" w:rsidRDefault="00D62F8D" w:rsidP="00D62F8D">
            <w:pPr>
              <w:tabs>
                <w:tab w:val="left" w:pos="288"/>
                <w:tab w:val="left" w:pos="576"/>
                <w:tab w:val="left" w:pos="864"/>
                <w:tab w:val="left" w:pos="1152"/>
              </w:tabs>
              <w:spacing w:before="40" w:after="40" w:line="210" w:lineRule="exact"/>
              <w:ind w:right="43"/>
              <w:jc w:val="right"/>
              <w:rPr>
                <w:sz w:val="17"/>
                <w:szCs w:val="17"/>
              </w:rPr>
            </w:pPr>
            <w:r w:rsidRPr="00DA4998">
              <w:rPr>
                <w:sz w:val="17"/>
                <w:szCs w:val="17"/>
              </w:rPr>
              <w:t>10</w:t>
            </w:r>
          </w:p>
        </w:tc>
        <w:tc>
          <w:tcPr>
            <w:tcW w:w="1338" w:type="dxa"/>
            <w:shd w:val="clear" w:color="auto" w:fill="auto"/>
            <w:vAlign w:val="bottom"/>
          </w:tcPr>
          <w:p w:rsidR="00D62F8D" w:rsidRPr="004C6853" w:rsidRDefault="00D62F8D" w:rsidP="00D62F8D">
            <w:pPr>
              <w:tabs>
                <w:tab w:val="left" w:pos="288"/>
                <w:tab w:val="left" w:pos="576"/>
                <w:tab w:val="left" w:pos="864"/>
                <w:tab w:val="left" w:pos="1152"/>
              </w:tabs>
              <w:spacing w:before="40" w:after="40" w:line="210" w:lineRule="exact"/>
              <w:ind w:right="43"/>
              <w:jc w:val="right"/>
              <w:rPr>
                <w:b/>
                <w:sz w:val="17"/>
                <w:szCs w:val="17"/>
              </w:rPr>
            </w:pPr>
            <w:r w:rsidRPr="004C6853">
              <w:rPr>
                <w:b/>
                <w:sz w:val="17"/>
                <w:szCs w:val="17"/>
              </w:rPr>
              <w:t>15</w:t>
            </w:r>
          </w:p>
        </w:tc>
      </w:tr>
      <w:tr w:rsidR="00D62F8D" w:rsidRPr="00DA4998">
        <w:tblPrEx>
          <w:tblCellMar>
            <w:top w:w="0" w:type="dxa"/>
            <w:bottom w:w="0" w:type="dxa"/>
          </w:tblCellMar>
        </w:tblPrEx>
        <w:tc>
          <w:tcPr>
            <w:tcW w:w="3321" w:type="dxa"/>
            <w:tcBorders>
              <w:bottom w:val="single" w:sz="4" w:space="0" w:color="auto"/>
            </w:tcBorders>
            <w:shd w:val="clear" w:color="auto" w:fill="auto"/>
            <w:vAlign w:val="bottom"/>
          </w:tcPr>
          <w:p w:rsidR="00D62F8D" w:rsidRPr="00DA4998" w:rsidRDefault="00D62F8D" w:rsidP="00D62F8D">
            <w:pPr>
              <w:tabs>
                <w:tab w:val="left" w:pos="288"/>
                <w:tab w:val="left" w:pos="576"/>
                <w:tab w:val="left" w:pos="864"/>
                <w:tab w:val="left" w:pos="1152"/>
              </w:tabs>
              <w:spacing w:before="40" w:after="81" w:line="210" w:lineRule="exact"/>
              <w:ind w:right="40"/>
              <w:rPr>
                <w:sz w:val="17"/>
                <w:szCs w:val="17"/>
              </w:rPr>
            </w:pPr>
            <w:r w:rsidRPr="00DA4998">
              <w:rPr>
                <w:sz w:val="17"/>
                <w:szCs w:val="17"/>
              </w:rPr>
              <w:t>Miembros del Parlamento</w:t>
            </w:r>
          </w:p>
        </w:tc>
        <w:tc>
          <w:tcPr>
            <w:tcW w:w="1338" w:type="dxa"/>
            <w:tcBorders>
              <w:bottom w:val="single" w:sz="4" w:space="0" w:color="auto"/>
            </w:tcBorders>
            <w:shd w:val="clear" w:color="auto" w:fill="auto"/>
            <w:vAlign w:val="bottom"/>
          </w:tcPr>
          <w:p w:rsidR="00D62F8D" w:rsidRPr="00DA4998" w:rsidRDefault="00D62F8D" w:rsidP="00D62F8D">
            <w:pPr>
              <w:tabs>
                <w:tab w:val="left" w:pos="288"/>
                <w:tab w:val="left" w:pos="576"/>
                <w:tab w:val="left" w:pos="864"/>
                <w:tab w:val="left" w:pos="1152"/>
              </w:tabs>
              <w:spacing w:before="40" w:after="81" w:line="210" w:lineRule="exact"/>
              <w:ind w:right="43"/>
              <w:jc w:val="right"/>
              <w:rPr>
                <w:sz w:val="17"/>
                <w:szCs w:val="17"/>
              </w:rPr>
            </w:pPr>
            <w:r w:rsidRPr="00DA4998">
              <w:rPr>
                <w:sz w:val="17"/>
                <w:szCs w:val="17"/>
              </w:rPr>
              <w:t>5</w:t>
            </w:r>
          </w:p>
        </w:tc>
        <w:tc>
          <w:tcPr>
            <w:tcW w:w="1338" w:type="dxa"/>
            <w:tcBorders>
              <w:bottom w:val="single" w:sz="4" w:space="0" w:color="auto"/>
            </w:tcBorders>
            <w:shd w:val="clear" w:color="auto" w:fill="auto"/>
            <w:vAlign w:val="bottom"/>
          </w:tcPr>
          <w:p w:rsidR="00D62F8D" w:rsidRPr="00DA4998" w:rsidRDefault="00D62F8D" w:rsidP="00D62F8D">
            <w:pPr>
              <w:tabs>
                <w:tab w:val="left" w:pos="288"/>
                <w:tab w:val="left" w:pos="576"/>
                <w:tab w:val="left" w:pos="864"/>
                <w:tab w:val="left" w:pos="1152"/>
              </w:tabs>
              <w:spacing w:before="40" w:after="81" w:line="210" w:lineRule="exact"/>
              <w:ind w:right="43"/>
              <w:jc w:val="right"/>
              <w:rPr>
                <w:sz w:val="17"/>
                <w:szCs w:val="17"/>
              </w:rPr>
            </w:pPr>
            <w:r w:rsidRPr="00DA4998">
              <w:rPr>
                <w:sz w:val="17"/>
                <w:szCs w:val="17"/>
              </w:rPr>
              <w:t>36</w:t>
            </w:r>
          </w:p>
        </w:tc>
        <w:tc>
          <w:tcPr>
            <w:tcW w:w="1338" w:type="dxa"/>
            <w:tcBorders>
              <w:bottom w:val="single" w:sz="4" w:space="0" w:color="auto"/>
            </w:tcBorders>
            <w:shd w:val="clear" w:color="auto" w:fill="auto"/>
            <w:vAlign w:val="bottom"/>
          </w:tcPr>
          <w:p w:rsidR="00D62F8D" w:rsidRPr="004C6853" w:rsidRDefault="00D62F8D" w:rsidP="00D62F8D">
            <w:pPr>
              <w:tabs>
                <w:tab w:val="left" w:pos="288"/>
                <w:tab w:val="left" w:pos="576"/>
                <w:tab w:val="left" w:pos="864"/>
                <w:tab w:val="left" w:pos="1152"/>
              </w:tabs>
              <w:spacing w:before="40" w:after="81" w:line="210" w:lineRule="exact"/>
              <w:ind w:right="43"/>
              <w:jc w:val="right"/>
              <w:rPr>
                <w:b/>
                <w:sz w:val="17"/>
                <w:szCs w:val="17"/>
              </w:rPr>
            </w:pPr>
            <w:r w:rsidRPr="004C6853">
              <w:rPr>
                <w:b/>
                <w:sz w:val="17"/>
                <w:szCs w:val="17"/>
              </w:rPr>
              <w:t>41</w:t>
            </w:r>
          </w:p>
        </w:tc>
      </w:tr>
      <w:tr w:rsidR="00D62F8D" w:rsidRPr="00DA4998">
        <w:tblPrEx>
          <w:tblCellMar>
            <w:top w:w="0" w:type="dxa"/>
            <w:bottom w:w="0" w:type="dxa"/>
          </w:tblCellMar>
        </w:tblPrEx>
        <w:tc>
          <w:tcPr>
            <w:tcW w:w="3321" w:type="dxa"/>
            <w:tcBorders>
              <w:top w:val="single" w:sz="4" w:space="0" w:color="auto"/>
              <w:bottom w:val="single" w:sz="4" w:space="0" w:color="auto"/>
            </w:tcBorders>
            <w:shd w:val="clear" w:color="auto" w:fill="auto"/>
            <w:vAlign w:val="bottom"/>
          </w:tcPr>
          <w:p w:rsidR="00D62F8D" w:rsidRPr="00DA4998" w:rsidRDefault="00D62F8D" w:rsidP="00D62F8D">
            <w:pPr>
              <w:tabs>
                <w:tab w:val="left" w:pos="288"/>
                <w:tab w:val="left" w:pos="576"/>
                <w:tab w:val="left" w:pos="864"/>
                <w:tab w:val="left" w:pos="1152"/>
              </w:tabs>
              <w:spacing w:before="81" w:after="81" w:line="210" w:lineRule="exact"/>
              <w:ind w:right="40"/>
              <w:rPr>
                <w:b/>
                <w:sz w:val="17"/>
                <w:szCs w:val="17"/>
              </w:rPr>
            </w:pPr>
            <w:r w:rsidRPr="00DA4998">
              <w:rPr>
                <w:b/>
                <w:sz w:val="17"/>
                <w:szCs w:val="17"/>
              </w:rPr>
              <w:tab/>
              <w:t>Total</w:t>
            </w:r>
          </w:p>
        </w:tc>
        <w:tc>
          <w:tcPr>
            <w:tcW w:w="1338" w:type="dxa"/>
            <w:tcBorders>
              <w:top w:val="single" w:sz="4" w:space="0" w:color="auto"/>
              <w:bottom w:val="single" w:sz="4" w:space="0" w:color="auto"/>
            </w:tcBorders>
            <w:shd w:val="clear" w:color="auto" w:fill="auto"/>
            <w:vAlign w:val="bottom"/>
          </w:tcPr>
          <w:p w:rsidR="00D62F8D" w:rsidRPr="00DA4998" w:rsidRDefault="00D62F8D" w:rsidP="00D62F8D">
            <w:pPr>
              <w:tabs>
                <w:tab w:val="left" w:pos="288"/>
                <w:tab w:val="left" w:pos="576"/>
                <w:tab w:val="left" w:pos="864"/>
                <w:tab w:val="left" w:pos="1152"/>
              </w:tabs>
              <w:spacing w:before="81" w:after="81" w:line="210" w:lineRule="exact"/>
              <w:ind w:right="43"/>
              <w:jc w:val="right"/>
              <w:rPr>
                <w:b/>
                <w:sz w:val="17"/>
                <w:szCs w:val="17"/>
              </w:rPr>
            </w:pPr>
            <w:r w:rsidRPr="00DA4998">
              <w:rPr>
                <w:b/>
                <w:sz w:val="17"/>
                <w:szCs w:val="17"/>
              </w:rPr>
              <w:t>10</w:t>
            </w:r>
          </w:p>
        </w:tc>
        <w:tc>
          <w:tcPr>
            <w:tcW w:w="1338" w:type="dxa"/>
            <w:tcBorders>
              <w:top w:val="single" w:sz="4" w:space="0" w:color="auto"/>
              <w:bottom w:val="single" w:sz="4" w:space="0" w:color="auto"/>
            </w:tcBorders>
            <w:shd w:val="clear" w:color="auto" w:fill="auto"/>
            <w:vAlign w:val="bottom"/>
          </w:tcPr>
          <w:p w:rsidR="00D62F8D" w:rsidRPr="00DA4998" w:rsidRDefault="00D62F8D" w:rsidP="00D62F8D">
            <w:pPr>
              <w:tabs>
                <w:tab w:val="left" w:pos="288"/>
                <w:tab w:val="left" w:pos="576"/>
                <w:tab w:val="left" w:pos="864"/>
                <w:tab w:val="left" w:pos="1152"/>
              </w:tabs>
              <w:spacing w:before="81" w:after="81" w:line="210" w:lineRule="exact"/>
              <w:ind w:right="43"/>
              <w:jc w:val="right"/>
              <w:rPr>
                <w:b/>
                <w:sz w:val="17"/>
                <w:szCs w:val="17"/>
              </w:rPr>
            </w:pPr>
            <w:r w:rsidRPr="00DA4998">
              <w:rPr>
                <w:b/>
                <w:sz w:val="17"/>
                <w:szCs w:val="17"/>
              </w:rPr>
              <w:t>46</w:t>
            </w:r>
          </w:p>
        </w:tc>
        <w:tc>
          <w:tcPr>
            <w:tcW w:w="1338" w:type="dxa"/>
            <w:tcBorders>
              <w:top w:val="single" w:sz="4" w:space="0" w:color="auto"/>
              <w:bottom w:val="single" w:sz="4" w:space="0" w:color="auto"/>
            </w:tcBorders>
            <w:shd w:val="clear" w:color="auto" w:fill="auto"/>
            <w:vAlign w:val="bottom"/>
          </w:tcPr>
          <w:p w:rsidR="00D62F8D" w:rsidRPr="004C6853" w:rsidRDefault="00D62F8D" w:rsidP="00D62F8D">
            <w:pPr>
              <w:tabs>
                <w:tab w:val="left" w:pos="288"/>
                <w:tab w:val="left" w:pos="576"/>
                <w:tab w:val="left" w:pos="864"/>
                <w:tab w:val="left" w:pos="1152"/>
              </w:tabs>
              <w:spacing w:before="81" w:after="81" w:line="210" w:lineRule="exact"/>
              <w:ind w:right="43"/>
              <w:jc w:val="right"/>
              <w:rPr>
                <w:b/>
                <w:sz w:val="17"/>
                <w:szCs w:val="17"/>
              </w:rPr>
            </w:pPr>
            <w:r w:rsidRPr="004C6853">
              <w:rPr>
                <w:b/>
                <w:sz w:val="17"/>
                <w:szCs w:val="17"/>
              </w:rPr>
              <w:t>56</w:t>
            </w:r>
          </w:p>
        </w:tc>
      </w:tr>
      <w:tr w:rsidR="00D62F8D" w:rsidRPr="00DA4998">
        <w:tblPrEx>
          <w:tblCellMar>
            <w:top w:w="0" w:type="dxa"/>
            <w:bottom w:w="0" w:type="dxa"/>
          </w:tblCellMar>
        </w:tblPrEx>
        <w:tc>
          <w:tcPr>
            <w:tcW w:w="3321" w:type="dxa"/>
            <w:tcBorders>
              <w:top w:val="single" w:sz="4" w:space="0" w:color="auto"/>
              <w:bottom w:val="single" w:sz="12" w:space="0" w:color="auto"/>
            </w:tcBorders>
            <w:shd w:val="clear" w:color="auto" w:fill="auto"/>
            <w:vAlign w:val="bottom"/>
          </w:tcPr>
          <w:p w:rsidR="00D62F8D" w:rsidRPr="00DA4998" w:rsidRDefault="00D62F8D" w:rsidP="00D62F8D">
            <w:pPr>
              <w:tabs>
                <w:tab w:val="left" w:pos="288"/>
                <w:tab w:val="left" w:pos="576"/>
                <w:tab w:val="left" w:pos="864"/>
                <w:tab w:val="left" w:pos="1152"/>
              </w:tabs>
              <w:spacing w:before="40" w:after="81" w:line="210" w:lineRule="exact"/>
              <w:ind w:right="40"/>
              <w:rPr>
                <w:bCs/>
                <w:sz w:val="17"/>
                <w:szCs w:val="17"/>
              </w:rPr>
            </w:pPr>
            <w:r w:rsidRPr="00DA4998">
              <w:rPr>
                <w:bCs/>
                <w:sz w:val="17"/>
                <w:szCs w:val="17"/>
              </w:rPr>
              <w:t>Miembro</w:t>
            </w:r>
            <w:r>
              <w:rPr>
                <w:bCs/>
                <w:sz w:val="17"/>
                <w:szCs w:val="17"/>
              </w:rPr>
              <w:t>s</w:t>
            </w:r>
            <w:r w:rsidRPr="00DA4998">
              <w:rPr>
                <w:bCs/>
                <w:sz w:val="17"/>
                <w:szCs w:val="17"/>
              </w:rPr>
              <w:t xml:space="preserve"> del Gabinete</w:t>
            </w:r>
          </w:p>
        </w:tc>
        <w:tc>
          <w:tcPr>
            <w:tcW w:w="1338" w:type="dxa"/>
            <w:tcBorders>
              <w:top w:val="single" w:sz="4" w:space="0" w:color="auto"/>
              <w:bottom w:val="single" w:sz="12" w:space="0" w:color="auto"/>
            </w:tcBorders>
            <w:shd w:val="clear" w:color="auto" w:fill="auto"/>
            <w:vAlign w:val="bottom"/>
          </w:tcPr>
          <w:p w:rsidR="00D62F8D" w:rsidRPr="00DA4998" w:rsidRDefault="00D62F8D" w:rsidP="00D62F8D">
            <w:pPr>
              <w:tabs>
                <w:tab w:val="left" w:pos="288"/>
                <w:tab w:val="left" w:pos="576"/>
                <w:tab w:val="left" w:pos="864"/>
                <w:tab w:val="left" w:pos="1152"/>
              </w:tabs>
              <w:spacing w:before="40" w:after="81" w:line="210" w:lineRule="exact"/>
              <w:ind w:right="43"/>
              <w:jc w:val="right"/>
              <w:rPr>
                <w:bCs/>
                <w:sz w:val="17"/>
                <w:szCs w:val="17"/>
              </w:rPr>
            </w:pPr>
            <w:r w:rsidRPr="00DA4998">
              <w:rPr>
                <w:bCs/>
                <w:sz w:val="17"/>
                <w:szCs w:val="17"/>
              </w:rPr>
              <w:t>1</w:t>
            </w:r>
          </w:p>
        </w:tc>
        <w:tc>
          <w:tcPr>
            <w:tcW w:w="1338" w:type="dxa"/>
            <w:tcBorders>
              <w:top w:val="single" w:sz="4" w:space="0" w:color="auto"/>
              <w:bottom w:val="single" w:sz="12" w:space="0" w:color="auto"/>
            </w:tcBorders>
            <w:shd w:val="clear" w:color="auto" w:fill="auto"/>
            <w:vAlign w:val="bottom"/>
          </w:tcPr>
          <w:p w:rsidR="00D62F8D" w:rsidRPr="00DA4998" w:rsidRDefault="00D62F8D" w:rsidP="00D62F8D">
            <w:pPr>
              <w:tabs>
                <w:tab w:val="left" w:pos="288"/>
                <w:tab w:val="left" w:pos="576"/>
                <w:tab w:val="left" w:pos="864"/>
                <w:tab w:val="left" w:pos="1152"/>
              </w:tabs>
              <w:spacing w:before="40" w:after="81" w:line="210" w:lineRule="exact"/>
              <w:ind w:right="43"/>
              <w:jc w:val="right"/>
              <w:rPr>
                <w:bCs/>
                <w:sz w:val="17"/>
                <w:szCs w:val="17"/>
              </w:rPr>
            </w:pPr>
            <w:r w:rsidRPr="00DA4998">
              <w:rPr>
                <w:bCs/>
                <w:sz w:val="17"/>
                <w:szCs w:val="17"/>
              </w:rPr>
              <w:t>16</w:t>
            </w:r>
          </w:p>
        </w:tc>
        <w:tc>
          <w:tcPr>
            <w:tcW w:w="1338" w:type="dxa"/>
            <w:tcBorders>
              <w:top w:val="single" w:sz="4" w:space="0" w:color="auto"/>
              <w:bottom w:val="single" w:sz="12" w:space="0" w:color="auto"/>
            </w:tcBorders>
            <w:shd w:val="clear" w:color="auto" w:fill="auto"/>
            <w:vAlign w:val="bottom"/>
          </w:tcPr>
          <w:p w:rsidR="00D62F8D" w:rsidRPr="004C6853" w:rsidRDefault="00D62F8D" w:rsidP="00D62F8D">
            <w:pPr>
              <w:tabs>
                <w:tab w:val="left" w:pos="288"/>
                <w:tab w:val="left" w:pos="576"/>
                <w:tab w:val="left" w:pos="864"/>
                <w:tab w:val="left" w:pos="1152"/>
              </w:tabs>
              <w:spacing w:before="40" w:after="81" w:line="210" w:lineRule="exact"/>
              <w:ind w:right="43"/>
              <w:jc w:val="right"/>
              <w:rPr>
                <w:b/>
                <w:bCs/>
                <w:sz w:val="17"/>
                <w:szCs w:val="17"/>
              </w:rPr>
            </w:pPr>
            <w:r w:rsidRPr="004C6853">
              <w:rPr>
                <w:b/>
                <w:bCs/>
                <w:sz w:val="17"/>
                <w:szCs w:val="17"/>
              </w:rPr>
              <w:t>17</w:t>
            </w:r>
          </w:p>
        </w:tc>
      </w:tr>
    </w:tbl>
    <w:p w:rsidR="00D62F8D" w:rsidRPr="00D62F8D" w:rsidRDefault="00D62F8D" w:rsidP="00D62F8D">
      <w:pPr>
        <w:pStyle w:val="SingleTxt"/>
        <w:spacing w:after="0" w:line="120" w:lineRule="exact"/>
        <w:rPr>
          <w:sz w:val="10"/>
        </w:rPr>
      </w:pPr>
    </w:p>
    <w:p w:rsidR="00D62F8D" w:rsidRPr="00D62F8D" w:rsidRDefault="00D62F8D" w:rsidP="00D62F8D">
      <w:pPr>
        <w:pStyle w:val="SingleTxt"/>
        <w:spacing w:after="0" w:line="120" w:lineRule="exact"/>
        <w:rPr>
          <w:sz w:val="10"/>
        </w:rPr>
      </w:pPr>
    </w:p>
    <w:p w:rsidR="00D62F8D" w:rsidRPr="004C6853" w:rsidRDefault="00D62F8D" w:rsidP="00D62F8D">
      <w:pPr>
        <w:pStyle w:val="SingleTxt"/>
        <w:keepNext/>
        <w:keepLines/>
        <w:spacing w:after="0"/>
        <w:jc w:val="left"/>
        <w:rPr>
          <w:b/>
        </w:rPr>
      </w:pPr>
      <w:r w:rsidRPr="00DA4998">
        <w:t>Cuadro 10</w:t>
      </w:r>
      <w:r w:rsidRPr="00DA4998">
        <w:br/>
      </w:r>
      <w:r w:rsidRPr="004C6853">
        <w:rPr>
          <w:b/>
        </w:rPr>
        <w:t>Mujeres en cargos clave en la Asamblea Legislativa en 2010</w:t>
      </w:r>
    </w:p>
    <w:p w:rsidR="00D62F8D" w:rsidRPr="00D62F8D" w:rsidRDefault="00D62F8D" w:rsidP="00D62F8D">
      <w:pPr>
        <w:pStyle w:val="SingleTxt"/>
        <w:spacing w:after="0" w:line="120" w:lineRule="exact"/>
        <w:rPr>
          <w:sz w:val="10"/>
        </w:rPr>
      </w:pPr>
    </w:p>
    <w:p w:rsidR="00D62F8D" w:rsidRPr="00D62F8D" w:rsidRDefault="00D62F8D" w:rsidP="00D62F8D">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321"/>
        <w:gridCol w:w="1338"/>
        <w:gridCol w:w="1338"/>
        <w:gridCol w:w="1338"/>
      </w:tblGrid>
      <w:tr w:rsidR="00D62F8D" w:rsidRPr="00DA4998">
        <w:tblPrEx>
          <w:tblCellMar>
            <w:top w:w="0" w:type="dxa"/>
            <w:bottom w:w="0" w:type="dxa"/>
          </w:tblCellMar>
        </w:tblPrEx>
        <w:trPr>
          <w:tblHeader/>
        </w:trPr>
        <w:tc>
          <w:tcPr>
            <w:tcW w:w="3321" w:type="dxa"/>
            <w:tcBorders>
              <w:top w:val="single" w:sz="4" w:space="0" w:color="auto"/>
              <w:bottom w:val="single" w:sz="12" w:space="0" w:color="auto"/>
            </w:tcBorders>
            <w:shd w:val="clear" w:color="auto" w:fill="auto"/>
            <w:vAlign w:val="bottom"/>
          </w:tcPr>
          <w:p w:rsidR="00D62F8D" w:rsidRPr="00DA4998" w:rsidRDefault="00D62F8D" w:rsidP="00D62F8D">
            <w:pPr>
              <w:keepNext/>
              <w:keepLines/>
              <w:tabs>
                <w:tab w:val="left" w:pos="288"/>
                <w:tab w:val="left" w:pos="576"/>
                <w:tab w:val="left" w:pos="864"/>
                <w:tab w:val="left" w:pos="1152"/>
              </w:tabs>
              <w:spacing w:before="81" w:after="81" w:line="160" w:lineRule="exact"/>
              <w:ind w:right="40"/>
              <w:rPr>
                <w:i/>
                <w:sz w:val="14"/>
              </w:rPr>
            </w:pPr>
            <w:r w:rsidRPr="00DA4998">
              <w:rPr>
                <w:i/>
                <w:sz w:val="14"/>
              </w:rPr>
              <w:t>Cargos</w:t>
            </w:r>
          </w:p>
        </w:tc>
        <w:tc>
          <w:tcPr>
            <w:tcW w:w="1338" w:type="dxa"/>
            <w:tcBorders>
              <w:top w:val="single" w:sz="4" w:space="0" w:color="auto"/>
              <w:bottom w:val="single" w:sz="12" w:space="0" w:color="auto"/>
            </w:tcBorders>
            <w:shd w:val="clear" w:color="auto" w:fill="auto"/>
            <w:vAlign w:val="bottom"/>
          </w:tcPr>
          <w:p w:rsidR="00D62F8D" w:rsidRPr="00DA4998" w:rsidRDefault="00D62F8D" w:rsidP="00D62F8D">
            <w:pPr>
              <w:keepNext/>
              <w:keepLines/>
              <w:tabs>
                <w:tab w:val="left" w:pos="288"/>
                <w:tab w:val="left" w:pos="576"/>
                <w:tab w:val="left" w:pos="864"/>
                <w:tab w:val="left" w:pos="1152"/>
              </w:tabs>
              <w:spacing w:before="81" w:after="81" w:line="160" w:lineRule="exact"/>
              <w:ind w:right="43"/>
              <w:jc w:val="right"/>
              <w:rPr>
                <w:i/>
                <w:sz w:val="14"/>
              </w:rPr>
            </w:pPr>
            <w:r w:rsidRPr="00DA4998">
              <w:rPr>
                <w:i/>
                <w:sz w:val="14"/>
              </w:rPr>
              <w:t>Mujeres</w:t>
            </w:r>
          </w:p>
        </w:tc>
        <w:tc>
          <w:tcPr>
            <w:tcW w:w="1338" w:type="dxa"/>
            <w:tcBorders>
              <w:top w:val="single" w:sz="4" w:space="0" w:color="auto"/>
              <w:bottom w:val="single" w:sz="12" w:space="0" w:color="auto"/>
            </w:tcBorders>
            <w:shd w:val="clear" w:color="auto" w:fill="auto"/>
            <w:vAlign w:val="bottom"/>
          </w:tcPr>
          <w:p w:rsidR="00D62F8D" w:rsidRPr="00DA4998" w:rsidRDefault="00D62F8D" w:rsidP="00D62F8D">
            <w:pPr>
              <w:keepNext/>
              <w:keepLines/>
              <w:tabs>
                <w:tab w:val="left" w:pos="288"/>
                <w:tab w:val="left" w:pos="576"/>
                <w:tab w:val="left" w:pos="864"/>
                <w:tab w:val="left" w:pos="1152"/>
              </w:tabs>
              <w:spacing w:before="81" w:after="81" w:line="160" w:lineRule="exact"/>
              <w:ind w:right="43"/>
              <w:jc w:val="right"/>
              <w:rPr>
                <w:i/>
                <w:sz w:val="14"/>
              </w:rPr>
            </w:pPr>
            <w:r w:rsidRPr="00DA4998">
              <w:rPr>
                <w:i/>
                <w:sz w:val="14"/>
              </w:rPr>
              <w:t>Hombres</w:t>
            </w:r>
          </w:p>
        </w:tc>
        <w:tc>
          <w:tcPr>
            <w:tcW w:w="1338" w:type="dxa"/>
            <w:tcBorders>
              <w:top w:val="single" w:sz="4" w:space="0" w:color="auto"/>
              <w:bottom w:val="single" w:sz="12" w:space="0" w:color="auto"/>
            </w:tcBorders>
            <w:shd w:val="clear" w:color="auto" w:fill="auto"/>
            <w:vAlign w:val="bottom"/>
          </w:tcPr>
          <w:p w:rsidR="00D62F8D" w:rsidRPr="004C6853" w:rsidRDefault="00D62F8D" w:rsidP="00D62F8D">
            <w:pPr>
              <w:keepNext/>
              <w:keepLines/>
              <w:tabs>
                <w:tab w:val="left" w:pos="288"/>
                <w:tab w:val="left" w:pos="576"/>
                <w:tab w:val="left" w:pos="864"/>
                <w:tab w:val="left" w:pos="1152"/>
              </w:tabs>
              <w:spacing w:before="81" w:after="81" w:line="160" w:lineRule="exact"/>
              <w:ind w:right="43"/>
              <w:jc w:val="right"/>
              <w:rPr>
                <w:b/>
                <w:sz w:val="14"/>
              </w:rPr>
            </w:pPr>
            <w:r w:rsidRPr="004C6853">
              <w:rPr>
                <w:b/>
                <w:sz w:val="14"/>
              </w:rPr>
              <w:t>Total</w:t>
            </w:r>
          </w:p>
        </w:tc>
      </w:tr>
      <w:tr w:rsidR="00D62F8D" w:rsidRPr="00DA4998">
        <w:tblPrEx>
          <w:tblCellMar>
            <w:top w:w="0" w:type="dxa"/>
            <w:bottom w:w="0" w:type="dxa"/>
          </w:tblCellMar>
        </w:tblPrEx>
        <w:trPr>
          <w:trHeight w:hRule="exact" w:val="115"/>
          <w:tblHeader/>
        </w:trPr>
        <w:tc>
          <w:tcPr>
            <w:tcW w:w="3321" w:type="dxa"/>
            <w:tcBorders>
              <w:top w:val="single" w:sz="12" w:space="0" w:color="auto"/>
            </w:tcBorders>
            <w:shd w:val="clear" w:color="auto" w:fill="auto"/>
            <w:vAlign w:val="bottom"/>
          </w:tcPr>
          <w:p w:rsidR="00D62F8D" w:rsidRPr="00DA4998" w:rsidRDefault="00D62F8D" w:rsidP="00D62F8D">
            <w:pPr>
              <w:keepNext/>
              <w:keepLines/>
              <w:tabs>
                <w:tab w:val="left" w:pos="288"/>
                <w:tab w:val="left" w:pos="576"/>
                <w:tab w:val="left" w:pos="864"/>
                <w:tab w:val="left" w:pos="1152"/>
              </w:tabs>
              <w:spacing w:before="40" w:after="40" w:line="210" w:lineRule="exact"/>
              <w:ind w:right="40"/>
              <w:rPr>
                <w:sz w:val="17"/>
              </w:rPr>
            </w:pPr>
          </w:p>
        </w:tc>
        <w:tc>
          <w:tcPr>
            <w:tcW w:w="1338" w:type="dxa"/>
            <w:tcBorders>
              <w:top w:val="single" w:sz="12" w:space="0" w:color="auto"/>
            </w:tcBorders>
            <w:shd w:val="clear" w:color="auto" w:fill="auto"/>
            <w:vAlign w:val="bottom"/>
          </w:tcPr>
          <w:p w:rsidR="00D62F8D" w:rsidRPr="00DA4998" w:rsidRDefault="00D62F8D" w:rsidP="00D62F8D">
            <w:pPr>
              <w:keepNext/>
              <w:keepLines/>
              <w:tabs>
                <w:tab w:val="left" w:pos="288"/>
                <w:tab w:val="left" w:pos="576"/>
                <w:tab w:val="left" w:pos="864"/>
                <w:tab w:val="left" w:pos="1152"/>
              </w:tabs>
              <w:spacing w:before="40" w:after="40" w:line="210" w:lineRule="exact"/>
              <w:ind w:right="43"/>
              <w:jc w:val="right"/>
              <w:rPr>
                <w:sz w:val="17"/>
              </w:rPr>
            </w:pPr>
          </w:p>
        </w:tc>
        <w:tc>
          <w:tcPr>
            <w:tcW w:w="1338" w:type="dxa"/>
            <w:tcBorders>
              <w:top w:val="single" w:sz="12" w:space="0" w:color="auto"/>
            </w:tcBorders>
            <w:shd w:val="clear" w:color="auto" w:fill="auto"/>
            <w:vAlign w:val="bottom"/>
          </w:tcPr>
          <w:p w:rsidR="00D62F8D" w:rsidRPr="00DA4998" w:rsidRDefault="00D62F8D" w:rsidP="00D62F8D">
            <w:pPr>
              <w:keepNext/>
              <w:keepLines/>
              <w:tabs>
                <w:tab w:val="left" w:pos="288"/>
                <w:tab w:val="left" w:pos="576"/>
                <w:tab w:val="left" w:pos="864"/>
                <w:tab w:val="left" w:pos="1152"/>
              </w:tabs>
              <w:spacing w:before="40" w:after="40" w:line="210" w:lineRule="exact"/>
              <w:ind w:right="43"/>
              <w:jc w:val="right"/>
              <w:rPr>
                <w:sz w:val="17"/>
              </w:rPr>
            </w:pPr>
          </w:p>
        </w:tc>
        <w:tc>
          <w:tcPr>
            <w:tcW w:w="1338" w:type="dxa"/>
            <w:tcBorders>
              <w:top w:val="single" w:sz="12" w:space="0" w:color="auto"/>
            </w:tcBorders>
            <w:shd w:val="clear" w:color="auto" w:fill="auto"/>
            <w:vAlign w:val="bottom"/>
          </w:tcPr>
          <w:p w:rsidR="00D62F8D" w:rsidRPr="004C6853" w:rsidRDefault="00D62F8D" w:rsidP="00D62F8D">
            <w:pPr>
              <w:keepNext/>
              <w:keepLines/>
              <w:tabs>
                <w:tab w:val="left" w:pos="288"/>
                <w:tab w:val="left" w:pos="576"/>
                <w:tab w:val="left" w:pos="864"/>
                <w:tab w:val="left" w:pos="1152"/>
              </w:tabs>
              <w:spacing w:before="40" w:after="40" w:line="210" w:lineRule="exact"/>
              <w:ind w:right="43"/>
              <w:jc w:val="right"/>
              <w:rPr>
                <w:b/>
                <w:sz w:val="17"/>
              </w:rPr>
            </w:pPr>
          </w:p>
        </w:tc>
      </w:tr>
      <w:tr w:rsidR="00D62F8D" w:rsidRPr="00DA4998">
        <w:tblPrEx>
          <w:tblCellMar>
            <w:top w:w="0" w:type="dxa"/>
            <w:bottom w:w="0" w:type="dxa"/>
          </w:tblCellMar>
        </w:tblPrEx>
        <w:tc>
          <w:tcPr>
            <w:tcW w:w="3321" w:type="dxa"/>
            <w:shd w:val="clear" w:color="auto" w:fill="auto"/>
            <w:vAlign w:val="bottom"/>
          </w:tcPr>
          <w:p w:rsidR="00D62F8D" w:rsidRPr="00DA4998" w:rsidRDefault="00D62F8D" w:rsidP="00D62F8D">
            <w:pPr>
              <w:keepNext/>
              <w:keepLines/>
              <w:tabs>
                <w:tab w:val="left" w:pos="288"/>
                <w:tab w:val="left" w:pos="576"/>
                <w:tab w:val="left" w:pos="864"/>
                <w:tab w:val="left" w:pos="1152"/>
              </w:tabs>
              <w:spacing w:before="40" w:after="40" w:line="210" w:lineRule="exact"/>
              <w:ind w:right="40"/>
              <w:rPr>
                <w:sz w:val="17"/>
                <w:szCs w:val="17"/>
              </w:rPr>
            </w:pPr>
            <w:r w:rsidRPr="00DA4998">
              <w:rPr>
                <w:sz w:val="17"/>
                <w:szCs w:val="17"/>
              </w:rPr>
              <w:t>Primer Ministro</w:t>
            </w:r>
          </w:p>
        </w:tc>
        <w:tc>
          <w:tcPr>
            <w:tcW w:w="1338" w:type="dxa"/>
            <w:shd w:val="clear" w:color="auto" w:fill="auto"/>
            <w:vAlign w:val="bottom"/>
          </w:tcPr>
          <w:p w:rsidR="00D62F8D" w:rsidRPr="00DA4998" w:rsidRDefault="00D62F8D" w:rsidP="00D62F8D">
            <w:pPr>
              <w:keepNext/>
              <w:keepLines/>
              <w:tabs>
                <w:tab w:val="left" w:pos="288"/>
                <w:tab w:val="left" w:pos="576"/>
                <w:tab w:val="left" w:pos="864"/>
                <w:tab w:val="left" w:pos="1152"/>
              </w:tabs>
              <w:spacing w:before="40" w:after="40" w:line="210" w:lineRule="exact"/>
              <w:ind w:right="43"/>
              <w:jc w:val="right"/>
              <w:rPr>
                <w:sz w:val="17"/>
                <w:szCs w:val="17"/>
              </w:rPr>
            </w:pPr>
            <w:r w:rsidRPr="00DA4998">
              <w:rPr>
                <w:sz w:val="17"/>
                <w:szCs w:val="17"/>
              </w:rPr>
              <w:t>0</w:t>
            </w:r>
          </w:p>
        </w:tc>
        <w:tc>
          <w:tcPr>
            <w:tcW w:w="1338" w:type="dxa"/>
            <w:shd w:val="clear" w:color="auto" w:fill="auto"/>
            <w:vAlign w:val="bottom"/>
          </w:tcPr>
          <w:p w:rsidR="00D62F8D" w:rsidRPr="00DA4998" w:rsidRDefault="00D62F8D" w:rsidP="00D62F8D">
            <w:pPr>
              <w:keepNext/>
              <w:keepLines/>
              <w:tabs>
                <w:tab w:val="left" w:pos="288"/>
                <w:tab w:val="left" w:pos="576"/>
                <w:tab w:val="left" w:pos="864"/>
                <w:tab w:val="left" w:pos="1152"/>
              </w:tabs>
              <w:spacing w:before="40" w:after="40" w:line="210" w:lineRule="exact"/>
              <w:ind w:right="43"/>
              <w:jc w:val="right"/>
              <w:rPr>
                <w:sz w:val="17"/>
                <w:szCs w:val="17"/>
              </w:rPr>
            </w:pPr>
            <w:r w:rsidRPr="00DA4998">
              <w:rPr>
                <w:sz w:val="17"/>
                <w:szCs w:val="17"/>
              </w:rPr>
              <w:t>1</w:t>
            </w:r>
          </w:p>
        </w:tc>
        <w:tc>
          <w:tcPr>
            <w:tcW w:w="1338" w:type="dxa"/>
            <w:shd w:val="clear" w:color="auto" w:fill="auto"/>
            <w:vAlign w:val="bottom"/>
          </w:tcPr>
          <w:p w:rsidR="00D62F8D" w:rsidRPr="004C6853" w:rsidRDefault="00D62F8D" w:rsidP="00D62F8D">
            <w:pPr>
              <w:keepNext/>
              <w:keepLines/>
              <w:tabs>
                <w:tab w:val="left" w:pos="288"/>
                <w:tab w:val="left" w:pos="576"/>
                <w:tab w:val="left" w:pos="864"/>
                <w:tab w:val="left" w:pos="1152"/>
              </w:tabs>
              <w:spacing w:before="40" w:after="40" w:line="210" w:lineRule="exact"/>
              <w:ind w:right="43"/>
              <w:jc w:val="right"/>
              <w:rPr>
                <w:b/>
                <w:sz w:val="17"/>
                <w:szCs w:val="17"/>
              </w:rPr>
            </w:pPr>
            <w:r w:rsidRPr="004C6853">
              <w:rPr>
                <w:b/>
                <w:sz w:val="17"/>
                <w:szCs w:val="17"/>
              </w:rPr>
              <w:t>1</w:t>
            </w:r>
          </w:p>
        </w:tc>
      </w:tr>
      <w:tr w:rsidR="00D62F8D" w:rsidRPr="00DA4998">
        <w:tblPrEx>
          <w:tblCellMar>
            <w:top w:w="0" w:type="dxa"/>
            <w:bottom w:w="0" w:type="dxa"/>
          </w:tblCellMar>
        </w:tblPrEx>
        <w:tc>
          <w:tcPr>
            <w:tcW w:w="3321" w:type="dxa"/>
            <w:shd w:val="clear" w:color="auto" w:fill="auto"/>
            <w:vAlign w:val="bottom"/>
          </w:tcPr>
          <w:p w:rsidR="00D62F8D" w:rsidRPr="00DA4998" w:rsidRDefault="00D62F8D" w:rsidP="00D62F8D">
            <w:pPr>
              <w:keepNext/>
              <w:keepLines/>
              <w:tabs>
                <w:tab w:val="left" w:pos="288"/>
                <w:tab w:val="left" w:pos="576"/>
                <w:tab w:val="left" w:pos="864"/>
                <w:tab w:val="left" w:pos="1152"/>
              </w:tabs>
              <w:spacing w:before="40" w:after="40" w:line="210" w:lineRule="exact"/>
              <w:ind w:right="40"/>
              <w:rPr>
                <w:sz w:val="17"/>
                <w:szCs w:val="17"/>
              </w:rPr>
            </w:pPr>
            <w:r w:rsidRPr="00DA4998">
              <w:rPr>
                <w:sz w:val="17"/>
                <w:szCs w:val="17"/>
              </w:rPr>
              <w:t>Procurador General</w:t>
            </w:r>
          </w:p>
        </w:tc>
        <w:tc>
          <w:tcPr>
            <w:tcW w:w="1338" w:type="dxa"/>
            <w:shd w:val="clear" w:color="auto" w:fill="auto"/>
            <w:vAlign w:val="bottom"/>
          </w:tcPr>
          <w:p w:rsidR="00D62F8D" w:rsidRPr="00DA4998" w:rsidRDefault="00D62F8D" w:rsidP="00D62F8D">
            <w:pPr>
              <w:keepNext/>
              <w:keepLines/>
              <w:tabs>
                <w:tab w:val="left" w:pos="288"/>
                <w:tab w:val="left" w:pos="576"/>
                <w:tab w:val="left" w:pos="864"/>
                <w:tab w:val="left" w:pos="1152"/>
              </w:tabs>
              <w:spacing w:before="40" w:after="40" w:line="210" w:lineRule="exact"/>
              <w:ind w:right="43"/>
              <w:jc w:val="right"/>
              <w:rPr>
                <w:sz w:val="17"/>
                <w:szCs w:val="17"/>
              </w:rPr>
            </w:pPr>
            <w:r w:rsidRPr="00DA4998">
              <w:rPr>
                <w:sz w:val="17"/>
                <w:szCs w:val="17"/>
              </w:rPr>
              <w:t>0</w:t>
            </w:r>
          </w:p>
        </w:tc>
        <w:tc>
          <w:tcPr>
            <w:tcW w:w="1338" w:type="dxa"/>
            <w:shd w:val="clear" w:color="auto" w:fill="auto"/>
            <w:vAlign w:val="bottom"/>
          </w:tcPr>
          <w:p w:rsidR="00D62F8D" w:rsidRPr="00DA4998" w:rsidRDefault="00D62F8D" w:rsidP="00D62F8D">
            <w:pPr>
              <w:keepNext/>
              <w:keepLines/>
              <w:tabs>
                <w:tab w:val="left" w:pos="288"/>
                <w:tab w:val="left" w:pos="576"/>
                <w:tab w:val="left" w:pos="864"/>
                <w:tab w:val="left" w:pos="1152"/>
              </w:tabs>
              <w:spacing w:before="40" w:after="40" w:line="210" w:lineRule="exact"/>
              <w:ind w:right="43"/>
              <w:jc w:val="right"/>
              <w:rPr>
                <w:sz w:val="17"/>
                <w:szCs w:val="17"/>
              </w:rPr>
            </w:pPr>
            <w:r w:rsidRPr="00DA4998">
              <w:rPr>
                <w:sz w:val="17"/>
                <w:szCs w:val="17"/>
              </w:rPr>
              <w:t>1</w:t>
            </w:r>
          </w:p>
        </w:tc>
        <w:tc>
          <w:tcPr>
            <w:tcW w:w="1338" w:type="dxa"/>
            <w:shd w:val="clear" w:color="auto" w:fill="auto"/>
            <w:vAlign w:val="bottom"/>
          </w:tcPr>
          <w:p w:rsidR="00D62F8D" w:rsidRPr="004C6853" w:rsidRDefault="00D62F8D" w:rsidP="00D62F8D">
            <w:pPr>
              <w:keepNext/>
              <w:keepLines/>
              <w:tabs>
                <w:tab w:val="left" w:pos="288"/>
                <w:tab w:val="left" w:pos="576"/>
                <w:tab w:val="left" w:pos="864"/>
                <w:tab w:val="left" w:pos="1152"/>
              </w:tabs>
              <w:spacing w:before="40" w:after="40" w:line="210" w:lineRule="exact"/>
              <w:ind w:right="43"/>
              <w:jc w:val="right"/>
              <w:rPr>
                <w:b/>
                <w:sz w:val="17"/>
                <w:szCs w:val="17"/>
              </w:rPr>
            </w:pPr>
            <w:r w:rsidRPr="004C6853">
              <w:rPr>
                <w:b/>
                <w:sz w:val="17"/>
                <w:szCs w:val="17"/>
              </w:rPr>
              <w:t>1</w:t>
            </w:r>
          </w:p>
        </w:tc>
      </w:tr>
      <w:tr w:rsidR="00D62F8D" w:rsidRPr="00DA4998">
        <w:tblPrEx>
          <w:tblCellMar>
            <w:top w:w="0" w:type="dxa"/>
            <w:bottom w:w="0" w:type="dxa"/>
          </w:tblCellMar>
        </w:tblPrEx>
        <w:tc>
          <w:tcPr>
            <w:tcW w:w="3321" w:type="dxa"/>
            <w:shd w:val="clear" w:color="auto" w:fill="auto"/>
            <w:vAlign w:val="bottom"/>
          </w:tcPr>
          <w:p w:rsidR="00D62F8D" w:rsidRPr="00DA4998" w:rsidRDefault="00D62F8D" w:rsidP="00D62F8D">
            <w:pPr>
              <w:tabs>
                <w:tab w:val="left" w:pos="288"/>
                <w:tab w:val="left" w:pos="576"/>
                <w:tab w:val="left" w:pos="864"/>
                <w:tab w:val="left" w:pos="1152"/>
              </w:tabs>
              <w:spacing w:before="40" w:after="40" w:line="210" w:lineRule="exact"/>
              <w:ind w:right="40"/>
              <w:rPr>
                <w:sz w:val="17"/>
                <w:szCs w:val="17"/>
              </w:rPr>
            </w:pPr>
            <w:r w:rsidRPr="00DA4998">
              <w:rPr>
                <w:sz w:val="17"/>
                <w:szCs w:val="17"/>
              </w:rPr>
              <w:t>Otros ministros</w:t>
            </w:r>
          </w:p>
        </w:tc>
        <w:tc>
          <w:tcPr>
            <w:tcW w:w="1338" w:type="dxa"/>
            <w:shd w:val="clear" w:color="auto" w:fill="auto"/>
            <w:vAlign w:val="bottom"/>
          </w:tcPr>
          <w:p w:rsidR="00D62F8D" w:rsidRPr="00DA4998" w:rsidRDefault="00D62F8D" w:rsidP="00D62F8D">
            <w:pPr>
              <w:tabs>
                <w:tab w:val="left" w:pos="288"/>
                <w:tab w:val="left" w:pos="576"/>
                <w:tab w:val="left" w:pos="864"/>
                <w:tab w:val="left" w:pos="1152"/>
              </w:tabs>
              <w:spacing w:before="40" w:after="40" w:line="210" w:lineRule="exact"/>
              <w:ind w:right="43"/>
              <w:jc w:val="right"/>
              <w:rPr>
                <w:sz w:val="17"/>
                <w:szCs w:val="17"/>
              </w:rPr>
            </w:pPr>
            <w:r w:rsidRPr="00DA4998">
              <w:rPr>
                <w:sz w:val="17"/>
                <w:szCs w:val="17"/>
              </w:rPr>
              <w:t>1</w:t>
            </w:r>
          </w:p>
        </w:tc>
        <w:tc>
          <w:tcPr>
            <w:tcW w:w="1338" w:type="dxa"/>
            <w:shd w:val="clear" w:color="auto" w:fill="auto"/>
            <w:vAlign w:val="bottom"/>
          </w:tcPr>
          <w:p w:rsidR="00D62F8D" w:rsidRPr="00DA4998" w:rsidRDefault="00D62F8D" w:rsidP="00D62F8D">
            <w:pPr>
              <w:tabs>
                <w:tab w:val="left" w:pos="288"/>
                <w:tab w:val="left" w:pos="576"/>
                <w:tab w:val="left" w:pos="864"/>
                <w:tab w:val="left" w:pos="1152"/>
              </w:tabs>
              <w:spacing w:before="40" w:after="40" w:line="210" w:lineRule="exact"/>
              <w:ind w:right="43"/>
              <w:jc w:val="right"/>
              <w:rPr>
                <w:sz w:val="17"/>
                <w:szCs w:val="17"/>
              </w:rPr>
            </w:pPr>
            <w:r w:rsidRPr="00DA4998">
              <w:rPr>
                <w:sz w:val="17"/>
                <w:szCs w:val="17"/>
              </w:rPr>
              <w:t>16</w:t>
            </w:r>
          </w:p>
        </w:tc>
        <w:tc>
          <w:tcPr>
            <w:tcW w:w="1338" w:type="dxa"/>
            <w:shd w:val="clear" w:color="auto" w:fill="auto"/>
            <w:vAlign w:val="bottom"/>
          </w:tcPr>
          <w:p w:rsidR="00D62F8D" w:rsidRPr="004C6853" w:rsidRDefault="00D62F8D" w:rsidP="00D62F8D">
            <w:pPr>
              <w:tabs>
                <w:tab w:val="left" w:pos="288"/>
                <w:tab w:val="left" w:pos="576"/>
                <w:tab w:val="left" w:pos="864"/>
                <w:tab w:val="left" w:pos="1152"/>
              </w:tabs>
              <w:spacing w:before="40" w:after="40" w:line="210" w:lineRule="exact"/>
              <w:ind w:right="43"/>
              <w:jc w:val="right"/>
              <w:rPr>
                <w:b/>
                <w:sz w:val="17"/>
                <w:szCs w:val="17"/>
              </w:rPr>
            </w:pPr>
            <w:r w:rsidRPr="004C6853">
              <w:rPr>
                <w:b/>
                <w:sz w:val="17"/>
                <w:szCs w:val="17"/>
              </w:rPr>
              <w:t>17</w:t>
            </w:r>
          </w:p>
        </w:tc>
      </w:tr>
      <w:tr w:rsidR="00D62F8D" w:rsidRPr="00DA4998">
        <w:tblPrEx>
          <w:tblCellMar>
            <w:top w:w="0" w:type="dxa"/>
            <w:bottom w:w="0" w:type="dxa"/>
          </w:tblCellMar>
        </w:tblPrEx>
        <w:tc>
          <w:tcPr>
            <w:tcW w:w="3321" w:type="dxa"/>
            <w:shd w:val="clear" w:color="auto" w:fill="auto"/>
            <w:vAlign w:val="bottom"/>
          </w:tcPr>
          <w:p w:rsidR="00D62F8D" w:rsidRPr="00DA4998" w:rsidRDefault="00D62F8D" w:rsidP="00D62F8D">
            <w:pPr>
              <w:tabs>
                <w:tab w:val="left" w:pos="288"/>
                <w:tab w:val="left" w:pos="576"/>
                <w:tab w:val="left" w:pos="864"/>
                <w:tab w:val="left" w:pos="1152"/>
              </w:tabs>
              <w:spacing w:before="40" w:after="40" w:line="210" w:lineRule="exact"/>
              <w:ind w:right="40"/>
              <w:rPr>
                <w:sz w:val="17"/>
                <w:szCs w:val="17"/>
              </w:rPr>
            </w:pPr>
            <w:r w:rsidRPr="00DA4998">
              <w:rPr>
                <w:sz w:val="17"/>
                <w:szCs w:val="17"/>
              </w:rPr>
              <w:t>Líder de la oposición</w:t>
            </w:r>
          </w:p>
        </w:tc>
        <w:tc>
          <w:tcPr>
            <w:tcW w:w="1338" w:type="dxa"/>
            <w:shd w:val="clear" w:color="auto" w:fill="auto"/>
            <w:vAlign w:val="bottom"/>
          </w:tcPr>
          <w:p w:rsidR="00D62F8D" w:rsidRPr="00DA4998" w:rsidRDefault="00D62F8D" w:rsidP="00D62F8D">
            <w:pPr>
              <w:tabs>
                <w:tab w:val="left" w:pos="288"/>
                <w:tab w:val="left" w:pos="576"/>
                <w:tab w:val="left" w:pos="864"/>
                <w:tab w:val="left" w:pos="1152"/>
              </w:tabs>
              <w:spacing w:before="40" w:after="40" w:line="210" w:lineRule="exact"/>
              <w:ind w:right="43"/>
              <w:jc w:val="right"/>
              <w:rPr>
                <w:sz w:val="17"/>
                <w:szCs w:val="17"/>
              </w:rPr>
            </w:pPr>
            <w:r w:rsidRPr="00DA4998">
              <w:rPr>
                <w:sz w:val="17"/>
                <w:szCs w:val="17"/>
              </w:rPr>
              <w:t>0</w:t>
            </w:r>
          </w:p>
        </w:tc>
        <w:tc>
          <w:tcPr>
            <w:tcW w:w="1338" w:type="dxa"/>
            <w:shd w:val="clear" w:color="auto" w:fill="auto"/>
            <w:vAlign w:val="bottom"/>
          </w:tcPr>
          <w:p w:rsidR="00D62F8D" w:rsidRPr="00DA4998" w:rsidRDefault="00D62F8D" w:rsidP="00D62F8D">
            <w:pPr>
              <w:tabs>
                <w:tab w:val="left" w:pos="288"/>
                <w:tab w:val="left" w:pos="576"/>
                <w:tab w:val="left" w:pos="864"/>
                <w:tab w:val="left" w:pos="1152"/>
              </w:tabs>
              <w:spacing w:before="40" w:after="40" w:line="210" w:lineRule="exact"/>
              <w:ind w:right="43"/>
              <w:jc w:val="right"/>
              <w:rPr>
                <w:sz w:val="17"/>
                <w:szCs w:val="17"/>
              </w:rPr>
            </w:pPr>
            <w:r w:rsidRPr="00DA4998">
              <w:rPr>
                <w:sz w:val="17"/>
                <w:szCs w:val="17"/>
              </w:rPr>
              <w:t>1</w:t>
            </w:r>
          </w:p>
        </w:tc>
        <w:tc>
          <w:tcPr>
            <w:tcW w:w="1338" w:type="dxa"/>
            <w:shd w:val="clear" w:color="auto" w:fill="auto"/>
            <w:vAlign w:val="bottom"/>
          </w:tcPr>
          <w:p w:rsidR="00D62F8D" w:rsidRPr="004C6853" w:rsidRDefault="00D62F8D" w:rsidP="00D62F8D">
            <w:pPr>
              <w:tabs>
                <w:tab w:val="left" w:pos="288"/>
                <w:tab w:val="left" w:pos="576"/>
                <w:tab w:val="left" w:pos="864"/>
                <w:tab w:val="left" w:pos="1152"/>
              </w:tabs>
              <w:spacing w:before="40" w:after="40" w:line="210" w:lineRule="exact"/>
              <w:ind w:right="43"/>
              <w:jc w:val="right"/>
              <w:rPr>
                <w:b/>
                <w:sz w:val="17"/>
                <w:szCs w:val="17"/>
              </w:rPr>
            </w:pPr>
            <w:r w:rsidRPr="004C6853">
              <w:rPr>
                <w:b/>
                <w:sz w:val="17"/>
                <w:szCs w:val="17"/>
              </w:rPr>
              <w:t>1</w:t>
            </w:r>
          </w:p>
        </w:tc>
      </w:tr>
      <w:tr w:rsidR="00D62F8D" w:rsidRPr="00DA4998">
        <w:tblPrEx>
          <w:tblCellMar>
            <w:top w:w="0" w:type="dxa"/>
            <w:bottom w:w="0" w:type="dxa"/>
          </w:tblCellMar>
        </w:tblPrEx>
        <w:tc>
          <w:tcPr>
            <w:tcW w:w="3321" w:type="dxa"/>
            <w:tcBorders>
              <w:bottom w:val="single" w:sz="4" w:space="0" w:color="auto"/>
            </w:tcBorders>
            <w:shd w:val="clear" w:color="auto" w:fill="auto"/>
            <w:vAlign w:val="bottom"/>
          </w:tcPr>
          <w:p w:rsidR="00D62F8D" w:rsidRPr="00DA4998" w:rsidRDefault="00D62F8D" w:rsidP="00D62F8D">
            <w:pPr>
              <w:tabs>
                <w:tab w:val="left" w:pos="288"/>
                <w:tab w:val="left" w:pos="576"/>
                <w:tab w:val="left" w:pos="864"/>
                <w:tab w:val="left" w:pos="1152"/>
              </w:tabs>
              <w:spacing w:before="40" w:after="81" w:line="210" w:lineRule="exact"/>
              <w:ind w:right="43"/>
              <w:rPr>
                <w:sz w:val="17"/>
                <w:szCs w:val="17"/>
              </w:rPr>
            </w:pPr>
            <w:r w:rsidRPr="00DA4998">
              <w:rPr>
                <w:sz w:val="17"/>
                <w:szCs w:val="17"/>
              </w:rPr>
              <w:t>Presidente de la Asamblea</w:t>
            </w:r>
          </w:p>
        </w:tc>
        <w:tc>
          <w:tcPr>
            <w:tcW w:w="1338" w:type="dxa"/>
            <w:tcBorders>
              <w:bottom w:val="single" w:sz="4" w:space="0" w:color="auto"/>
            </w:tcBorders>
            <w:shd w:val="clear" w:color="auto" w:fill="auto"/>
            <w:vAlign w:val="bottom"/>
          </w:tcPr>
          <w:p w:rsidR="00D62F8D" w:rsidRPr="00DA4998" w:rsidRDefault="00D62F8D" w:rsidP="00D62F8D">
            <w:pPr>
              <w:tabs>
                <w:tab w:val="left" w:pos="288"/>
                <w:tab w:val="left" w:pos="576"/>
                <w:tab w:val="left" w:pos="864"/>
                <w:tab w:val="left" w:pos="1152"/>
              </w:tabs>
              <w:spacing w:before="40" w:after="81" w:line="210" w:lineRule="exact"/>
              <w:ind w:right="43"/>
              <w:jc w:val="right"/>
              <w:rPr>
                <w:sz w:val="17"/>
                <w:szCs w:val="17"/>
              </w:rPr>
            </w:pPr>
            <w:r w:rsidRPr="00DA4998">
              <w:rPr>
                <w:sz w:val="17"/>
                <w:szCs w:val="17"/>
              </w:rPr>
              <w:t>0</w:t>
            </w:r>
          </w:p>
        </w:tc>
        <w:tc>
          <w:tcPr>
            <w:tcW w:w="1338" w:type="dxa"/>
            <w:tcBorders>
              <w:bottom w:val="single" w:sz="4" w:space="0" w:color="auto"/>
            </w:tcBorders>
            <w:shd w:val="clear" w:color="auto" w:fill="auto"/>
            <w:vAlign w:val="bottom"/>
          </w:tcPr>
          <w:p w:rsidR="00D62F8D" w:rsidRPr="00DA4998" w:rsidRDefault="00D62F8D" w:rsidP="00D62F8D">
            <w:pPr>
              <w:tabs>
                <w:tab w:val="left" w:pos="288"/>
                <w:tab w:val="left" w:pos="576"/>
                <w:tab w:val="left" w:pos="864"/>
                <w:tab w:val="left" w:pos="1152"/>
              </w:tabs>
              <w:spacing w:before="40" w:after="81" w:line="210" w:lineRule="exact"/>
              <w:ind w:right="43"/>
              <w:jc w:val="right"/>
              <w:rPr>
                <w:sz w:val="17"/>
                <w:szCs w:val="17"/>
              </w:rPr>
            </w:pPr>
            <w:r w:rsidRPr="00DA4998">
              <w:rPr>
                <w:sz w:val="17"/>
                <w:szCs w:val="17"/>
              </w:rPr>
              <w:t>1</w:t>
            </w:r>
          </w:p>
        </w:tc>
        <w:tc>
          <w:tcPr>
            <w:tcW w:w="1338" w:type="dxa"/>
            <w:tcBorders>
              <w:bottom w:val="single" w:sz="4" w:space="0" w:color="auto"/>
            </w:tcBorders>
            <w:shd w:val="clear" w:color="auto" w:fill="auto"/>
            <w:vAlign w:val="bottom"/>
          </w:tcPr>
          <w:p w:rsidR="00D62F8D" w:rsidRPr="004C6853" w:rsidRDefault="00D62F8D" w:rsidP="00D62F8D">
            <w:pPr>
              <w:tabs>
                <w:tab w:val="left" w:pos="288"/>
                <w:tab w:val="left" w:pos="576"/>
                <w:tab w:val="left" w:pos="864"/>
                <w:tab w:val="left" w:pos="1152"/>
              </w:tabs>
              <w:spacing w:before="40" w:after="81" w:line="210" w:lineRule="exact"/>
              <w:ind w:right="43"/>
              <w:jc w:val="right"/>
              <w:rPr>
                <w:b/>
                <w:sz w:val="17"/>
                <w:szCs w:val="17"/>
              </w:rPr>
            </w:pPr>
            <w:r w:rsidRPr="004C6853">
              <w:rPr>
                <w:b/>
                <w:sz w:val="17"/>
                <w:szCs w:val="17"/>
              </w:rPr>
              <w:t>1</w:t>
            </w:r>
          </w:p>
        </w:tc>
      </w:tr>
      <w:tr w:rsidR="00D62F8D" w:rsidRPr="00C753CE">
        <w:tblPrEx>
          <w:tblCellMar>
            <w:top w:w="0" w:type="dxa"/>
            <w:bottom w:w="0" w:type="dxa"/>
          </w:tblCellMar>
        </w:tblPrEx>
        <w:tc>
          <w:tcPr>
            <w:tcW w:w="3321" w:type="dxa"/>
            <w:tcBorders>
              <w:top w:val="single" w:sz="4" w:space="0" w:color="auto"/>
              <w:bottom w:val="single" w:sz="12" w:space="0" w:color="auto"/>
            </w:tcBorders>
            <w:shd w:val="clear" w:color="auto" w:fill="auto"/>
            <w:vAlign w:val="bottom"/>
          </w:tcPr>
          <w:p w:rsidR="00D62F8D" w:rsidRPr="00C753CE" w:rsidRDefault="00D62F8D" w:rsidP="00D62F8D">
            <w:pPr>
              <w:tabs>
                <w:tab w:val="left" w:pos="288"/>
                <w:tab w:val="left" w:pos="576"/>
                <w:tab w:val="left" w:pos="864"/>
                <w:tab w:val="left" w:pos="1152"/>
              </w:tabs>
              <w:spacing w:before="81" w:after="81" w:line="210" w:lineRule="exact"/>
              <w:ind w:right="40"/>
              <w:rPr>
                <w:b/>
                <w:bCs/>
                <w:sz w:val="17"/>
                <w:szCs w:val="17"/>
              </w:rPr>
            </w:pPr>
            <w:r w:rsidRPr="00C753CE">
              <w:rPr>
                <w:b/>
                <w:sz w:val="17"/>
                <w:szCs w:val="17"/>
              </w:rPr>
              <w:tab/>
              <w:t>Total</w:t>
            </w:r>
          </w:p>
        </w:tc>
        <w:tc>
          <w:tcPr>
            <w:tcW w:w="1338" w:type="dxa"/>
            <w:tcBorders>
              <w:top w:val="single" w:sz="4" w:space="0" w:color="auto"/>
              <w:bottom w:val="single" w:sz="12" w:space="0" w:color="auto"/>
            </w:tcBorders>
            <w:shd w:val="clear" w:color="auto" w:fill="auto"/>
            <w:vAlign w:val="bottom"/>
          </w:tcPr>
          <w:p w:rsidR="00D62F8D" w:rsidRPr="00C753CE" w:rsidRDefault="00D62F8D" w:rsidP="00D62F8D">
            <w:pPr>
              <w:tabs>
                <w:tab w:val="left" w:pos="288"/>
                <w:tab w:val="left" w:pos="576"/>
                <w:tab w:val="left" w:pos="864"/>
                <w:tab w:val="left" w:pos="1152"/>
              </w:tabs>
              <w:spacing w:before="81" w:after="81" w:line="210" w:lineRule="exact"/>
              <w:ind w:right="43"/>
              <w:jc w:val="right"/>
              <w:rPr>
                <w:b/>
                <w:bCs/>
                <w:sz w:val="17"/>
                <w:szCs w:val="17"/>
              </w:rPr>
            </w:pPr>
            <w:r w:rsidRPr="00C753CE">
              <w:rPr>
                <w:b/>
                <w:bCs/>
                <w:sz w:val="17"/>
                <w:szCs w:val="17"/>
              </w:rPr>
              <w:t>1</w:t>
            </w:r>
          </w:p>
        </w:tc>
        <w:tc>
          <w:tcPr>
            <w:tcW w:w="1338" w:type="dxa"/>
            <w:tcBorders>
              <w:top w:val="single" w:sz="4" w:space="0" w:color="auto"/>
              <w:bottom w:val="single" w:sz="12" w:space="0" w:color="auto"/>
            </w:tcBorders>
            <w:shd w:val="clear" w:color="auto" w:fill="auto"/>
            <w:vAlign w:val="bottom"/>
          </w:tcPr>
          <w:p w:rsidR="00D62F8D" w:rsidRPr="00C753CE" w:rsidRDefault="00D62F8D" w:rsidP="00D62F8D">
            <w:pPr>
              <w:tabs>
                <w:tab w:val="left" w:pos="288"/>
                <w:tab w:val="left" w:pos="576"/>
                <w:tab w:val="left" w:pos="864"/>
                <w:tab w:val="left" w:pos="1152"/>
              </w:tabs>
              <w:spacing w:before="81" w:after="81" w:line="210" w:lineRule="exact"/>
              <w:ind w:right="43"/>
              <w:jc w:val="right"/>
              <w:rPr>
                <w:b/>
                <w:bCs/>
                <w:sz w:val="17"/>
                <w:szCs w:val="17"/>
              </w:rPr>
            </w:pPr>
            <w:r w:rsidRPr="00C753CE">
              <w:rPr>
                <w:b/>
                <w:bCs/>
                <w:sz w:val="17"/>
                <w:szCs w:val="17"/>
              </w:rPr>
              <w:t>20</w:t>
            </w:r>
          </w:p>
        </w:tc>
        <w:tc>
          <w:tcPr>
            <w:tcW w:w="1338" w:type="dxa"/>
            <w:tcBorders>
              <w:top w:val="single" w:sz="4" w:space="0" w:color="auto"/>
              <w:bottom w:val="single" w:sz="12" w:space="0" w:color="auto"/>
            </w:tcBorders>
            <w:shd w:val="clear" w:color="auto" w:fill="auto"/>
            <w:vAlign w:val="bottom"/>
          </w:tcPr>
          <w:p w:rsidR="00D62F8D" w:rsidRPr="00C753CE" w:rsidRDefault="00D62F8D" w:rsidP="00D62F8D">
            <w:pPr>
              <w:tabs>
                <w:tab w:val="left" w:pos="288"/>
                <w:tab w:val="left" w:pos="576"/>
                <w:tab w:val="left" w:pos="864"/>
                <w:tab w:val="left" w:pos="1152"/>
              </w:tabs>
              <w:spacing w:before="81" w:after="81" w:line="210" w:lineRule="exact"/>
              <w:ind w:right="43"/>
              <w:jc w:val="right"/>
              <w:rPr>
                <w:b/>
                <w:bCs/>
                <w:sz w:val="17"/>
                <w:szCs w:val="17"/>
              </w:rPr>
            </w:pPr>
            <w:r w:rsidRPr="00C753CE">
              <w:rPr>
                <w:b/>
                <w:bCs/>
                <w:sz w:val="17"/>
                <w:szCs w:val="17"/>
              </w:rPr>
              <w:t>21</w:t>
            </w:r>
          </w:p>
        </w:tc>
      </w:tr>
    </w:tbl>
    <w:p w:rsidR="00D62F8D" w:rsidRPr="00D62F8D" w:rsidRDefault="00D62F8D" w:rsidP="00D62F8D">
      <w:pPr>
        <w:pStyle w:val="SingleTxt"/>
        <w:spacing w:after="0" w:line="120" w:lineRule="exact"/>
        <w:rPr>
          <w:sz w:val="10"/>
        </w:rPr>
      </w:pPr>
    </w:p>
    <w:p w:rsidR="00D62F8D" w:rsidRPr="00D62F8D" w:rsidRDefault="00D62F8D" w:rsidP="00D62F8D">
      <w:pPr>
        <w:pStyle w:val="SingleTxt"/>
        <w:spacing w:after="0" w:line="120" w:lineRule="exact"/>
        <w:rPr>
          <w:sz w:val="10"/>
        </w:rPr>
      </w:pPr>
    </w:p>
    <w:p w:rsidR="00D62F8D" w:rsidRPr="00DA4998" w:rsidRDefault="00D62F8D" w:rsidP="00D62F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DA4998">
        <w:tab/>
      </w:r>
      <w:r w:rsidRPr="00DA4998">
        <w:tab/>
        <w:t>Factores que impiden la participación de las mujeres en la política</w:t>
      </w:r>
    </w:p>
    <w:p w:rsidR="00D62F8D" w:rsidRPr="00D62F8D" w:rsidRDefault="00D62F8D" w:rsidP="00D62F8D">
      <w:pPr>
        <w:pStyle w:val="SingleTxt"/>
        <w:spacing w:after="0" w:line="120" w:lineRule="exact"/>
        <w:rPr>
          <w:sz w:val="10"/>
        </w:rPr>
      </w:pPr>
    </w:p>
    <w:p w:rsidR="00D62F8D" w:rsidRPr="00DA4998" w:rsidRDefault="00D62F8D" w:rsidP="00D62F8D">
      <w:pPr>
        <w:pStyle w:val="SingleTxt"/>
        <w:numPr>
          <w:ilvl w:val="0"/>
          <w:numId w:val="11"/>
        </w:numPr>
        <w:tabs>
          <w:tab w:val="clear" w:pos="475"/>
          <w:tab w:val="num" w:pos="1742"/>
        </w:tabs>
        <w:ind w:left="1267"/>
      </w:pPr>
      <w:r w:rsidRPr="00DA4998">
        <w:t xml:space="preserve">No existen impedimentos jurídicos a la participación de las mujeres en el proceso político, quienes son miembros activos y candidatas de los partidos políticos. La representación de las mujeres, sin embargo, es inferior a la de los hombres, pues es menor el número de mujeres que se sienten inclinadas a participar en la alta política, conscientes de las </w:t>
      </w:r>
      <w:r>
        <w:t>“</w:t>
      </w:r>
      <w:r w:rsidRPr="00DA4998">
        <w:t>complejidades</w:t>
      </w:r>
      <w:r>
        <w:t>”</w:t>
      </w:r>
      <w:r w:rsidRPr="00DA4998">
        <w:t xml:space="preserve"> propias de esa esfera.</w:t>
      </w:r>
    </w:p>
    <w:p w:rsidR="00D62F8D" w:rsidRPr="00D62F8D" w:rsidRDefault="00D62F8D" w:rsidP="00D62F8D">
      <w:pPr>
        <w:pStyle w:val="SingleTxt"/>
        <w:spacing w:after="0" w:line="120" w:lineRule="exact"/>
        <w:rPr>
          <w:sz w:val="10"/>
        </w:rPr>
      </w:pPr>
    </w:p>
    <w:p w:rsidR="00D62F8D" w:rsidRPr="00DA4998" w:rsidRDefault="00FD7240" w:rsidP="007209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136" w:hanging="1267"/>
      </w:pPr>
      <w:r>
        <w:br w:type="page"/>
      </w:r>
      <w:r w:rsidR="00D62F8D" w:rsidRPr="00DA4998">
        <w:tab/>
      </w:r>
      <w:r w:rsidR="00D62F8D" w:rsidRPr="00DA4998">
        <w:tab/>
        <w:t>Participación de las mujeres en la elaboración y la ejecución de planespara el desarrollo en todos los niveles</w:t>
      </w:r>
    </w:p>
    <w:p w:rsidR="00D62F8D" w:rsidRPr="00D62F8D" w:rsidRDefault="00D62F8D" w:rsidP="00D62F8D">
      <w:pPr>
        <w:pStyle w:val="SingleTxt"/>
        <w:spacing w:after="0" w:line="120" w:lineRule="exact"/>
        <w:rPr>
          <w:sz w:val="10"/>
        </w:rPr>
      </w:pPr>
    </w:p>
    <w:p w:rsidR="00D62F8D" w:rsidRPr="00DA4998" w:rsidRDefault="00D62F8D" w:rsidP="00D62F8D">
      <w:pPr>
        <w:pStyle w:val="SingleTxt"/>
        <w:numPr>
          <w:ilvl w:val="0"/>
          <w:numId w:val="11"/>
        </w:numPr>
        <w:tabs>
          <w:tab w:val="clear" w:pos="475"/>
          <w:tab w:val="num" w:pos="1742"/>
        </w:tabs>
        <w:ind w:left="1267"/>
      </w:pPr>
      <w:r w:rsidRPr="00DA4998">
        <w:t>En las Bahamas son muchas las mujeres que ocupan cargos de alto nivel y que participan en todos los niveles de planificación del desarrollo. El número de mujeres supera ya al de hombres en la administración pública de las Bahamas.</w:t>
      </w:r>
    </w:p>
    <w:p w:rsidR="00D62F8D" w:rsidRPr="00D62F8D" w:rsidRDefault="00D62F8D" w:rsidP="00D62F8D">
      <w:pPr>
        <w:pStyle w:val="SingleTxt"/>
        <w:spacing w:after="0" w:line="120" w:lineRule="exact"/>
        <w:rPr>
          <w:sz w:val="10"/>
        </w:rPr>
      </w:pPr>
    </w:p>
    <w:p w:rsidR="00D62F8D" w:rsidRPr="00DA4998" w:rsidRDefault="00D62F8D" w:rsidP="00D62F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DA4998">
        <w:tab/>
      </w:r>
      <w:r w:rsidRPr="00DA4998">
        <w:tab/>
        <w:t>Participación de las mujeres en los sindicatos</w:t>
      </w:r>
    </w:p>
    <w:p w:rsidR="00D62F8D" w:rsidRPr="00D62F8D" w:rsidRDefault="00D62F8D" w:rsidP="00D62F8D">
      <w:pPr>
        <w:pStyle w:val="SingleTxt"/>
        <w:spacing w:after="0" w:line="120" w:lineRule="exact"/>
        <w:rPr>
          <w:sz w:val="10"/>
        </w:rPr>
      </w:pPr>
    </w:p>
    <w:p w:rsidR="00D62F8D" w:rsidRPr="00DA4998" w:rsidRDefault="00D62F8D" w:rsidP="00D62F8D">
      <w:pPr>
        <w:pStyle w:val="SingleTxt"/>
        <w:numPr>
          <w:ilvl w:val="0"/>
          <w:numId w:val="11"/>
        </w:numPr>
        <w:tabs>
          <w:tab w:val="clear" w:pos="475"/>
          <w:tab w:val="num" w:pos="1742"/>
        </w:tabs>
        <w:ind w:left="1267"/>
      </w:pPr>
      <w:r w:rsidRPr="00DA4998">
        <w:t>Las mujeres participan en los sindicatos en una proporción superior a los hombres. De hecho, los registros indican que la relación de paridad entre las mujeres y los hombres es de 3 a 1; esta proporción varía de un sindicato a otro, pero en algunos sectores de nuestra economía, sobre todo en los servicios esenciales, el número de mujeres supera al de hombres. Cabe señalar, además, que dos de los principales sindicatos de las Bahamas están dirigidos por mujeres: el sindicato de los trabajadores de hostelería, restauración y servicios afines y el sindicato de profesores. Es una mujer también quien dirige el Congreso Nacional de Sindicatos, coordinadora sindical de las Bahamas</w:t>
      </w:r>
    </w:p>
    <w:p w:rsidR="00D62F8D" w:rsidRPr="00DA4998" w:rsidRDefault="00D62F8D" w:rsidP="00D62F8D">
      <w:pPr>
        <w:pStyle w:val="SingleTxt"/>
        <w:numPr>
          <w:ilvl w:val="0"/>
          <w:numId w:val="11"/>
        </w:numPr>
        <w:tabs>
          <w:tab w:val="clear" w:pos="475"/>
          <w:tab w:val="num" w:pos="1742"/>
        </w:tabs>
        <w:ind w:left="1267"/>
      </w:pPr>
      <w:r w:rsidRPr="00DA4998">
        <w:t>Las Bahamas han ratificado 32 convenios de la OIT y en 2001 denunciaron 3 (el Convenio sobre la edad mínima (industria) de 1919 (núm. 5), el Convenio núm. 7 y el Convenio núm. 1). La mayoría de estos convenios de la OIT benefician a las mujeres, mientras que otros brindan protección expresa a los derechos de las trabajadoras. En consecuencia, las mujeres tienen los mismos derechos generales que todos los trabajadores.</w:t>
      </w:r>
    </w:p>
    <w:p w:rsidR="00D62F8D" w:rsidRPr="00DA4998" w:rsidRDefault="00D62F8D" w:rsidP="00D62F8D">
      <w:pPr>
        <w:pStyle w:val="SingleTxt"/>
        <w:numPr>
          <w:ilvl w:val="0"/>
          <w:numId w:val="11"/>
        </w:numPr>
        <w:tabs>
          <w:tab w:val="clear" w:pos="475"/>
          <w:tab w:val="num" w:pos="1742"/>
        </w:tabs>
        <w:ind w:left="1267"/>
      </w:pPr>
      <w:r w:rsidRPr="00DA4998">
        <w:t>En la base de datos de la OIT sobre los sindicatos de las Bahamas se informa de que existen 57 sindicatos activos en el país. Un análisis de los dirigentes sindicales a nivel de presidente y secretario general indica que, en los 57 sindicatos, el 11,3% de los presidentes y el 37,7% de los secretarios generales son mujeres. En 2009 una mujer fue elegida jefa del mayor sindicato de las Bahamas, el de los trabajadores de hostelería, restauración y servicios afines.</w:t>
      </w:r>
    </w:p>
    <w:p w:rsidR="00D62F8D" w:rsidRPr="00DA4998" w:rsidRDefault="00D62F8D" w:rsidP="007730CF">
      <w:pPr>
        <w:pStyle w:val="SingleTxt"/>
        <w:numPr>
          <w:ilvl w:val="0"/>
          <w:numId w:val="11"/>
        </w:numPr>
        <w:tabs>
          <w:tab w:val="clear" w:pos="475"/>
          <w:tab w:val="num" w:pos="1742"/>
        </w:tabs>
        <w:suppressAutoHyphens/>
        <w:ind w:left="1267"/>
      </w:pPr>
      <w:r w:rsidRPr="00DA4998">
        <w:t xml:space="preserve">Como ya se indicó, las mujeres están ampliamente representadas en el sector sindical y muchas de ellas ocupan altos cargos. A continuación se relacionan algunas de las mujeres que en 2010 ocupaban altos cargos en organizaciones sindicales de las Bahamas: Nicole Martin, Presidenta del sindicato de los trabajadores de hostelería, restauración y servicios afines; Belinda Wilson, Presidenta del sindicato de profesores; Carmen Kemp, Presidenta del sindicato de trabajadores de los servicios públicos y afines; Jennifer Isaacs Dotson, Presidenta del Congreso Nacional de Sindicatos; Katrina Marche y Joy Tucker, Vicepresidenta y Secretaria General Adjunta del sindicato de trabajadores de la administración pública, respectivamente; Sonia Hamilton, Secretaria General de la Asociación de Empresarios Hoteleros; Adrian Pratt, Vicepresidenta de la organización sindical de estibadores </w:t>
      </w:r>
      <w:r w:rsidRPr="00DA4998">
        <w:rPr>
          <w:i/>
        </w:rPr>
        <w:t>Eastside Stevedores</w:t>
      </w:r>
      <w:r w:rsidRPr="00DA4998">
        <w:t>; Juana Roberts, Sally Taylor y Shakera</w:t>
      </w:r>
      <w:r>
        <w:t xml:space="preserve"> </w:t>
      </w:r>
      <w:r w:rsidRPr="00DA4998">
        <w:t>Carroll, Presidenta, Vicepresidenta y Secretaria General del sindicato de médicos, respectivamente; Essiemae McIntosh, Secretaria General de dicho sindicato, mientras que Teresa Mortimer ocupaba el cargo de Vicepresidenta;</w:t>
      </w:r>
      <w:r>
        <w:t xml:space="preserve"> </w:t>
      </w:r>
      <w:r w:rsidRPr="00DA4998">
        <w:t>Jennifer Dotson también preside el sindicato de profesores universitarios, mientras que Janet Donnelly ocupa el cargo de Vicepresidenta de esa organización. El sindicato de trabajadores de los servicios de hotelería está encabezado por Michelle Dorsett. Leslie Lightbourne es Presidenta del sindicato de trabajadores de la electricidad, cuya Secretaria General es Ann Hunt. Joyce Thomas ocupa el cargo de Secretaria General del sindicato de conductores de la administración pública de Gran</w:t>
      </w:r>
      <w:r w:rsidR="00720903">
        <w:t>d</w:t>
      </w:r>
      <w:r w:rsidRPr="00DA4998">
        <w:t xml:space="preserve"> Bahama. Ashley Smith, Maxine Burrows y Lawanda Green ocupan los cargos de Vicepresidenta, Secretaria General y Secretaria General Adjunta del sindicato de trabajadores portuari</w:t>
      </w:r>
      <w:r>
        <w:t>o</w:t>
      </w:r>
      <w:r w:rsidRPr="00DA4998">
        <w:t>s de Gran</w:t>
      </w:r>
      <w:r w:rsidR="003D5589">
        <w:t>d</w:t>
      </w:r>
      <w:r w:rsidRPr="00DA4998">
        <w:t xml:space="preserve"> Bahama, respectivamente. Lynn Wright ocupa el cargo de Secretaria General del sindicato de funcionarios públicos. Los tres cargos más altos del sindicato de enfermeras están ocupados por mujeres: Cleola Hamilton, Presidenta; Jannah Khalfani, Vicepresidenta, y Julia Knowles, Secretaria General. Charlene Wallace y Anita Brown ocupan los puestos de Presidenta y Secretaria General, respectivamente, de la Asociación de Optometría de las Bahamas. Kandi Cash es Vicepresidenta del sindicato del Banco Central, cuya Secretaria General es Kaye Rolle. Jennifer Cartwright es Secretaria General del sindicato de trabajadores del sector industrial y sectores afines. Theresa Mortimer es Presidenta del sindicato de trabajadores de los servicios financieros, cuya Secretaria General Adjunta es Sharon Lockhart; Linda Moultrie Missick es Vicepresidenta del sindicato de trabajadores administrativos de la enseñanza, y Ghea McPhee es Secretaria General del sindicato de trabajadores de los servicios de aduanas e inmigración.</w:t>
      </w:r>
    </w:p>
    <w:p w:rsidR="003D0BC0" w:rsidRPr="003D0BC0" w:rsidRDefault="003D0BC0" w:rsidP="003D0BC0">
      <w:pPr>
        <w:pStyle w:val="SingleTxt"/>
        <w:spacing w:after="0" w:line="120" w:lineRule="exact"/>
        <w:rPr>
          <w:sz w:val="10"/>
        </w:rPr>
      </w:pPr>
    </w:p>
    <w:p w:rsidR="003D0BC0" w:rsidRPr="003D0BC0" w:rsidRDefault="003D0BC0" w:rsidP="003D0BC0">
      <w:pPr>
        <w:pStyle w:val="SingleTxt"/>
        <w:spacing w:after="0" w:line="120" w:lineRule="exact"/>
        <w:rPr>
          <w:sz w:val="10"/>
        </w:rPr>
      </w:pPr>
    </w:p>
    <w:p w:rsidR="003D0BC0" w:rsidRPr="00432A41" w:rsidRDefault="003D0BC0" w:rsidP="003D0B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bookmarkStart w:id="1" w:name="_Hlt307472089"/>
      <w:bookmarkStart w:id="2" w:name="_Hlt307472090"/>
      <w:r w:rsidRPr="00432A41">
        <w:rPr>
          <w:lang w:val="en-GB"/>
        </w:rPr>
        <w:tab/>
      </w:r>
      <w:r w:rsidRPr="00432A41">
        <w:rPr>
          <w:lang w:val="en-GB"/>
        </w:rPr>
        <w:tab/>
      </w:r>
      <w:r w:rsidRPr="00432A41">
        <w:t xml:space="preserve">Artículo 8: </w:t>
      </w:r>
      <w:r>
        <w:t>R</w:t>
      </w:r>
      <w:r w:rsidRPr="00432A41">
        <w:t>epresentación y participación a nivel internacional</w:t>
      </w:r>
    </w:p>
    <w:p w:rsidR="003D0BC0" w:rsidRPr="003D0BC0" w:rsidRDefault="003D0BC0" w:rsidP="003D0BC0">
      <w:pPr>
        <w:pStyle w:val="SingleTxt"/>
        <w:spacing w:after="0" w:line="120" w:lineRule="exact"/>
        <w:rPr>
          <w:sz w:val="10"/>
        </w:rPr>
      </w:pPr>
    </w:p>
    <w:p w:rsidR="003D0BC0" w:rsidRPr="003D0BC0" w:rsidRDefault="003D0BC0" w:rsidP="003D0BC0">
      <w:pPr>
        <w:pStyle w:val="SingleTxt"/>
        <w:spacing w:after="0" w:line="120" w:lineRule="exact"/>
        <w:rPr>
          <w:sz w:val="10"/>
        </w:rPr>
      </w:pPr>
    </w:p>
    <w:p w:rsidR="003D0BC0" w:rsidRPr="00432A41" w:rsidRDefault="003D0BC0" w:rsidP="003D0B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bookmarkStart w:id="3" w:name="_Hlt307472671"/>
      <w:bookmarkStart w:id="4" w:name="_Hlt307472672"/>
      <w:bookmarkEnd w:id="1"/>
      <w:bookmarkEnd w:id="2"/>
      <w:r w:rsidRPr="00432A41">
        <w:tab/>
      </w:r>
      <w:r w:rsidRPr="00432A41">
        <w:tab/>
        <w:t xml:space="preserve">Representación de la mujer a nivel internacional </w:t>
      </w:r>
    </w:p>
    <w:p w:rsidR="003D0BC0" w:rsidRPr="003D0BC0" w:rsidRDefault="003D0BC0" w:rsidP="003D0BC0">
      <w:pPr>
        <w:pStyle w:val="SingleTxt"/>
        <w:spacing w:after="0" w:line="120" w:lineRule="exact"/>
        <w:rPr>
          <w:sz w:val="10"/>
        </w:rPr>
      </w:pPr>
      <w:bookmarkStart w:id="5" w:name="_Hlt307474349"/>
      <w:bookmarkStart w:id="6" w:name="_Hlt307474350"/>
      <w:bookmarkEnd w:id="3"/>
      <w:bookmarkEnd w:id="4"/>
    </w:p>
    <w:p w:rsidR="003D0BC0" w:rsidRPr="00432A41" w:rsidRDefault="003D0BC0" w:rsidP="003D0BC0">
      <w:pPr>
        <w:pStyle w:val="SingleTxt"/>
        <w:numPr>
          <w:ilvl w:val="0"/>
          <w:numId w:val="11"/>
        </w:numPr>
        <w:tabs>
          <w:tab w:val="clear" w:pos="475"/>
          <w:tab w:val="num" w:pos="1742"/>
        </w:tabs>
        <w:ind w:left="1267"/>
      </w:pPr>
      <w:r w:rsidRPr="00432A41">
        <w:t xml:space="preserve">En las Bahamas, no existen impedimentos legales para que las mujeres representen al Gobierno a nivel internacional y participen en la labor de las organizaciones internacionales en igualdad de condiciones que los hombres. El Gobierno toma medidas para divulgar las vacantes en los organismos y organizaciones no gubernamentales pertinentes de las que se tiene noticia a fin de que los candidatos interesados que reúnen las condiciones puedan presentarse. Además, cuando una organización expresa específicamente su preferencia por una mujer se identifica a mujeres concretas y se las anima a solicitar el cargo. La selección que hace la organización se basa en diversos elementos y criterios por los que se juzgan la experiencia, las aptitudes profesionales y la competencia probada de los candidatos en la organización internacional de que se trate. </w:t>
      </w:r>
    </w:p>
    <w:bookmarkEnd w:id="5"/>
    <w:bookmarkEnd w:id="6"/>
    <w:p w:rsidR="003D0BC0" w:rsidRPr="00432A41" w:rsidRDefault="003D0BC0" w:rsidP="003D0BC0">
      <w:pPr>
        <w:pStyle w:val="SingleTxt"/>
        <w:numPr>
          <w:ilvl w:val="0"/>
          <w:numId w:val="11"/>
        </w:numPr>
        <w:tabs>
          <w:tab w:val="clear" w:pos="475"/>
          <w:tab w:val="num" w:pos="1742"/>
        </w:tabs>
        <w:ind w:left="1267"/>
      </w:pPr>
      <w:r w:rsidRPr="00432A41">
        <w:t>No hay registros del número exacto de mujeres bahameñas que trabajan en organizaciones internacionales. Sin embargo, el Gobierno sabe que varias de sus nacionales tienen cargos de responsabilidad en las Naciones Unidas. Dado que son mayoría en la administración pública y el servicio exterior, las mujeres representan a las Bahamas en numerosas reuniones internacionales en una gran variedad de temas. Ello es muestra de que a las mujeres no se les niega la oportunidad de representar a las Bahamas en los organismos internacionales a causa de su sexo.</w:t>
      </w:r>
    </w:p>
    <w:p w:rsidR="003D0BC0" w:rsidRPr="003D0BC0" w:rsidRDefault="003D0BC0" w:rsidP="003D0BC0">
      <w:pPr>
        <w:pStyle w:val="SingleTxt"/>
        <w:spacing w:after="0" w:line="120" w:lineRule="exact"/>
        <w:rPr>
          <w:sz w:val="10"/>
        </w:rPr>
      </w:pPr>
    </w:p>
    <w:p w:rsidR="003D0BC0" w:rsidRPr="00432A41" w:rsidRDefault="003D0BC0" w:rsidP="003D0B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432A41">
        <w:tab/>
      </w:r>
      <w:r w:rsidRPr="00432A41">
        <w:tab/>
        <w:t xml:space="preserve">Mujeres en el Ministerio de Relaciones Exteriores </w:t>
      </w:r>
    </w:p>
    <w:p w:rsidR="003D0BC0" w:rsidRPr="003D0BC0" w:rsidRDefault="003D0BC0" w:rsidP="003D0BC0">
      <w:pPr>
        <w:pStyle w:val="SingleTxt"/>
        <w:spacing w:after="0" w:line="120" w:lineRule="exact"/>
        <w:rPr>
          <w:sz w:val="10"/>
        </w:rPr>
      </w:pPr>
    </w:p>
    <w:p w:rsidR="003D0BC0" w:rsidRDefault="003D0BC0" w:rsidP="003D0BC0">
      <w:pPr>
        <w:pStyle w:val="SingleTxt"/>
        <w:numPr>
          <w:ilvl w:val="0"/>
          <w:numId w:val="11"/>
        </w:numPr>
        <w:tabs>
          <w:tab w:val="clear" w:pos="475"/>
          <w:tab w:val="num" w:pos="1742"/>
        </w:tabs>
        <w:ind w:left="1267"/>
      </w:pPr>
      <w:r w:rsidRPr="00432A41">
        <w:t>En el Ministerio de Relaciones Exteriores el número de mujeres supera al de los hombres por un margen enorme: las mujeres representan más del 80% y los hombres el 19,6% de todos los empleados del Ministerio. Además, actualmente la Secretaría Permanente y el 67% de las jefaturas de departamento están ocupadas por mujeres. Estas estadísticas indican con claridad que las mujeres de las Bahamas han llegado muy lejos, en particular en el Ministerio de Relaciones Exteriores pero también en toda la administración pública. En consecuencia, dada la posición predominante de las mujeres en el servicio exterior de las Bahamas, y especialmente en el Ministerio de Relaciones Exteriores, no ha sido necesario aplicar medidas especiales de carácter temporal para hacer frente a una hipotética baja representación de las mujeres en ese servicio.</w:t>
      </w:r>
    </w:p>
    <w:p w:rsidR="003D0BC0" w:rsidRPr="003D0BC0" w:rsidRDefault="003D0BC0" w:rsidP="003D0BC0">
      <w:pPr>
        <w:pStyle w:val="SingleTxt"/>
        <w:spacing w:after="0" w:line="120" w:lineRule="exact"/>
        <w:rPr>
          <w:sz w:val="10"/>
        </w:rPr>
      </w:pPr>
    </w:p>
    <w:p w:rsidR="003D0BC0" w:rsidRPr="00C708F2" w:rsidRDefault="003D0BC0" w:rsidP="003D0B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C708F2">
        <w:rPr>
          <w:b w:val="0"/>
        </w:rPr>
        <w:t>Cuadro 11</w:t>
      </w:r>
      <w:r w:rsidRPr="00C708F2">
        <w:rPr>
          <w:b w:val="0"/>
        </w:rPr>
        <w:br/>
      </w:r>
      <w:r w:rsidRPr="00E144FF">
        <w:t>Ministerio de Relaciones Exteriores</w:t>
      </w:r>
    </w:p>
    <w:p w:rsidR="003D0BC0" w:rsidRPr="003D0BC0" w:rsidRDefault="003D0BC0" w:rsidP="003D0BC0">
      <w:pPr>
        <w:pStyle w:val="SingleTxt"/>
        <w:spacing w:after="0" w:line="120" w:lineRule="exact"/>
        <w:rPr>
          <w:sz w:val="10"/>
        </w:rPr>
      </w:pPr>
    </w:p>
    <w:p w:rsidR="003D0BC0" w:rsidRPr="003D0BC0" w:rsidRDefault="003D0BC0" w:rsidP="003D0BC0">
      <w:pPr>
        <w:pStyle w:val="SingleTxt"/>
        <w:spacing w:after="0" w:line="120" w:lineRule="exact"/>
        <w:rPr>
          <w:sz w:val="10"/>
        </w:rPr>
      </w:pPr>
    </w:p>
    <w:tbl>
      <w:tblPr>
        <w:tblW w:w="7272" w:type="dxa"/>
        <w:tblInd w:w="1278" w:type="dxa"/>
        <w:tblLayout w:type="fixed"/>
        <w:tblCellMar>
          <w:left w:w="0" w:type="dxa"/>
          <w:right w:w="0" w:type="dxa"/>
        </w:tblCellMar>
        <w:tblLook w:val="01E0" w:firstRow="1" w:lastRow="1" w:firstColumn="1" w:lastColumn="1" w:noHBand="0" w:noVBand="0"/>
      </w:tblPr>
      <w:tblGrid>
        <w:gridCol w:w="6534"/>
        <w:gridCol w:w="171"/>
        <w:gridCol w:w="567"/>
      </w:tblGrid>
      <w:tr w:rsidR="003D0BC0" w:rsidRPr="00C708F2">
        <w:trPr>
          <w:trHeight w:val="240"/>
          <w:tblHeader/>
        </w:trPr>
        <w:tc>
          <w:tcPr>
            <w:tcW w:w="6534" w:type="dxa"/>
            <w:tcBorders>
              <w:top w:val="single" w:sz="4" w:space="0" w:color="auto"/>
              <w:bottom w:val="single" w:sz="12" w:space="0" w:color="auto"/>
            </w:tcBorders>
            <w:shd w:val="clear" w:color="auto" w:fill="auto"/>
            <w:vAlign w:val="bottom"/>
          </w:tcPr>
          <w:p w:rsidR="003D0BC0" w:rsidRPr="00E4190F" w:rsidRDefault="003D0BC0" w:rsidP="003D0BC0">
            <w:pPr>
              <w:tabs>
                <w:tab w:val="left" w:leader="dot" w:pos="6280"/>
              </w:tabs>
              <w:spacing w:before="80" w:after="80" w:line="160" w:lineRule="exact"/>
              <w:ind w:right="40"/>
              <w:rPr>
                <w:i/>
                <w:color w:val="000000"/>
                <w:spacing w:val="60"/>
                <w:sz w:val="17"/>
              </w:rPr>
            </w:pPr>
            <w:r w:rsidRPr="00C708F2">
              <w:rPr>
                <w:i/>
                <w:color w:val="000000"/>
                <w:sz w:val="14"/>
              </w:rPr>
              <w:t>Ministerio de Relaciones Exteriores</w:t>
            </w:r>
            <w:r>
              <w:rPr>
                <w:i/>
                <w:color w:val="000000"/>
                <w:sz w:val="14"/>
              </w:rPr>
              <w:t>, e</w:t>
            </w:r>
            <w:r w:rsidRPr="00C708F2">
              <w:rPr>
                <w:i/>
                <w:color w:val="000000"/>
                <w:sz w:val="14"/>
              </w:rPr>
              <w:t>mpleados</w:t>
            </w:r>
          </w:p>
        </w:tc>
        <w:tc>
          <w:tcPr>
            <w:tcW w:w="738" w:type="dxa"/>
            <w:gridSpan w:val="2"/>
            <w:tcBorders>
              <w:top w:val="single" w:sz="4" w:space="0" w:color="auto"/>
              <w:bottom w:val="single" w:sz="12" w:space="0" w:color="auto"/>
            </w:tcBorders>
            <w:shd w:val="clear" w:color="auto" w:fill="auto"/>
            <w:vAlign w:val="bottom"/>
          </w:tcPr>
          <w:p w:rsidR="003D0BC0" w:rsidRPr="00C708F2" w:rsidRDefault="003D0BC0" w:rsidP="003D0BC0">
            <w:pPr>
              <w:spacing w:before="80" w:after="80" w:line="160" w:lineRule="exact"/>
              <w:ind w:right="43"/>
              <w:jc w:val="right"/>
              <w:rPr>
                <w:i/>
                <w:color w:val="000000"/>
                <w:sz w:val="14"/>
              </w:rPr>
            </w:pPr>
            <w:r w:rsidRPr="00C708F2">
              <w:rPr>
                <w:i/>
                <w:color w:val="000000"/>
                <w:sz w:val="14"/>
              </w:rPr>
              <w:t>Porcentaje</w:t>
            </w:r>
          </w:p>
        </w:tc>
      </w:tr>
      <w:tr w:rsidR="003D0BC0" w:rsidRPr="00C708F2">
        <w:trPr>
          <w:trHeight w:hRule="exact" w:val="115"/>
          <w:tblHeader/>
        </w:trPr>
        <w:tc>
          <w:tcPr>
            <w:tcW w:w="6534" w:type="dxa"/>
            <w:tcBorders>
              <w:top w:val="single" w:sz="12" w:space="0" w:color="auto"/>
            </w:tcBorders>
            <w:shd w:val="clear" w:color="auto" w:fill="auto"/>
            <w:vAlign w:val="bottom"/>
          </w:tcPr>
          <w:p w:rsidR="003D0BC0" w:rsidRPr="00E4190F" w:rsidRDefault="003D0BC0" w:rsidP="003D0BC0">
            <w:pPr>
              <w:tabs>
                <w:tab w:val="left" w:leader="dot" w:pos="6280"/>
              </w:tabs>
              <w:spacing w:before="40" w:after="40" w:line="210" w:lineRule="exact"/>
              <w:ind w:right="40"/>
              <w:rPr>
                <w:color w:val="000000"/>
                <w:spacing w:val="60"/>
                <w:sz w:val="17"/>
              </w:rPr>
            </w:pPr>
            <w:r>
              <w:rPr>
                <w:color w:val="000000"/>
                <w:spacing w:val="60"/>
                <w:sz w:val="17"/>
              </w:rPr>
              <w:tab/>
            </w:r>
            <w:r>
              <w:rPr>
                <w:color w:val="000000"/>
                <w:spacing w:val="60"/>
                <w:sz w:val="17"/>
              </w:rPr>
              <w:tab/>
            </w:r>
            <w:r>
              <w:rPr>
                <w:color w:val="000000"/>
                <w:spacing w:val="60"/>
                <w:sz w:val="17"/>
              </w:rPr>
              <w:tab/>
            </w:r>
            <w:r>
              <w:rPr>
                <w:color w:val="000000"/>
                <w:spacing w:val="60"/>
                <w:sz w:val="17"/>
              </w:rPr>
              <w:tab/>
            </w:r>
          </w:p>
        </w:tc>
        <w:tc>
          <w:tcPr>
            <w:tcW w:w="738" w:type="dxa"/>
            <w:gridSpan w:val="2"/>
            <w:tcBorders>
              <w:top w:val="single" w:sz="12" w:space="0" w:color="auto"/>
            </w:tcBorders>
            <w:shd w:val="clear" w:color="auto" w:fill="auto"/>
            <w:vAlign w:val="bottom"/>
          </w:tcPr>
          <w:p w:rsidR="003D0BC0" w:rsidRPr="00C708F2" w:rsidRDefault="003D0BC0" w:rsidP="003D0BC0">
            <w:pPr>
              <w:spacing w:before="40" w:after="40" w:line="210" w:lineRule="exact"/>
              <w:ind w:left="113" w:right="40"/>
              <w:jc w:val="right"/>
              <w:rPr>
                <w:color w:val="000000"/>
                <w:sz w:val="17"/>
                <w:lang w:val="en-US"/>
              </w:rPr>
            </w:pPr>
          </w:p>
        </w:tc>
      </w:tr>
      <w:tr w:rsidR="003D0BC0" w:rsidRPr="00C708F2">
        <w:trPr>
          <w:trHeight w:val="240"/>
        </w:trPr>
        <w:tc>
          <w:tcPr>
            <w:tcW w:w="6705" w:type="dxa"/>
            <w:gridSpan w:val="2"/>
            <w:shd w:val="clear" w:color="auto" w:fill="auto"/>
            <w:vAlign w:val="bottom"/>
          </w:tcPr>
          <w:p w:rsidR="003D0BC0" w:rsidRPr="00E4190F" w:rsidRDefault="003D0BC0" w:rsidP="003D0BC0">
            <w:pPr>
              <w:tabs>
                <w:tab w:val="left" w:pos="288"/>
                <w:tab w:val="left" w:pos="576"/>
                <w:tab w:val="left" w:leader="dot" w:pos="6440"/>
              </w:tabs>
              <w:spacing w:before="40" w:after="40" w:line="210" w:lineRule="exact"/>
              <w:rPr>
                <w:color w:val="000000"/>
                <w:spacing w:val="60"/>
                <w:sz w:val="17"/>
              </w:rPr>
            </w:pPr>
            <w:r w:rsidRPr="00C708F2">
              <w:rPr>
                <w:color w:val="000000"/>
                <w:sz w:val="17"/>
              </w:rPr>
              <w:t>Mujeres</w:t>
            </w:r>
            <w:r>
              <w:rPr>
                <w:color w:val="000000"/>
                <w:spacing w:val="60"/>
                <w:sz w:val="17"/>
              </w:rPr>
              <w:tab/>
            </w:r>
          </w:p>
        </w:tc>
        <w:tc>
          <w:tcPr>
            <w:tcW w:w="567" w:type="dxa"/>
            <w:shd w:val="clear" w:color="auto" w:fill="auto"/>
            <w:vAlign w:val="bottom"/>
          </w:tcPr>
          <w:p w:rsidR="003D0BC0" w:rsidRPr="00C708F2" w:rsidRDefault="003D0BC0" w:rsidP="003D0BC0">
            <w:pPr>
              <w:tabs>
                <w:tab w:val="left" w:pos="747"/>
                <w:tab w:val="left" w:pos="1152"/>
              </w:tabs>
              <w:spacing w:before="40" w:after="40" w:line="210" w:lineRule="exact"/>
              <w:ind w:left="113" w:right="40"/>
              <w:jc w:val="right"/>
              <w:rPr>
                <w:color w:val="000000"/>
                <w:sz w:val="17"/>
                <w:lang w:val="en-US"/>
              </w:rPr>
            </w:pPr>
            <w:r>
              <w:rPr>
                <w:color w:val="000000"/>
                <w:sz w:val="17"/>
                <w:lang w:val="en-US"/>
              </w:rPr>
              <w:t>80,</w:t>
            </w:r>
            <w:r w:rsidRPr="00C708F2">
              <w:rPr>
                <w:color w:val="000000"/>
                <w:sz w:val="17"/>
                <w:lang w:val="en-US"/>
              </w:rPr>
              <w:t>4</w:t>
            </w:r>
          </w:p>
        </w:tc>
      </w:tr>
      <w:tr w:rsidR="003D0BC0" w:rsidRPr="00C708F2">
        <w:trPr>
          <w:trHeight w:val="240"/>
        </w:trPr>
        <w:tc>
          <w:tcPr>
            <w:tcW w:w="6705" w:type="dxa"/>
            <w:gridSpan w:val="2"/>
            <w:tcBorders>
              <w:bottom w:val="single" w:sz="12" w:space="0" w:color="auto"/>
            </w:tcBorders>
            <w:shd w:val="clear" w:color="auto" w:fill="auto"/>
            <w:vAlign w:val="bottom"/>
          </w:tcPr>
          <w:p w:rsidR="003D0BC0" w:rsidRPr="00E4190F" w:rsidRDefault="003D0BC0" w:rsidP="003D0BC0">
            <w:pPr>
              <w:tabs>
                <w:tab w:val="left" w:pos="288"/>
                <w:tab w:val="left" w:pos="576"/>
                <w:tab w:val="left" w:leader="dot" w:pos="6440"/>
              </w:tabs>
              <w:spacing w:before="40" w:after="81" w:line="210" w:lineRule="exact"/>
              <w:rPr>
                <w:color w:val="000000"/>
                <w:spacing w:val="60"/>
                <w:sz w:val="17"/>
              </w:rPr>
            </w:pPr>
            <w:r w:rsidRPr="00C708F2">
              <w:rPr>
                <w:color w:val="000000"/>
                <w:sz w:val="17"/>
              </w:rPr>
              <w:t>Hombres</w:t>
            </w:r>
            <w:r>
              <w:rPr>
                <w:color w:val="000000"/>
                <w:spacing w:val="60"/>
                <w:sz w:val="17"/>
              </w:rPr>
              <w:tab/>
            </w:r>
          </w:p>
        </w:tc>
        <w:tc>
          <w:tcPr>
            <w:tcW w:w="567" w:type="dxa"/>
            <w:tcBorders>
              <w:bottom w:val="single" w:sz="12" w:space="0" w:color="auto"/>
            </w:tcBorders>
            <w:shd w:val="clear" w:color="auto" w:fill="auto"/>
            <w:vAlign w:val="bottom"/>
          </w:tcPr>
          <w:p w:rsidR="003D0BC0" w:rsidRPr="00C708F2" w:rsidRDefault="003D0BC0" w:rsidP="003D0BC0">
            <w:pPr>
              <w:tabs>
                <w:tab w:val="left" w:pos="288"/>
                <w:tab w:val="left" w:pos="576"/>
                <w:tab w:val="left" w:pos="864"/>
                <w:tab w:val="left" w:pos="1152"/>
              </w:tabs>
              <w:spacing w:before="40" w:after="81" w:line="210" w:lineRule="exact"/>
              <w:ind w:left="113" w:right="43"/>
              <w:jc w:val="right"/>
              <w:rPr>
                <w:color w:val="000000"/>
                <w:sz w:val="17"/>
                <w:lang w:val="en-US"/>
              </w:rPr>
            </w:pPr>
            <w:r>
              <w:rPr>
                <w:color w:val="000000"/>
                <w:sz w:val="17"/>
                <w:lang w:val="en-US"/>
              </w:rPr>
              <w:t>19,</w:t>
            </w:r>
            <w:r w:rsidRPr="00C708F2">
              <w:rPr>
                <w:color w:val="000000"/>
                <w:sz w:val="17"/>
                <w:lang w:val="en-US"/>
              </w:rPr>
              <w:t>6</w:t>
            </w:r>
          </w:p>
        </w:tc>
      </w:tr>
    </w:tbl>
    <w:p w:rsidR="003D0BC0" w:rsidRPr="003D0BC0" w:rsidRDefault="003D0BC0" w:rsidP="003D0BC0">
      <w:pPr>
        <w:pStyle w:val="SingleTxt"/>
        <w:spacing w:after="0" w:line="120" w:lineRule="exact"/>
        <w:rPr>
          <w:sz w:val="10"/>
        </w:rPr>
      </w:pPr>
    </w:p>
    <w:p w:rsidR="003D0BC0" w:rsidRPr="003D0BC0" w:rsidRDefault="003D0BC0" w:rsidP="003D0BC0">
      <w:pPr>
        <w:pStyle w:val="SingleTxt"/>
        <w:spacing w:after="0" w:line="120" w:lineRule="exact"/>
        <w:rPr>
          <w:sz w:val="10"/>
        </w:rPr>
      </w:pPr>
    </w:p>
    <w:p w:rsidR="003D0BC0" w:rsidRDefault="003D0BC0" w:rsidP="003D0B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bookmarkStart w:id="7" w:name="_Hlt307477467"/>
      <w:bookmarkStart w:id="8" w:name="_Hlt307477468"/>
      <w:r>
        <w:tab/>
      </w:r>
      <w:r w:rsidRPr="00C708F2">
        <w:tab/>
        <w:t>Las mujeres en el servicio exterior</w:t>
      </w:r>
    </w:p>
    <w:p w:rsidR="003D0BC0" w:rsidRPr="003D0BC0" w:rsidRDefault="003D0BC0" w:rsidP="003D0BC0">
      <w:pPr>
        <w:pStyle w:val="SingleTxt"/>
        <w:spacing w:after="0" w:line="120" w:lineRule="exact"/>
        <w:rPr>
          <w:sz w:val="10"/>
        </w:rPr>
      </w:pPr>
    </w:p>
    <w:p w:rsidR="003D0BC0" w:rsidRPr="00C708F2" w:rsidRDefault="003D0BC0" w:rsidP="003D0BC0">
      <w:pPr>
        <w:pStyle w:val="SingleTxt"/>
        <w:numPr>
          <w:ilvl w:val="0"/>
          <w:numId w:val="11"/>
        </w:numPr>
        <w:tabs>
          <w:tab w:val="clear" w:pos="475"/>
          <w:tab w:val="num" w:pos="1742"/>
        </w:tabs>
        <w:ind w:left="1267"/>
      </w:pPr>
      <w:bookmarkStart w:id="9" w:name="_Hlt307478677"/>
      <w:bookmarkStart w:id="10" w:name="_Hlt307478678"/>
      <w:bookmarkStart w:id="11" w:name="_Hlt307479117"/>
      <w:bookmarkStart w:id="12" w:name="_Hlt307479118"/>
      <w:bookmarkEnd w:id="7"/>
      <w:bookmarkEnd w:id="8"/>
      <w:r w:rsidRPr="00C708F2">
        <w:t>Actualmente, las mujeres ocupan el 71,8% de las plazas en el servicio exterior. Entre ellas están la Excma. Sra. Elma Campbell, Embajadora de las Bahamas ante la República Popular China;</w:t>
      </w:r>
      <w:r>
        <w:t xml:space="preserve"> </w:t>
      </w:r>
      <w:r w:rsidRPr="00C708F2">
        <w:t>Paulette Bethel, Representante Permanente de las</w:t>
      </w:r>
      <w:r>
        <w:t xml:space="preserve"> </w:t>
      </w:r>
      <w:r w:rsidRPr="00C708F2">
        <w:t>Bahamas ante las Naciones Unidas; Katherine Forbes Smith, Cónsul General de las Bahamas en Atlanta (Estados Unidos de América); Rhonda Chipman Johnson, Cónsul General de las Bahamas en Nueva York (Estados Unidos de América); y Rhoda Jackson, Cónsul General de las Bahamas en Miami (Estados Unidos de América).</w:t>
      </w:r>
    </w:p>
    <w:bookmarkEnd w:id="9"/>
    <w:bookmarkEnd w:id="10"/>
    <w:bookmarkEnd w:id="11"/>
    <w:bookmarkEnd w:id="12"/>
    <w:p w:rsidR="003D0BC0" w:rsidRDefault="003D0BC0" w:rsidP="003D0BC0">
      <w:pPr>
        <w:pStyle w:val="SingleTxt"/>
        <w:numPr>
          <w:ilvl w:val="0"/>
          <w:numId w:val="11"/>
        </w:numPr>
        <w:tabs>
          <w:tab w:val="clear" w:pos="475"/>
          <w:tab w:val="num" w:pos="1742"/>
        </w:tabs>
        <w:ind w:left="1267"/>
      </w:pPr>
      <w:r w:rsidRPr="00C708F2">
        <w:t>Las mujeres al mando de misiones diplomáticas y consulares representan el 41,7% y los hombres el 58,3% respectivamente.</w:t>
      </w:r>
      <w:r>
        <w:t xml:space="preserve"> Las e</w:t>
      </w:r>
      <w:r w:rsidRPr="00C708F2">
        <w:t>mbajadoras no residentes representan a</w:t>
      </w:r>
      <w:r>
        <w:t>proximadamente el 42,9%, y las cónsules h</w:t>
      </w:r>
      <w:r w:rsidRPr="00C708F2">
        <w:t>onorarias el 30%.</w:t>
      </w:r>
      <w:r>
        <w:t xml:space="preserve"> </w:t>
      </w:r>
      <w:r w:rsidRPr="00C708F2">
        <w:t>En el cuadro que se presenta a continuación se dan los detalles de la representación de las mujeres en el servicio exterior de las Bahamas.</w:t>
      </w:r>
    </w:p>
    <w:p w:rsidR="003D0BC0" w:rsidRPr="003D0BC0" w:rsidRDefault="003D0BC0" w:rsidP="003D0BC0">
      <w:pPr>
        <w:pStyle w:val="SingleTxt"/>
        <w:spacing w:after="0" w:line="120" w:lineRule="exact"/>
        <w:rPr>
          <w:sz w:val="10"/>
        </w:rPr>
      </w:pPr>
    </w:p>
    <w:p w:rsidR="003D0BC0" w:rsidRPr="00C708F2" w:rsidRDefault="003D0BC0" w:rsidP="003D0B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D0704E">
        <w:rPr>
          <w:b w:val="0"/>
        </w:rPr>
        <w:t>Cuadro 12</w:t>
      </w:r>
      <w:r w:rsidRPr="00D0704E">
        <w:rPr>
          <w:b w:val="0"/>
        </w:rPr>
        <w:br/>
      </w:r>
      <w:r w:rsidRPr="00C708F2">
        <w:t>Número de mujeres y hombres en el servicio exterior en 2007</w:t>
      </w:r>
    </w:p>
    <w:p w:rsidR="003D0BC0" w:rsidRPr="003D0BC0" w:rsidRDefault="003D0BC0" w:rsidP="003D0BC0">
      <w:pPr>
        <w:pStyle w:val="SingleTxt"/>
        <w:spacing w:after="0" w:line="120" w:lineRule="exact"/>
        <w:rPr>
          <w:sz w:val="10"/>
        </w:rPr>
      </w:pPr>
    </w:p>
    <w:p w:rsidR="003D0BC0" w:rsidRPr="003D0BC0" w:rsidRDefault="003D0BC0" w:rsidP="003D0BC0">
      <w:pPr>
        <w:pStyle w:val="SingleTxt"/>
        <w:spacing w:after="0" w:line="120" w:lineRule="exact"/>
        <w:rPr>
          <w:sz w:val="10"/>
        </w:rPr>
      </w:pPr>
    </w:p>
    <w:tbl>
      <w:tblPr>
        <w:tblW w:w="0" w:type="auto"/>
        <w:tblInd w:w="1287" w:type="dxa"/>
        <w:tblCellMar>
          <w:left w:w="0" w:type="dxa"/>
          <w:right w:w="0" w:type="dxa"/>
        </w:tblCellMar>
        <w:tblLook w:val="01E0" w:firstRow="1" w:lastRow="1" w:firstColumn="1" w:lastColumn="1" w:noHBand="0" w:noVBand="0"/>
      </w:tblPr>
      <w:tblGrid>
        <w:gridCol w:w="4007"/>
        <w:gridCol w:w="1700"/>
        <w:gridCol w:w="1510"/>
      </w:tblGrid>
      <w:tr w:rsidR="003D0BC0" w:rsidRPr="00FC7199">
        <w:trPr>
          <w:tblHeader/>
        </w:trPr>
        <w:tc>
          <w:tcPr>
            <w:tcW w:w="4007" w:type="dxa"/>
            <w:tcBorders>
              <w:top w:val="single" w:sz="4" w:space="0" w:color="auto"/>
              <w:bottom w:val="single" w:sz="12" w:space="0" w:color="auto"/>
            </w:tcBorders>
            <w:shd w:val="clear" w:color="auto" w:fill="auto"/>
            <w:vAlign w:val="bottom"/>
          </w:tcPr>
          <w:p w:rsidR="003D0BC0" w:rsidRPr="00FC7199" w:rsidRDefault="003D0BC0" w:rsidP="003D0BC0">
            <w:pPr>
              <w:keepNext/>
              <w:keepLines/>
              <w:spacing w:before="80" w:after="80" w:line="160" w:lineRule="exact"/>
              <w:ind w:right="40"/>
              <w:rPr>
                <w:i/>
                <w:color w:val="000000"/>
                <w:sz w:val="14"/>
              </w:rPr>
            </w:pPr>
            <w:r w:rsidRPr="00FC7199">
              <w:rPr>
                <w:i/>
                <w:color w:val="000000"/>
                <w:sz w:val="14"/>
              </w:rPr>
              <w:t>Cargos/puestos de categoría superior</w:t>
            </w:r>
          </w:p>
        </w:tc>
        <w:tc>
          <w:tcPr>
            <w:tcW w:w="1700" w:type="dxa"/>
            <w:tcBorders>
              <w:top w:val="single" w:sz="4" w:space="0" w:color="auto"/>
              <w:bottom w:val="single" w:sz="12" w:space="0" w:color="auto"/>
            </w:tcBorders>
            <w:shd w:val="clear" w:color="auto" w:fill="auto"/>
            <w:vAlign w:val="bottom"/>
          </w:tcPr>
          <w:p w:rsidR="003D0BC0" w:rsidRPr="00FC7199" w:rsidRDefault="003D0BC0" w:rsidP="003D0BC0">
            <w:pPr>
              <w:keepNext/>
              <w:keepLines/>
              <w:spacing w:before="80" w:after="80" w:line="160" w:lineRule="exact"/>
              <w:ind w:left="113" w:right="40"/>
              <w:jc w:val="right"/>
              <w:rPr>
                <w:i/>
                <w:color w:val="000000"/>
                <w:sz w:val="14"/>
                <w:lang w:val="en-US"/>
              </w:rPr>
            </w:pPr>
            <w:r w:rsidRPr="00FC7199">
              <w:rPr>
                <w:i/>
                <w:color w:val="000000"/>
                <w:sz w:val="14"/>
              </w:rPr>
              <w:t>Mujeres</w:t>
            </w:r>
            <w:r w:rsidRPr="00FC7199">
              <w:rPr>
                <w:i/>
                <w:color w:val="000000"/>
                <w:sz w:val="14"/>
              </w:rPr>
              <w:br/>
              <w:t>(Porcentaje)</w:t>
            </w:r>
          </w:p>
        </w:tc>
        <w:tc>
          <w:tcPr>
            <w:tcW w:w="1510" w:type="dxa"/>
            <w:tcBorders>
              <w:top w:val="single" w:sz="4" w:space="0" w:color="auto"/>
              <w:bottom w:val="single" w:sz="12" w:space="0" w:color="auto"/>
            </w:tcBorders>
            <w:shd w:val="clear" w:color="auto" w:fill="auto"/>
            <w:vAlign w:val="bottom"/>
          </w:tcPr>
          <w:p w:rsidR="003D0BC0" w:rsidRPr="00FC7199" w:rsidRDefault="003D0BC0" w:rsidP="003D0BC0">
            <w:pPr>
              <w:keepNext/>
              <w:keepLines/>
              <w:spacing w:before="80" w:after="80" w:line="160" w:lineRule="exact"/>
              <w:ind w:left="113" w:right="40"/>
              <w:jc w:val="right"/>
              <w:rPr>
                <w:i/>
                <w:color w:val="000000"/>
                <w:sz w:val="14"/>
              </w:rPr>
            </w:pPr>
            <w:r w:rsidRPr="00FC7199">
              <w:rPr>
                <w:i/>
                <w:color w:val="000000"/>
                <w:sz w:val="14"/>
              </w:rPr>
              <w:t>Hombres</w:t>
            </w:r>
            <w:r w:rsidRPr="00FC7199">
              <w:rPr>
                <w:i/>
                <w:color w:val="000000"/>
                <w:sz w:val="14"/>
              </w:rPr>
              <w:br/>
              <w:t>(Porcentaje)</w:t>
            </w:r>
          </w:p>
        </w:tc>
      </w:tr>
      <w:tr w:rsidR="003D0BC0" w:rsidRPr="00FC7199">
        <w:trPr>
          <w:trHeight w:hRule="exact" w:val="115"/>
        </w:trPr>
        <w:tc>
          <w:tcPr>
            <w:tcW w:w="4007" w:type="dxa"/>
            <w:tcBorders>
              <w:top w:val="single" w:sz="12" w:space="0" w:color="auto"/>
            </w:tcBorders>
            <w:shd w:val="clear" w:color="auto" w:fill="auto"/>
            <w:vAlign w:val="bottom"/>
          </w:tcPr>
          <w:p w:rsidR="003D0BC0" w:rsidRPr="00FC7199" w:rsidRDefault="003D0BC0" w:rsidP="003D0BC0">
            <w:pPr>
              <w:keepNext/>
              <w:keepLines/>
              <w:tabs>
                <w:tab w:val="left" w:pos="288"/>
                <w:tab w:val="left" w:pos="576"/>
                <w:tab w:val="left" w:pos="864"/>
                <w:tab w:val="left" w:pos="1152"/>
              </w:tabs>
              <w:spacing w:before="40" w:after="40" w:line="210" w:lineRule="exact"/>
              <w:ind w:right="40"/>
              <w:rPr>
                <w:color w:val="000000"/>
                <w:sz w:val="17"/>
              </w:rPr>
            </w:pPr>
          </w:p>
        </w:tc>
        <w:tc>
          <w:tcPr>
            <w:tcW w:w="1700" w:type="dxa"/>
            <w:tcBorders>
              <w:top w:val="single" w:sz="12" w:space="0" w:color="auto"/>
            </w:tcBorders>
            <w:shd w:val="clear" w:color="auto" w:fill="auto"/>
            <w:vAlign w:val="bottom"/>
          </w:tcPr>
          <w:p w:rsidR="003D0BC0" w:rsidRPr="00FC7199" w:rsidRDefault="003D0BC0" w:rsidP="003D0BC0">
            <w:pPr>
              <w:keepNext/>
              <w:keepLines/>
              <w:tabs>
                <w:tab w:val="left" w:pos="288"/>
                <w:tab w:val="left" w:pos="576"/>
                <w:tab w:val="left" w:pos="864"/>
                <w:tab w:val="left" w:pos="1152"/>
              </w:tabs>
              <w:spacing w:before="40" w:after="40" w:line="210" w:lineRule="exact"/>
              <w:ind w:left="113" w:right="40"/>
              <w:jc w:val="right"/>
              <w:rPr>
                <w:color w:val="000000"/>
                <w:sz w:val="17"/>
              </w:rPr>
            </w:pPr>
          </w:p>
        </w:tc>
        <w:tc>
          <w:tcPr>
            <w:tcW w:w="1510" w:type="dxa"/>
            <w:tcBorders>
              <w:top w:val="single" w:sz="12" w:space="0" w:color="auto"/>
            </w:tcBorders>
            <w:shd w:val="clear" w:color="auto" w:fill="auto"/>
            <w:vAlign w:val="bottom"/>
          </w:tcPr>
          <w:p w:rsidR="003D0BC0" w:rsidRPr="00FC7199" w:rsidRDefault="003D0BC0" w:rsidP="003D0BC0">
            <w:pPr>
              <w:keepNext/>
              <w:keepLines/>
              <w:tabs>
                <w:tab w:val="left" w:pos="288"/>
                <w:tab w:val="left" w:pos="576"/>
                <w:tab w:val="left" w:pos="864"/>
                <w:tab w:val="left" w:pos="1152"/>
              </w:tabs>
              <w:spacing w:before="40" w:after="40" w:line="210" w:lineRule="exact"/>
              <w:ind w:left="113" w:right="40"/>
              <w:jc w:val="right"/>
              <w:rPr>
                <w:color w:val="000000"/>
                <w:sz w:val="17"/>
              </w:rPr>
            </w:pPr>
          </w:p>
        </w:tc>
      </w:tr>
      <w:tr w:rsidR="003D0BC0" w:rsidRPr="00FC7199">
        <w:tc>
          <w:tcPr>
            <w:tcW w:w="4007" w:type="dxa"/>
            <w:shd w:val="clear" w:color="auto" w:fill="auto"/>
            <w:vAlign w:val="bottom"/>
          </w:tcPr>
          <w:p w:rsidR="003D0BC0" w:rsidRPr="00FC7199" w:rsidRDefault="003D0BC0" w:rsidP="003D0BC0">
            <w:pPr>
              <w:keepNext/>
              <w:keepLines/>
              <w:tabs>
                <w:tab w:val="left" w:pos="288"/>
                <w:tab w:val="left" w:pos="576"/>
                <w:tab w:val="left" w:pos="864"/>
                <w:tab w:val="left" w:pos="1152"/>
              </w:tabs>
              <w:spacing w:before="40" w:after="40" w:line="210" w:lineRule="exact"/>
              <w:ind w:right="40"/>
              <w:rPr>
                <w:color w:val="000000"/>
                <w:sz w:val="17"/>
              </w:rPr>
            </w:pPr>
            <w:r w:rsidRPr="00FC7199">
              <w:rPr>
                <w:color w:val="000000"/>
                <w:sz w:val="17"/>
              </w:rPr>
              <w:t>Representantes diplomáticos y consulares</w:t>
            </w:r>
          </w:p>
        </w:tc>
        <w:tc>
          <w:tcPr>
            <w:tcW w:w="1700" w:type="dxa"/>
            <w:shd w:val="clear" w:color="auto" w:fill="auto"/>
            <w:vAlign w:val="bottom"/>
          </w:tcPr>
          <w:p w:rsidR="003D0BC0" w:rsidRPr="00FC7199" w:rsidRDefault="003D0BC0" w:rsidP="003D0BC0">
            <w:pPr>
              <w:keepNext/>
              <w:keepLines/>
              <w:tabs>
                <w:tab w:val="left" w:pos="288"/>
                <w:tab w:val="left" w:pos="576"/>
                <w:tab w:val="left" w:pos="864"/>
                <w:tab w:val="left" w:pos="1152"/>
              </w:tabs>
              <w:spacing w:before="40" w:after="40" w:line="210" w:lineRule="exact"/>
              <w:ind w:left="113" w:right="40"/>
              <w:jc w:val="right"/>
              <w:rPr>
                <w:color w:val="000000"/>
                <w:sz w:val="17"/>
              </w:rPr>
            </w:pPr>
            <w:r w:rsidRPr="00FC7199">
              <w:rPr>
                <w:color w:val="000000"/>
                <w:sz w:val="17"/>
              </w:rPr>
              <w:t>41,7</w:t>
            </w:r>
          </w:p>
        </w:tc>
        <w:tc>
          <w:tcPr>
            <w:tcW w:w="1510" w:type="dxa"/>
            <w:shd w:val="clear" w:color="auto" w:fill="auto"/>
            <w:vAlign w:val="bottom"/>
          </w:tcPr>
          <w:p w:rsidR="003D0BC0" w:rsidRPr="00FC7199" w:rsidRDefault="003D0BC0" w:rsidP="003D0BC0">
            <w:pPr>
              <w:keepNext/>
              <w:keepLines/>
              <w:tabs>
                <w:tab w:val="left" w:pos="288"/>
                <w:tab w:val="left" w:pos="576"/>
                <w:tab w:val="left" w:pos="864"/>
                <w:tab w:val="left" w:pos="1152"/>
              </w:tabs>
              <w:spacing w:before="40" w:after="40" w:line="210" w:lineRule="exact"/>
              <w:ind w:left="113" w:right="40"/>
              <w:jc w:val="right"/>
              <w:rPr>
                <w:color w:val="000000"/>
                <w:sz w:val="17"/>
              </w:rPr>
            </w:pPr>
            <w:r w:rsidRPr="00FC7199">
              <w:rPr>
                <w:color w:val="000000"/>
                <w:sz w:val="17"/>
              </w:rPr>
              <w:t>58,3</w:t>
            </w:r>
          </w:p>
        </w:tc>
      </w:tr>
      <w:tr w:rsidR="003D0BC0" w:rsidRPr="00FC7199">
        <w:tc>
          <w:tcPr>
            <w:tcW w:w="4007" w:type="dxa"/>
            <w:shd w:val="clear" w:color="auto" w:fill="auto"/>
            <w:vAlign w:val="bottom"/>
          </w:tcPr>
          <w:p w:rsidR="003D0BC0" w:rsidRPr="00FC7199" w:rsidRDefault="003D0BC0" w:rsidP="003D0BC0">
            <w:pPr>
              <w:keepNext/>
              <w:keepLines/>
              <w:tabs>
                <w:tab w:val="left" w:pos="288"/>
                <w:tab w:val="left" w:pos="576"/>
                <w:tab w:val="left" w:pos="864"/>
                <w:tab w:val="left" w:pos="1152"/>
              </w:tabs>
              <w:spacing w:before="40" w:after="40" w:line="210" w:lineRule="exact"/>
              <w:ind w:right="40"/>
              <w:rPr>
                <w:color w:val="000000"/>
                <w:sz w:val="17"/>
              </w:rPr>
            </w:pPr>
            <w:r w:rsidRPr="00FC7199">
              <w:rPr>
                <w:color w:val="000000"/>
                <w:sz w:val="17"/>
              </w:rPr>
              <w:t>Embajadores no residentes</w:t>
            </w:r>
          </w:p>
        </w:tc>
        <w:tc>
          <w:tcPr>
            <w:tcW w:w="1700" w:type="dxa"/>
            <w:shd w:val="clear" w:color="auto" w:fill="auto"/>
            <w:vAlign w:val="bottom"/>
          </w:tcPr>
          <w:p w:rsidR="003D0BC0" w:rsidRPr="00FC7199" w:rsidRDefault="003D0BC0" w:rsidP="003D0BC0">
            <w:pPr>
              <w:keepNext/>
              <w:keepLines/>
              <w:tabs>
                <w:tab w:val="left" w:pos="288"/>
                <w:tab w:val="left" w:pos="576"/>
                <w:tab w:val="left" w:pos="864"/>
                <w:tab w:val="left" w:pos="1152"/>
              </w:tabs>
              <w:spacing w:before="40" w:after="40" w:line="210" w:lineRule="exact"/>
              <w:ind w:left="113" w:right="40"/>
              <w:jc w:val="right"/>
              <w:rPr>
                <w:color w:val="000000"/>
                <w:sz w:val="17"/>
              </w:rPr>
            </w:pPr>
            <w:r w:rsidRPr="00FC7199">
              <w:rPr>
                <w:color w:val="000000"/>
                <w:sz w:val="17"/>
              </w:rPr>
              <w:t>42,9</w:t>
            </w:r>
          </w:p>
        </w:tc>
        <w:tc>
          <w:tcPr>
            <w:tcW w:w="1510" w:type="dxa"/>
            <w:shd w:val="clear" w:color="auto" w:fill="auto"/>
            <w:vAlign w:val="bottom"/>
          </w:tcPr>
          <w:p w:rsidR="003D0BC0" w:rsidRPr="00FC7199" w:rsidRDefault="003D0BC0" w:rsidP="003D0BC0">
            <w:pPr>
              <w:keepNext/>
              <w:keepLines/>
              <w:tabs>
                <w:tab w:val="left" w:pos="288"/>
                <w:tab w:val="left" w:pos="576"/>
                <w:tab w:val="left" w:pos="864"/>
                <w:tab w:val="left" w:pos="1152"/>
              </w:tabs>
              <w:spacing w:before="40" w:after="40" w:line="210" w:lineRule="exact"/>
              <w:ind w:left="113" w:right="40"/>
              <w:jc w:val="right"/>
              <w:rPr>
                <w:color w:val="000000"/>
                <w:sz w:val="17"/>
              </w:rPr>
            </w:pPr>
            <w:r w:rsidRPr="00FC7199">
              <w:rPr>
                <w:color w:val="000000"/>
                <w:sz w:val="17"/>
              </w:rPr>
              <w:t>57,1</w:t>
            </w:r>
          </w:p>
        </w:tc>
      </w:tr>
      <w:tr w:rsidR="003D0BC0" w:rsidRPr="00FC7199">
        <w:tc>
          <w:tcPr>
            <w:tcW w:w="4007" w:type="dxa"/>
            <w:tcBorders>
              <w:bottom w:val="single" w:sz="12" w:space="0" w:color="auto"/>
            </w:tcBorders>
            <w:shd w:val="clear" w:color="auto" w:fill="auto"/>
            <w:vAlign w:val="bottom"/>
          </w:tcPr>
          <w:p w:rsidR="003D0BC0" w:rsidRPr="00FC7199" w:rsidRDefault="003D0BC0" w:rsidP="003D0BC0">
            <w:pPr>
              <w:keepNext/>
              <w:keepLines/>
              <w:tabs>
                <w:tab w:val="left" w:pos="288"/>
                <w:tab w:val="left" w:pos="576"/>
                <w:tab w:val="left" w:pos="864"/>
                <w:tab w:val="left" w:pos="1152"/>
              </w:tabs>
              <w:spacing w:before="40" w:after="80" w:line="210" w:lineRule="exact"/>
              <w:ind w:right="43"/>
              <w:rPr>
                <w:color w:val="000000"/>
                <w:sz w:val="17"/>
              </w:rPr>
            </w:pPr>
            <w:r w:rsidRPr="00FC7199">
              <w:rPr>
                <w:color w:val="000000"/>
                <w:sz w:val="17"/>
              </w:rPr>
              <w:t>Cónsules honorarios</w:t>
            </w:r>
          </w:p>
        </w:tc>
        <w:tc>
          <w:tcPr>
            <w:tcW w:w="1700" w:type="dxa"/>
            <w:tcBorders>
              <w:bottom w:val="single" w:sz="12" w:space="0" w:color="auto"/>
            </w:tcBorders>
            <w:shd w:val="clear" w:color="auto" w:fill="auto"/>
            <w:vAlign w:val="bottom"/>
          </w:tcPr>
          <w:p w:rsidR="003D0BC0" w:rsidRPr="00FC7199" w:rsidRDefault="003D0BC0" w:rsidP="003D0BC0">
            <w:pPr>
              <w:keepNext/>
              <w:keepLines/>
              <w:tabs>
                <w:tab w:val="left" w:pos="288"/>
                <w:tab w:val="left" w:pos="576"/>
                <w:tab w:val="left" w:pos="864"/>
                <w:tab w:val="left" w:pos="1152"/>
              </w:tabs>
              <w:spacing w:before="40" w:after="80" w:line="210" w:lineRule="exact"/>
              <w:ind w:left="113" w:right="43"/>
              <w:jc w:val="right"/>
              <w:rPr>
                <w:color w:val="000000"/>
                <w:sz w:val="17"/>
              </w:rPr>
            </w:pPr>
            <w:r w:rsidRPr="00FC7199">
              <w:rPr>
                <w:color w:val="000000"/>
                <w:sz w:val="17"/>
              </w:rPr>
              <w:t>30,0</w:t>
            </w:r>
          </w:p>
        </w:tc>
        <w:tc>
          <w:tcPr>
            <w:tcW w:w="1510" w:type="dxa"/>
            <w:tcBorders>
              <w:bottom w:val="single" w:sz="12" w:space="0" w:color="auto"/>
            </w:tcBorders>
            <w:shd w:val="clear" w:color="auto" w:fill="auto"/>
            <w:vAlign w:val="bottom"/>
          </w:tcPr>
          <w:p w:rsidR="003D0BC0" w:rsidRPr="00FC7199" w:rsidRDefault="003D0BC0" w:rsidP="003D0BC0">
            <w:pPr>
              <w:keepNext/>
              <w:keepLines/>
              <w:tabs>
                <w:tab w:val="left" w:pos="288"/>
                <w:tab w:val="left" w:pos="576"/>
                <w:tab w:val="left" w:pos="864"/>
                <w:tab w:val="left" w:pos="1152"/>
              </w:tabs>
              <w:spacing w:before="40" w:after="80" w:line="210" w:lineRule="exact"/>
              <w:ind w:left="113" w:right="43"/>
              <w:jc w:val="right"/>
              <w:rPr>
                <w:color w:val="000000"/>
                <w:sz w:val="17"/>
              </w:rPr>
            </w:pPr>
            <w:r w:rsidRPr="00FC7199">
              <w:rPr>
                <w:color w:val="000000"/>
                <w:sz w:val="17"/>
              </w:rPr>
              <w:t>70,0</w:t>
            </w:r>
          </w:p>
        </w:tc>
      </w:tr>
    </w:tbl>
    <w:p w:rsidR="003D0BC0" w:rsidRPr="003D0BC0" w:rsidRDefault="003D0BC0" w:rsidP="003D0BC0">
      <w:pPr>
        <w:pStyle w:val="SingleTxt"/>
        <w:spacing w:after="0" w:line="120" w:lineRule="exact"/>
        <w:rPr>
          <w:sz w:val="10"/>
        </w:rPr>
      </w:pPr>
    </w:p>
    <w:p w:rsidR="003D0BC0" w:rsidRPr="003D0BC0" w:rsidRDefault="003D0BC0" w:rsidP="003D0BC0">
      <w:pPr>
        <w:pStyle w:val="SingleTxt"/>
        <w:spacing w:after="0" w:line="120" w:lineRule="exact"/>
        <w:rPr>
          <w:sz w:val="10"/>
        </w:rPr>
      </w:pPr>
    </w:p>
    <w:p w:rsidR="003D0BC0" w:rsidRPr="003D0BC0" w:rsidRDefault="003D0BC0" w:rsidP="003D0BC0">
      <w:pPr>
        <w:pStyle w:val="SingleTxt"/>
        <w:spacing w:after="0" w:line="120" w:lineRule="exact"/>
        <w:rPr>
          <w:sz w:val="10"/>
        </w:rPr>
      </w:pPr>
    </w:p>
    <w:p w:rsidR="003D0BC0" w:rsidRDefault="003D0BC0" w:rsidP="003D0B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rsidRPr="00932D33">
        <w:tab/>
        <w:t xml:space="preserve">Artículo 9: </w:t>
      </w:r>
      <w:r w:rsidR="00406EC1">
        <w:t>N</w:t>
      </w:r>
      <w:r w:rsidRPr="00932D33">
        <w:t>acionalidad y ciudadanía de las mujeres y de sus hijos</w:t>
      </w:r>
    </w:p>
    <w:p w:rsidR="003D0BC0" w:rsidRPr="003D0BC0" w:rsidRDefault="003D0BC0" w:rsidP="003D0BC0">
      <w:pPr>
        <w:pStyle w:val="SingleTxt"/>
        <w:spacing w:after="0" w:line="120" w:lineRule="exact"/>
        <w:rPr>
          <w:sz w:val="10"/>
        </w:rPr>
      </w:pPr>
    </w:p>
    <w:p w:rsidR="003D0BC0" w:rsidRPr="003D0BC0" w:rsidRDefault="003D0BC0" w:rsidP="003D0BC0">
      <w:pPr>
        <w:pStyle w:val="SingleTxt"/>
        <w:spacing w:after="0" w:line="120" w:lineRule="exact"/>
        <w:rPr>
          <w:sz w:val="10"/>
        </w:rPr>
      </w:pPr>
    </w:p>
    <w:p w:rsidR="003D0BC0" w:rsidRDefault="003D0BC0" w:rsidP="003D0BC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Derechos jurídicos de</w:t>
      </w:r>
      <w:r w:rsidRPr="00932D33">
        <w:t xml:space="preserve"> la nacionalidad</w:t>
      </w:r>
    </w:p>
    <w:p w:rsidR="003D0BC0" w:rsidRPr="003D0BC0" w:rsidRDefault="003D0BC0" w:rsidP="003D0BC0">
      <w:pPr>
        <w:pStyle w:val="SingleTxt"/>
        <w:spacing w:after="0" w:line="120" w:lineRule="exact"/>
        <w:rPr>
          <w:sz w:val="10"/>
        </w:rPr>
      </w:pPr>
    </w:p>
    <w:p w:rsidR="003D0BC0" w:rsidRPr="00932D33" w:rsidRDefault="003D0BC0" w:rsidP="003D0BC0">
      <w:pPr>
        <w:pStyle w:val="SingleTxt"/>
        <w:numPr>
          <w:ilvl w:val="0"/>
          <w:numId w:val="11"/>
        </w:numPr>
        <w:tabs>
          <w:tab w:val="clear" w:pos="475"/>
          <w:tab w:val="num" w:pos="1742"/>
        </w:tabs>
        <w:ind w:left="1267"/>
      </w:pPr>
      <w:r>
        <w:t>En la Constitución de las Bahamas se establecen las condiciones que debe cumplir una persona para ser considerada ciudadana, y en el artículo 6 del capítulo II se dispone que todas las personas nacidas en el país después del 9 de julio de 1973 serán ciudadanos bahameños a partir de su nacimiento si para esa fecha alguno de sus progenitores era ciudadano de las Bahamas. En los artículos 8 y 9 dice, respectivamente:</w:t>
      </w:r>
    </w:p>
    <w:p w:rsidR="003D0BC0" w:rsidRDefault="003D0BC0" w:rsidP="003D0BC0">
      <w:pPr>
        <w:pStyle w:val="SingleTxt"/>
        <w:suppressAutoHyphens/>
        <w:ind w:left="1742"/>
      </w:pPr>
      <w:r w:rsidRPr="00932D33">
        <w:t>Artículo 8. Los nacidos fuera de las Bahamas después del 9 de julio de 1973 adquirirán la ciudadanía bahameña en la fecha de su nacimiento si en esa fecha el padre es ciudadano de las Bahamas por otro título que no sea en virtud de este artículo o del artículo 3, párrafo 2</w:t>
      </w:r>
      <w:r>
        <w:t>,</w:t>
      </w:r>
      <w:r w:rsidRPr="00932D33">
        <w:t xml:space="preserve"> de esta Constitución.</w:t>
      </w:r>
    </w:p>
    <w:p w:rsidR="003D0BC0" w:rsidRDefault="003D0BC0" w:rsidP="003D0BC0">
      <w:pPr>
        <w:pStyle w:val="SingleTxt"/>
        <w:ind w:left="1742"/>
      </w:pPr>
      <w:r w:rsidRPr="00932D33">
        <w:t>Artículo 9. 1) Sin perjuicio de cualquier disposición establecida en el artículo 8 de esta Constitución, una persona nacida legítimamente fuera de las Bahamas después del 9 de julio de 1973 cuya madre sea ciudadana de las Bahamas, tendrá derecho, previa presentación de una solicitud al cumplir los 18 años de edad y antes de cumplir los 21 años de edad, del modo que pueda estar prescrito, a inscribirse como ciudadano de las Bahamas, a condición de que, si es ciudadano de otro país que no sean las Bahamas, no tendrá derecho a inscribirse como ciudadano de las Bahamas con arreglo a este artículo a menos que renuncie a su ciudadanía en el otro país y preste el juramento de fidelidad y haga y registre una declaración de sus intenciones relativas a la residencia según esté prescrito.</w:t>
      </w:r>
      <w:r>
        <w:t xml:space="preserve"> </w:t>
      </w:r>
    </w:p>
    <w:p w:rsidR="00CE5D7C" w:rsidRPr="00CE5D7C" w:rsidRDefault="00CE5D7C" w:rsidP="00CE5D7C">
      <w:pPr>
        <w:pStyle w:val="SingleTxt"/>
        <w:spacing w:after="0" w:line="120" w:lineRule="exact"/>
        <w:ind w:left="1742"/>
        <w:rPr>
          <w:sz w:val="10"/>
        </w:rPr>
      </w:pPr>
    </w:p>
    <w:p w:rsidR="003D0BC0" w:rsidRPr="00932D33" w:rsidRDefault="003D0BC0" w:rsidP="003D0B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932D33">
        <w:t>Igualdad en el matrimonio con no nacionales</w:t>
      </w:r>
    </w:p>
    <w:p w:rsidR="003D0BC0" w:rsidRPr="003D0BC0" w:rsidRDefault="003D0BC0" w:rsidP="003D0BC0">
      <w:pPr>
        <w:pStyle w:val="SingleTxt"/>
        <w:spacing w:after="0" w:line="120" w:lineRule="exact"/>
        <w:rPr>
          <w:sz w:val="10"/>
        </w:rPr>
      </w:pPr>
    </w:p>
    <w:p w:rsidR="003D0BC0" w:rsidRPr="00932D33" w:rsidRDefault="003D0BC0" w:rsidP="003D0BC0">
      <w:pPr>
        <w:pStyle w:val="SingleTxt"/>
        <w:numPr>
          <w:ilvl w:val="0"/>
          <w:numId w:val="11"/>
        </w:numPr>
        <w:tabs>
          <w:tab w:val="clear" w:pos="475"/>
          <w:tab w:val="num" w:pos="1742"/>
        </w:tabs>
        <w:ind w:left="1267"/>
      </w:pPr>
      <w:r w:rsidRPr="00932D33">
        <w:t>En este sentido todavía existe desigualdad, como se señaló en la respuesta proporcionada en el artículo 2 del presente informe. Sin embargo, el Gobierno de las Bahamas ha aprobado leyes que mitigan los efectos de la Constitución.</w:t>
      </w:r>
      <w:r>
        <w:t xml:space="preserve"> </w:t>
      </w:r>
    </w:p>
    <w:p w:rsidR="003D0BC0" w:rsidRPr="003D0BC0" w:rsidRDefault="003D0BC0" w:rsidP="003D0BC0">
      <w:pPr>
        <w:pStyle w:val="SingleTxt"/>
        <w:spacing w:after="0" w:line="120" w:lineRule="exact"/>
        <w:rPr>
          <w:sz w:val="10"/>
        </w:rPr>
      </w:pPr>
    </w:p>
    <w:p w:rsidR="003D0BC0" w:rsidRPr="003D0BC0" w:rsidRDefault="003D0BC0" w:rsidP="003D0BC0">
      <w:pPr>
        <w:pStyle w:val="SingleTxt"/>
        <w:spacing w:after="0" w:line="120" w:lineRule="exact"/>
        <w:rPr>
          <w:sz w:val="10"/>
        </w:rPr>
      </w:pPr>
    </w:p>
    <w:p w:rsidR="003D0BC0" w:rsidRPr="00932D33" w:rsidRDefault="003D0BC0" w:rsidP="003D0BC0">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32D33">
        <w:tab/>
      </w:r>
      <w:r w:rsidRPr="00932D33">
        <w:tab/>
        <w:t xml:space="preserve">Artículo 10: </w:t>
      </w:r>
      <w:r w:rsidR="00406EC1">
        <w:t>M</w:t>
      </w:r>
      <w:r w:rsidRPr="00932D33">
        <w:t xml:space="preserve">edidas adoptadas para asegurar la igualdad de acceso de las mujeres a la educación </w:t>
      </w:r>
    </w:p>
    <w:p w:rsidR="003D0BC0" w:rsidRPr="003D0BC0" w:rsidRDefault="003D0BC0" w:rsidP="003D0BC0">
      <w:pPr>
        <w:pStyle w:val="SingleTxt"/>
        <w:spacing w:after="0" w:line="120" w:lineRule="exact"/>
        <w:rPr>
          <w:sz w:val="10"/>
        </w:rPr>
      </w:pPr>
      <w:bookmarkStart w:id="13" w:name="_Hlt307490772"/>
      <w:bookmarkStart w:id="14" w:name="_Hlt307490773"/>
    </w:p>
    <w:p w:rsidR="003D0BC0" w:rsidRPr="003D0BC0" w:rsidRDefault="003D0BC0" w:rsidP="003D0BC0">
      <w:pPr>
        <w:pStyle w:val="SingleTxt"/>
        <w:spacing w:after="0" w:line="120" w:lineRule="exact"/>
        <w:rPr>
          <w:sz w:val="10"/>
        </w:rPr>
      </w:pPr>
    </w:p>
    <w:p w:rsidR="003D0BC0" w:rsidRPr="00932D33" w:rsidRDefault="003D0BC0" w:rsidP="003D0BC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32D33">
        <w:tab/>
      </w:r>
      <w:r w:rsidRPr="00932D33">
        <w:tab/>
        <w:t>Acceso a la educación</w:t>
      </w:r>
    </w:p>
    <w:bookmarkEnd w:id="13"/>
    <w:bookmarkEnd w:id="14"/>
    <w:p w:rsidR="003D0BC0" w:rsidRPr="003D0BC0" w:rsidRDefault="003D0BC0" w:rsidP="003D0BC0">
      <w:pPr>
        <w:pStyle w:val="SingleTxt"/>
        <w:spacing w:after="0" w:line="120" w:lineRule="exact"/>
        <w:rPr>
          <w:sz w:val="10"/>
        </w:rPr>
      </w:pPr>
    </w:p>
    <w:p w:rsidR="003D0BC0" w:rsidRPr="00481E94" w:rsidRDefault="003D0BC0" w:rsidP="003D0BC0">
      <w:pPr>
        <w:pStyle w:val="SingleTxt"/>
        <w:numPr>
          <w:ilvl w:val="0"/>
          <w:numId w:val="11"/>
        </w:numPr>
        <w:tabs>
          <w:tab w:val="clear" w:pos="475"/>
          <w:tab w:val="num" w:pos="1742"/>
        </w:tabs>
        <w:ind w:left="1267"/>
      </w:pPr>
      <w:r w:rsidRPr="00481E94">
        <w:t xml:space="preserve">La Ley de educación (1996) dispone que en las Bahamas todos los niños deben </w:t>
      </w:r>
      <w:r>
        <w:t xml:space="preserve">recibir educación </w:t>
      </w:r>
      <w:r w:rsidRPr="00481E94">
        <w:t xml:space="preserve">de los 5 a los 16 años de edad. La educación terciaria y los estudios postsecundarios se hacen accesibles a hombres y mujeres mediante bolsas de estudio, subsidios, préstamos y becas del Gobierno y la asistencia del sector privado. </w:t>
      </w:r>
    </w:p>
    <w:p w:rsidR="003D0BC0" w:rsidRPr="00481E94" w:rsidRDefault="003D0BC0" w:rsidP="003D0BC0">
      <w:pPr>
        <w:pStyle w:val="SingleTxt"/>
        <w:numPr>
          <w:ilvl w:val="0"/>
          <w:numId w:val="11"/>
        </w:numPr>
        <w:tabs>
          <w:tab w:val="clear" w:pos="475"/>
          <w:tab w:val="num" w:pos="1742"/>
        </w:tabs>
        <w:ind w:left="1267"/>
      </w:pPr>
      <w:r w:rsidRPr="00481E94">
        <w:t xml:space="preserve">Todas las escuelas de las Bahamas son mixtas y las niñas y los niños pueden optar por las mismas materias en la escuela primaria y secundaria y en las instituciones de educación superior. En general, corresponde a </w:t>
      </w:r>
      <w:r>
        <w:t xml:space="preserve">los </w:t>
      </w:r>
      <w:r w:rsidRPr="00481E94">
        <w:t>consejeros de orientación vocacional,</w:t>
      </w:r>
      <w:r>
        <w:t xml:space="preserve"> las</w:t>
      </w:r>
      <w:r w:rsidRPr="00481E94">
        <w:t xml:space="preserve"> exposiciones y ferias profesionales y el plan de estudios escolar darles a conocer estas opciones.</w:t>
      </w:r>
    </w:p>
    <w:p w:rsidR="003D0BC0" w:rsidRPr="00481E94" w:rsidRDefault="003D0BC0" w:rsidP="003D0BC0">
      <w:pPr>
        <w:pStyle w:val="SingleTxt"/>
        <w:numPr>
          <w:ilvl w:val="0"/>
          <w:numId w:val="11"/>
        </w:numPr>
        <w:tabs>
          <w:tab w:val="clear" w:pos="475"/>
          <w:tab w:val="num" w:pos="1742"/>
        </w:tabs>
        <w:ind w:left="1267"/>
      </w:pPr>
      <w:r w:rsidRPr="00481E94">
        <w:t xml:space="preserve">Todos los estudiantes son libres de elegir su programa de estudios siempre y cuando cumplan los requisitos de ingreso. Se ha formulado un </w:t>
      </w:r>
      <w:r>
        <w:t>“</w:t>
      </w:r>
      <w:r w:rsidRPr="00481E94">
        <w:t>programa puente</w:t>
      </w:r>
      <w:r>
        <w:t>”</w:t>
      </w:r>
      <w:r w:rsidRPr="00481E94">
        <w:t xml:space="preserve"> para aquellos que carecen de las competencias y los conocimientos necesarios en las áreas de lenguaje y matemáticas para participar en los cursos. Una vez que completan con éxito el programa puente, estos estudiantes son libres de elegir sus estudios, independientemente de su sexo.</w:t>
      </w:r>
    </w:p>
    <w:p w:rsidR="003D0BC0" w:rsidRPr="00481E94" w:rsidRDefault="003D0BC0" w:rsidP="003D0BC0">
      <w:pPr>
        <w:pStyle w:val="SingleTxt"/>
        <w:numPr>
          <w:ilvl w:val="0"/>
          <w:numId w:val="11"/>
        </w:numPr>
        <w:tabs>
          <w:tab w:val="clear" w:pos="475"/>
          <w:tab w:val="num" w:pos="1742"/>
        </w:tabs>
        <w:ind w:left="1267"/>
      </w:pPr>
      <w:r w:rsidRPr="00481E94">
        <w:t xml:space="preserve">Al finalizarse </w:t>
      </w:r>
      <w:r>
        <w:t xml:space="preserve">el presente </w:t>
      </w:r>
      <w:r w:rsidRPr="00481E94">
        <w:t>documento, no estaban disponibles los porcentajes de mujeres que habían completado la enseñanza primaria, secundaria y universitaria.</w:t>
      </w:r>
      <w:r>
        <w:t xml:space="preserve"> </w:t>
      </w:r>
    </w:p>
    <w:p w:rsidR="003D0BC0" w:rsidRPr="003D0BC0" w:rsidRDefault="003D0BC0" w:rsidP="003D0BC0">
      <w:pPr>
        <w:pStyle w:val="SingleTxt"/>
        <w:spacing w:after="0" w:line="120" w:lineRule="exact"/>
        <w:rPr>
          <w:sz w:val="10"/>
        </w:rPr>
      </w:pPr>
    </w:p>
    <w:p w:rsidR="003D0BC0" w:rsidRPr="00932D33" w:rsidRDefault="00CE5D7C" w:rsidP="003D0B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br w:type="page"/>
      </w:r>
      <w:r w:rsidR="003D0BC0" w:rsidRPr="00932D33">
        <w:tab/>
      </w:r>
      <w:r w:rsidR="003D0BC0" w:rsidRPr="00932D33">
        <w:tab/>
        <w:t>Tasas de alfabetización</w:t>
      </w:r>
    </w:p>
    <w:p w:rsidR="003D0BC0" w:rsidRPr="003D0BC0" w:rsidRDefault="003D0BC0" w:rsidP="003D0BC0">
      <w:pPr>
        <w:pStyle w:val="SingleTxt"/>
        <w:spacing w:after="0" w:line="120" w:lineRule="exact"/>
        <w:rPr>
          <w:sz w:val="10"/>
        </w:rPr>
      </w:pPr>
      <w:bookmarkStart w:id="15" w:name="_Hlt307492599"/>
      <w:bookmarkStart w:id="16" w:name="_Hlt307492600"/>
    </w:p>
    <w:p w:rsidR="003D0BC0" w:rsidRPr="00481E94" w:rsidRDefault="003D0BC0" w:rsidP="003D0BC0">
      <w:pPr>
        <w:pStyle w:val="SingleTxt"/>
        <w:numPr>
          <w:ilvl w:val="0"/>
          <w:numId w:val="11"/>
        </w:numPr>
        <w:tabs>
          <w:tab w:val="clear" w:pos="475"/>
          <w:tab w:val="num" w:pos="1742"/>
        </w:tabs>
        <w:ind w:left="1267"/>
      </w:pPr>
      <w:r w:rsidRPr="00481E94">
        <w:t xml:space="preserve">Lamentablemente, las Bahamas no ha llevado a cabo una encuesta de alfabetización. Sin embargo, otras </w:t>
      </w:r>
      <w:r>
        <w:t>fuentes sí lo hicieron en 2003</w:t>
      </w:r>
      <w:r w:rsidRPr="00481E94">
        <w:t xml:space="preserve">. El grupo objetivo estaba formado por personas de 15 </w:t>
      </w:r>
      <w:r>
        <w:t xml:space="preserve">o más </w:t>
      </w:r>
      <w:r w:rsidRPr="00481E94">
        <w:t>años de edad y se concluyó que el 95% de los bahameños estaba alfabetizado. De este grupo, el 97,7% eran hombres y el 96,5% mujeres.</w:t>
      </w:r>
      <w:r>
        <w:t xml:space="preserve"> </w:t>
      </w:r>
    </w:p>
    <w:bookmarkEnd w:id="15"/>
    <w:bookmarkEnd w:id="16"/>
    <w:p w:rsidR="003D0BC0" w:rsidRPr="00481E94" w:rsidRDefault="003D0BC0" w:rsidP="003D0BC0">
      <w:pPr>
        <w:pStyle w:val="SingleTxt"/>
        <w:numPr>
          <w:ilvl w:val="0"/>
          <w:numId w:val="11"/>
        </w:numPr>
        <w:tabs>
          <w:tab w:val="clear" w:pos="475"/>
          <w:tab w:val="num" w:pos="1742"/>
        </w:tabs>
        <w:ind w:left="1267"/>
      </w:pPr>
      <w:r w:rsidRPr="00481E94">
        <w:t>Las mujeres de las Bahamas continúan haciendo enormes progresos en la mayoría de los ámbitos de la vida. Esto es particularmente cierto en materia de educación desde finales del siglo XX y la primera década de este siglo. Las mujeres representan el 51,7% de los estudiantes matriculados en los cursos de alfabetización</w:t>
      </w:r>
      <w:r>
        <w:t xml:space="preserve"> y educación de adultos</w:t>
      </w:r>
      <w:r w:rsidRPr="00481E94">
        <w:t>. A modo de comparación, hay 105 mujeres y 98 hombres matriculados en programas de alfabetización.</w:t>
      </w:r>
      <w:r>
        <w:t xml:space="preserve"> </w:t>
      </w:r>
    </w:p>
    <w:p w:rsidR="003D0BC0" w:rsidRPr="00481E94" w:rsidRDefault="003D0BC0" w:rsidP="003D0BC0">
      <w:pPr>
        <w:pStyle w:val="SingleTxt"/>
        <w:numPr>
          <w:ilvl w:val="0"/>
          <w:numId w:val="11"/>
        </w:numPr>
        <w:tabs>
          <w:tab w:val="clear" w:pos="475"/>
          <w:tab w:val="num" w:pos="1742"/>
        </w:tabs>
        <w:ind w:left="1267"/>
      </w:pPr>
      <w:r w:rsidRPr="00481E94">
        <w:t xml:space="preserve">Algunas de las dificultades que enfrentan las mujeres para educarse son las siguientes: </w:t>
      </w:r>
    </w:p>
    <w:p w:rsidR="003D0BC0" w:rsidRPr="00481E94" w:rsidRDefault="003D0BC0" w:rsidP="003D0BC0">
      <w:pPr>
        <w:pStyle w:val="SingleTxt"/>
      </w:pPr>
      <w:r>
        <w:tab/>
        <w:t>a)</w:t>
      </w:r>
      <w:r>
        <w:tab/>
      </w:r>
      <w:r w:rsidRPr="00481E94">
        <w:t>Patrones culturales: tradicionalmente, se esperaba que las mujeres se quedaran en su casa y se ocupasen de su familia. Por otra parte, hay mujeres que se encuentran en el extremo opuesto del espectro, en el sentido de que tienen que encontrar un empleo para mantener a su familia. Esto les quita tiempo para m</w:t>
      </w:r>
      <w:r>
        <w:t>ejorar su alfabetización formal;</w:t>
      </w:r>
    </w:p>
    <w:p w:rsidR="003D0BC0" w:rsidRPr="00932D33" w:rsidRDefault="003D0BC0" w:rsidP="003D0BC0">
      <w:pPr>
        <w:pStyle w:val="SingleTxt"/>
      </w:pPr>
      <w:r>
        <w:tab/>
        <w:t>b)</w:t>
      </w:r>
      <w:r>
        <w:tab/>
      </w:r>
      <w:r w:rsidRPr="00932D33">
        <w:t>Discordia marital/de las amistades: algunas mujeres han encontrado oposición de parte de maridos, novios y familiares que intentan disuadirlas de sus deseos de alfabetizarse. Esta falta de apoyo tiene un efecto variable sobre la persona. Cuando la estudiante se inscribe para las clases, por lo general le hace saber del problema al tutor, que comprende los obstáculos y le ofrece to</w:t>
      </w:r>
      <w:r>
        <w:t>do el apoyo emocional necesario;</w:t>
      </w:r>
    </w:p>
    <w:p w:rsidR="003D0BC0" w:rsidRPr="00932D33" w:rsidRDefault="003D0BC0" w:rsidP="003D0BC0">
      <w:pPr>
        <w:pStyle w:val="SingleTxt"/>
        <w:keepNext/>
        <w:keepLines/>
      </w:pPr>
      <w:r>
        <w:tab/>
        <w:t>c)</w:t>
      </w:r>
      <w:r>
        <w:tab/>
      </w:r>
      <w:r w:rsidRPr="00932D33">
        <w:t>Restricciones laborales: algunas personas, especialmente quienes t</w:t>
      </w:r>
      <w:r>
        <w:t>ienen puestos de trabajo en el G</w:t>
      </w:r>
      <w:r w:rsidRPr="00932D33">
        <w:t xml:space="preserve">obierno, tienen la suerte de que se les conceda tiempo libre para asistir a clases en los Servicios Nacionales de Alfabetización. Ello forma parte del programa de liberación </w:t>
      </w:r>
      <w:r>
        <w:t>del trabajo de estos Servicios;</w:t>
      </w:r>
    </w:p>
    <w:p w:rsidR="003D0BC0" w:rsidRPr="00932D33" w:rsidRDefault="003D0BC0" w:rsidP="003D0BC0">
      <w:pPr>
        <w:pStyle w:val="SingleTxt"/>
        <w:keepNext/>
        <w:keepLines/>
      </w:pPr>
      <w:r>
        <w:tab/>
        <w:t>d)</w:t>
      </w:r>
      <w:r>
        <w:tab/>
      </w:r>
      <w:r w:rsidRPr="00932D33">
        <w:t xml:space="preserve"> Problemas de salud: las complicaciones asociadas al embarazo a veces hacen que las mujeres se retiren del programa. Algunas enfermedades autoinmunes también pueden afectar </w:t>
      </w:r>
      <w:r>
        <w:t>la regularidad de la asistencia;</w:t>
      </w:r>
    </w:p>
    <w:p w:rsidR="003D0BC0" w:rsidRPr="00932D33" w:rsidRDefault="003D0BC0" w:rsidP="003D0BC0">
      <w:pPr>
        <w:pStyle w:val="SingleTxt"/>
        <w:keepNext/>
        <w:keepLines/>
      </w:pPr>
      <w:r>
        <w:tab/>
        <w:t>e)</w:t>
      </w:r>
      <w:r>
        <w:tab/>
      </w:r>
      <w:r w:rsidRPr="00932D33">
        <w:t>Baja autoestima: algunas personas se sienten avergonzadas de reconocer ante miembros de su familia que tienen problemas de alfabetización. Ello les impide asumir el compromi</w:t>
      </w:r>
      <w:r>
        <w:t>so de mejorar sus conocimientos;</w:t>
      </w:r>
    </w:p>
    <w:p w:rsidR="003D0BC0" w:rsidRPr="00932D33" w:rsidRDefault="003D0BC0" w:rsidP="003D0BC0">
      <w:pPr>
        <w:pStyle w:val="SingleTxt"/>
        <w:keepNext/>
        <w:keepLines/>
      </w:pPr>
      <w:bookmarkStart w:id="17" w:name="_Hlt307497121"/>
      <w:bookmarkStart w:id="18" w:name="_Hlt307497122"/>
      <w:r>
        <w:tab/>
      </w:r>
      <w:r w:rsidRPr="00932D33">
        <w:t>f</w:t>
      </w:r>
      <w:r>
        <w:t>)</w:t>
      </w:r>
      <w:r>
        <w:tab/>
        <w:t>Accesibilidad de</w:t>
      </w:r>
      <w:r w:rsidRPr="00932D33">
        <w:t xml:space="preserve"> los edificios: las personas con discapacidad física tienen dificultades p</w:t>
      </w:r>
      <w:r>
        <w:t>ara acceder a las instalaciones;</w:t>
      </w:r>
    </w:p>
    <w:bookmarkEnd w:id="17"/>
    <w:bookmarkEnd w:id="18"/>
    <w:p w:rsidR="003D0BC0" w:rsidRPr="00932D33" w:rsidRDefault="003D0BC0" w:rsidP="003D0BC0">
      <w:pPr>
        <w:pStyle w:val="SingleTxt"/>
        <w:keepNext/>
        <w:keepLines/>
      </w:pPr>
      <w:r>
        <w:tab/>
        <w:t>g)</w:t>
      </w:r>
      <w:r>
        <w:tab/>
      </w:r>
      <w:r w:rsidRPr="00932D33">
        <w:t xml:space="preserve">Demografía: las personas interesadas que residan en las islas </w:t>
      </w:r>
      <w:r w:rsidR="009660AF">
        <w:t>de la familia de las Bahamas</w:t>
      </w:r>
      <w:r w:rsidRPr="00932D33">
        <w:t xml:space="preserve"> no pueden participar en este nuevo programa con base en New Providence. Se están realizando esfuerzos para establecer sitios satélite.</w:t>
      </w:r>
    </w:p>
    <w:p w:rsidR="003D0BC0" w:rsidRPr="00481E94" w:rsidRDefault="003D0BC0" w:rsidP="003D0BC0">
      <w:pPr>
        <w:pStyle w:val="SingleTxt"/>
        <w:numPr>
          <w:ilvl w:val="0"/>
          <w:numId w:val="11"/>
        </w:numPr>
        <w:tabs>
          <w:tab w:val="clear" w:pos="475"/>
          <w:tab w:val="num" w:pos="1742"/>
        </w:tabs>
        <w:ind w:left="1267"/>
      </w:pPr>
      <w:r w:rsidRPr="00481E94">
        <w:t xml:space="preserve">Las mujeres migrantes tienen una dinámica única que debe tenerse en cuenta. Quienes estén interesadas en mejorar su grado de alfabetización por lo general tendrán que enfrentar también el problema del idioma. Tal vez el inglés no sea su lengua materna, por lo que el enfoque ideal sería considerar que deben recibir clases de inglés como segunda lengua; la diferencia principal en su caso sería incluir los estudios culturales y centrarse en fomentar el desarrollo de su </w:t>
      </w:r>
      <w:r>
        <w:t>zona</w:t>
      </w:r>
      <w:r w:rsidRPr="00481E94">
        <w:t xml:space="preserve"> de seguridad (aplicando el síndrome de filtro afectivo). Es preciso señalar que esto no es exclusivo de las mujeres, pero es igualmente digno de mención. Con el fin de asistir a clases en los Servicios Nacionales de Alfabetización, </w:t>
      </w:r>
      <w:r>
        <w:t xml:space="preserve">las mujeres </w:t>
      </w:r>
      <w:r w:rsidRPr="00481E94">
        <w:t>deben presentar un permiso del cónyuge, un permiso de trabajo, una tarjeta de residencia o una constancia de ciudadanía de las Bahamas. Es posible que las mujeres migrantes no tengan ninguno de estos documentos, en cuyo caso se le</w:t>
      </w:r>
      <w:r>
        <w:t>s</w:t>
      </w:r>
      <w:r w:rsidRPr="00481E94">
        <w:t xml:space="preserve"> pueden </w:t>
      </w:r>
      <w:r>
        <w:t>de</w:t>
      </w:r>
      <w:r w:rsidRPr="00481E94">
        <w:t>negar las clases que tanto necesitan.</w:t>
      </w:r>
    </w:p>
    <w:p w:rsidR="003D0BC0" w:rsidRPr="003D0BC0" w:rsidRDefault="003D0BC0" w:rsidP="003D0BC0">
      <w:pPr>
        <w:pStyle w:val="SingleTxt"/>
        <w:spacing w:after="0" w:line="120" w:lineRule="exact"/>
        <w:rPr>
          <w:sz w:val="10"/>
        </w:rPr>
      </w:pPr>
      <w:bookmarkStart w:id="19" w:name="_Hlt307499059"/>
      <w:bookmarkStart w:id="20" w:name="_Hlt307499060"/>
      <w:bookmarkStart w:id="21" w:name="_Hlt307838374"/>
      <w:bookmarkStart w:id="22" w:name="_Hlt307838375"/>
    </w:p>
    <w:p w:rsidR="003D0BC0" w:rsidRPr="00932D33" w:rsidRDefault="003D0BC0" w:rsidP="003D0B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32D33">
        <w:tab/>
      </w:r>
      <w:r w:rsidRPr="00932D33">
        <w:tab/>
        <w:t xml:space="preserve">Representación igualitaria de niñas y niños </w:t>
      </w:r>
    </w:p>
    <w:bookmarkEnd w:id="19"/>
    <w:bookmarkEnd w:id="20"/>
    <w:bookmarkEnd w:id="21"/>
    <w:bookmarkEnd w:id="22"/>
    <w:p w:rsidR="003D0BC0" w:rsidRPr="003D0BC0" w:rsidRDefault="003D0BC0" w:rsidP="003D0BC0">
      <w:pPr>
        <w:pStyle w:val="SingleTxt"/>
        <w:spacing w:after="0" w:line="120" w:lineRule="exact"/>
        <w:rPr>
          <w:sz w:val="10"/>
        </w:rPr>
      </w:pPr>
    </w:p>
    <w:p w:rsidR="003D0BC0" w:rsidRPr="00481E94" w:rsidRDefault="003D0BC0" w:rsidP="003D0BC0">
      <w:pPr>
        <w:pStyle w:val="SingleTxt"/>
        <w:numPr>
          <w:ilvl w:val="0"/>
          <w:numId w:val="11"/>
        </w:numPr>
        <w:tabs>
          <w:tab w:val="clear" w:pos="475"/>
          <w:tab w:val="num" w:pos="1742"/>
        </w:tabs>
        <w:ind w:left="1267"/>
      </w:pPr>
      <w:r w:rsidRPr="00481E94">
        <w:t xml:space="preserve">En 2005, el Gobierno de las Bahamas, en colaboración con el Banco Interamericano de Desarrollo, puso en </w:t>
      </w:r>
      <w:r>
        <w:t xml:space="preserve">marcha </w:t>
      </w:r>
      <w:r w:rsidRPr="00481E94">
        <w:t>un programa de apoyo a la transformación de la educación y la capacitación.</w:t>
      </w:r>
      <w:r>
        <w:t xml:space="preserve"> </w:t>
      </w:r>
      <w:r w:rsidRPr="00481E94">
        <w:t xml:space="preserve">Recientemente, el proyecto se </w:t>
      </w:r>
      <w:r>
        <w:t xml:space="preserve">ha reformulado </w:t>
      </w:r>
      <w:r w:rsidRPr="00481E94">
        <w:t>como programa</w:t>
      </w:r>
      <w:r>
        <w:t>s</w:t>
      </w:r>
      <w:r w:rsidRPr="00481E94">
        <w:t xml:space="preserve"> de inversión en los estudiantes y para reformar la educación de manera innovadora (INSPIRE).</w:t>
      </w:r>
      <w:r>
        <w:t xml:space="preserve"> </w:t>
      </w:r>
      <w:r w:rsidRPr="00481E94">
        <w:t>El objetivo es mejorar la acumulación de capital humano mediante la aplicación de iniciativas con las que se espera obtener los siguientes resultados:</w:t>
      </w:r>
    </w:p>
    <w:p w:rsidR="003D0BC0" w:rsidRPr="00481E94" w:rsidRDefault="003D0BC0" w:rsidP="003D0BC0">
      <w:pPr>
        <w:pStyle w:val="SingleTxt"/>
        <w:tabs>
          <w:tab w:val="right" w:pos="1685"/>
        </w:tabs>
        <w:ind w:left="1742" w:hanging="475"/>
      </w:pPr>
      <w:r>
        <w:tab/>
        <w:t>•</w:t>
      </w:r>
      <w:r>
        <w:tab/>
      </w:r>
      <w:r w:rsidRPr="00481E94">
        <w:t>Un sistema pertinente de educación y capacitación para la educación secundaria y los estudios postsecundarios</w:t>
      </w:r>
    </w:p>
    <w:p w:rsidR="003D0BC0" w:rsidRPr="00481E94" w:rsidRDefault="003D0BC0" w:rsidP="003D0BC0">
      <w:pPr>
        <w:pStyle w:val="SingleTxt"/>
        <w:tabs>
          <w:tab w:val="right" w:pos="1685"/>
        </w:tabs>
        <w:ind w:left="1742" w:hanging="475"/>
      </w:pPr>
      <w:r>
        <w:tab/>
        <w:t>•</w:t>
      </w:r>
      <w:r>
        <w:tab/>
      </w:r>
      <w:r w:rsidRPr="00481E94">
        <w:t xml:space="preserve">La transformación y el reposicionamiento del Bahamas Technical and Vocational Institute (BTVI) </w:t>
      </w:r>
    </w:p>
    <w:p w:rsidR="003D0BC0" w:rsidRPr="00481E94" w:rsidRDefault="003D0BC0" w:rsidP="003D0BC0">
      <w:pPr>
        <w:pStyle w:val="SingleTxt"/>
        <w:tabs>
          <w:tab w:val="right" w:pos="1685"/>
        </w:tabs>
        <w:ind w:left="1742" w:hanging="475"/>
      </w:pPr>
      <w:r>
        <w:tab/>
        <w:t>•</w:t>
      </w:r>
      <w:r>
        <w:tab/>
      </w:r>
      <w:r w:rsidRPr="00481E94">
        <w:t>Una mejora de la calidad de la educación inicial y un mejor acceso a ella</w:t>
      </w:r>
    </w:p>
    <w:p w:rsidR="003D0BC0" w:rsidRDefault="003D0BC0" w:rsidP="003D0BC0">
      <w:pPr>
        <w:pStyle w:val="SingleTxt"/>
        <w:tabs>
          <w:tab w:val="right" w:pos="1685"/>
        </w:tabs>
        <w:ind w:left="1742" w:hanging="475"/>
      </w:pPr>
      <w:r>
        <w:tab/>
        <w:t>•</w:t>
      </w:r>
      <w:r>
        <w:tab/>
      </w:r>
      <w:r w:rsidRPr="00481E94">
        <w:t xml:space="preserve">El fortalecimiento de la capacidad de las escuelas para </w:t>
      </w:r>
      <w:r>
        <w:t xml:space="preserve">acoger </w:t>
      </w:r>
      <w:r w:rsidRPr="00481E94">
        <w:t>a niños con necesidades especiales</w:t>
      </w:r>
    </w:p>
    <w:p w:rsidR="003D0BC0" w:rsidRDefault="003D0BC0" w:rsidP="003D0BC0">
      <w:pPr>
        <w:pStyle w:val="SingleTxt"/>
        <w:tabs>
          <w:tab w:val="right" w:pos="1685"/>
        </w:tabs>
        <w:ind w:left="1742" w:hanging="475"/>
      </w:pPr>
      <w:r>
        <w:tab/>
        <w:t>•</w:t>
      </w:r>
      <w:r>
        <w:tab/>
        <w:t>Las asociaciones del sector público y el privado en la educación</w:t>
      </w:r>
    </w:p>
    <w:p w:rsidR="003D0BC0" w:rsidRPr="00481E94" w:rsidRDefault="003D0BC0" w:rsidP="003D0BC0">
      <w:pPr>
        <w:pStyle w:val="SingleTxt"/>
        <w:tabs>
          <w:tab w:val="right" w:pos="1685"/>
        </w:tabs>
        <w:ind w:left="1742" w:hanging="475"/>
      </w:pPr>
      <w:r>
        <w:tab/>
        <w:t>•</w:t>
      </w:r>
      <w:r>
        <w:tab/>
        <w:t xml:space="preserve">El fortalecimiento de la capacidad de gestión del sistema educativo. </w:t>
      </w:r>
    </w:p>
    <w:p w:rsidR="00E07FDD" w:rsidRPr="0027175E" w:rsidRDefault="00E07FDD" w:rsidP="00E07FDD">
      <w:pPr>
        <w:pStyle w:val="SingleTxt"/>
        <w:numPr>
          <w:ilvl w:val="0"/>
          <w:numId w:val="1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27175E">
        <w:t xml:space="preserve">Como se </w:t>
      </w:r>
      <w:r>
        <w:t>ha indicado</w:t>
      </w:r>
      <w:r w:rsidRPr="0027175E">
        <w:t xml:space="preserve"> anteriormente, en particular en los dos primeros puntos, se están haciendo inversiones importantes </w:t>
      </w:r>
      <w:r>
        <w:t xml:space="preserve">para facilitar </w:t>
      </w:r>
      <w:r w:rsidRPr="0027175E">
        <w:t>a los estudiantes el acceso a programas de calidad en la educación técnica y profesional. Estas intervenciones previstas contribuirán a la creación de un entorno integrado en que la educación y la capacitación necesarias para la sociedad de hoy no solo permitan a las personas mejorar su calidad de vida, sino que también permitan a las empresas de las Bahamas seguir siendo competitivas en un mundo en constante cambio.</w:t>
      </w:r>
      <w:r>
        <w:t xml:space="preserve"> </w:t>
      </w:r>
      <w:r w:rsidRPr="0027175E">
        <w:t>Se espera que estos programas surtan los siguientes efectos:</w:t>
      </w:r>
    </w:p>
    <w:p w:rsidR="00E07FDD" w:rsidRPr="0027175E" w:rsidRDefault="00E07FDD" w:rsidP="00E07FDD">
      <w:pPr>
        <w:pStyle w:val="SingleTxt"/>
        <w:tabs>
          <w:tab w:val="right" w:pos="1685"/>
        </w:tabs>
        <w:ind w:left="1742" w:hanging="475"/>
      </w:pPr>
      <w:r>
        <w:tab/>
        <w:t>•</w:t>
      </w:r>
      <w:r>
        <w:tab/>
      </w:r>
      <w:r w:rsidRPr="0027175E">
        <w:t xml:space="preserve">Ampliar el acceso a las oportunidades de capacitación, fundamentalmente en las islas </w:t>
      </w:r>
      <w:r w:rsidR="009660AF">
        <w:t>de la familia de las Bahamas</w:t>
      </w:r>
    </w:p>
    <w:p w:rsidR="00E07FDD" w:rsidRPr="0027175E" w:rsidRDefault="00E07FDD" w:rsidP="00E07FDD">
      <w:pPr>
        <w:pStyle w:val="SingleTxt"/>
        <w:tabs>
          <w:tab w:val="right" w:pos="1685"/>
        </w:tabs>
        <w:ind w:left="1742" w:hanging="475"/>
      </w:pPr>
      <w:r>
        <w:tab/>
        <w:t>•</w:t>
      </w:r>
      <w:r>
        <w:tab/>
      </w:r>
      <w:r w:rsidRPr="0027175E">
        <w:t xml:space="preserve">Mejorar la calidad de la educación secundaria y técnico-profesional </w:t>
      </w:r>
    </w:p>
    <w:p w:rsidR="00E07FDD" w:rsidRPr="0027175E" w:rsidRDefault="00E07FDD" w:rsidP="00E07FDD">
      <w:pPr>
        <w:pStyle w:val="SingleTxt"/>
        <w:tabs>
          <w:tab w:val="right" w:pos="1685"/>
        </w:tabs>
        <w:ind w:left="1742" w:hanging="475"/>
      </w:pPr>
      <w:bookmarkStart w:id="23" w:name="_Hlt307559079"/>
      <w:bookmarkStart w:id="24" w:name="_Hlt307559080"/>
      <w:r>
        <w:tab/>
        <w:t>•</w:t>
      </w:r>
      <w:r>
        <w:tab/>
      </w:r>
      <w:r w:rsidRPr="0027175E">
        <w:t>Proporcionar a todos los estudiantes de la educación secundaria conocimientos informáticos como pa</w:t>
      </w:r>
      <w:r>
        <w:t>rte del plan de estudios básico.</w:t>
      </w:r>
    </w:p>
    <w:bookmarkEnd w:id="23"/>
    <w:bookmarkEnd w:id="24"/>
    <w:p w:rsidR="00E07FDD" w:rsidRPr="0027175E" w:rsidRDefault="00E07FDD" w:rsidP="00E07FDD">
      <w:pPr>
        <w:pStyle w:val="SingleTxt"/>
        <w:numPr>
          <w:ilvl w:val="0"/>
          <w:numId w:val="1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27175E">
        <w:t>Con el fin de alcanzar es</w:t>
      </w:r>
      <w:r>
        <w:t>tos objetivos, entre otros, el p</w:t>
      </w:r>
      <w:r w:rsidRPr="0027175E">
        <w:t>rograma contiene un componente con un enfoque singular para formular y aplicar un marco nacional para la enseñanza y la capacitación técnica y profesional. Este componente contribuirá a la creación de un sistema de enseñanza y capacitación técnica y profesional articulado que se caracterice por una relación permanente con los sectores productivos, en consonancia con las demandas del sector del empleo, y que se adhiera a estándares que permitan a sus egresados participar con éxito en el mercado laboral.</w:t>
      </w:r>
      <w:r>
        <w:t xml:space="preserve"> </w:t>
      </w:r>
      <w:r w:rsidRPr="0027175E">
        <w:t>Las principales líneas de acción incluyen:</w:t>
      </w:r>
    </w:p>
    <w:p w:rsidR="00E07FDD" w:rsidRPr="0027175E" w:rsidRDefault="00E07FDD" w:rsidP="00E07FDD">
      <w:pPr>
        <w:pStyle w:val="SingleTxt"/>
        <w:tabs>
          <w:tab w:val="right" w:pos="1685"/>
        </w:tabs>
        <w:ind w:left="1742" w:hanging="475"/>
      </w:pPr>
      <w:r>
        <w:tab/>
        <w:t>•</w:t>
      </w:r>
      <w:r>
        <w:tab/>
      </w:r>
      <w:r w:rsidRPr="0027175E">
        <w:t xml:space="preserve">El establecimiento de un </w:t>
      </w:r>
      <w:r>
        <w:t>c</w:t>
      </w:r>
      <w:r w:rsidRPr="0027175E">
        <w:t>onsejo de desarrollo de la fuerza de trabajo nacional responsable de supervisar la calidad del sistema de enseñanza técnica y profesional</w:t>
      </w:r>
    </w:p>
    <w:p w:rsidR="00E07FDD" w:rsidRPr="0027175E" w:rsidRDefault="00E07FDD" w:rsidP="00E07FDD">
      <w:pPr>
        <w:pStyle w:val="SingleTxt"/>
        <w:tabs>
          <w:tab w:val="right" w:pos="1685"/>
        </w:tabs>
        <w:ind w:left="1742" w:hanging="475"/>
      </w:pPr>
      <w:bookmarkStart w:id="25" w:name="_Hlt307561066"/>
      <w:bookmarkStart w:id="26" w:name="_Hlt307561067"/>
      <w:r>
        <w:tab/>
        <w:t>•</w:t>
      </w:r>
      <w:r>
        <w:tab/>
      </w:r>
      <w:r w:rsidRPr="0027175E">
        <w:t xml:space="preserve">La creación de un </w:t>
      </w:r>
      <w:r>
        <w:t>m</w:t>
      </w:r>
      <w:r w:rsidRPr="0027175E">
        <w:t>arco nacional de aptitudes profesionales para coordinar la planificación de los recursos humanos y articular la certificación de los conocimientos especializados</w:t>
      </w:r>
    </w:p>
    <w:bookmarkEnd w:id="25"/>
    <w:bookmarkEnd w:id="26"/>
    <w:p w:rsidR="00E07FDD" w:rsidRPr="0027175E" w:rsidRDefault="00E07FDD" w:rsidP="00E07FDD">
      <w:pPr>
        <w:pStyle w:val="SingleTxt"/>
        <w:tabs>
          <w:tab w:val="right" w:pos="1685"/>
        </w:tabs>
        <w:ind w:left="1742" w:hanging="475"/>
      </w:pPr>
      <w:r>
        <w:tab/>
        <w:t>•</w:t>
      </w:r>
      <w:r>
        <w:tab/>
      </w:r>
      <w:r w:rsidRPr="0027175E">
        <w:t>La aplicación de estándares actualizados para la formación académica y</w:t>
      </w:r>
      <w:r>
        <w:t xml:space="preserve"> </w:t>
      </w:r>
      <w:r w:rsidRPr="0027175E">
        <w:t xml:space="preserve">técnico-profesional media superior </w:t>
      </w:r>
    </w:p>
    <w:p w:rsidR="00E07FDD" w:rsidRPr="0027175E" w:rsidRDefault="00E07FDD" w:rsidP="00E07FDD">
      <w:pPr>
        <w:pStyle w:val="SingleTxt"/>
        <w:tabs>
          <w:tab w:val="right" w:pos="1685"/>
        </w:tabs>
        <w:ind w:left="1742" w:hanging="475"/>
      </w:pPr>
      <w:r>
        <w:tab/>
        <w:t>•</w:t>
      </w:r>
      <w:r>
        <w:tab/>
      </w:r>
      <w:r w:rsidRPr="0027175E">
        <w:t>El mejoramiento de la capacidad del BTVI para generar programas modulares de capacitación basados en las competencias que estén orientados al mercado y se ajusten a las normas internacionales</w:t>
      </w:r>
      <w:r>
        <w:t>.</w:t>
      </w:r>
    </w:p>
    <w:p w:rsidR="00E07FDD" w:rsidRPr="0027175E" w:rsidRDefault="00E07FDD" w:rsidP="00E07FDD">
      <w:pPr>
        <w:pStyle w:val="SingleTxt"/>
        <w:spacing w:after="0" w:line="120" w:lineRule="exact"/>
        <w:rPr>
          <w:b/>
          <w:sz w:val="10"/>
        </w:rPr>
      </w:pPr>
    </w:p>
    <w:p w:rsidR="00E07FDD" w:rsidRDefault="00E07FDD" w:rsidP="00E07F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27175E">
        <w:tab/>
        <w:t>Subvenciones y becas</w:t>
      </w:r>
    </w:p>
    <w:p w:rsidR="00E07FDD" w:rsidRPr="0027175E" w:rsidRDefault="00E07FDD" w:rsidP="00E07FDD">
      <w:pPr>
        <w:pStyle w:val="SingleTxt"/>
        <w:spacing w:after="0" w:line="120" w:lineRule="exact"/>
        <w:rPr>
          <w:sz w:val="10"/>
        </w:rPr>
      </w:pPr>
    </w:p>
    <w:p w:rsidR="00E07FDD" w:rsidRPr="0027175E" w:rsidRDefault="00E07FDD" w:rsidP="00E07FDD">
      <w:pPr>
        <w:pStyle w:val="SingleTxt"/>
        <w:numPr>
          <w:ilvl w:val="0"/>
          <w:numId w:val="1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27175E">
        <w:t xml:space="preserve">La sección encargada del control de calidad de la educación terciaria del Ministerio de Educación es responsable de las becas para el College of </w:t>
      </w:r>
      <w:r>
        <w:t>t</w:t>
      </w:r>
      <w:r w:rsidRPr="0027175E">
        <w:t>he Bahamas.</w:t>
      </w:r>
      <w:r>
        <w:t xml:space="preserve"> </w:t>
      </w:r>
      <w:r w:rsidRPr="0027175E">
        <w:t xml:space="preserve">La División de préstamos y becas del Ministerio de Educación es responsable de la administración de las becas y los préstamos a los estudiantes que </w:t>
      </w:r>
      <w:r>
        <w:t>cursan</w:t>
      </w:r>
      <w:r w:rsidRPr="0027175E">
        <w:t xml:space="preserve"> estudios en instituciones terciarias fuera de las Bahamas, así como instituciones terciarias acreditadas en las Bahamas (excluido el College of the Bahamas).</w:t>
      </w:r>
    </w:p>
    <w:p w:rsidR="00E07FDD" w:rsidRPr="0027175E" w:rsidRDefault="00E07FDD" w:rsidP="00E07FDD">
      <w:pPr>
        <w:pStyle w:val="SingleTxt"/>
        <w:numPr>
          <w:ilvl w:val="0"/>
          <w:numId w:val="1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27" w:name="_Hlt307563729"/>
      <w:bookmarkStart w:id="28" w:name="_Hlt307563730"/>
      <w:r w:rsidRPr="0027175E">
        <w:t>La División de control de calidad administra dos becas</w:t>
      </w:r>
      <w:r>
        <w:t>:</w:t>
      </w:r>
      <w:r w:rsidRPr="0027175E">
        <w:t xml:space="preserve"> la NBS (bolsa nacional de estudio) y la TEG (subvención para la formación docente).</w:t>
      </w:r>
      <w:r>
        <w:t xml:space="preserve"> </w:t>
      </w:r>
      <w:r w:rsidRPr="0027175E">
        <w:t xml:space="preserve">La NBS se otorga a ciudadanos bahameños que logran </w:t>
      </w:r>
      <w:r>
        <w:t xml:space="preserve">un mínimo </w:t>
      </w:r>
      <w:r w:rsidRPr="0027175E">
        <w:t xml:space="preserve">de cinco aprobados en el Bahamas General Certificate of Secondary Education (BGCSE) con una nota mínima de </w:t>
      </w:r>
      <w:r>
        <w:t>“</w:t>
      </w:r>
      <w:r w:rsidRPr="0027175E">
        <w:t>C</w:t>
      </w:r>
      <w:r>
        <w:t>”</w:t>
      </w:r>
      <w:r w:rsidRPr="0027175E">
        <w:t>, incluidas matemáticas e inglés.</w:t>
      </w:r>
      <w:r>
        <w:t xml:space="preserve"> </w:t>
      </w:r>
      <w:r w:rsidRPr="0027175E">
        <w:t>La beca se otorga para todas las áreas de estudio excepto educación.</w:t>
      </w:r>
      <w:r>
        <w:t xml:space="preserve"> </w:t>
      </w:r>
    </w:p>
    <w:bookmarkEnd w:id="27"/>
    <w:bookmarkEnd w:id="28"/>
    <w:p w:rsidR="00E07FDD" w:rsidRDefault="00E07FDD" w:rsidP="00E07FDD">
      <w:pPr>
        <w:pStyle w:val="SingleTxt"/>
        <w:numPr>
          <w:ilvl w:val="0"/>
          <w:numId w:val="1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27175E">
        <w:t>La TEG se otorga a personas que quieren realizar una carrera en educación y que cumplen las exigencias académicas de la bolsa nacional de estudio.</w:t>
      </w:r>
      <w:r>
        <w:t xml:space="preserve"> </w:t>
      </w:r>
      <w:r w:rsidRPr="0027175E">
        <w:t>Durante el período 2006-2010, la TEG se otorgó a 463 estudiantes de formación docente.</w:t>
      </w:r>
      <w:r>
        <w:t xml:space="preserve"> De ellos, 414</w:t>
      </w:r>
      <w:r w:rsidRPr="0027175E">
        <w:t xml:space="preserve"> </w:t>
      </w:r>
      <w:r>
        <w:t>(</w:t>
      </w:r>
      <w:r w:rsidRPr="0027175E">
        <w:t>89,42%</w:t>
      </w:r>
      <w:r>
        <w:t>)</w:t>
      </w:r>
      <w:r w:rsidRPr="0027175E">
        <w:t xml:space="preserve"> eran mujeres</w:t>
      </w:r>
      <w:r>
        <w:t xml:space="preserve"> y </w:t>
      </w:r>
      <w:r w:rsidRPr="0027175E">
        <w:t xml:space="preserve">49 </w:t>
      </w:r>
      <w:r>
        <w:t>(</w:t>
      </w:r>
      <w:r w:rsidRPr="0027175E">
        <w:t>10,58%</w:t>
      </w:r>
      <w:r>
        <w:t>)</w:t>
      </w:r>
      <w:r w:rsidRPr="0027175E">
        <w:t xml:space="preserve"> eran hombres.</w:t>
      </w:r>
      <w:r>
        <w:t xml:space="preserve"> </w:t>
      </w:r>
      <w:r w:rsidRPr="0027175E">
        <w:t xml:space="preserve">Los </w:t>
      </w:r>
      <w:r>
        <w:t xml:space="preserve">adjudicatarios </w:t>
      </w:r>
      <w:r w:rsidRPr="0027175E">
        <w:t>de las TEG se seleccionan sobre la base de sus logros académicos.</w:t>
      </w:r>
      <w:r>
        <w:t xml:space="preserve"> </w:t>
      </w:r>
    </w:p>
    <w:p w:rsidR="00E07FDD" w:rsidRDefault="00E07FDD" w:rsidP="00E07FDD">
      <w:pPr>
        <w:pStyle w:val="SingleTxt"/>
        <w:numPr>
          <w:ilvl w:val="0"/>
          <w:numId w:val="1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27175E">
        <w:t>Durante el período 2006-2010, se otorgó un total de 993 becas en el marco de la NBS, de las cuales 679</w:t>
      </w:r>
      <w:r>
        <w:t xml:space="preserve"> (</w:t>
      </w:r>
      <w:r w:rsidRPr="0027175E">
        <w:t>68,38%</w:t>
      </w:r>
      <w:r>
        <w:t>)</w:t>
      </w:r>
      <w:r w:rsidRPr="0027175E">
        <w:t xml:space="preserve"> se concedieron a mujeres </w:t>
      </w:r>
      <w:r>
        <w:t xml:space="preserve">y </w:t>
      </w:r>
      <w:r w:rsidRPr="0027175E">
        <w:t xml:space="preserve">314 </w:t>
      </w:r>
      <w:r>
        <w:t>(</w:t>
      </w:r>
      <w:r w:rsidRPr="0027175E">
        <w:t>31,62%</w:t>
      </w:r>
      <w:r>
        <w:t>)</w:t>
      </w:r>
      <w:r w:rsidRPr="0027175E">
        <w:t xml:space="preserve"> a hombres. Esta beca se basa en los méritos.</w:t>
      </w:r>
    </w:p>
    <w:p w:rsidR="00E07FDD" w:rsidRPr="002F42E5" w:rsidRDefault="00E07FDD" w:rsidP="00E07FDD">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right="1260"/>
        <w:rPr>
          <w:sz w:val="10"/>
        </w:rPr>
      </w:pPr>
    </w:p>
    <w:p w:rsidR="00E07FDD" w:rsidRDefault="00E07FDD" w:rsidP="00E07F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42E5">
        <w:rPr>
          <w:b w:val="0"/>
        </w:rPr>
        <w:t>Cuadro 13</w:t>
      </w:r>
      <w:r>
        <w:br/>
        <w:t>Programa N</w:t>
      </w:r>
      <w:r w:rsidRPr="002F42E5">
        <w:t xml:space="preserve">acional de </w:t>
      </w:r>
      <w:r>
        <w:t>B</w:t>
      </w:r>
      <w:r w:rsidRPr="002F42E5">
        <w:t>ecas</w:t>
      </w:r>
      <w:r>
        <w:t>, 2006-2010</w:t>
      </w:r>
    </w:p>
    <w:p w:rsidR="00E07FDD" w:rsidRPr="002F42E5" w:rsidRDefault="00E07FDD" w:rsidP="00E07FDD">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right="1260"/>
        <w:rPr>
          <w:sz w:val="10"/>
        </w:rPr>
      </w:pPr>
    </w:p>
    <w:p w:rsidR="00E07FDD" w:rsidRPr="002F42E5" w:rsidRDefault="00E07FDD" w:rsidP="00E07FDD">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right="1260"/>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92"/>
        <w:gridCol w:w="1681"/>
        <w:gridCol w:w="1682"/>
        <w:gridCol w:w="1682"/>
        <w:gridCol w:w="1682"/>
      </w:tblGrid>
      <w:tr w:rsidR="00E07FDD" w:rsidRPr="00E96AB5" w:rsidTr="00E07FDD">
        <w:trPr>
          <w:tblHeader/>
        </w:trPr>
        <w:tc>
          <w:tcPr>
            <w:tcW w:w="592" w:type="dxa"/>
            <w:tcBorders>
              <w:top w:val="single" w:sz="4" w:space="0" w:color="auto"/>
              <w:bottom w:val="single" w:sz="12" w:space="0" w:color="auto"/>
            </w:tcBorders>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rPr>
                <w:i/>
                <w:sz w:val="14"/>
              </w:rPr>
            </w:pPr>
            <w:r w:rsidRPr="00E96AB5">
              <w:rPr>
                <w:i/>
                <w:sz w:val="14"/>
              </w:rPr>
              <w:t>Año</w:t>
            </w:r>
          </w:p>
        </w:tc>
        <w:tc>
          <w:tcPr>
            <w:tcW w:w="1681" w:type="dxa"/>
            <w:tcBorders>
              <w:top w:val="single" w:sz="4" w:space="0" w:color="auto"/>
              <w:bottom w:val="single" w:sz="12" w:space="0" w:color="auto"/>
            </w:tcBorders>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58" w:right="43"/>
              <w:rPr>
                <w:i/>
                <w:sz w:val="14"/>
              </w:rPr>
            </w:pPr>
            <w:r w:rsidRPr="00E96AB5">
              <w:rPr>
                <w:i/>
                <w:sz w:val="14"/>
              </w:rPr>
              <w:t>Tipo de concesión</w:t>
            </w:r>
          </w:p>
        </w:tc>
        <w:tc>
          <w:tcPr>
            <w:tcW w:w="1682" w:type="dxa"/>
            <w:tcBorders>
              <w:top w:val="single" w:sz="4" w:space="0" w:color="auto"/>
              <w:bottom w:val="single" w:sz="12" w:space="0" w:color="auto"/>
            </w:tcBorders>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i/>
                <w:sz w:val="14"/>
              </w:rPr>
            </w:pPr>
            <w:r w:rsidRPr="00E96AB5">
              <w:rPr>
                <w:i/>
                <w:sz w:val="14"/>
              </w:rPr>
              <w:t xml:space="preserve"> hombres </w:t>
            </w:r>
          </w:p>
        </w:tc>
        <w:tc>
          <w:tcPr>
            <w:tcW w:w="1682" w:type="dxa"/>
            <w:tcBorders>
              <w:top w:val="single" w:sz="4" w:space="0" w:color="auto"/>
              <w:bottom w:val="single" w:sz="12" w:space="0" w:color="auto"/>
            </w:tcBorders>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i/>
                <w:sz w:val="14"/>
              </w:rPr>
            </w:pPr>
            <w:r w:rsidRPr="00E96AB5">
              <w:rPr>
                <w:i/>
                <w:sz w:val="14"/>
              </w:rPr>
              <w:t>Mujeres</w:t>
            </w:r>
          </w:p>
        </w:tc>
        <w:tc>
          <w:tcPr>
            <w:tcW w:w="1682" w:type="dxa"/>
            <w:tcBorders>
              <w:top w:val="single" w:sz="4" w:space="0" w:color="auto"/>
              <w:bottom w:val="single" w:sz="12" w:space="0" w:color="auto"/>
            </w:tcBorders>
            <w:shd w:val="clear" w:color="auto" w:fill="auto"/>
            <w:vAlign w:val="bottom"/>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i/>
                <w:sz w:val="14"/>
              </w:rPr>
            </w:pPr>
            <w:r w:rsidRPr="00E96AB5">
              <w:rPr>
                <w:i/>
                <w:sz w:val="14"/>
              </w:rPr>
              <w:t>Total</w:t>
            </w:r>
          </w:p>
        </w:tc>
      </w:tr>
      <w:tr w:rsidR="00E07FDD" w:rsidRPr="00E96AB5" w:rsidTr="00E07FDD">
        <w:trPr>
          <w:trHeight w:hRule="exact" w:val="115"/>
          <w:tblHeader/>
        </w:trPr>
        <w:tc>
          <w:tcPr>
            <w:tcW w:w="592" w:type="dxa"/>
            <w:tcBorders>
              <w:top w:val="single" w:sz="12" w:space="0" w:color="auto"/>
            </w:tcBorders>
            <w:shd w:val="clear" w:color="auto" w:fill="auto"/>
            <w:vAlign w:val="bottom"/>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681" w:type="dxa"/>
            <w:tcBorders>
              <w:top w:val="single" w:sz="12" w:space="0" w:color="auto"/>
            </w:tcBorders>
            <w:shd w:val="clear" w:color="auto" w:fill="auto"/>
            <w:vAlign w:val="bottom"/>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43" w:right="43"/>
              <w:jc w:val="left"/>
              <w:rPr>
                <w:sz w:val="17"/>
              </w:rPr>
            </w:pPr>
          </w:p>
        </w:tc>
        <w:tc>
          <w:tcPr>
            <w:tcW w:w="1682" w:type="dxa"/>
            <w:tcBorders>
              <w:top w:val="single" w:sz="12" w:space="0" w:color="auto"/>
            </w:tcBorders>
            <w:shd w:val="clear" w:color="auto" w:fill="auto"/>
            <w:vAlign w:val="bottom"/>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682" w:type="dxa"/>
            <w:tcBorders>
              <w:top w:val="single" w:sz="12" w:space="0" w:color="auto"/>
            </w:tcBorders>
            <w:shd w:val="clear" w:color="auto" w:fill="auto"/>
            <w:vAlign w:val="bottom"/>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682" w:type="dxa"/>
            <w:tcBorders>
              <w:top w:val="single" w:sz="12" w:space="0" w:color="auto"/>
            </w:tcBorders>
            <w:shd w:val="clear" w:color="auto" w:fill="auto"/>
            <w:vAlign w:val="bottom"/>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E07FDD" w:rsidRPr="00E96AB5" w:rsidTr="00E07FDD">
        <w:tc>
          <w:tcPr>
            <w:tcW w:w="592" w:type="dxa"/>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96AB5">
              <w:rPr>
                <w:sz w:val="17"/>
              </w:rPr>
              <w:t>2006</w:t>
            </w:r>
          </w:p>
        </w:tc>
        <w:tc>
          <w:tcPr>
            <w:tcW w:w="1681" w:type="dxa"/>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left"/>
              <w:rPr>
                <w:sz w:val="17"/>
              </w:rPr>
            </w:pPr>
            <w:r w:rsidRPr="00E96AB5">
              <w:rPr>
                <w:sz w:val="17"/>
              </w:rPr>
              <w:t>Por méritos</w:t>
            </w:r>
          </w:p>
        </w:tc>
        <w:tc>
          <w:tcPr>
            <w:tcW w:w="1682" w:type="dxa"/>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96AB5">
              <w:rPr>
                <w:sz w:val="17"/>
              </w:rPr>
              <w:t xml:space="preserve">1 </w:t>
            </w:r>
          </w:p>
        </w:tc>
        <w:tc>
          <w:tcPr>
            <w:tcW w:w="1682" w:type="dxa"/>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96AB5">
              <w:rPr>
                <w:sz w:val="17"/>
              </w:rPr>
              <w:t xml:space="preserve"> 3 </w:t>
            </w:r>
          </w:p>
        </w:tc>
        <w:tc>
          <w:tcPr>
            <w:tcW w:w="1682" w:type="dxa"/>
            <w:shd w:val="clear" w:color="auto" w:fill="auto"/>
            <w:vAlign w:val="bottom"/>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96AB5">
              <w:rPr>
                <w:sz w:val="17"/>
              </w:rPr>
              <w:t xml:space="preserve">4 </w:t>
            </w:r>
          </w:p>
        </w:tc>
      </w:tr>
      <w:tr w:rsidR="00E07FDD" w:rsidRPr="00E96AB5" w:rsidTr="00E07FDD">
        <w:tc>
          <w:tcPr>
            <w:tcW w:w="592" w:type="dxa"/>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1681" w:type="dxa"/>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left"/>
              <w:rPr>
                <w:sz w:val="17"/>
              </w:rPr>
            </w:pPr>
            <w:r w:rsidRPr="00E96AB5">
              <w:rPr>
                <w:sz w:val="17"/>
              </w:rPr>
              <w:t>Académica</w:t>
            </w:r>
          </w:p>
        </w:tc>
        <w:tc>
          <w:tcPr>
            <w:tcW w:w="1682" w:type="dxa"/>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96AB5">
              <w:rPr>
                <w:sz w:val="17"/>
              </w:rPr>
              <w:t xml:space="preserve">3 </w:t>
            </w:r>
          </w:p>
        </w:tc>
        <w:tc>
          <w:tcPr>
            <w:tcW w:w="1682" w:type="dxa"/>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96AB5">
              <w:rPr>
                <w:sz w:val="17"/>
              </w:rPr>
              <w:t xml:space="preserve"> 8 </w:t>
            </w:r>
          </w:p>
        </w:tc>
        <w:tc>
          <w:tcPr>
            <w:tcW w:w="1682" w:type="dxa"/>
            <w:shd w:val="clear" w:color="auto" w:fill="auto"/>
            <w:vAlign w:val="bottom"/>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96AB5">
              <w:rPr>
                <w:sz w:val="17"/>
              </w:rPr>
              <w:t xml:space="preserve">11 </w:t>
            </w:r>
          </w:p>
        </w:tc>
      </w:tr>
      <w:tr w:rsidR="00E07FDD" w:rsidRPr="00E96AB5" w:rsidTr="00E07FDD">
        <w:tc>
          <w:tcPr>
            <w:tcW w:w="592" w:type="dxa"/>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1681" w:type="dxa"/>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left"/>
              <w:rPr>
                <w:sz w:val="17"/>
              </w:rPr>
            </w:pPr>
            <w:r w:rsidRPr="00E96AB5">
              <w:rPr>
                <w:sz w:val="17"/>
              </w:rPr>
              <w:t>Técnica</w:t>
            </w:r>
          </w:p>
        </w:tc>
        <w:tc>
          <w:tcPr>
            <w:tcW w:w="1682" w:type="dxa"/>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96AB5">
              <w:rPr>
                <w:sz w:val="17"/>
              </w:rPr>
              <w:t xml:space="preserve">1 </w:t>
            </w:r>
          </w:p>
        </w:tc>
        <w:tc>
          <w:tcPr>
            <w:tcW w:w="1682" w:type="dxa"/>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96AB5">
              <w:rPr>
                <w:sz w:val="17"/>
              </w:rPr>
              <w:t xml:space="preserve"> 4 </w:t>
            </w:r>
          </w:p>
        </w:tc>
        <w:tc>
          <w:tcPr>
            <w:tcW w:w="1682" w:type="dxa"/>
            <w:shd w:val="clear" w:color="auto" w:fill="auto"/>
            <w:vAlign w:val="bottom"/>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96AB5">
              <w:rPr>
                <w:sz w:val="17"/>
              </w:rPr>
              <w:t xml:space="preserve">5 </w:t>
            </w:r>
          </w:p>
        </w:tc>
      </w:tr>
      <w:tr w:rsidR="00E07FDD" w:rsidRPr="00E96AB5" w:rsidTr="00E07FDD">
        <w:tc>
          <w:tcPr>
            <w:tcW w:w="592" w:type="dxa"/>
            <w:shd w:val="clear" w:color="auto" w:fill="auto"/>
          </w:tcPr>
          <w:p w:rsidR="00E07FDD" w:rsidRPr="00E96AB5" w:rsidRDefault="00E07FDD" w:rsidP="00E07FD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96AB5">
              <w:rPr>
                <w:sz w:val="17"/>
              </w:rPr>
              <w:t>2007</w:t>
            </w:r>
          </w:p>
        </w:tc>
        <w:tc>
          <w:tcPr>
            <w:tcW w:w="1681" w:type="dxa"/>
            <w:shd w:val="clear" w:color="auto" w:fill="auto"/>
          </w:tcPr>
          <w:p w:rsidR="00E07FDD" w:rsidRPr="00E96AB5" w:rsidRDefault="00E07FDD" w:rsidP="00E07FD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left"/>
              <w:rPr>
                <w:sz w:val="17"/>
              </w:rPr>
            </w:pPr>
            <w:r w:rsidRPr="00E96AB5">
              <w:rPr>
                <w:sz w:val="17"/>
              </w:rPr>
              <w:t>Por méritos</w:t>
            </w:r>
          </w:p>
        </w:tc>
        <w:tc>
          <w:tcPr>
            <w:tcW w:w="1682" w:type="dxa"/>
            <w:shd w:val="clear" w:color="auto" w:fill="auto"/>
          </w:tcPr>
          <w:p w:rsidR="00E07FDD" w:rsidRPr="00E96AB5" w:rsidRDefault="00E07FDD" w:rsidP="00E07FD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96AB5">
              <w:rPr>
                <w:sz w:val="17"/>
              </w:rPr>
              <w:t xml:space="preserve">2 </w:t>
            </w:r>
          </w:p>
        </w:tc>
        <w:tc>
          <w:tcPr>
            <w:tcW w:w="1682" w:type="dxa"/>
            <w:shd w:val="clear" w:color="auto" w:fill="auto"/>
          </w:tcPr>
          <w:p w:rsidR="00E07FDD" w:rsidRPr="00E96AB5" w:rsidRDefault="00E07FDD" w:rsidP="00E07FD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96AB5">
              <w:rPr>
                <w:sz w:val="17"/>
              </w:rPr>
              <w:t xml:space="preserve"> 5 </w:t>
            </w:r>
          </w:p>
        </w:tc>
        <w:tc>
          <w:tcPr>
            <w:tcW w:w="1682" w:type="dxa"/>
            <w:shd w:val="clear" w:color="auto" w:fill="auto"/>
            <w:vAlign w:val="bottom"/>
          </w:tcPr>
          <w:p w:rsidR="00E07FDD" w:rsidRPr="00E96AB5" w:rsidRDefault="00E07FDD" w:rsidP="00E07FD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96AB5">
              <w:rPr>
                <w:sz w:val="17"/>
              </w:rPr>
              <w:t xml:space="preserve">7 </w:t>
            </w:r>
          </w:p>
        </w:tc>
      </w:tr>
      <w:tr w:rsidR="00E07FDD" w:rsidRPr="00E96AB5" w:rsidTr="00E07FDD">
        <w:tc>
          <w:tcPr>
            <w:tcW w:w="592" w:type="dxa"/>
            <w:shd w:val="clear" w:color="auto" w:fill="auto"/>
          </w:tcPr>
          <w:p w:rsidR="00E07FDD" w:rsidRPr="00E96AB5" w:rsidRDefault="00E07FDD" w:rsidP="00E07FD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1681" w:type="dxa"/>
            <w:shd w:val="clear" w:color="auto" w:fill="auto"/>
          </w:tcPr>
          <w:p w:rsidR="00E07FDD" w:rsidRPr="00E96AB5" w:rsidRDefault="00E07FDD" w:rsidP="00E07FD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left"/>
              <w:rPr>
                <w:sz w:val="17"/>
              </w:rPr>
            </w:pPr>
            <w:r w:rsidRPr="00E96AB5">
              <w:rPr>
                <w:sz w:val="17"/>
              </w:rPr>
              <w:t>Académica</w:t>
            </w:r>
          </w:p>
        </w:tc>
        <w:tc>
          <w:tcPr>
            <w:tcW w:w="1682" w:type="dxa"/>
            <w:shd w:val="clear" w:color="auto" w:fill="auto"/>
          </w:tcPr>
          <w:p w:rsidR="00E07FDD" w:rsidRPr="00E96AB5" w:rsidRDefault="00E07FDD" w:rsidP="00E07FD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96AB5">
              <w:rPr>
                <w:sz w:val="17"/>
              </w:rPr>
              <w:t xml:space="preserve">3 </w:t>
            </w:r>
          </w:p>
        </w:tc>
        <w:tc>
          <w:tcPr>
            <w:tcW w:w="1682" w:type="dxa"/>
            <w:shd w:val="clear" w:color="auto" w:fill="auto"/>
          </w:tcPr>
          <w:p w:rsidR="00E07FDD" w:rsidRPr="00E96AB5" w:rsidRDefault="00E07FDD" w:rsidP="00E07FD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96AB5">
              <w:rPr>
                <w:sz w:val="17"/>
              </w:rPr>
              <w:t xml:space="preserve">11 </w:t>
            </w:r>
          </w:p>
        </w:tc>
        <w:tc>
          <w:tcPr>
            <w:tcW w:w="1682" w:type="dxa"/>
            <w:shd w:val="clear" w:color="auto" w:fill="auto"/>
            <w:vAlign w:val="bottom"/>
          </w:tcPr>
          <w:p w:rsidR="00E07FDD" w:rsidRPr="00E96AB5" w:rsidRDefault="00E07FDD" w:rsidP="00E07FD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96AB5">
              <w:rPr>
                <w:sz w:val="17"/>
              </w:rPr>
              <w:t xml:space="preserve">14 </w:t>
            </w:r>
          </w:p>
        </w:tc>
      </w:tr>
      <w:tr w:rsidR="00E07FDD" w:rsidRPr="00E96AB5" w:rsidTr="00E07FDD">
        <w:tc>
          <w:tcPr>
            <w:tcW w:w="592" w:type="dxa"/>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1681" w:type="dxa"/>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left"/>
              <w:rPr>
                <w:sz w:val="17"/>
              </w:rPr>
            </w:pPr>
            <w:r w:rsidRPr="00E96AB5">
              <w:rPr>
                <w:sz w:val="17"/>
              </w:rPr>
              <w:t>Técnica</w:t>
            </w:r>
          </w:p>
        </w:tc>
        <w:tc>
          <w:tcPr>
            <w:tcW w:w="1682" w:type="dxa"/>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96AB5">
              <w:rPr>
                <w:sz w:val="17"/>
              </w:rPr>
              <w:t xml:space="preserve">5 </w:t>
            </w:r>
          </w:p>
        </w:tc>
        <w:tc>
          <w:tcPr>
            <w:tcW w:w="1682" w:type="dxa"/>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96AB5">
              <w:rPr>
                <w:sz w:val="17"/>
              </w:rPr>
              <w:t xml:space="preserve"> 8 </w:t>
            </w:r>
          </w:p>
        </w:tc>
        <w:tc>
          <w:tcPr>
            <w:tcW w:w="1682" w:type="dxa"/>
            <w:shd w:val="clear" w:color="auto" w:fill="auto"/>
            <w:vAlign w:val="bottom"/>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96AB5">
              <w:rPr>
                <w:sz w:val="17"/>
              </w:rPr>
              <w:t xml:space="preserve">13 </w:t>
            </w:r>
          </w:p>
        </w:tc>
      </w:tr>
      <w:tr w:rsidR="00E07FDD" w:rsidRPr="00E96AB5" w:rsidTr="00E07FDD">
        <w:tc>
          <w:tcPr>
            <w:tcW w:w="592" w:type="dxa"/>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1681" w:type="dxa"/>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left"/>
              <w:rPr>
                <w:sz w:val="17"/>
              </w:rPr>
            </w:pPr>
            <w:r w:rsidRPr="00E96AB5">
              <w:rPr>
                <w:sz w:val="17"/>
              </w:rPr>
              <w:t>Beca</w:t>
            </w:r>
          </w:p>
        </w:tc>
        <w:tc>
          <w:tcPr>
            <w:tcW w:w="1682" w:type="dxa"/>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96AB5">
              <w:rPr>
                <w:sz w:val="17"/>
              </w:rPr>
              <w:t xml:space="preserve">47 </w:t>
            </w:r>
          </w:p>
        </w:tc>
        <w:tc>
          <w:tcPr>
            <w:tcW w:w="1682" w:type="dxa"/>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96AB5">
              <w:rPr>
                <w:sz w:val="17"/>
              </w:rPr>
              <w:t xml:space="preserve">76 </w:t>
            </w:r>
          </w:p>
        </w:tc>
        <w:tc>
          <w:tcPr>
            <w:tcW w:w="1682" w:type="dxa"/>
            <w:shd w:val="clear" w:color="auto" w:fill="auto"/>
            <w:vAlign w:val="bottom"/>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96AB5">
              <w:rPr>
                <w:sz w:val="17"/>
              </w:rPr>
              <w:t xml:space="preserve">123 </w:t>
            </w:r>
          </w:p>
        </w:tc>
      </w:tr>
      <w:tr w:rsidR="00E07FDD" w:rsidRPr="00E96AB5" w:rsidTr="00E07FDD">
        <w:tc>
          <w:tcPr>
            <w:tcW w:w="592" w:type="dxa"/>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96AB5">
              <w:rPr>
                <w:sz w:val="17"/>
              </w:rPr>
              <w:t>2008</w:t>
            </w:r>
          </w:p>
        </w:tc>
        <w:tc>
          <w:tcPr>
            <w:tcW w:w="1681" w:type="dxa"/>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left"/>
              <w:rPr>
                <w:sz w:val="17"/>
              </w:rPr>
            </w:pPr>
            <w:r w:rsidRPr="00E96AB5">
              <w:rPr>
                <w:sz w:val="17"/>
              </w:rPr>
              <w:t>Por méritos</w:t>
            </w:r>
          </w:p>
        </w:tc>
        <w:tc>
          <w:tcPr>
            <w:tcW w:w="1682" w:type="dxa"/>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96AB5">
              <w:rPr>
                <w:sz w:val="17"/>
              </w:rPr>
              <w:t xml:space="preserve">6 </w:t>
            </w:r>
          </w:p>
        </w:tc>
        <w:tc>
          <w:tcPr>
            <w:tcW w:w="1682" w:type="dxa"/>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96AB5">
              <w:rPr>
                <w:sz w:val="17"/>
              </w:rPr>
              <w:t xml:space="preserve"> 5 </w:t>
            </w:r>
          </w:p>
        </w:tc>
        <w:tc>
          <w:tcPr>
            <w:tcW w:w="1682" w:type="dxa"/>
            <w:shd w:val="clear" w:color="auto" w:fill="auto"/>
            <w:vAlign w:val="bottom"/>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96AB5">
              <w:rPr>
                <w:sz w:val="17"/>
              </w:rPr>
              <w:t xml:space="preserve">11 </w:t>
            </w:r>
          </w:p>
        </w:tc>
      </w:tr>
      <w:tr w:rsidR="00E07FDD" w:rsidRPr="00E96AB5" w:rsidTr="00E07FDD">
        <w:tc>
          <w:tcPr>
            <w:tcW w:w="592" w:type="dxa"/>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1681" w:type="dxa"/>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left"/>
              <w:rPr>
                <w:sz w:val="17"/>
              </w:rPr>
            </w:pPr>
            <w:r w:rsidRPr="00E96AB5">
              <w:rPr>
                <w:sz w:val="17"/>
              </w:rPr>
              <w:t>Académica</w:t>
            </w:r>
          </w:p>
        </w:tc>
        <w:tc>
          <w:tcPr>
            <w:tcW w:w="1682" w:type="dxa"/>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96AB5">
              <w:rPr>
                <w:sz w:val="17"/>
              </w:rPr>
              <w:t xml:space="preserve">6 </w:t>
            </w:r>
          </w:p>
        </w:tc>
        <w:tc>
          <w:tcPr>
            <w:tcW w:w="1682" w:type="dxa"/>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96AB5">
              <w:rPr>
                <w:sz w:val="17"/>
              </w:rPr>
              <w:t xml:space="preserve">10 </w:t>
            </w:r>
          </w:p>
        </w:tc>
        <w:tc>
          <w:tcPr>
            <w:tcW w:w="1682" w:type="dxa"/>
            <w:shd w:val="clear" w:color="auto" w:fill="auto"/>
            <w:vAlign w:val="bottom"/>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96AB5">
              <w:rPr>
                <w:sz w:val="17"/>
              </w:rPr>
              <w:t xml:space="preserve">16 </w:t>
            </w:r>
          </w:p>
        </w:tc>
      </w:tr>
      <w:tr w:rsidR="00E07FDD" w:rsidRPr="00E96AB5" w:rsidTr="00E07FDD">
        <w:tc>
          <w:tcPr>
            <w:tcW w:w="592" w:type="dxa"/>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1681" w:type="dxa"/>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left"/>
              <w:rPr>
                <w:sz w:val="17"/>
              </w:rPr>
            </w:pPr>
            <w:r w:rsidRPr="00E96AB5">
              <w:rPr>
                <w:sz w:val="17"/>
              </w:rPr>
              <w:t>Técnica</w:t>
            </w:r>
          </w:p>
        </w:tc>
        <w:tc>
          <w:tcPr>
            <w:tcW w:w="1682" w:type="dxa"/>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96AB5">
              <w:rPr>
                <w:sz w:val="17"/>
              </w:rPr>
              <w:t xml:space="preserve">13 </w:t>
            </w:r>
          </w:p>
        </w:tc>
        <w:tc>
          <w:tcPr>
            <w:tcW w:w="1682" w:type="dxa"/>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96AB5">
              <w:rPr>
                <w:sz w:val="17"/>
              </w:rPr>
              <w:t xml:space="preserve"> 3 </w:t>
            </w:r>
          </w:p>
        </w:tc>
        <w:tc>
          <w:tcPr>
            <w:tcW w:w="1682" w:type="dxa"/>
            <w:shd w:val="clear" w:color="auto" w:fill="auto"/>
            <w:vAlign w:val="bottom"/>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96AB5">
              <w:rPr>
                <w:sz w:val="17"/>
              </w:rPr>
              <w:t xml:space="preserve">16 </w:t>
            </w:r>
          </w:p>
        </w:tc>
      </w:tr>
      <w:tr w:rsidR="00E07FDD" w:rsidRPr="00E96AB5" w:rsidTr="00E07FDD">
        <w:tc>
          <w:tcPr>
            <w:tcW w:w="592" w:type="dxa"/>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1681" w:type="dxa"/>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left"/>
              <w:rPr>
                <w:sz w:val="17"/>
              </w:rPr>
            </w:pPr>
            <w:r w:rsidRPr="00E96AB5">
              <w:rPr>
                <w:sz w:val="17"/>
              </w:rPr>
              <w:t>Beca</w:t>
            </w:r>
          </w:p>
        </w:tc>
        <w:tc>
          <w:tcPr>
            <w:tcW w:w="1682" w:type="dxa"/>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96AB5">
              <w:rPr>
                <w:sz w:val="17"/>
              </w:rPr>
              <w:t xml:space="preserve">52 </w:t>
            </w:r>
          </w:p>
        </w:tc>
        <w:tc>
          <w:tcPr>
            <w:tcW w:w="1682" w:type="dxa"/>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96AB5">
              <w:rPr>
                <w:sz w:val="17"/>
              </w:rPr>
              <w:t xml:space="preserve">84 </w:t>
            </w:r>
          </w:p>
        </w:tc>
        <w:tc>
          <w:tcPr>
            <w:tcW w:w="1682" w:type="dxa"/>
            <w:shd w:val="clear" w:color="auto" w:fill="auto"/>
            <w:vAlign w:val="bottom"/>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96AB5">
              <w:rPr>
                <w:sz w:val="17"/>
              </w:rPr>
              <w:t xml:space="preserve">136 </w:t>
            </w:r>
          </w:p>
        </w:tc>
      </w:tr>
      <w:tr w:rsidR="00E07FDD" w:rsidRPr="00E96AB5" w:rsidTr="00E07FDD">
        <w:tc>
          <w:tcPr>
            <w:tcW w:w="592" w:type="dxa"/>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96AB5">
              <w:rPr>
                <w:sz w:val="17"/>
              </w:rPr>
              <w:t>2009</w:t>
            </w:r>
          </w:p>
        </w:tc>
        <w:tc>
          <w:tcPr>
            <w:tcW w:w="1681" w:type="dxa"/>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left"/>
              <w:rPr>
                <w:sz w:val="17"/>
              </w:rPr>
            </w:pPr>
            <w:r w:rsidRPr="00E96AB5">
              <w:rPr>
                <w:sz w:val="17"/>
              </w:rPr>
              <w:t>Por méritos</w:t>
            </w:r>
          </w:p>
        </w:tc>
        <w:tc>
          <w:tcPr>
            <w:tcW w:w="1682" w:type="dxa"/>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96AB5">
              <w:rPr>
                <w:sz w:val="17"/>
              </w:rPr>
              <w:t xml:space="preserve">1 </w:t>
            </w:r>
          </w:p>
        </w:tc>
        <w:tc>
          <w:tcPr>
            <w:tcW w:w="1682" w:type="dxa"/>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96AB5">
              <w:rPr>
                <w:sz w:val="17"/>
              </w:rPr>
              <w:t xml:space="preserve"> 3 </w:t>
            </w:r>
          </w:p>
        </w:tc>
        <w:tc>
          <w:tcPr>
            <w:tcW w:w="1682" w:type="dxa"/>
            <w:shd w:val="clear" w:color="auto" w:fill="auto"/>
            <w:vAlign w:val="bottom"/>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96AB5">
              <w:rPr>
                <w:sz w:val="17"/>
              </w:rPr>
              <w:t xml:space="preserve">4 </w:t>
            </w:r>
          </w:p>
        </w:tc>
      </w:tr>
      <w:tr w:rsidR="00E07FDD" w:rsidRPr="00E96AB5" w:rsidTr="00E07FDD">
        <w:tc>
          <w:tcPr>
            <w:tcW w:w="592" w:type="dxa"/>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1681" w:type="dxa"/>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left"/>
              <w:rPr>
                <w:sz w:val="17"/>
              </w:rPr>
            </w:pPr>
            <w:r w:rsidRPr="00E96AB5">
              <w:rPr>
                <w:sz w:val="17"/>
              </w:rPr>
              <w:t>Académica</w:t>
            </w:r>
          </w:p>
        </w:tc>
        <w:tc>
          <w:tcPr>
            <w:tcW w:w="1682" w:type="dxa"/>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96AB5">
              <w:rPr>
                <w:sz w:val="17"/>
              </w:rPr>
              <w:t xml:space="preserve">5 </w:t>
            </w:r>
          </w:p>
        </w:tc>
        <w:tc>
          <w:tcPr>
            <w:tcW w:w="1682" w:type="dxa"/>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96AB5">
              <w:rPr>
                <w:sz w:val="17"/>
              </w:rPr>
              <w:t xml:space="preserve"> 5 </w:t>
            </w:r>
          </w:p>
        </w:tc>
        <w:tc>
          <w:tcPr>
            <w:tcW w:w="1682" w:type="dxa"/>
            <w:shd w:val="clear" w:color="auto" w:fill="auto"/>
            <w:vAlign w:val="bottom"/>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96AB5">
              <w:rPr>
                <w:sz w:val="17"/>
              </w:rPr>
              <w:t xml:space="preserve">10 </w:t>
            </w:r>
          </w:p>
        </w:tc>
      </w:tr>
      <w:tr w:rsidR="00E07FDD" w:rsidRPr="00E96AB5" w:rsidTr="00E07FDD">
        <w:tc>
          <w:tcPr>
            <w:tcW w:w="592" w:type="dxa"/>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1681" w:type="dxa"/>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left"/>
              <w:rPr>
                <w:sz w:val="17"/>
              </w:rPr>
            </w:pPr>
            <w:r w:rsidRPr="00E96AB5">
              <w:rPr>
                <w:sz w:val="17"/>
              </w:rPr>
              <w:t>Técnica</w:t>
            </w:r>
          </w:p>
        </w:tc>
        <w:tc>
          <w:tcPr>
            <w:tcW w:w="1682" w:type="dxa"/>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96AB5">
              <w:rPr>
                <w:sz w:val="17"/>
              </w:rPr>
              <w:t xml:space="preserve">5 </w:t>
            </w:r>
          </w:p>
        </w:tc>
        <w:tc>
          <w:tcPr>
            <w:tcW w:w="1682" w:type="dxa"/>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96AB5">
              <w:rPr>
                <w:sz w:val="17"/>
              </w:rPr>
              <w:t xml:space="preserve"> 5 </w:t>
            </w:r>
          </w:p>
        </w:tc>
        <w:tc>
          <w:tcPr>
            <w:tcW w:w="1682" w:type="dxa"/>
            <w:shd w:val="clear" w:color="auto" w:fill="auto"/>
            <w:vAlign w:val="bottom"/>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96AB5">
              <w:rPr>
                <w:sz w:val="17"/>
              </w:rPr>
              <w:t xml:space="preserve">10 </w:t>
            </w:r>
          </w:p>
        </w:tc>
      </w:tr>
      <w:tr w:rsidR="00E07FDD" w:rsidRPr="00E96AB5" w:rsidTr="00E07FDD">
        <w:tc>
          <w:tcPr>
            <w:tcW w:w="592" w:type="dxa"/>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1681" w:type="dxa"/>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left"/>
              <w:rPr>
                <w:sz w:val="17"/>
              </w:rPr>
            </w:pPr>
            <w:r w:rsidRPr="00E96AB5">
              <w:rPr>
                <w:sz w:val="17"/>
              </w:rPr>
              <w:t>Beca</w:t>
            </w:r>
          </w:p>
        </w:tc>
        <w:tc>
          <w:tcPr>
            <w:tcW w:w="1682" w:type="dxa"/>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96AB5">
              <w:rPr>
                <w:sz w:val="17"/>
              </w:rPr>
              <w:t xml:space="preserve">85 </w:t>
            </w:r>
          </w:p>
        </w:tc>
        <w:tc>
          <w:tcPr>
            <w:tcW w:w="1682" w:type="dxa"/>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96AB5">
              <w:rPr>
                <w:sz w:val="17"/>
              </w:rPr>
              <w:t xml:space="preserve">159 </w:t>
            </w:r>
          </w:p>
        </w:tc>
        <w:tc>
          <w:tcPr>
            <w:tcW w:w="1682" w:type="dxa"/>
            <w:shd w:val="clear" w:color="auto" w:fill="auto"/>
            <w:vAlign w:val="bottom"/>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96AB5">
              <w:rPr>
                <w:sz w:val="17"/>
              </w:rPr>
              <w:t xml:space="preserve">244 </w:t>
            </w:r>
          </w:p>
        </w:tc>
      </w:tr>
      <w:tr w:rsidR="00E07FDD" w:rsidRPr="00E96AB5" w:rsidTr="00E07FDD">
        <w:tc>
          <w:tcPr>
            <w:tcW w:w="592" w:type="dxa"/>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96AB5">
              <w:rPr>
                <w:sz w:val="17"/>
              </w:rPr>
              <w:t>2010</w:t>
            </w:r>
          </w:p>
        </w:tc>
        <w:tc>
          <w:tcPr>
            <w:tcW w:w="1681" w:type="dxa"/>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left"/>
              <w:rPr>
                <w:sz w:val="17"/>
              </w:rPr>
            </w:pPr>
            <w:r w:rsidRPr="00E96AB5">
              <w:rPr>
                <w:sz w:val="17"/>
              </w:rPr>
              <w:t>Por méritos</w:t>
            </w:r>
          </w:p>
        </w:tc>
        <w:tc>
          <w:tcPr>
            <w:tcW w:w="1682" w:type="dxa"/>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96AB5">
              <w:rPr>
                <w:sz w:val="17"/>
              </w:rPr>
              <w:t xml:space="preserve">3 </w:t>
            </w:r>
          </w:p>
        </w:tc>
        <w:tc>
          <w:tcPr>
            <w:tcW w:w="1682" w:type="dxa"/>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96AB5">
              <w:rPr>
                <w:sz w:val="17"/>
              </w:rPr>
              <w:t xml:space="preserve"> 2 </w:t>
            </w:r>
          </w:p>
        </w:tc>
        <w:tc>
          <w:tcPr>
            <w:tcW w:w="1682" w:type="dxa"/>
            <w:shd w:val="clear" w:color="auto" w:fill="auto"/>
            <w:vAlign w:val="bottom"/>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96AB5">
              <w:rPr>
                <w:sz w:val="17"/>
              </w:rPr>
              <w:t xml:space="preserve">5 </w:t>
            </w:r>
          </w:p>
        </w:tc>
      </w:tr>
      <w:tr w:rsidR="00E07FDD" w:rsidRPr="00E96AB5" w:rsidTr="00E07FDD">
        <w:tc>
          <w:tcPr>
            <w:tcW w:w="592" w:type="dxa"/>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1681" w:type="dxa"/>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left"/>
              <w:rPr>
                <w:sz w:val="17"/>
              </w:rPr>
            </w:pPr>
            <w:r w:rsidRPr="00E96AB5">
              <w:rPr>
                <w:sz w:val="17"/>
              </w:rPr>
              <w:t>Académica</w:t>
            </w:r>
          </w:p>
        </w:tc>
        <w:tc>
          <w:tcPr>
            <w:tcW w:w="1682" w:type="dxa"/>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96AB5">
              <w:rPr>
                <w:sz w:val="17"/>
              </w:rPr>
              <w:t xml:space="preserve">4 </w:t>
            </w:r>
          </w:p>
        </w:tc>
        <w:tc>
          <w:tcPr>
            <w:tcW w:w="1682" w:type="dxa"/>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96AB5">
              <w:rPr>
                <w:sz w:val="17"/>
              </w:rPr>
              <w:t xml:space="preserve">10 </w:t>
            </w:r>
          </w:p>
        </w:tc>
        <w:tc>
          <w:tcPr>
            <w:tcW w:w="1682" w:type="dxa"/>
            <w:shd w:val="clear" w:color="auto" w:fill="auto"/>
            <w:vAlign w:val="bottom"/>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96AB5">
              <w:rPr>
                <w:sz w:val="17"/>
              </w:rPr>
              <w:t xml:space="preserve">14 </w:t>
            </w:r>
          </w:p>
        </w:tc>
      </w:tr>
      <w:tr w:rsidR="00E07FDD" w:rsidRPr="00E96AB5" w:rsidTr="00E07FDD">
        <w:tc>
          <w:tcPr>
            <w:tcW w:w="592" w:type="dxa"/>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1681" w:type="dxa"/>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left"/>
              <w:rPr>
                <w:sz w:val="17"/>
              </w:rPr>
            </w:pPr>
            <w:r w:rsidRPr="00E96AB5">
              <w:rPr>
                <w:sz w:val="17"/>
              </w:rPr>
              <w:t>Técnica</w:t>
            </w:r>
          </w:p>
        </w:tc>
        <w:tc>
          <w:tcPr>
            <w:tcW w:w="1682" w:type="dxa"/>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96AB5">
              <w:rPr>
                <w:sz w:val="17"/>
              </w:rPr>
              <w:t xml:space="preserve">11 </w:t>
            </w:r>
          </w:p>
        </w:tc>
        <w:tc>
          <w:tcPr>
            <w:tcW w:w="1682" w:type="dxa"/>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96AB5">
              <w:rPr>
                <w:sz w:val="17"/>
              </w:rPr>
              <w:t xml:space="preserve"> 1 </w:t>
            </w:r>
          </w:p>
        </w:tc>
        <w:tc>
          <w:tcPr>
            <w:tcW w:w="1682" w:type="dxa"/>
            <w:shd w:val="clear" w:color="auto" w:fill="auto"/>
            <w:vAlign w:val="bottom"/>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96AB5">
              <w:rPr>
                <w:sz w:val="17"/>
              </w:rPr>
              <w:t xml:space="preserve">12 </w:t>
            </w:r>
          </w:p>
        </w:tc>
      </w:tr>
      <w:tr w:rsidR="00E07FDD" w:rsidRPr="00E96AB5" w:rsidTr="00E07FDD">
        <w:tc>
          <w:tcPr>
            <w:tcW w:w="592" w:type="dxa"/>
            <w:tcBorders>
              <w:bottom w:val="single" w:sz="12" w:space="0" w:color="auto"/>
            </w:tcBorders>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rPr>
                <w:sz w:val="17"/>
              </w:rPr>
            </w:pPr>
          </w:p>
        </w:tc>
        <w:tc>
          <w:tcPr>
            <w:tcW w:w="1681" w:type="dxa"/>
            <w:tcBorders>
              <w:bottom w:val="single" w:sz="12" w:space="0" w:color="auto"/>
            </w:tcBorders>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43" w:right="43"/>
              <w:jc w:val="left"/>
              <w:rPr>
                <w:sz w:val="17"/>
              </w:rPr>
            </w:pPr>
            <w:r w:rsidRPr="00E96AB5">
              <w:rPr>
                <w:sz w:val="17"/>
              </w:rPr>
              <w:t>Beca</w:t>
            </w:r>
          </w:p>
        </w:tc>
        <w:tc>
          <w:tcPr>
            <w:tcW w:w="1682" w:type="dxa"/>
            <w:tcBorders>
              <w:bottom w:val="single" w:sz="12" w:space="0" w:color="auto"/>
            </w:tcBorders>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sz w:val="17"/>
              </w:rPr>
            </w:pPr>
            <w:r w:rsidRPr="00E96AB5">
              <w:rPr>
                <w:sz w:val="17"/>
              </w:rPr>
              <w:t xml:space="preserve">79 </w:t>
            </w:r>
          </w:p>
        </w:tc>
        <w:tc>
          <w:tcPr>
            <w:tcW w:w="1682" w:type="dxa"/>
            <w:tcBorders>
              <w:bottom w:val="single" w:sz="12" w:space="0" w:color="auto"/>
            </w:tcBorders>
            <w:shd w:val="clear" w:color="auto" w:fill="auto"/>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sz w:val="17"/>
              </w:rPr>
            </w:pPr>
            <w:r w:rsidRPr="00E96AB5">
              <w:rPr>
                <w:sz w:val="17"/>
              </w:rPr>
              <w:t xml:space="preserve">163 </w:t>
            </w:r>
          </w:p>
        </w:tc>
        <w:tc>
          <w:tcPr>
            <w:tcW w:w="1682" w:type="dxa"/>
            <w:tcBorders>
              <w:bottom w:val="single" w:sz="12" w:space="0" w:color="auto"/>
            </w:tcBorders>
            <w:shd w:val="clear" w:color="auto" w:fill="auto"/>
            <w:vAlign w:val="bottom"/>
          </w:tcPr>
          <w:p w:rsidR="00E07FDD" w:rsidRPr="00E96AB5"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sz w:val="17"/>
              </w:rPr>
            </w:pPr>
            <w:r w:rsidRPr="00E96AB5">
              <w:rPr>
                <w:sz w:val="17"/>
              </w:rPr>
              <w:t xml:space="preserve">242 </w:t>
            </w:r>
          </w:p>
        </w:tc>
      </w:tr>
    </w:tbl>
    <w:p w:rsidR="00E07FDD" w:rsidRPr="002F42E5" w:rsidRDefault="00E07FDD" w:rsidP="00E07FDD">
      <w:pPr>
        <w:pStyle w:val="SingleTxt"/>
        <w:suppressAutoHyphens/>
        <w:spacing w:after="0" w:line="120" w:lineRule="exact"/>
        <w:rPr>
          <w:sz w:val="10"/>
        </w:rPr>
      </w:pPr>
    </w:p>
    <w:p w:rsidR="00E07FDD" w:rsidRPr="002F42E5" w:rsidRDefault="00E07FDD" w:rsidP="00E07FDD">
      <w:pPr>
        <w:pStyle w:val="SingleTxt"/>
        <w:suppressAutoHyphens/>
        <w:spacing w:after="0" w:line="120" w:lineRule="exact"/>
        <w:rPr>
          <w:sz w:val="10"/>
        </w:rPr>
      </w:pPr>
    </w:p>
    <w:p w:rsidR="00E07FDD" w:rsidRDefault="00E07FDD" w:rsidP="00E07F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7171C">
        <w:t>Leyes y políticas para mantener a las niñas en las escuelas</w:t>
      </w:r>
    </w:p>
    <w:p w:rsidR="00E07FDD" w:rsidRPr="00F7171C" w:rsidRDefault="00E07FDD" w:rsidP="00E07FDD">
      <w:pPr>
        <w:pStyle w:val="SingleTxt"/>
        <w:spacing w:after="0" w:line="120" w:lineRule="exact"/>
        <w:rPr>
          <w:sz w:val="10"/>
        </w:rPr>
      </w:pPr>
    </w:p>
    <w:p w:rsidR="00E07FDD" w:rsidRPr="00F7171C" w:rsidRDefault="00E07FDD" w:rsidP="00E07FDD">
      <w:pPr>
        <w:pStyle w:val="SingleTxt"/>
        <w:numPr>
          <w:ilvl w:val="0"/>
          <w:numId w:val="16"/>
        </w:numPr>
        <w:tabs>
          <w:tab w:val="clear" w:pos="475"/>
          <w:tab w:val="num" w:pos="1742"/>
        </w:tabs>
        <w:suppressAutoHyphens/>
        <w:ind w:left="1267"/>
      </w:pPr>
      <w:r w:rsidRPr="00F7171C">
        <w:t>La Ley de educación (1996) dispone que la asistencia a la escuela es obligatoria hasta los 16 años de edad. Otras instituciones</w:t>
      </w:r>
      <w:r>
        <w:t>,</w:t>
      </w:r>
      <w:r w:rsidRPr="00F7171C">
        <w:t xml:space="preserve"> como Simpson Penn Centre for Boys, Williemae Pratt Centre for Girls, Providing Access to Continuing Education (PACE) </w:t>
      </w:r>
      <w:r>
        <w:t xml:space="preserve">y </w:t>
      </w:r>
      <w:r w:rsidRPr="00F7171C">
        <w:t>Success Ultimately Reassures Everyone (SURE)</w:t>
      </w:r>
      <w:r>
        <w:t>,</w:t>
      </w:r>
      <w:r w:rsidRPr="00F7171C">
        <w:t xml:space="preserve"> ofrecen instrucción a los estudiantes que tiene</w:t>
      </w:r>
      <w:r>
        <w:t>n</w:t>
      </w:r>
      <w:r w:rsidRPr="00F7171C">
        <w:t xml:space="preserve"> dificultades para adaptarse a la educación convencional. </w:t>
      </w:r>
    </w:p>
    <w:p w:rsidR="00E07FDD" w:rsidRDefault="00E07FDD" w:rsidP="00E07FDD">
      <w:pPr>
        <w:pStyle w:val="SingleTxt"/>
        <w:numPr>
          <w:ilvl w:val="0"/>
          <w:numId w:val="16"/>
        </w:numPr>
        <w:tabs>
          <w:tab w:val="clear" w:pos="475"/>
          <w:tab w:val="num" w:pos="1742"/>
        </w:tabs>
        <w:suppressAutoHyphens/>
        <w:ind w:left="1267"/>
      </w:pPr>
      <w:bookmarkStart w:id="29" w:name="_Hlt307572684"/>
      <w:bookmarkStart w:id="30" w:name="_Hlt307572685"/>
      <w:bookmarkStart w:id="31" w:name="_Hlt307573191"/>
      <w:bookmarkStart w:id="32" w:name="_Hlt307573192"/>
      <w:r w:rsidRPr="00F7171C">
        <w:t xml:space="preserve">El programa PACE </w:t>
      </w:r>
      <w:r>
        <w:t xml:space="preserve">imparte </w:t>
      </w:r>
      <w:r w:rsidRPr="00F7171C">
        <w:t xml:space="preserve">educación a las adolescentes embarazadas, mientras </w:t>
      </w:r>
      <w:r>
        <w:t xml:space="preserve">que </w:t>
      </w:r>
      <w:r w:rsidRPr="00F7171C">
        <w:t xml:space="preserve">SURE </w:t>
      </w:r>
      <w:r>
        <w:t xml:space="preserve">lo hace a </w:t>
      </w:r>
      <w:r w:rsidRPr="00F7171C">
        <w:t xml:space="preserve">los </w:t>
      </w:r>
      <w:r>
        <w:t xml:space="preserve">muchachos </w:t>
      </w:r>
      <w:r w:rsidRPr="00F7171C">
        <w:t xml:space="preserve">con problemas de conducta que no se adaptan al plan de estudios tradicional de las escuelas. </w:t>
      </w:r>
    </w:p>
    <w:p w:rsidR="00E07FDD" w:rsidRPr="00F7171C" w:rsidRDefault="00E07FDD" w:rsidP="00E07FDD">
      <w:pPr>
        <w:pStyle w:val="SingleTxt"/>
        <w:suppressAutoHyphens/>
        <w:spacing w:after="0" w:line="120" w:lineRule="exact"/>
        <w:rPr>
          <w:sz w:val="10"/>
        </w:rPr>
      </w:pPr>
    </w:p>
    <w:bookmarkEnd w:id="29"/>
    <w:bookmarkEnd w:id="30"/>
    <w:bookmarkEnd w:id="31"/>
    <w:bookmarkEnd w:id="32"/>
    <w:p w:rsidR="00E07FDD" w:rsidRDefault="00E07FDD" w:rsidP="00E07F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171C">
        <w:tab/>
      </w:r>
      <w:r w:rsidRPr="00F7171C">
        <w:tab/>
      </w:r>
      <w:r>
        <w:t xml:space="preserve">Profesoras </w:t>
      </w:r>
      <w:r w:rsidRPr="00F7171C">
        <w:t>en la educación primaria y secundaria</w:t>
      </w:r>
    </w:p>
    <w:p w:rsidR="00E07FDD" w:rsidRPr="00F7171C" w:rsidRDefault="00E07FDD" w:rsidP="00E07FDD">
      <w:pPr>
        <w:pStyle w:val="SingleTxt"/>
        <w:spacing w:after="0" w:line="120" w:lineRule="exact"/>
        <w:rPr>
          <w:sz w:val="10"/>
        </w:rPr>
      </w:pPr>
    </w:p>
    <w:p w:rsidR="00E07FDD" w:rsidRDefault="00E07FDD" w:rsidP="00E07FDD">
      <w:pPr>
        <w:pStyle w:val="SingleTxt"/>
        <w:numPr>
          <w:ilvl w:val="0"/>
          <w:numId w:val="16"/>
        </w:numPr>
        <w:tabs>
          <w:tab w:val="clear" w:pos="475"/>
          <w:tab w:val="num" w:pos="1742"/>
        </w:tabs>
        <w:suppressAutoHyphens/>
        <w:ind w:left="1267"/>
      </w:pPr>
      <w:r w:rsidRPr="00F7171C">
        <w:t xml:space="preserve">Hay un total de 5.296 docentes en las Bahamas y 4.149 </w:t>
      </w:r>
      <w:r>
        <w:t xml:space="preserve">de ellas </w:t>
      </w:r>
      <w:r w:rsidRPr="00F7171C">
        <w:t xml:space="preserve">son mujeres. Esta cifra representa el 78,3% de la fuerza de trabajo compuesta por docentes del sexo femenino. El cuadro </w:t>
      </w:r>
      <w:r>
        <w:t xml:space="preserve">y los gráficos </w:t>
      </w:r>
      <w:r w:rsidRPr="00F7171C">
        <w:t>que figura</w:t>
      </w:r>
      <w:r>
        <w:t>n</w:t>
      </w:r>
      <w:r w:rsidRPr="00F7171C">
        <w:t xml:space="preserve"> a continuación muestra</w:t>
      </w:r>
      <w:r>
        <w:t>n</w:t>
      </w:r>
      <w:r w:rsidRPr="00F7171C">
        <w:t xml:space="preserve"> la distribución de las </w:t>
      </w:r>
      <w:r>
        <w:t xml:space="preserve">profesoras </w:t>
      </w:r>
      <w:r w:rsidRPr="00F7171C">
        <w:t>en el sistema.</w:t>
      </w:r>
    </w:p>
    <w:p w:rsidR="00E07FDD" w:rsidRPr="00F7171C" w:rsidRDefault="00E07FDD" w:rsidP="00E07FDD">
      <w:pPr>
        <w:pStyle w:val="SingleTxt"/>
        <w:suppressAutoHyphens/>
        <w:spacing w:after="0" w:line="120" w:lineRule="exact"/>
        <w:rPr>
          <w:sz w:val="10"/>
        </w:rPr>
      </w:pPr>
    </w:p>
    <w:p w:rsidR="00E07FDD" w:rsidRDefault="00E07FDD" w:rsidP="00E07F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35" w:hanging="1267"/>
      </w:pPr>
      <w:r>
        <w:tab/>
      </w:r>
      <w:r w:rsidRPr="00F7171C">
        <w:tab/>
      </w:r>
      <w:r w:rsidRPr="00F7171C">
        <w:rPr>
          <w:b w:val="0"/>
        </w:rPr>
        <w:t>Cuadro 1</w:t>
      </w:r>
      <w:r>
        <w:rPr>
          <w:b w:val="0"/>
        </w:rPr>
        <w:t>4</w:t>
      </w:r>
      <w:r>
        <w:br/>
      </w:r>
      <w:r w:rsidRPr="00F7171C">
        <w:t xml:space="preserve">Porcentaje de </w:t>
      </w:r>
      <w:r>
        <w:t xml:space="preserve">profesoras </w:t>
      </w:r>
      <w:r w:rsidRPr="00F7171C">
        <w:t>en las Bahamas por tipo de institución educativa</w:t>
      </w:r>
    </w:p>
    <w:p w:rsidR="00E07FDD" w:rsidRPr="00F7171C" w:rsidRDefault="00E07FDD" w:rsidP="00E07FDD">
      <w:pPr>
        <w:pStyle w:val="SingleTxt"/>
        <w:spacing w:after="0" w:line="120" w:lineRule="exact"/>
        <w:rPr>
          <w:sz w:val="10"/>
        </w:rPr>
      </w:pPr>
    </w:p>
    <w:p w:rsidR="00E07FDD" w:rsidRPr="00F7171C" w:rsidRDefault="00E07FDD" w:rsidP="00E07FDD">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852"/>
        <w:gridCol w:w="2121"/>
        <w:gridCol w:w="2347"/>
      </w:tblGrid>
      <w:tr w:rsidR="00E07FDD" w:rsidRPr="00E87D7D" w:rsidTr="00E07FDD">
        <w:trPr>
          <w:tblHeader/>
        </w:trPr>
        <w:tc>
          <w:tcPr>
            <w:tcW w:w="2852" w:type="dxa"/>
            <w:tcBorders>
              <w:top w:val="single" w:sz="4" w:space="0" w:color="auto"/>
              <w:bottom w:val="single" w:sz="12" w:space="0" w:color="auto"/>
            </w:tcBorders>
            <w:shd w:val="clear" w:color="auto" w:fill="auto"/>
            <w:vAlign w:val="bottom"/>
          </w:tcPr>
          <w:p w:rsidR="00E07FDD" w:rsidRPr="00E87D7D"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rPr>
                <w:i/>
                <w:sz w:val="14"/>
              </w:rPr>
            </w:pPr>
            <w:r w:rsidRPr="007C61B2">
              <w:rPr>
                <w:i/>
                <w:sz w:val="14"/>
              </w:rPr>
              <w:t>Tipo de institución</w:t>
            </w:r>
          </w:p>
        </w:tc>
        <w:tc>
          <w:tcPr>
            <w:tcW w:w="2121" w:type="dxa"/>
            <w:tcBorders>
              <w:top w:val="single" w:sz="4" w:space="0" w:color="auto"/>
              <w:bottom w:val="single" w:sz="12" w:space="0" w:color="auto"/>
            </w:tcBorders>
            <w:shd w:val="clear" w:color="auto" w:fill="auto"/>
            <w:vAlign w:val="bottom"/>
          </w:tcPr>
          <w:p w:rsidR="00E07FDD" w:rsidRPr="007C61B2"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i/>
                <w:sz w:val="14"/>
              </w:rPr>
            </w:pPr>
            <w:r w:rsidRPr="007C61B2">
              <w:rPr>
                <w:i/>
                <w:sz w:val="14"/>
              </w:rPr>
              <w:t xml:space="preserve">Número total </w:t>
            </w:r>
          </w:p>
        </w:tc>
        <w:tc>
          <w:tcPr>
            <w:tcW w:w="2347" w:type="dxa"/>
            <w:tcBorders>
              <w:top w:val="single" w:sz="4" w:space="0" w:color="auto"/>
              <w:bottom w:val="single" w:sz="12" w:space="0" w:color="auto"/>
            </w:tcBorders>
            <w:shd w:val="clear" w:color="auto" w:fill="auto"/>
            <w:vAlign w:val="bottom"/>
          </w:tcPr>
          <w:p w:rsidR="00E07FDD" w:rsidRPr="007C61B2"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i/>
                <w:sz w:val="14"/>
              </w:rPr>
            </w:pPr>
            <w:r w:rsidRPr="007C61B2">
              <w:rPr>
                <w:i/>
                <w:sz w:val="14"/>
              </w:rPr>
              <w:t>Porcentaje</w:t>
            </w:r>
          </w:p>
        </w:tc>
      </w:tr>
      <w:tr w:rsidR="00E07FDD" w:rsidRPr="00E87D7D" w:rsidTr="00E07FDD">
        <w:trPr>
          <w:trHeight w:hRule="exact" w:val="115"/>
          <w:tblHeader/>
        </w:trPr>
        <w:tc>
          <w:tcPr>
            <w:tcW w:w="2852" w:type="dxa"/>
            <w:tcBorders>
              <w:top w:val="single" w:sz="12" w:space="0" w:color="auto"/>
            </w:tcBorders>
            <w:shd w:val="clear" w:color="auto" w:fill="auto"/>
            <w:vAlign w:val="bottom"/>
          </w:tcPr>
          <w:p w:rsidR="00E07FDD" w:rsidRPr="00E87D7D"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121" w:type="dxa"/>
            <w:tcBorders>
              <w:top w:val="single" w:sz="12" w:space="0" w:color="auto"/>
            </w:tcBorders>
            <w:shd w:val="clear" w:color="auto" w:fill="auto"/>
            <w:vAlign w:val="bottom"/>
          </w:tcPr>
          <w:p w:rsidR="00E07FDD" w:rsidRPr="00E87D7D"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2347" w:type="dxa"/>
            <w:tcBorders>
              <w:top w:val="single" w:sz="12" w:space="0" w:color="auto"/>
            </w:tcBorders>
            <w:shd w:val="clear" w:color="auto" w:fill="auto"/>
            <w:vAlign w:val="bottom"/>
          </w:tcPr>
          <w:p w:rsidR="00E07FDD" w:rsidRPr="00E87D7D"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E07FDD" w:rsidRPr="00E87D7D" w:rsidTr="00E07FDD">
        <w:tc>
          <w:tcPr>
            <w:tcW w:w="2852" w:type="dxa"/>
            <w:shd w:val="clear" w:color="auto" w:fill="auto"/>
          </w:tcPr>
          <w:p w:rsidR="00E07FDD" w:rsidRPr="007C61B2"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C61B2">
              <w:rPr>
                <w:sz w:val="17"/>
              </w:rPr>
              <w:t>Preescolar</w:t>
            </w:r>
          </w:p>
        </w:tc>
        <w:tc>
          <w:tcPr>
            <w:tcW w:w="2121" w:type="dxa"/>
            <w:shd w:val="clear" w:color="auto" w:fill="auto"/>
            <w:vAlign w:val="bottom"/>
          </w:tcPr>
          <w:p w:rsidR="00E07FDD" w:rsidRPr="00E87D7D"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15</w:t>
            </w:r>
          </w:p>
        </w:tc>
        <w:tc>
          <w:tcPr>
            <w:tcW w:w="2347" w:type="dxa"/>
            <w:shd w:val="clear" w:color="auto" w:fill="auto"/>
            <w:vAlign w:val="bottom"/>
          </w:tcPr>
          <w:p w:rsidR="00E07FDD" w:rsidRPr="00E87D7D"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0</w:t>
            </w:r>
            <w:r>
              <w:rPr>
                <w:sz w:val="17"/>
              </w:rPr>
              <w:t>,</w:t>
            </w:r>
            <w:r w:rsidRPr="00E87D7D">
              <w:rPr>
                <w:sz w:val="17"/>
              </w:rPr>
              <w:t>3</w:t>
            </w:r>
          </w:p>
        </w:tc>
      </w:tr>
      <w:tr w:rsidR="00E07FDD" w:rsidRPr="00E87D7D" w:rsidTr="00E07FDD">
        <w:tc>
          <w:tcPr>
            <w:tcW w:w="2852" w:type="dxa"/>
            <w:shd w:val="clear" w:color="auto" w:fill="auto"/>
          </w:tcPr>
          <w:p w:rsidR="00E07FDD" w:rsidRPr="007C61B2"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C61B2">
              <w:rPr>
                <w:sz w:val="17"/>
              </w:rPr>
              <w:t>Primaria</w:t>
            </w:r>
          </w:p>
        </w:tc>
        <w:tc>
          <w:tcPr>
            <w:tcW w:w="2121" w:type="dxa"/>
            <w:shd w:val="clear" w:color="auto" w:fill="auto"/>
            <w:vAlign w:val="bottom"/>
          </w:tcPr>
          <w:p w:rsidR="00E07FDD" w:rsidRPr="00E87D7D"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2 174</w:t>
            </w:r>
          </w:p>
        </w:tc>
        <w:tc>
          <w:tcPr>
            <w:tcW w:w="2347" w:type="dxa"/>
            <w:shd w:val="clear" w:color="auto" w:fill="auto"/>
            <w:vAlign w:val="bottom"/>
          </w:tcPr>
          <w:p w:rsidR="00E07FDD" w:rsidRPr="00E87D7D"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41</w:t>
            </w:r>
            <w:r>
              <w:rPr>
                <w:sz w:val="17"/>
              </w:rPr>
              <w:t>,</w:t>
            </w:r>
            <w:r w:rsidRPr="00E87D7D">
              <w:rPr>
                <w:sz w:val="17"/>
              </w:rPr>
              <w:t>0</w:t>
            </w:r>
          </w:p>
        </w:tc>
      </w:tr>
      <w:tr w:rsidR="00E07FDD" w:rsidRPr="00E87D7D" w:rsidTr="00E07FDD">
        <w:tc>
          <w:tcPr>
            <w:tcW w:w="2852" w:type="dxa"/>
            <w:shd w:val="clear" w:color="auto" w:fill="auto"/>
          </w:tcPr>
          <w:p w:rsidR="00E07FDD" w:rsidRPr="007C61B2"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C61B2">
              <w:rPr>
                <w:sz w:val="17"/>
              </w:rPr>
              <w:t>Media (primer ciclo)</w:t>
            </w:r>
          </w:p>
        </w:tc>
        <w:tc>
          <w:tcPr>
            <w:tcW w:w="2121" w:type="dxa"/>
            <w:shd w:val="clear" w:color="auto" w:fill="auto"/>
            <w:vAlign w:val="bottom"/>
          </w:tcPr>
          <w:p w:rsidR="00E07FDD" w:rsidRPr="00E87D7D"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218</w:t>
            </w:r>
          </w:p>
        </w:tc>
        <w:tc>
          <w:tcPr>
            <w:tcW w:w="2347" w:type="dxa"/>
            <w:shd w:val="clear" w:color="auto" w:fill="auto"/>
            <w:vAlign w:val="bottom"/>
          </w:tcPr>
          <w:p w:rsidR="00E07FDD" w:rsidRPr="00E87D7D"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4</w:t>
            </w:r>
            <w:r>
              <w:rPr>
                <w:sz w:val="17"/>
              </w:rPr>
              <w:t>,</w:t>
            </w:r>
            <w:r w:rsidRPr="00E87D7D">
              <w:rPr>
                <w:sz w:val="17"/>
              </w:rPr>
              <w:t>1</w:t>
            </w:r>
          </w:p>
        </w:tc>
      </w:tr>
      <w:tr w:rsidR="00E07FDD" w:rsidRPr="00E87D7D" w:rsidTr="00E07FDD">
        <w:tc>
          <w:tcPr>
            <w:tcW w:w="2852" w:type="dxa"/>
            <w:shd w:val="clear" w:color="auto" w:fill="auto"/>
          </w:tcPr>
          <w:p w:rsidR="00E07FDD" w:rsidRPr="007C61B2"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C61B2">
              <w:rPr>
                <w:sz w:val="17"/>
              </w:rPr>
              <w:t>Media (segundo ciclo)</w:t>
            </w:r>
          </w:p>
        </w:tc>
        <w:tc>
          <w:tcPr>
            <w:tcW w:w="2121" w:type="dxa"/>
            <w:shd w:val="clear" w:color="auto" w:fill="auto"/>
            <w:vAlign w:val="bottom"/>
          </w:tcPr>
          <w:p w:rsidR="00E07FDD" w:rsidRPr="00E87D7D"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669</w:t>
            </w:r>
          </w:p>
        </w:tc>
        <w:tc>
          <w:tcPr>
            <w:tcW w:w="2347" w:type="dxa"/>
            <w:shd w:val="clear" w:color="auto" w:fill="auto"/>
            <w:vAlign w:val="bottom"/>
          </w:tcPr>
          <w:p w:rsidR="00E07FDD" w:rsidRPr="00E87D7D"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12</w:t>
            </w:r>
            <w:r>
              <w:rPr>
                <w:sz w:val="17"/>
              </w:rPr>
              <w:t>,</w:t>
            </w:r>
            <w:r w:rsidRPr="00E87D7D">
              <w:rPr>
                <w:sz w:val="17"/>
              </w:rPr>
              <w:t>6</w:t>
            </w:r>
          </w:p>
        </w:tc>
      </w:tr>
      <w:tr w:rsidR="00E07FDD" w:rsidRPr="00E87D7D" w:rsidTr="00E07FDD">
        <w:tc>
          <w:tcPr>
            <w:tcW w:w="2852" w:type="dxa"/>
            <w:shd w:val="clear" w:color="auto" w:fill="auto"/>
          </w:tcPr>
          <w:p w:rsidR="00E07FDD" w:rsidRPr="007C61B2"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C61B2">
              <w:rPr>
                <w:sz w:val="17"/>
              </w:rPr>
              <w:t>Secundaria</w:t>
            </w:r>
          </w:p>
        </w:tc>
        <w:tc>
          <w:tcPr>
            <w:tcW w:w="2121" w:type="dxa"/>
            <w:shd w:val="clear" w:color="auto" w:fill="auto"/>
            <w:vAlign w:val="bottom"/>
          </w:tcPr>
          <w:p w:rsidR="00E07FDD" w:rsidRPr="00E87D7D"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982</w:t>
            </w:r>
          </w:p>
        </w:tc>
        <w:tc>
          <w:tcPr>
            <w:tcW w:w="2347" w:type="dxa"/>
            <w:shd w:val="clear" w:color="auto" w:fill="auto"/>
            <w:vAlign w:val="bottom"/>
          </w:tcPr>
          <w:p w:rsidR="00E07FDD" w:rsidRPr="00E87D7D"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18</w:t>
            </w:r>
            <w:r>
              <w:rPr>
                <w:sz w:val="17"/>
              </w:rPr>
              <w:t>,</w:t>
            </w:r>
            <w:r w:rsidRPr="00E87D7D">
              <w:rPr>
                <w:sz w:val="17"/>
              </w:rPr>
              <w:t>5</w:t>
            </w:r>
          </w:p>
        </w:tc>
      </w:tr>
      <w:tr w:rsidR="00E07FDD" w:rsidRPr="00E87D7D" w:rsidTr="00E07FDD">
        <w:tc>
          <w:tcPr>
            <w:tcW w:w="2852" w:type="dxa"/>
            <w:tcBorders>
              <w:bottom w:val="single" w:sz="4" w:space="0" w:color="auto"/>
            </w:tcBorders>
            <w:shd w:val="clear" w:color="auto" w:fill="auto"/>
          </w:tcPr>
          <w:p w:rsidR="00E07FDD" w:rsidRPr="007C61B2"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C61B2">
              <w:rPr>
                <w:sz w:val="17"/>
              </w:rPr>
              <w:t>Escuela especial</w:t>
            </w:r>
          </w:p>
        </w:tc>
        <w:tc>
          <w:tcPr>
            <w:tcW w:w="2121" w:type="dxa"/>
            <w:tcBorders>
              <w:bottom w:val="single" w:sz="4" w:space="0" w:color="auto"/>
            </w:tcBorders>
            <w:shd w:val="clear" w:color="auto" w:fill="auto"/>
            <w:vAlign w:val="bottom"/>
          </w:tcPr>
          <w:p w:rsidR="00E07FDD" w:rsidRPr="00E87D7D"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E87D7D">
              <w:rPr>
                <w:sz w:val="17"/>
              </w:rPr>
              <w:t>91</w:t>
            </w:r>
          </w:p>
        </w:tc>
        <w:tc>
          <w:tcPr>
            <w:tcW w:w="2347" w:type="dxa"/>
            <w:tcBorders>
              <w:bottom w:val="single" w:sz="4" w:space="0" w:color="auto"/>
            </w:tcBorders>
            <w:shd w:val="clear" w:color="auto" w:fill="auto"/>
            <w:vAlign w:val="bottom"/>
          </w:tcPr>
          <w:p w:rsidR="00E07FDD" w:rsidRPr="00E87D7D"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E87D7D">
              <w:rPr>
                <w:sz w:val="17"/>
              </w:rPr>
              <w:t>1</w:t>
            </w:r>
            <w:r>
              <w:rPr>
                <w:sz w:val="17"/>
              </w:rPr>
              <w:t>,</w:t>
            </w:r>
            <w:r w:rsidRPr="00E87D7D">
              <w:rPr>
                <w:sz w:val="17"/>
              </w:rPr>
              <w:t>7</w:t>
            </w:r>
          </w:p>
        </w:tc>
      </w:tr>
      <w:tr w:rsidR="00E07FDD" w:rsidRPr="00E87D7D" w:rsidTr="00E07FDD">
        <w:tc>
          <w:tcPr>
            <w:tcW w:w="2852" w:type="dxa"/>
            <w:tcBorders>
              <w:top w:val="single" w:sz="4" w:space="0" w:color="auto"/>
              <w:bottom w:val="single" w:sz="12" w:space="0" w:color="auto"/>
            </w:tcBorders>
            <w:shd w:val="clear" w:color="auto" w:fill="auto"/>
            <w:vAlign w:val="bottom"/>
          </w:tcPr>
          <w:p w:rsidR="00E07FDD" w:rsidRPr="00E87D7D"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bCs/>
                <w:sz w:val="17"/>
              </w:rPr>
            </w:pPr>
            <w:r>
              <w:rPr>
                <w:b/>
                <w:bCs/>
                <w:sz w:val="17"/>
              </w:rPr>
              <w:tab/>
              <w:t>Total</w:t>
            </w:r>
          </w:p>
        </w:tc>
        <w:tc>
          <w:tcPr>
            <w:tcW w:w="2121" w:type="dxa"/>
            <w:tcBorders>
              <w:top w:val="single" w:sz="4" w:space="0" w:color="auto"/>
              <w:bottom w:val="single" w:sz="12" w:space="0" w:color="auto"/>
            </w:tcBorders>
            <w:shd w:val="clear" w:color="auto" w:fill="auto"/>
            <w:vAlign w:val="bottom"/>
          </w:tcPr>
          <w:p w:rsidR="00E07FDD" w:rsidRPr="00E87D7D"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bCs/>
                <w:sz w:val="17"/>
              </w:rPr>
            </w:pPr>
            <w:r w:rsidRPr="00E87D7D">
              <w:rPr>
                <w:b/>
                <w:bCs/>
                <w:sz w:val="17"/>
              </w:rPr>
              <w:t>4 149</w:t>
            </w:r>
          </w:p>
        </w:tc>
        <w:tc>
          <w:tcPr>
            <w:tcW w:w="2347" w:type="dxa"/>
            <w:tcBorders>
              <w:top w:val="single" w:sz="4" w:space="0" w:color="auto"/>
              <w:bottom w:val="single" w:sz="12" w:space="0" w:color="auto"/>
            </w:tcBorders>
            <w:shd w:val="clear" w:color="auto" w:fill="auto"/>
            <w:vAlign w:val="bottom"/>
          </w:tcPr>
          <w:p w:rsidR="00E07FDD" w:rsidRPr="00E87D7D" w:rsidRDefault="00E07FDD" w:rsidP="00E07F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bCs/>
                <w:sz w:val="17"/>
              </w:rPr>
            </w:pPr>
            <w:r w:rsidRPr="00E87D7D">
              <w:rPr>
                <w:b/>
                <w:bCs/>
                <w:sz w:val="17"/>
              </w:rPr>
              <w:t>78</w:t>
            </w:r>
            <w:r>
              <w:rPr>
                <w:b/>
                <w:bCs/>
                <w:sz w:val="17"/>
              </w:rPr>
              <w:t>,</w:t>
            </w:r>
            <w:r w:rsidRPr="00E87D7D">
              <w:rPr>
                <w:b/>
                <w:bCs/>
                <w:sz w:val="17"/>
              </w:rPr>
              <w:t>2</w:t>
            </w:r>
          </w:p>
        </w:tc>
      </w:tr>
    </w:tbl>
    <w:p w:rsidR="00E07FDD" w:rsidRPr="007C61B2" w:rsidRDefault="00E07FDD" w:rsidP="00E07FDD">
      <w:pPr>
        <w:pStyle w:val="SingleTxt"/>
        <w:spacing w:after="0" w:line="120" w:lineRule="exact"/>
        <w:rPr>
          <w:sz w:val="10"/>
        </w:rPr>
      </w:pPr>
    </w:p>
    <w:p w:rsidR="00E07FDD" w:rsidRDefault="00E07FDD" w:rsidP="00E07FDD">
      <w:pPr>
        <w:pStyle w:val="SingleTxt"/>
        <w:spacing w:after="0" w:line="120" w:lineRule="exact"/>
        <w:rPr>
          <w:sz w:val="10"/>
        </w:rPr>
      </w:pPr>
    </w:p>
    <w:p w:rsidR="00E07FDD" w:rsidRDefault="00E07FDD" w:rsidP="00E07F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162" w:hanging="1267"/>
      </w:pPr>
      <w:r w:rsidRPr="00E07FDD">
        <w:tab/>
      </w:r>
      <w:r w:rsidRPr="00E07FDD">
        <w:tab/>
      </w:r>
      <w:r w:rsidRPr="00AF2B77">
        <w:t xml:space="preserve">Distribución de </w:t>
      </w:r>
      <w:r>
        <w:t xml:space="preserve">profesoras </w:t>
      </w:r>
      <w:r w:rsidRPr="00AF2B77">
        <w:t>en las Bahamas por tipo de institución educativa</w:t>
      </w:r>
    </w:p>
    <w:p w:rsidR="00E07FDD" w:rsidRPr="00AF2B77" w:rsidRDefault="00E07FDD" w:rsidP="00E07FDD">
      <w:pPr>
        <w:pStyle w:val="SingleTxt"/>
        <w:spacing w:after="0" w:line="120" w:lineRule="exact"/>
        <w:rPr>
          <w:sz w:val="10"/>
        </w:rPr>
      </w:pPr>
    </w:p>
    <w:p w:rsidR="00E07FDD" w:rsidRPr="00AF2B77" w:rsidRDefault="00E07FDD" w:rsidP="00E07F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AF2B77">
        <w:tab/>
      </w:r>
      <w:r w:rsidRPr="00AF2B77">
        <w:tab/>
      </w:r>
      <w:r w:rsidRPr="00AF2B77">
        <w:rPr>
          <w:b w:val="0"/>
        </w:rPr>
        <w:t>Gráfico de barras 1</w:t>
      </w:r>
    </w:p>
    <w:p w:rsidR="00E07FDD" w:rsidRPr="00AF2B77" w:rsidRDefault="00E07FDD" w:rsidP="00E07FDD">
      <w:pPr>
        <w:pStyle w:val="SingleTxt"/>
        <w:spacing w:after="0" w:line="120" w:lineRule="exact"/>
        <w:rPr>
          <w:bCs/>
          <w:sz w:val="10"/>
        </w:rPr>
      </w:pPr>
    </w:p>
    <w:p w:rsidR="00E07FDD" w:rsidRPr="00E87D7D" w:rsidRDefault="00E07FDD" w:rsidP="00E07FDD">
      <w:pPr>
        <w:pStyle w:val="SingleTxt"/>
      </w:pPr>
      <w:r>
        <w:rPr>
          <w:noProof/>
          <w:w w:val="100"/>
          <w:lang w:val="en-US"/>
        </w:rPr>
        <w:pict>
          <v:group id="_x0000_s1026" editas="canvas" style="position:absolute;left:0;text-align:left;margin-left:59.85pt;margin-top:-.6pt;width:354.5pt;height:191.7pt;z-index:1" coordorigin="2392,2450" coordsize="7090,3834">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2392;top:2450;width:7090;height:3834" o:preferrelative="f">
              <v:fill o:detectmouseclick="t"/>
              <v:path o:extrusionok="t" o:connecttype="none"/>
              <o:lock v:ext="edit" text="t"/>
            </v:shape>
            <v:roundrect id="_x0000_s1028" style="position:absolute;left:2467;top:2544;width:6958;height:3397" arcsize="2549f" fillcolor="black" stroked="f"/>
            <v:rect id="_x0000_s1029" style="position:absolute;left:2449;top:2526;width:6939;height:320" fillcolor="#ccf" stroked="f"/>
            <v:rect id="_x0000_s1030" style="position:absolute;left:2449;top:2846;width:6939;height:265" fillcolor="#caccff" stroked="f"/>
            <v:rect id="_x0000_s1031" style="position:absolute;left:2449;top:3111;width:6939;height:207" fillcolor="#c8ccff" stroked="f"/>
            <v:rect id="_x0000_s1032" style="position:absolute;left:2449;top:3318;width:6939;height:132" fillcolor="#c6ccff" stroked="f"/>
            <v:rect id="_x0000_s1033" style="position:absolute;left:2449;top:3450;width:6939;height:113" fillcolor="#c4ccff" stroked="f"/>
            <v:rect id="_x0000_s1034" style="position:absolute;left:2449;top:3563;width:6939;height:114" fillcolor="#c2ccff" stroked="f"/>
            <v:rect id="_x0000_s1035" style="position:absolute;left:2449;top:3677;width:6939;height:113" fillcolor="#c0ccff" stroked="f"/>
            <v:rect id="_x0000_s1036" style="position:absolute;left:2449;top:3790;width:6939;height:75" fillcolor="#beccff" stroked="f"/>
            <v:rect id="_x0000_s1037" style="position:absolute;left:2449;top:3865;width:6939;height:95" fillcolor="#bcccff" stroked="f"/>
            <v:rect id="_x0000_s1038" style="position:absolute;left:2449;top:3960;width:6939;height:94" fillcolor="#baccff" stroked="f"/>
            <v:rect id="_x0000_s1039" style="position:absolute;left:2449;top:4054;width:6939;height:76" fillcolor="#b8ccff" stroked="f"/>
            <v:rect id="_x0000_s1040" style="position:absolute;left:2449;top:4130;width:6939;height:94" fillcolor="#b6ccff" stroked="f"/>
            <v:rect id="_x0000_s1041" style="position:absolute;left:2449;top:4224;width:6939;height:57" fillcolor="#b4ccff" stroked="f"/>
            <v:rect id="_x0000_s1042" style="position:absolute;left:2449;top:4281;width:6939;height:94" fillcolor="#b2ccff" stroked="f"/>
            <v:rect id="_x0000_s1043" style="position:absolute;left:2449;top:4375;width:6939;height:75" fillcolor="#b0ccff" stroked="f"/>
            <v:rect id="_x0000_s1044" style="position:absolute;left:2449;top:4450;width:6939;height:95" fillcolor="#aeccff" stroked="f"/>
            <v:rect id="_x0000_s1045" style="position:absolute;left:2449;top:4545;width:6939;height:75" fillcolor="#acccff" stroked="f"/>
            <v:rect id="_x0000_s1046" style="position:absolute;left:2449;top:4620;width:6939;height:76" fillcolor="#acf" stroked="f"/>
            <v:rect id="_x0000_s1047" style="position:absolute;left:2449;top:4696;width:6939;height:94" fillcolor="#a8ccff" stroked="f"/>
            <v:rect id="_x0000_s1048" style="position:absolute;left:2449;top:4790;width:6939;height:113" fillcolor="#a6ccff" stroked="f"/>
            <v:rect id="_x0000_s1049" style="position:absolute;left:2449;top:4903;width:6939;height:95" fillcolor="#a4ccff" stroked="f"/>
            <v:rect id="_x0000_s1050" style="position:absolute;left:2449;top:4998;width:6939;height:113" fillcolor="#a2ccff" stroked="f"/>
            <v:rect id="_x0000_s1051" style="position:absolute;left:2449;top:5111;width:6939;height:132" fillcolor="#a0ccff" stroked="f"/>
            <v:rect id="_x0000_s1052" style="position:absolute;left:2449;top:5243;width:6939;height:151" fillcolor="#9eccff" stroked="f"/>
            <v:rect id="_x0000_s1053" style="position:absolute;left:2449;top:5394;width:6939;height:245" fillcolor="#9cccff" stroked="f"/>
            <v:rect id="_x0000_s1054" style="position:absolute;left:2449;top:5639;width:6939;height:264" fillcolor="#9cf" stroked="f"/>
            <v:shape id="_x0000_s1055" style="position:absolute;left:2449;top:2526;width:6939;height:3359" coordsize="6939,3359" path="m6807,r19,l6863,r19,18l6901,37r19,19l6920,75r19,19l6939,132r,3113l6939,3264r-19,19l6920,3302r-19,19l6882,3340r-19,19l6826,3359r-19,l132,3359r-38,l75,3359,56,3340,37,3321,18,3302,,3283r,-19l,3245,,132,,94,,75,18,56,37,37,56,18,75,,94,r38,l6807,e" filled="f" strokeweight=".95pt">
              <v:path arrowok="t"/>
            </v:shape>
            <v:rect id="_x0000_s1056" style="position:absolute;left:2977;top:2771;width:6316;height:264" fillcolor="#ccf" stroked="f"/>
            <v:rect id="_x0000_s1057" style="position:absolute;left:2977;top:3035;width:6316;height:208" fillcolor="#caccff" stroked="f"/>
            <v:rect id="_x0000_s1058" style="position:absolute;left:2977;top:3243;width:6316;height:132" fillcolor="#c8ccff" stroked="f"/>
            <v:rect id="_x0000_s1059" style="position:absolute;left:2977;top:3375;width:6316;height:113" fillcolor="#c6ccff" stroked="f"/>
            <v:rect id="_x0000_s1060" style="position:absolute;left:2977;top:3488;width:6316;height:94" fillcolor="#c4ccff" stroked="f"/>
            <v:rect id="_x0000_s1061" style="position:absolute;left:2977;top:3582;width:6316;height:95" fillcolor="#c2ccff" stroked="f"/>
            <v:rect id="_x0000_s1062" style="position:absolute;left:2977;top:3677;width:6316;height:75" fillcolor="#c0ccff" stroked="f"/>
            <v:rect id="_x0000_s1063" style="position:absolute;left:2977;top:3752;width:6316;height:76" fillcolor="#beccff" stroked="f"/>
            <v:rect id="_x0000_s1064" style="position:absolute;left:2977;top:3828;width:6316;height:75" fillcolor="#bcccff" stroked="f"/>
            <v:rect id="_x0000_s1065" style="position:absolute;left:2977;top:3903;width:6316;height:57" fillcolor="#baccff" stroked="f"/>
            <v:rect id="_x0000_s1066" style="position:absolute;left:2977;top:3960;width:6316;height:75" fillcolor="#b8ccff" stroked="f"/>
            <v:rect id="_x0000_s1067" style="position:absolute;left:2977;top:4035;width:6316;height:57" fillcolor="#b6ccff" stroked="f"/>
            <v:rect id="_x0000_s1068" style="position:absolute;left:2977;top:4092;width:6316;height:56" fillcolor="#b4ccff" stroked="f"/>
            <v:rect id="_x0000_s1069" style="position:absolute;left:2977;top:4148;width:6316;height:76" fillcolor="#b2ccff" stroked="f"/>
            <v:rect id="_x0000_s1070" style="position:absolute;left:2977;top:4224;width:6316;height:57" fillcolor="#b0ccff" stroked="f"/>
            <v:rect id="_x0000_s1071" style="position:absolute;left:2977;top:4281;width:6316;height:75" fillcolor="#aeccff" stroked="f"/>
            <v:rect id="_x0000_s1072" style="position:absolute;left:2977;top:4356;width:6316;height:57" fillcolor="#acccff" stroked="f"/>
            <v:rect id="_x0000_s1073" style="position:absolute;left:2977;top:4413;width:6316;height:56" fillcolor="#acf" stroked="f"/>
            <v:rect id="_x0000_s1074" style="position:absolute;left:2977;top:4469;width:6316;height:76" fillcolor="#a8ccff" stroked="f"/>
            <v:rect id="_x0000_s1075" style="position:absolute;left:2977;top:4545;width:6316;height:94" fillcolor="#a6ccff" stroked="f"/>
            <v:rect id="_x0000_s1076" style="position:absolute;left:2977;top:4639;width:6316;height:57" fillcolor="#a4ccff" stroked="f"/>
            <v:rect id="_x0000_s1077" style="position:absolute;left:2977;top:4696;width:6316;height:94" fillcolor="#a2ccff" stroked="f"/>
            <v:rect id="_x0000_s1078" style="position:absolute;left:2977;top:4790;width:6316;height:113" fillcolor="#a0ccff" stroked="f"/>
            <v:rect id="_x0000_s1079" style="position:absolute;left:2977;top:4903;width:6316;height:113" fillcolor="#9eccff" stroked="f"/>
            <v:rect id="_x0000_s1080" style="position:absolute;left:2977;top:5016;width:6316;height:189" fillcolor="#9cccff" stroked="f"/>
            <v:rect id="_x0000_s1081" style="position:absolute;left:2977;top:5205;width:6316;height:208" fillcolor="#9cf" stroked="f"/>
            <v:rect id="_x0000_s1082" style="position:absolute;left:2977;top:2771;width:6316;height:2642" filled="f" stroked="f"/>
            <v:rect id="_x0000_s1083" style="position:absolute;left:2977;top:2771;width:6316;height:2642" filled="f" strokecolor="gray" strokeweight=".95pt"/>
            <v:rect id="_x0000_s1084" style="position:absolute;left:3278;top:5394;width:434;height:19" fillcolor="navy" strokeweight=".95pt"/>
            <v:rect id="_x0000_s1085" style="position:absolute;left:4334;top:3111;width:434;height:2302" fillcolor="navy" strokeweight=".95pt"/>
            <v:rect id="_x0000_s1086" style="position:absolute;left:5390;top:5186;width:434;height:227" fillcolor="navy" strokeweight=".95pt"/>
            <v:rect id="_x0000_s1087" style="position:absolute;left:6446;top:4696;width:434;height:717" fillcolor="navy" strokeweight=".95pt"/>
            <v:rect id="_x0000_s1088" style="position:absolute;left:7502;top:4375;width:434;height:1038" fillcolor="navy" strokeweight=".95pt"/>
            <v:rect id="_x0000_s1089" style="position:absolute;left:8558;top:5300;width:415;height:113" fillcolor="navy" strokeweight=".95pt"/>
            <v:line id="_x0000_s1090" style="position:absolute" from="2977,2771" to="2977,5413" strokeweight="0"/>
            <v:line id="_x0000_s1091" style="position:absolute" from="2920,5413" to="2977,5413" strokeweight="0"/>
            <v:line id="_x0000_s1092" style="position:absolute" from="2920,4884" to="2977,4884" strokeweight="0"/>
            <v:line id="_x0000_s1093" style="position:absolute" from="2920,4356" to="2977,4356" strokeweight="0"/>
            <v:line id="_x0000_s1094" style="position:absolute" from="2920,3828" to="2977,3828" strokeweight="0"/>
            <v:line id="_x0000_s1095" style="position:absolute" from="2920,3280" to="2977,3280" strokeweight="0"/>
            <v:line id="_x0000_s1096" style="position:absolute" from="2920,2771" to="2977,2771" strokeweight="0"/>
            <v:line id="_x0000_s1097" style="position:absolute" from="2977,5413" to="9293,5413" strokeweight="0"/>
            <v:line id="_x0000_s1098" style="position:absolute;flip:y" from="2977,5413" to="2977,5451" strokeweight="0"/>
            <v:line id="_x0000_s1099" style="position:absolute;flip:y" from="4014,5413" to="4014,5451" strokeweight="0"/>
            <v:line id="_x0000_s1100" style="position:absolute;flip:y" from="5070,5413" to="5070,5451" strokeweight="0"/>
            <v:line id="_x0000_s1101" style="position:absolute;flip:y" from="6144,5413" to="6144,5451" strokeweight="0"/>
            <v:line id="_x0000_s1102" style="position:absolute;flip:y" from="7182,5413" to="7182,5451" strokeweight="0"/>
            <v:line id="_x0000_s1103" style="position:absolute;flip:y" from="8237,5413" to="8237,5451" strokeweight="0"/>
            <v:line id="_x0000_s1104" style="position:absolute;flip:y" from="9293,5413" to="9293,5451" strokeweight="0"/>
            <v:rect id="_x0000_s1105" style="position:absolute;left:3429;top:5130;width:153;height:480;mso-wrap-style:none" filled="f" stroked="f">
              <v:textbox style="mso-next-textbox:#_x0000_s1105;mso-fit-shape-to-text:t" inset="0,0,0,0">
                <w:txbxContent>
                  <w:p w:rsidR="009F08D6" w:rsidRPr="00AF2B77" w:rsidRDefault="009F08D6" w:rsidP="00E07FDD">
                    <w:pPr>
                      <w:rPr>
                        <w:b/>
                        <w:bCs/>
                        <w:color w:val="000000"/>
                        <w:sz w:val="14"/>
                        <w:szCs w:val="14"/>
                      </w:rPr>
                    </w:pPr>
                    <w:r w:rsidRPr="00AF2B77">
                      <w:rPr>
                        <w:b/>
                        <w:bCs/>
                        <w:color w:val="000000"/>
                        <w:sz w:val="14"/>
                        <w:szCs w:val="14"/>
                      </w:rPr>
                      <w:t>15</w:t>
                    </w:r>
                  </w:p>
                </w:txbxContent>
              </v:textbox>
            </v:rect>
            <v:rect id="_x0000_s1106" style="position:absolute;left:4329;top:2846;width:547;height:240" filled="f" stroked="f">
              <v:textbox style="mso-next-textbox:#_x0000_s1106;mso-fit-shape-to-text:t" inset="0,0,0,0">
                <w:txbxContent>
                  <w:p w:rsidR="009F08D6" w:rsidRPr="00AF2B77" w:rsidRDefault="009F08D6" w:rsidP="00E07FDD">
                    <w:pPr>
                      <w:rPr>
                        <w:b/>
                        <w:bCs/>
                        <w:color w:val="000000"/>
                        <w:sz w:val="14"/>
                        <w:szCs w:val="14"/>
                      </w:rPr>
                    </w:pPr>
                    <w:r w:rsidRPr="00AF2B77">
                      <w:rPr>
                        <w:b/>
                        <w:bCs/>
                        <w:color w:val="000000"/>
                        <w:sz w:val="14"/>
                        <w:szCs w:val="14"/>
                      </w:rPr>
                      <w:t>2 174</w:t>
                    </w:r>
                  </w:p>
                </w:txbxContent>
              </v:textbox>
            </v:rect>
            <v:rect id="_x0000_s1107" style="position:absolute;left:5503;top:4922;width:229;height:480;mso-wrap-style:none" filled="f" stroked="f">
              <v:textbox style="mso-next-textbox:#_x0000_s1107;mso-fit-shape-to-text:t" inset="0,0,0,0">
                <w:txbxContent>
                  <w:p w:rsidR="009F08D6" w:rsidRPr="00AF2B77" w:rsidRDefault="009F08D6" w:rsidP="00E07FDD">
                    <w:pPr>
                      <w:rPr>
                        <w:b/>
                        <w:bCs/>
                        <w:color w:val="000000"/>
                        <w:sz w:val="14"/>
                        <w:szCs w:val="14"/>
                      </w:rPr>
                    </w:pPr>
                    <w:r w:rsidRPr="00AF2B77">
                      <w:rPr>
                        <w:b/>
                        <w:bCs/>
                        <w:color w:val="000000"/>
                        <w:sz w:val="14"/>
                        <w:szCs w:val="14"/>
                      </w:rPr>
                      <w:t>218</w:t>
                    </w:r>
                  </w:p>
                </w:txbxContent>
              </v:textbox>
            </v:rect>
            <v:rect id="_x0000_s1108" style="position:absolute;left:6559;top:4450;width:229;height:480;mso-wrap-style:none" filled="f" stroked="f">
              <v:textbox style="mso-next-textbox:#_x0000_s1108;mso-fit-shape-to-text:t" inset="0,0,0,0">
                <w:txbxContent>
                  <w:p w:rsidR="009F08D6" w:rsidRPr="00AF2B77" w:rsidRDefault="009F08D6" w:rsidP="00E07FDD">
                    <w:pPr>
                      <w:rPr>
                        <w:b/>
                        <w:bCs/>
                        <w:color w:val="000000"/>
                        <w:sz w:val="14"/>
                        <w:szCs w:val="14"/>
                      </w:rPr>
                    </w:pPr>
                    <w:r w:rsidRPr="00AF2B77">
                      <w:rPr>
                        <w:b/>
                        <w:bCs/>
                        <w:color w:val="000000"/>
                        <w:sz w:val="14"/>
                        <w:szCs w:val="14"/>
                      </w:rPr>
                      <w:t>669</w:t>
                    </w:r>
                  </w:p>
                </w:txbxContent>
              </v:textbox>
            </v:rect>
            <v:rect id="_x0000_s1109" style="position:absolute;left:7615;top:4111;width:229;height:480;mso-wrap-style:none" filled="f" stroked="f">
              <v:textbox style="mso-next-textbox:#_x0000_s1109;mso-fit-shape-to-text:t" inset="0,0,0,0">
                <w:txbxContent>
                  <w:p w:rsidR="009F08D6" w:rsidRPr="00AF2B77" w:rsidRDefault="009F08D6" w:rsidP="00E07FDD">
                    <w:pPr>
                      <w:rPr>
                        <w:b/>
                        <w:bCs/>
                        <w:color w:val="000000"/>
                        <w:sz w:val="14"/>
                        <w:szCs w:val="14"/>
                      </w:rPr>
                    </w:pPr>
                    <w:r w:rsidRPr="00AF2B77">
                      <w:rPr>
                        <w:b/>
                        <w:bCs/>
                        <w:color w:val="000000"/>
                        <w:sz w:val="14"/>
                        <w:szCs w:val="14"/>
                      </w:rPr>
                      <w:t>982</w:t>
                    </w:r>
                  </w:p>
                </w:txbxContent>
              </v:textbox>
            </v:rect>
            <v:rect id="_x0000_s1110" style="position:absolute;left:8690;top:5054;width:153;height:480;mso-wrap-style:none" filled="f" stroked="f">
              <v:textbox style="mso-next-textbox:#_x0000_s1110;mso-fit-shape-to-text:t" inset="0,0,0,0">
                <w:txbxContent>
                  <w:p w:rsidR="009F08D6" w:rsidRPr="00AF2B77" w:rsidRDefault="009F08D6" w:rsidP="00E07FDD">
                    <w:pPr>
                      <w:rPr>
                        <w:b/>
                        <w:bCs/>
                        <w:color w:val="000000"/>
                        <w:sz w:val="14"/>
                        <w:szCs w:val="14"/>
                      </w:rPr>
                    </w:pPr>
                    <w:r w:rsidRPr="00AF2B77">
                      <w:rPr>
                        <w:b/>
                        <w:bCs/>
                        <w:color w:val="000000"/>
                        <w:sz w:val="14"/>
                        <w:szCs w:val="14"/>
                      </w:rPr>
                      <w:t>91</w:t>
                    </w:r>
                  </w:p>
                </w:txbxContent>
              </v:textbox>
            </v:rect>
            <v:rect id="_x0000_s1111" style="position:absolute;left:2769;top:5318;width:77;height:240;mso-wrap-style:none" filled="f" stroked="f">
              <v:textbox style="mso-next-textbox:#_x0000_s1111;mso-fit-shape-to-text:t" inset="0,0,0,0">
                <w:txbxContent>
                  <w:p w:rsidR="009F08D6" w:rsidRPr="00AF2B77" w:rsidRDefault="009F08D6" w:rsidP="00E07FDD">
                    <w:pPr>
                      <w:rPr>
                        <w:b/>
                        <w:bCs/>
                        <w:color w:val="000000"/>
                        <w:sz w:val="14"/>
                        <w:szCs w:val="14"/>
                      </w:rPr>
                    </w:pPr>
                    <w:r w:rsidRPr="00AF2B77">
                      <w:rPr>
                        <w:b/>
                        <w:bCs/>
                        <w:color w:val="000000"/>
                        <w:sz w:val="14"/>
                        <w:szCs w:val="14"/>
                      </w:rPr>
                      <w:t>0</w:t>
                    </w:r>
                  </w:p>
                </w:txbxContent>
              </v:textbox>
            </v:rect>
            <v:rect id="_x0000_s1112" style="position:absolute;left:2637;top:4790;width:229;height:480;mso-wrap-style:none" filled="f" stroked="f">
              <v:textbox style="mso-next-textbox:#_x0000_s1112;mso-fit-shape-to-text:t" inset="0,0,0,0">
                <w:txbxContent>
                  <w:p w:rsidR="009F08D6" w:rsidRPr="00AF2B77" w:rsidRDefault="009F08D6" w:rsidP="00E07FDD">
                    <w:pPr>
                      <w:rPr>
                        <w:b/>
                        <w:bCs/>
                        <w:color w:val="000000"/>
                        <w:sz w:val="14"/>
                        <w:szCs w:val="14"/>
                      </w:rPr>
                    </w:pPr>
                    <w:r w:rsidRPr="00AF2B77">
                      <w:rPr>
                        <w:b/>
                        <w:bCs/>
                        <w:color w:val="000000"/>
                        <w:sz w:val="14"/>
                        <w:szCs w:val="14"/>
                      </w:rPr>
                      <w:t>500</w:t>
                    </w:r>
                  </w:p>
                </w:txbxContent>
              </v:textbox>
            </v:rect>
            <v:rect id="_x0000_s1113" style="position:absolute;left:2562;top:4262;width:350;height:480;mso-wrap-style:none" filled="f" stroked="f">
              <v:textbox style="mso-next-textbox:#_x0000_s1113;mso-fit-shape-to-text:t" inset="0,0,0,0">
                <w:txbxContent>
                  <w:p w:rsidR="009F08D6" w:rsidRPr="00AF2B77" w:rsidRDefault="009F08D6" w:rsidP="00E07FDD">
                    <w:pPr>
                      <w:rPr>
                        <w:b/>
                        <w:bCs/>
                        <w:color w:val="000000"/>
                        <w:sz w:val="14"/>
                        <w:szCs w:val="14"/>
                      </w:rPr>
                    </w:pPr>
                    <w:r w:rsidRPr="00AF2B77">
                      <w:rPr>
                        <w:b/>
                        <w:bCs/>
                        <w:color w:val="000000"/>
                        <w:sz w:val="14"/>
                        <w:szCs w:val="14"/>
                      </w:rPr>
                      <w:t>1</w:t>
                    </w:r>
                    <w:r>
                      <w:rPr>
                        <w:b/>
                        <w:bCs/>
                        <w:color w:val="000000"/>
                        <w:sz w:val="14"/>
                        <w:szCs w:val="14"/>
                      </w:rPr>
                      <w:t xml:space="preserve"> </w:t>
                    </w:r>
                    <w:r w:rsidRPr="00AF2B77">
                      <w:rPr>
                        <w:b/>
                        <w:bCs/>
                        <w:color w:val="000000"/>
                        <w:sz w:val="14"/>
                        <w:szCs w:val="14"/>
                      </w:rPr>
                      <w:t>000</w:t>
                    </w:r>
                  </w:p>
                </w:txbxContent>
              </v:textbox>
            </v:rect>
            <v:rect id="_x0000_s1114" style="position:absolute;left:2562;top:3733;width:350;height:480;mso-wrap-style:none" filled="f" stroked="f">
              <v:textbox style="mso-next-textbox:#_x0000_s1114;mso-fit-shape-to-text:t" inset="0,0,0,0">
                <w:txbxContent>
                  <w:p w:rsidR="009F08D6" w:rsidRPr="00AF2B77" w:rsidRDefault="009F08D6" w:rsidP="00E07FDD">
                    <w:pPr>
                      <w:rPr>
                        <w:b/>
                        <w:bCs/>
                        <w:color w:val="000000"/>
                        <w:sz w:val="14"/>
                        <w:szCs w:val="14"/>
                      </w:rPr>
                    </w:pPr>
                    <w:r w:rsidRPr="00AF2B77">
                      <w:rPr>
                        <w:b/>
                        <w:bCs/>
                        <w:color w:val="000000"/>
                        <w:sz w:val="14"/>
                        <w:szCs w:val="14"/>
                      </w:rPr>
                      <w:t>1</w:t>
                    </w:r>
                    <w:r>
                      <w:rPr>
                        <w:b/>
                        <w:bCs/>
                        <w:color w:val="000000"/>
                        <w:sz w:val="14"/>
                        <w:szCs w:val="14"/>
                      </w:rPr>
                      <w:t xml:space="preserve"> </w:t>
                    </w:r>
                    <w:r w:rsidRPr="00AF2B77">
                      <w:rPr>
                        <w:b/>
                        <w:bCs/>
                        <w:color w:val="000000"/>
                        <w:sz w:val="14"/>
                        <w:szCs w:val="14"/>
                      </w:rPr>
                      <w:t>500</w:t>
                    </w:r>
                  </w:p>
                </w:txbxContent>
              </v:textbox>
            </v:rect>
            <v:rect id="_x0000_s1115" style="position:absolute;left:2562;top:3205;width:350;height:480;mso-wrap-style:none" filled="f" stroked="f">
              <v:textbox style="mso-next-textbox:#_x0000_s1115;mso-fit-shape-to-text:t" inset="0,0,0,0">
                <w:txbxContent>
                  <w:p w:rsidR="009F08D6" w:rsidRPr="00AF2B77" w:rsidRDefault="009F08D6" w:rsidP="00E07FDD">
                    <w:pPr>
                      <w:rPr>
                        <w:b/>
                        <w:bCs/>
                        <w:color w:val="000000"/>
                        <w:sz w:val="14"/>
                        <w:szCs w:val="14"/>
                      </w:rPr>
                    </w:pPr>
                    <w:r w:rsidRPr="00AF2B77">
                      <w:rPr>
                        <w:b/>
                        <w:bCs/>
                        <w:color w:val="000000"/>
                        <w:sz w:val="14"/>
                        <w:szCs w:val="14"/>
                      </w:rPr>
                      <w:t>2 000</w:t>
                    </w:r>
                  </w:p>
                </w:txbxContent>
              </v:textbox>
            </v:rect>
            <v:rect id="_x0000_s1116" style="position:absolute;left:2562;top:2677;width:349;height:480;mso-wrap-style:none" filled="f" stroked="f">
              <v:textbox style="mso-next-textbox:#_x0000_s1116;mso-fit-shape-to-text:t" inset="0,0,0,0">
                <w:txbxContent>
                  <w:p w:rsidR="009F08D6" w:rsidRPr="00AF2B77" w:rsidRDefault="009F08D6" w:rsidP="00E07FDD">
                    <w:pPr>
                      <w:rPr>
                        <w:sz w:val="14"/>
                        <w:szCs w:val="14"/>
                      </w:rPr>
                    </w:pPr>
                    <w:r w:rsidRPr="00AF2B77">
                      <w:rPr>
                        <w:b/>
                        <w:bCs/>
                        <w:color w:val="000000"/>
                        <w:sz w:val="14"/>
                        <w:szCs w:val="14"/>
                      </w:rPr>
                      <w:t>2 500</w:t>
                    </w:r>
                  </w:p>
                </w:txbxContent>
              </v:textbox>
            </v:rect>
            <v:rect id="_x0000_s1117" style="position:absolute;left:3184;top:5483;width:728;height:240" filled="f" stroked="f">
              <v:textbox style="mso-next-textbox:#_x0000_s1117;mso-fit-shape-to-text:t" inset="0,0,0,0">
                <w:txbxContent>
                  <w:p w:rsidR="009F08D6" w:rsidRPr="00AF2B77" w:rsidRDefault="009F08D6" w:rsidP="00E07FDD">
                    <w:pPr>
                      <w:rPr>
                        <w:sz w:val="14"/>
                        <w:szCs w:val="14"/>
                      </w:rPr>
                    </w:pPr>
                    <w:r w:rsidRPr="00AF2B77">
                      <w:rPr>
                        <w:b/>
                        <w:bCs/>
                        <w:color w:val="000000"/>
                        <w:sz w:val="14"/>
                        <w:szCs w:val="14"/>
                      </w:rPr>
                      <w:t>Preescolar</w:t>
                    </w:r>
                  </w:p>
                </w:txbxContent>
              </v:textbox>
            </v:rect>
            <v:rect id="_x0000_s1118" style="position:absolute;left:4296;top:5483;width:714;height:240" filled="f" stroked="f">
              <v:textbox style="mso-next-textbox:#_x0000_s1118;mso-fit-shape-to-text:t" inset="0,0,0,0">
                <w:txbxContent>
                  <w:p w:rsidR="009F08D6" w:rsidRPr="00AF2B77" w:rsidRDefault="009F08D6" w:rsidP="00E07FDD">
                    <w:pPr>
                      <w:rPr>
                        <w:b/>
                        <w:bCs/>
                        <w:color w:val="000000"/>
                        <w:sz w:val="14"/>
                        <w:szCs w:val="14"/>
                      </w:rPr>
                    </w:pPr>
                    <w:r w:rsidRPr="00AF2B77">
                      <w:rPr>
                        <w:b/>
                        <w:bCs/>
                        <w:color w:val="000000"/>
                        <w:sz w:val="14"/>
                        <w:szCs w:val="14"/>
                      </w:rPr>
                      <w:t>Primaria</w:t>
                    </w:r>
                  </w:p>
                </w:txbxContent>
              </v:textbox>
            </v:rect>
            <v:rect id="_x0000_s1119" style="position:absolute;left:5258;top:5483;width:928;height:320" filled="f" stroked="f">
              <v:textbox style="mso-next-textbox:#_x0000_s1119;mso-fit-shape-to-text:t" inset="0,0,0,0">
                <w:txbxContent>
                  <w:p w:rsidR="009F08D6" w:rsidRPr="00AF2B77" w:rsidRDefault="009F08D6" w:rsidP="00481C84">
                    <w:pPr>
                      <w:spacing w:line="160" w:lineRule="exact"/>
                      <w:jc w:val="center"/>
                      <w:rPr>
                        <w:b/>
                        <w:bCs/>
                        <w:color w:val="000000"/>
                        <w:sz w:val="14"/>
                        <w:szCs w:val="14"/>
                      </w:rPr>
                    </w:pPr>
                    <w:r>
                      <w:rPr>
                        <w:b/>
                        <w:bCs/>
                        <w:color w:val="000000"/>
                        <w:sz w:val="14"/>
                        <w:szCs w:val="14"/>
                      </w:rPr>
                      <w:t>Media (primer ciclo)</w:t>
                    </w:r>
                  </w:p>
                </w:txbxContent>
              </v:textbox>
            </v:rect>
            <v:rect id="_x0000_s1120" style="position:absolute;left:6314;top:5483;width:980;height:368" filled="f" stroked="f">
              <v:textbox style="mso-next-textbox:#_x0000_s1120" inset="0,0,0,0">
                <w:txbxContent>
                  <w:p w:rsidR="009F08D6" w:rsidRPr="00AF2B77" w:rsidRDefault="009F08D6" w:rsidP="00481C84">
                    <w:pPr>
                      <w:spacing w:line="160" w:lineRule="exact"/>
                      <w:jc w:val="center"/>
                      <w:rPr>
                        <w:b/>
                        <w:bCs/>
                        <w:color w:val="000000"/>
                        <w:sz w:val="14"/>
                        <w:szCs w:val="14"/>
                      </w:rPr>
                    </w:pPr>
                    <w:r>
                      <w:rPr>
                        <w:b/>
                        <w:bCs/>
                        <w:color w:val="000000"/>
                        <w:sz w:val="14"/>
                        <w:szCs w:val="14"/>
                      </w:rPr>
                      <w:t>Media (segundo ciclo)</w:t>
                    </w:r>
                  </w:p>
                </w:txbxContent>
              </v:textbox>
            </v:rect>
            <v:rect id="_x0000_s1121" style="position:absolute;left:7389;top:5483;width:800;height:240" filled="f" stroked="f">
              <v:textbox style="mso-next-textbox:#_x0000_s1121;mso-fit-shape-to-text:t" inset="0,0,0,0">
                <w:txbxContent>
                  <w:p w:rsidR="009F08D6" w:rsidRPr="00AF2B77" w:rsidRDefault="009F08D6" w:rsidP="00E07FDD">
                    <w:pPr>
                      <w:rPr>
                        <w:b/>
                        <w:bCs/>
                        <w:color w:val="000000"/>
                        <w:sz w:val="14"/>
                        <w:szCs w:val="14"/>
                      </w:rPr>
                    </w:pPr>
                    <w:r>
                      <w:rPr>
                        <w:b/>
                        <w:bCs/>
                        <w:color w:val="000000"/>
                        <w:sz w:val="14"/>
                        <w:szCs w:val="14"/>
                      </w:rPr>
                      <w:t>Secu</w:t>
                    </w:r>
                    <w:r w:rsidRPr="00AF2B77">
                      <w:rPr>
                        <w:b/>
                        <w:bCs/>
                        <w:color w:val="000000"/>
                        <w:sz w:val="14"/>
                        <w:szCs w:val="14"/>
                      </w:rPr>
                      <w:t>ndar</w:t>
                    </w:r>
                    <w:r>
                      <w:rPr>
                        <w:b/>
                        <w:bCs/>
                        <w:color w:val="000000"/>
                        <w:sz w:val="14"/>
                        <w:szCs w:val="14"/>
                      </w:rPr>
                      <w:t>ia</w:t>
                    </w:r>
                  </w:p>
                </w:txbxContent>
              </v:textbox>
            </v:rect>
            <v:rect id="_x0000_s1122" style="position:absolute;left:8228;top:5483;width:1072;height:240" filled="f" stroked="f">
              <v:textbox style="mso-next-textbox:#_x0000_s1122;mso-fit-shape-to-text:t" inset="0,0,0,0">
                <w:txbxContent>
                  <w:p w:rsidR="009F08D6" w:rsidRPr="00AF2B77" w:rsidRDefault="009F08D6" w:rsidP="00E07FDD">
                    <w:pPr>
                      <w:rPr>
                        <w:b/>
                        <w:bCs/>
                        <w:color w:val="000000"/>
                        <w:sz w:val="14"/>
                        <w:szCs w:val="14"/>
                      </w:rPr>
                    </w:pPr>
                    <w:r>
                      <w:rPr>
                        <w:b/>
                        <w:bCs/>
                        <w:color w:val="000000"/>
                        <w:sz w:val="14"/>
                        <w:szCs w:val="14"/>
                      </w:rPr>
                      <w:t>Escuela especial</w:t>
                    </w:r>
                  </w:p>
                </w:txbxContent>
              </v:textbox>
            </v:rect>
            <v:shape id="_x0000_s1123" style="position:absolute;left:2449;top:2526;width:6939;height:3359" coordsize="6939,3359" path="m6807,r19,l6863,r19,18l6901,37r19,19l6920,75r19,19l6939,132r,3113l6939,3264r-19,19l6920,3302r-19,19l6882,3340r-19,19l6826,3359r-19,l132,3359r-38,l75,3359,56,3340,37,3321,18,3302,,3283r,-19l,3245,,132,,94,,75,18,56,37,37,56,18,75,,94,r38,l6807,e" filled="f" strokeweight=".95pt">
              <v:path arrowok="t"/>
            </v:shape>
          </v:group>
        </w:pict>
      </w:r>
    </w:p>
    <w:p w:rsidR="00E07FDD" w:rsidRPr="00E87D7D" w:rsidRDefault="00E07FDD" w:rsidP="00E07FDD">
      <w:pPr>
        <w:pStyle w:val="SingleTxt"/>
      </w:pPr>
    </w:p>
    <w:p w:rsidR="00E07FDD" w:rsidRPr="00E87D7D" w:rsidRDefault="00E07FDD" w:rsidP="00E07FDD">
      <w:pPr>
        <w:pStyle w:val="SingleTxt"/>
      </w:pPr>
    </w:p>
    <w:p w:rsidR="00E07FDD" w:rsidRPr="00E87D7D" w:rsidRDefault="00E07FDD" w:rsidP="00E07FDD">
      <w:pPr>
        <w:pStyle w:val="SingleTxt"/>
      </w:pPr>
    </w:p>
    <w:p w:rsidR="00E07FDD" w:rsidRPr="00E87D7D" w:rsidRDefault="00E07FDD" w:rsidP="00E07FDD">
      <w:pPr>
        <w:pStyle w:val="SingleTxt"/>
      </w:pPr>
    </w:p>
    <w:p w:rsidR="00E07FDD" w:rsidRPr="00E87D7D" w:rsidRDefault="00E07FDD" w:rsidP="00E07FDD">
      <w:pPr>
        <w:pStyle w:val="SingleTxt"/>
      </w:pPr>
    </w:p>
    <w:p w:rsidR="00E07FDD" w:rsidRPr="00E87D7D" w:rsidRDefault="00E07FDD" w:rsidP="00E07FDD">
      <w:pPr>
        <w:pStyle w:val="SingleTxt"/>
      </w:pPr>
    </w:p>
    <w:p w:rsidR="00E07FDD" w:rsidRPr="00E87D7D" w:rsidRDefault="00E07FDD" w:rsidP="00E07FDD">
      <w:pPr>
        <w:pStyle w:val="SingleTxt"/>
      </w:pPr>
    </w:p>
    <w:p w:rsidR="00E07FDD" w:rsidRPr="00E87D7D" w:rsidRDefault="00E07FDD" w:rsidP="00E07FDD">
      <w:pPr>
        <w:pStyle w:val="SingleTxt"/>
      </w:pPr>
    </w:p>
    <w:p w:rsidR="00E07FDD" w:rsidRPr="00E87D7D" w:rsidRDefault="00E07FDD" w:rsidP="00E07FDD">
      <w:pPr>
        <w:pStyle w:val="SingleTxt"/>
        <w:spacing w:after="0" w:line="120" w:lineRule="exact"/>
        <w:rPr>
          <w:sz w:val="10"/>
        </w:rPr>
      </w:pPr>
    </w:p>
    <w:p w:rsidR="00E07FDD" w:rsidRDefault="00E07FDD" w:rsidP="00E07FDD">
      <w:pPr>
        <w:pStyle w:val="SingleTxt"/>
      </w:pPr>
    </w:p>
    <w:p w:rsidR="00E07FDD" w:rsidRPr="009822F5" w:rsidRDefault="00E07FDD" w:rsidP="00E07FDD">
      <w:pPr>
        <w:pStyle w:val="SingleTxt"/>
        <w:spacing w:after="0" w:line="120" w:lineRule="exact"/>
        <w:rPr>
          <w:sz w:val="10"/>
        </w:rPr>
      </w:pPr>
    </w:p>
    <w:p w:rsidR="00E07FDD" w:rsidRPr="009822F5" w:rsidRDefault="00E07FDD" w:rsidP="00E07F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22F5">
        <w:tab/>
      </w:r>
      <w:r w:rsidRPr="009822F5">
        <w:tab/>
        <w:t>Porcentaje de docentes del sexo femenino</w:t>
      </w:r>
    </w:p>
    <w:p w:rsidR="00E07FDD" w:rsidRPr="009822F5" w:rsidRDefault="00E07FDD" w:rsidP="00E07FDD">
      <w:pPr>
        <w:pStyle w:val="SingleTxt"/>
        <w:keepNext/>
        <w:keepLines/>
        <w:suppressAutoHyphens/>
        <w:spacing w:after="0" w:line="120" w:lineRule="exact"/>
        <w:rPr>
          <w:sz w:val="10"/>
        </w:rPr>
      </w:pPr>
    </w:p>
    <w:p w:rsidR="00E07FDD" w:rsidRPr="00E07FDD" w:rsidRDefault="00E07FDD" w:rsidP="00E07F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9822F5">
        <w:rPr>
          <w:lang w:val="en-GB"/>
        </w:rPr>
        <w:tab/>
      </w:r>
      <w:r w:rsidRPr="00E07FDD">
        <w:rPr>
          <w:b w:val="0"/>
          <w:lang w:val="en-GB"/>
        </w:rPr>
        <w:tab/>
      </w:r>
      <w:r w:rsidRPr="00E07FDD">
        <w:rPr>
          <w:b w:val="0"/>
        </w:rPr>
        <w:t>Diagrama de sectores 1</w:t>
      </w:r>
    </w:p>
    <w:p w:rsidR="00E07FDD" w:rsidRPr="009822F5" w:rsidRDefault="00E07FDD" w:rsidP="00E07FDD">
      <w:pPr>
        <w:pStyle w:val="SingleTxt"/>
        <w:keepNext/>
        <w:keepLines/>
        <w:spacing w:after="0" w:line="120" w:lineRule="exact"/>
        <w:rPr>
          <w:sz w:val="10"/>
        </w:rPr>
      </w:pPr>
    </w:p>
    <w:p w:rsidR="00E07FDD" w:rsidRDefault="00E07FDD" w:rsidP="00E07FDD">
      <w:pPr>
        <w:pStyle w:val="SingleTxt"/>
        <w:keepNext/>
        <w:keepLines/>
        <w:suppressAutoHyphens/>
      </w:pPr>
      <w:r>
        <w:rPr>
          <w:noProof/>
          <w:w w:val="100"/>
          <w:lang w:val="en-US"/>
        </w:rPr>
        <w:pict>
          <v:group id="_x0000_s1124" editas="canvas" style="position:absolute;left:0;text-align:left;margin-left:60.6pt;margin-top:2.95pt;width:355.6pt;height:176pt;z-index:2" coordorigin="2407,6991" coordsize="7112,3520">
            <o:lock v:ext="edit" aspectratio="t"/>
            <v:shape id="_x0000_s1125" type="#_x0000_t75" style="position:absolute;left:2407;top:6991;width:7112;height:3520" o:preferrelative="f">
              <v:fill o:detectmouseclick="t"/>
              <v:path o:extrusionok="t" o:connecttype="none"/>
              <o:lock v:ext="edit" text="t"/>
            </v:shape>
            <v:roundrect id="_x0000_s1126" style="position:absolute;left:2483;top:7086;width:6979;height:3406" arcsize="2549f" fillcolor="black" stroked="f"/>
            <v:rect id="_x0000_s1127" style="position:absolute;left:2464;top:7067;width:6960;height:246" fillcolor="#9cf" stroked="f"/>
            <v:rect id="_x0000_s1128" style="position:absolute;left:2464;top:7313;width:6960;height:246" fillcolor="#9bccff" stroked="f"/>
            <v:rect id="_x0000_s1129" style="position:absolute;left:2464;top:7559;width:6960;height:170" fillcolor="#9dccff" stroked="f"/>
            <v:rect id="_x0000_s1130" style="position:absolute;left:2464;top:7729;width:6960;height:133" fillcolor="#9fccff" stroked="f"/>
            <v:rect id="_x0000_s1131" style="position:absolute;left:2464;top:7862;width:6960;height:94" fillcolor="#a1ccff" stroked="f"/>
            <v:rect id="_x0000_s1132" style="position:absolute;left:2464;top:7956;width:6960;height:114" fillcolor="#a3ccff" stroked="f"/>
            <v:rect id="_x0000_s1133" style="position:absolute;left:2464;top:8070;width:6960;height:94" fillcolor="#a5ccff" stroked="f"/>
            <v:rect id="_x0000_s1134" style="position:absolute;left:2464;top:8164;width:6960;height:95" fillcolor="#a7ccff" stroked="f"/>
            <v:rect id="_x0000_s1135" style="position:absolute;left:2464;top:8259;width:6960;height:76" fillcolor="#a9ccff" stroked="f"/>
            <v:rect id="_x0000_s1136" style="position:absolute;left:2464;top:8335;width:6960;height:75" fillcolor="#abccff" stroked="f"/>
            <v:rect id="_x0000_s1137" style="position:absolute;left:2464;top:8410;width:6960;height:95" fillcolor="#adccff" stroked="f"/>
            <v:rect id="_x0000_s1138" style="position:absolute;left:2464;top:8505;width:6960;height:95" fillcolor="#afccff" stroked="f"/>
            <v:rect id="_x0000_s1139" style="position:absolute;left:2464;top:8600;width:6960;height:75" fillcolor="#b1ccff" stroked="f"/>
            <v:rect id="_x0000_s1140" style="position:absolute;left:2464;top:8675;width:6960;height:76" fillcolor="#b3ccff" stroked="f"/>
            <v:rect id="_x0000_s1141" style="position:absolute;left:2464;top:8751;width:6960;height:76" fillcolor="#b5ccff" stroked="f"/>
            <v:rect id="_x0000_s1142" style="position:absolute;left:2464;top:8827;width:6960;height:75" fillcolor="#b7ccff" stroked="f"/>
            <v:rect id="_x0000_s1143" style="position:absolute;left:2464;top:8902;width:6960;height:95" fillcolor="#b9ccff" stroked="f"/>
            <v:rect id="_x0000_s1144" style="position:absolute;left:2464;top:8997;width:6960;height:95" fillcolor="#bcf" stroked="f"/>
            <v:rect id="_x0000_s1145" style="position:absolute;left:2464;top:9092;width:6960;height:94" fillcolor="#bdccff" stroked="f"/>
            <v:rect id="_x0000_s1146" style="position:absolute;left:2464;top:9186;width:6960;height:95" fillcolor="#bfccff" stroked="f"/>
            <v:rect id="_x0000_s1147" style="position:absolute;left:2464;top:9281;width:6960;height:113" fillcolor="#c1ccff" stroked="f"/>
            <v:rect id="_x0000_s1148" style="position:absolute;left:2464;top:9394;width:6960;height:114" fillcolor="#c3ccff" stroked="f"/>
            <v:rect id="_x0000_s1149" style="position:absolute;left:2464;top:9508;width:6960;height:151" fillcolor="#c5ccff" stroked="f"/>
            <v:rect id="_x0000_s1150" style="position:absolute;left:2464;top:9659;width:6960;height:190" fillcolor="#c7ccff" stroked="f"/>
            <v:rect id="_x0000_s1151" style="position:absolute;left:2464;top:9849;width:6960;height:265" fillcolor="#c9ccff" stroked="f"/>
            <v:rect id="_x0000_s1152" style="position:absolute;left:2464;top:10114;width:6960;height:340" fillcolor="#ccf" stroked="f"/>
            <v:shape id="_x0000_s1153" style="position:absolute;left:2464;top:7067;width:6960;height:3368" coordsize="6960,3368" path="m6828,r19,l6885,r19,19l6923,38r19,19l6942,75r18,19l6960,132r,3123l6960,3274r-18,19l6942,3312r-19,18l6904,3349r-19,19l6847,3368r-19,l132,3368r-38,l75,3368,56,3349,38,3330,19,3312,,3293r,-19l,3255,,132,,94,,75,19,57,38,38,56,19,75,,94,r38,l6828,e" filled="f" strokeweight=".95pt">
              <v:path arrowok="t"/>
            </v:shape>
            <v:shape id="_x0000_s1154" style="position:absolute;left:5509;top:7748;width:19;height:1060" coordsize="19,1060" path="m,511l19,r,549l,1060,,511xe" fillcolor="#4d4d80" strokeweight=".95pt">
              <v:path arrowok="t"/>
            </v:shape>
            <v:shape id="_x0000_s1155" style="position:absolute;left:5509;top:7748;width:19;height:511" coordsize="19,511" path="m,l,,19,r,l,511,,xe" fillcolor="#99f" strokeweight=".95pt">
              <v:path arrowok="t"/>
            </v:shape>
            <v:shape id="_x0000_s1156" style="position:absolute;left:5206;top:7748;width:265;height:1060" coordsize="265,1060" path="m265,511l,,,549r265,511l265,511xe" fillcolor="#804040" strokeweight=".95pt">
              <v:path arrowok="t"/>
            </v:shape>
            <v:shape id="_x0000_s1157" style="position:absolute;left:5206;top:7748;width:265;height:511" coordsize="265,511" path="m,l19,,95,r38,l171,r56,l265,r,511l,xe" fillcolor="#ff8080" strokeweight=".95pt">
              <v:path arrowok="t"/>
            </v:shape>
            <v:shape id="_x0000_s1158" style="position:absolute;left:3145;top:8316;width:0;height:568" coordsize="0,568" path="m,19r,l,,,,,530r,19l,568r,l,19xe" fillcolor="#303" strokeweight=".95pt">
              <v:path arrowok="t"/>
            </v:shape>
            <v:shape id="_x0000_s1159" style="position:absolute;left:3145;top:8316;width:1967;height:568" coordsize="1967,568" path="m1967,l,19,,568,1967,530,1967,xe" fillcolor="#303" strokeweight=".95pt">
              <v:path arrowok="t"/>
            </v:shape>
            <v:shape id="_x0000_s1160" style="position:absolute;left:3145;top:7805;width:1967;height:530" coordsize="1967,530" path="m,530r,l,511,,492r,l,492,,454r,l,435,19,416r,l19,416,38,397,56,378r,l56,359r19,l94,340r19,l132,322r19,-19l170,303r,-19l208,265r19,l246,265r18,-19l283,227r19,l321,227r38,-19l397,208r19,-19l454,170r19,l491,151r38,l567,151r19,-19l624,132r57,-19l700,113r18,l756,94r57,l832,94,870,76r38,l945,76r38,l1002,57r76,l1097,57r38,-19l1210,38r19,-19l1267,19r19,l1362,19r37,l1418,19,1494,r38,l1551,r38,l1664,r38,l1967,511,,530xe" fillcolor="#606" strokeweight=".95pt">
              <v:path arrowok="t"/>
            </v:shape>
            <v:shape id="_x0000_s1161" style="position:absolute;left:3088;top:8486;width:1021;height:965" coordsize="1021,965" path="m1021,416r-19,l927,416r-19,l889,398r-38,l794,398,775,379,738,360r-57,l662,360,643,341r-38,l548,322r-18,l511,322,473,303r-19,l416,284r-19,l359,265r-19,l321,265,303,246r-38,l246,227,227,208,208,189r-19,l189,189,151,170,132,151r,l95,133r,l76,114r,l57,95r,l38,76r,-19l38,38r-19,l19,38,,19,,,,549r,19l19,587r,l38,587r,19l38,625r19,l57,644r19,l76,662r19,19l95,681r37,19l132,700r19,19l189,738r,l208,738r19,19l246,776r19,l303,776r18,19l340,795r19,19l397,833r19,l454,852r19,l511,871r19,l548,871r57,19l643,890r19,18l681,908r57,l775,927r19,l851,946r38,l908,965r19,l1002,965r19,l1021,416xe" fillcolor="#668080" strokeweight=".95pt">
              <v:path arrowok="t"/>
            </v:shape>
            <v:shape id="_x0000_s1162" style="position:absolute;left:4128;top:8467;width:946;height:984" coordsize="946,984" path="m946,l,435,,984,946,549,946,xe" fillcolor="#668080" strokeweight=".95pt">
              <v:path arrowok="t"/>
            </v:shape>
            <v:shape id="_x0000_s1163" style="position:absolute;left:3088;top:8467;width:1986;height:435" coordsize="1986,435" path="m1021,435r-19,l927,435r-19,l889,417r-38,l794,417,775,398,738,379r-57,l662,379,643,360r-38,l548,341r-18,l511,341,473,322r-19,l416,303r-19,l359,284r-19,l321,284,303,265r-38,l246,246,227,227,208,208r-19,l189,208,151,189,132,170r,l95,152r,l76,133r,l57,114r,l38,95r,-19l38,57r-19,l19,57,,38,,19,1986,,1021,435xe" fillcolor="#cff" strokeweight=".95pt">
              <v:path arrowok="t"/>
            </v:shape>
            <v:shape id="_x0000_s1164" style="position:absolute;left:4374;top:8959;width:624;height:606" coordsize="624,606" path="m624,57r-37,l511,57r-19,l454,57r-38,l341,38r-19,l284,38,265,19r-76,l151,19r-18,l95,19,38,,,,,549r38,l95,568r38,l151,568r38,l265,568r19,19l322,587r19,l416,587r38,l492,587r19,l587,606r37,l624,57xe" fillcolor="#808066" strokeweight=".95pt">
              <v:path arrowok="t"/>
            </v:shape>
            <v:shape id="_x0000_s1165" style="position:absolute;left:4998;top:8505;width:341;height:1041" coordsize="341,1041" path="m341,l,511r,530l341,549,341,xe" fillcolor="#808066" strokeweight=".95pt">
              <v:path arrowok="t"/>
            </v:shape>
            <v:shape id="_x0000_s1166" style="position:absolute;left:4374;top:8505;width:965;height:511" coordsize="965,511" path="m624,511r-37,l511,511r-19,l454,511r-38,l341,492r-19,l284,492,265,473r-76,l151,473r-18,l95,473,38,454,,454,965,,624,511xe" fillcolor="#ffc" strokeweight=".95pt">
              <v:path arrowok="t"/>
            </v:shape>
            <v:shape id="_x0000_s1167" style="position:absolute;left:5660;top:8391;width:2327;height:1079" coordsize="2327,1079" path="m2327,r,19l2308,38r,19l2308,57r,19l2308,76r-19,19l2270,114r,l2270,133r-19,l2232,152r,l2213,190r-19,l2194,190r-37,19l2157,228r-38,l2100,246r-19,l2062,265r-19,l2024,284r-38,l1949,303r,l1911,322r-38,19l1854,341r-19,l1778,360r-19,l1741,379r-57,l1665,398r-19,l1570,398r-19,19l1532,417r-56,19l1438,436r-19,l1362,455r-38,l1287,455r-57,l1211,474r-38,l1116,493r-37,l1060,493r-76,l946,493r-19,18l852,511r-38,l795,511r-76,l681,511r-38,l587,511r-38,l511,530r-76,l416,530r-37,l303,530r-38,l246,530r-75,l133,511r-38,l19,511,,511r,549l19,1060r76,l133,1060r38,19l246,1079r19,l303,1079r76,l416,1079r19,l511,1079r38,-19l587,1060r56,l681,1060r38,l795,1060r19,l852,1060r75,l946,1041r38,l1060,1022r19,l1116,1022r57,l1211,1022r19,-19l1287,1003r37,l1362,1003r57,-18l1438,985r38,l1532,966r19,l1570,947r76,l1665,947r19,-19l1741,928r18,-19l1778,909r57,-19l1854,890r19,-19l1911,871r38,-19l1949,852r37,-19l2024,833r19,-19l2062,814r19,-19l2100,795r19,-19l2157,776r,-19l2194,739r,l2213,720r19,-19l2232,701r19,-19l2270,682r,-19l2270,663r19,-19l2308,625r,l2308,606r,-19l2308,587r19,-19l2327,549,2327,xe" fillcolor="#4d1a33" strokeweight=".95pt">
              <v:path arrowok="t"/>
            </v:shape>
            <v:shape id="_x0000_s1168" style="position:absolute;left:5660;top:7899;width:2327;height:1022" coordsize="2327,1022" path="m379,r37,l473,r38,l549,r57,l643,r38,l738,r57,l814,r38,l927,19r19,l984,19r76,l1079,19r37,19l1173,38r38,l1230,38r57,19l1324,57r38,l1419,76r19,l1476,76r19,l1551,95r19,19l1608,114r57,19l1684,133r19,l1759,152r19,l1816,152r38,19l1873,171r19,19l1949,209r,l1968,209r18,19l2043,246r19,l2062,265r38,l2119,284r,l2157,303r19,l2194,322r19,19l2213,341r19,l2251,360r,19l2270,398r,l2289,417r,l2308,436r,19l2308,455r,19l2327,474r,18l2327,492r,19l2308,530r,19l2308,568r,l2308,568r-19,19l2270,606r,l2270,625r-19,l2232,644r,l2213,682r-19,l2194,682r-37,19l2157,720r-38,l2100,738r-19,l2062,757r,l2024,776r-38,l1968,776r-19,19l1911,814r-19,l1854,833r-19,l1816,852r-57,l1741,871r-38,l1665,890r-19,l1608,890r-38,l1532,909r-37,l1476,928r-57,l1381,928r-19,19l1287,947r-19,l1230,947r-57,19l1135,966r-19,19l1060,985r-57,l984,985r-38,l889,1003r-37,l814,1003r-76,l719,1003r-38,l606,1003r-19,l549,1003r-76,19l435,1022r-19,l341,1022r-38,l265,1022r-19,l171,1022r-38,-19l95,1003r-76,l,1003,341,492,379,xe" fillcolor="#936" strokeweight=".95pt">
              <v:path arrowok="t"/>
            </v:shape>
            <v:rect id="_x0000_s1169" style="position:absolute;left:5496;top:7511;width:175;height:480;mso-wrap-style:none" filled="f" stroked="f">
              <v:textbox style="mso-fit-shape-to-text:t" inset="0,0,0,0">
                <w:txbxContent>
                  <w:p w:rsidR="009F08D6" w:rsidRPr="009822F5" w:rsidRDefault="009F08D6" w:rsidP="00E07FDD">
                    <w:pPr>
                      <w:rPr>
                        <w:bCs/>
                        <w:color w:val="000000"/>
                        <w:sz w:val="16"/>
                        <w:szCs w:val="16"/>
                      </w:rPr>
                    </w:pPr>
                    <w:r w:rsidRPr="009822F5">
                      <w:rPr>
                        <w:bCs/>
                        <w:color w:val="000000"/>
                        <w:sz w:val="16"/>
                        <w:szCs w:val="16"/>
                      </w:rPr>
                      <w:t>15</w:t>
                    </w:r>
                  </w:p>
                </w:txbxContent>
              </v:textbox>
            </v:rect>
            <v:rect id="_x0000_s1170" style="position:absolute;left:8063;top:8902;width:447;height:240" filled="f" stroked="f">
              <v:textbox style="mso-fit-shape-to-text:t" inset="0,0,0,0">
                <w:txbxContent>
                  <w:p w:rsidR="009F08D6" w:rsidRPr="009822F5" w:rsidRDefault="009F08D6" w:rsidP="00E07FDD">
                    <w:r w:rsidRPr="009822F5">
                      <w:rPr>
                        <w:bCs/>
                        <w:color w:val="000000"/>
                        <w:sz w:val="16"/>
                        <w:szCs w:val="16"/>
                      </w:rPr>
                      <w:t>2 174</w:t>
                    </w:r>
                  </w:p>
                </w:txbxContent>
              </v:textbox>
            </v:rect>
            <v:rect id="_x0000_s1171" style="position:absolute;left:4450;top:9603;width:263;height:480;mso-wrap-style:none" filled="f" stroked="f">
              <v:textbox style="mso-fit-shape-to-text:t" inset="0,0,0,0">
                <w:txbxContent>
                  <w:p w:rsidR="009F08D6" w:rsidRPr="009822F5" w:rsidRDefault="009F08D6" w:rsidP="00E07FDD">
                    <w:pPr>
                      <w:rPr>
                        <w:bCs/>
                        <w:color w:val="000000"/>
                        <w:sz w:val="16"/>
                        <w:szCs w:val="16"/>
                      </w:rPr>
                    </w:pPr>
                    <w:r w:rsidRPr="009822F5">
                      <w:rPr>
                        <w:bCs/>
                        <w:color w:val="000000"/>
                        <w:sz w:val="16"/>
                        <w:szCs w:val="16"/>
                      </w:rPr>
                      <w:t>218</w:t>
                    </w:r>
                  </w:p>
                </w:txbxContent>
              </v:textbox>
            </v:rect>
            <v:rect id="_x0000_s1172" style="position:absolute;left:3126;top:9262;width:262;height:480;mso-wrap-style:none" filled="f" stroked="f">
              <v:textbox style="mso-fit-shape-to-text:t" inset="0,0,0,0">
                <w:txbxContent>
                  <w:p w:rsidR="009F08D6" w:rsidRPr="009822F5" w:rsidRDefault="009F08D6" w:rsidP="00E07FDD">
                    <w:pPr>
                      <w:rPr>
                        <w:bCs/>
                        <w:color w:val="000000"/>
                        <w:sz w:val="16"/>
                        <w:szCs w:val="16"/>
                      </w:rPr>
                    </w:pPr>
                    <w:r w:rsidRPr="009822F5">
                      <w:rPr>
                        <w:bCs/>
                        <w:color w:val="000000"/>
                        <w:sz w:val="16"/>
                        <w:szCs w:val="16"/>
                      </w:rPr>
                      <w:t>669</w:t>
                    </w:r>
                  </w:p>
                </w:txbxContent>
              </v:textbox>
            </v:rect>
            <v:rect id="_x0000_s1173" style="position:absolute;left:3296;top:7786;width:262;height:480;mso-wrap-style:none" filled="f" stroked="f">
              <v:textbox style="mso-fit-shape-to-text:t" inset="0,0,0,0">
                <w:txbxContent>
                  <w:p w:rsidR="009F08D6" w:rsidRPr="009822F5" w:rsidRDefault="009F08D6" w:rsidP="00E07FDD">
                    <w:pPr>
                      <w:rPr>
                        <w:bCs/>
                        <w:color w:val="000000"/>
                        <w:sz w:val="16"/>
                        <w:szCs w:val="16"/>
                      </w:rPr>
                    </w:pPr>
                    <w:r w:rsidRPr="009822F5">
                      <w:rPr>
                        <w:bCs/>
                        <w:color w:val="000000"/>
                        <w:sz w:val="16"/>
                        <w:szCs w:val="16"/>
                      </w:rPr>
                      <w:t>982</w:t>
                    </w:r>
                  </w:p>
                </w:txbxContent>
              </v:textbox>
            </v:rect>
            <v:rect id="_x0000_s1174" style="position:absolute;left:5181;top:7493;width:175;height:480;mso-wrap-style:none" filled="f" stroked="f">
              <v:textbox style="mso-fit-shape-to-text:t" inset="0,0,0,0">
                <w:txbxContent>
                  <w:p w:rsidR="009F08D6" w:rsidRPr="009822F5" w:rsidRDefault="009F08D6" w:rsidP="00E07FDD">
                    <w:pPr>
                      <w:rPr>
                        <w:bCs/>
                        <w:color w:val="000000"/>
                        <w:sz w:val="16"/>
                        <w:szCs w:val="16"/>
                      </w:rPr>
                    </w:pPr>
                    <w:r w:rsidRPr="009822F5">
                      <w:rPr>
                        <w:bCs/>
                        <w:color w:val="000000"/>
                        <w:sz w:val="16"/>
                        <w:szCs w:val="16"/>
                      </w:rPr>
                      <w:t>91</w:t>
                    </w:r>
                  </w:p>
                </w:txbxContent>
              </v:textbox>
            </v:rect>
            <v:rect id="_x0000_s1175" style="position:absolute;left:8233;top:7180;width:1116;height:152" fillcolor="#ccf" stroked="f"/>
            <v:rect id="_x0000_s1176" style="position:absolute;left:8233;top:7332;width:1116;height:113" fillcolor="#caccff" stroked="f"/>
            <v:rect id="_x0000_s1177" style="position:absolute;left:8233;top:7445;width:1116;height:57" fillcolor="#c8ccff" stroked="f"/>
            <v:rect id="_x0000_s1178" style="position:absolute;left:8233;top:7502;width:1116;height:76" fillcolor="#c6ccff" stroked="f"/>
            <v:rect id="_x0000_s1179" style="position:absolute;left:8233;top:7578;width:1116;height:38" fillcolor="#c4ccff" stroked="f"/>
            <v:rect id="_x0000_s1180" style="position:absolute;left:8233;top:7616;width:1116;height:37" fillcolor="#c2ccff" stroked="f"/>
            <v:rect id="_x0000_s1181" style="position:absolute;left:8233;top:7653;width:1116;height:57" fillcolor="#c0ccff" stroked="f"/>
            <v:rect id="_x0000_s1182" style="position:absolute;left:8233;top:7710;width:1116;height:38" fillcolor="#beccff" stroked="f"/>
            <v:rect id="_x0000_s1183" style="position:absolute;left:8233;top:7748;width:1116;height:38" fillcolor="#bcccff" stroked="f"/>
            <v:rect id="_x0000_s1184" style="position:absolute;left:8233;top:7786;width:1116;height:38" fillcolor="#baccff" stroked="f"/>
            <v:rect id="_x0000_s1185" style="position:absolute;left:8233;top:7824;width:1116;height:38" fillcolor="#b8ccff" stroked="f"/>
            <v:rect id="_x0000_s1186" style="position:absolute;left:8233;top:7862;width:1116;height:37" fillcolor="#b6ccff" stroked="f"/>
            <v:rect id="_x0000_s1187" style="position:absolute;left:8233;top:7899;width:1116;height:19" fillcolor="#b4ccff" stroked="f"/>
            <v:rect id="_x0000_s1188" style="position:absolute;left:8233;top:7918;width:1116;height:38" fillcolor="#b2ccff" stroked="f"/>
            <v:rect id="_x0000_s1189" style="position:absolute;left:8233;top:7956;width:1116;height:19" fillcolor="#b0ccff" stroked="f"/>
            <v:rect id="_x0000_s1190" style="position:absolute;left:8233;top:7975;width:1116;height:38" fillcolor="#aeccff" stroked="f"/>
            <v:rect id="_x0000_s1191" style="position:absolute;left:8233;top:8013;width:1116;height:38" fillcolor="#acccff" stroked="f"/>
            <v:rect id="_x0000_s1192" style="position:absolute;left:8233;top:8051;width:1116;height:38" fillcolor="#acf" stroked="f"/>
            <v:rect id="_x0000_s1193" style="position:absolute;left:8233;top:8089;width:1116;height:38" fillcolor="#a8ccff" stroked="f"/>
            <v:rect id="_x0000_s1194" style="position:absolute;left:8233;top:8127;width:1116;height:56" fillcolor="#a6ccff" stroked="f"/>
            <v:rect id="_x0000_s1195" style="position:absolute;left:8233;top:8183;width:1116;height:19" fillcolor="#a4ccff" stroked="f"/>
            <v:rect id="_x0000_s1196" style="position:absolute;left:8233;top:8202;width:1116;height:57" fillcolor="#a2ccff" stroked="f"/>
            <v:rect id="_x0000_s1197" style="position:absolute;left:8233;top:8259;width:1116;height:57" fillcolor="#a0ccff" stroked="f"/>
            <v:rect id="_x0000_s1198" style="position:absolute;left:8233;top:8316;width:1116;height:57" fillcolor="#9eccff" stroked="f"/>
            <v:rect id="_x0000_s1199" style="position:absolute;left:8233;top:8373;width:1116;height:113" fillcolor="#9cccff" stroked="f"/>
            <v:rect id="_x0000_s1200" style="position:absolute;left:8233;top:8486;width:1116;height:95" fillcolor="#9cf" stroked="f"/>
            <v:rect id="_x0000_s1201" style="position:absolute;left:8233;top:7180;width:1135;height:1420" filled="f" strokeweight="0"/>
            <v:rect id="_x0000_s1202" style="position:absolute;left:8271;top:7275;width:113;height:95" fillcolor="#99f" strokeweight=".95pt"/>
            <v:rect id="_x0000_s1203" style="position:absolute;left:8422;top:7218;width:924;height:160" filled="f" stroked="f">
              <v:textbox style="mso-fit-shape-to-text:t" inset="0,0,0,0">
                <w:txbxContent>
                  <w:p w:rsidR="009F08D6" w:rsidRPr="009822F5" w:rsidRDefault="009F08D6" w:rsidP="00E07FDD">
                    <w:pPr>
                      <w:spacing w:before="20" w:line="140" w:lineRule="exact"/>
                      <w:rPr>
                        <w:bCs/>
                        <w:color w:val="000000"/>
                        <w:sz w:val="12"/>
                        <w:szCs w:val="12"/>
                      </w:rPr>
                    </w:pPr>
                    <w:r w:rsidRPr="009822F5">
                      <w:rPr>
                        <w:bCs/>
                        <w:color w:val="000000"/>
                        <w:sz w:val="12"/>
                        <w:szCs w:val="12"/>
                      </w:rPr>
                      <w:t>Preescolar</w:t>
                    </w:r>
                  </w:p>
                </w:txbxContent>
              </v:textbox>
            </v:rect>
            <v:rect id="_x0000_s1204" style="position:absolute;left:8271;top:7502;width:113;height:114" fillcolor="#936" strokeweight=".95pt"/>
            <v:rect id="_x0000_s1205" style="position:absolute;left:8422;top:7464;width:458;height:300;mso-wrap-style:none" filled="f" stroked="f">
              <v:textbox style="mso-fit-shape-to-text:t" inset="0,0,0,0">
                <w:txbxContent>
                  <w:p w:rsidR="009F08D6" w:rsidRPr="009822F5" w:rsidRDefault="009F08D6" w:rsidP="00E07FDD">
                    <w:pPr>
                      <w:spacing w:before="20" w:line="140" w:lineRule="exact"/>
                      <w:rPr>
                        <w:bCs/>
                        <w:color w:val="000000"/>
                        <w:sz w:val="12"/>
                        <w:szCs w:val="12"/>
                      </w:rPr>
                    </w:pPr>
                    <w:r w:rsidRPr="009822F5">
                      <w:rPr>
                        <w:bCs/>
                        <w:color w:val="000000"/>
                        <w:sz w:val="12"/>
                        <w:szCs w:val="12"/>
                      </w:rPr>
                      <w:t>Primaria</w:t>
                    </w:r>
                  </w:p>
                </w:txbxContent>
              </v:textbox>
            </v:rect>
            <v:rect id="_x0000_s1206" style="position:absolute;left:8271;top:7729;width:113;height:114" fillcolor="#ffc" strokeweight=".95pt"/>
            <v:rect id="_x0000_s1207" style="position:absolute;left:8422;top:7655;width:903;height:280" filled="f" stroked="f">
              <v:textbox style="mso-fit-shape-to-text:t" inset="0,0,0,0">
                <w:txbxContent>
                  <w:p w:rsidR="009F08D6" w:rsidRPr="009822F5" w:rsidRDefault="009F08D6" w:rsidP="00E07FDD">
                    <w:pPr>
                      <w:spacing w:line="140" w:lineRule="exact"/>
                      <w:rPr>
                        <w:bCs/>
                        <w:color w:val="000000"/>
                        <w:sz w:val="12"/>
                        <w:szCs w:val="12"/>
                      </w:rPr>
                    </w:pPr>
                    <w:r w:rsidRPr="009822F5">
                      <w:rPr>
                        <w:bCs/>
                        <w:color w:val="000000"/>
                        <w:sz w:val="12"/>
                        <w:szCs w:val="12"/>
                      </w:rPr>
                      <w:t xml:space="preserve">Media </w:t>
                    </w:r>
                    <w:r w:rsidRPr="009822F5">
                      <w:rPr>
                        <w:bCs/>
                        <w:color w:val="000000"/>
                        <w:sz w:val="12"/>
                        <w:szCs w:val="12"/>
                      </w:rPr>
                      <w:br/>
                      <w:t>(primer ciclo)</w:t>
                    </w:r>
                  </w:p>
                </w:txbxContent>
              </v:textbox>
            </v:rect>
            <v:rect id="_x0000_s1208" style="position:absolute;left:8271;top:7956;width:113;height:114" fillcolor="#cff" strokeweight=".95pt"/>
            <v:rect id="_x0000_s1209" style="position:absolute;left:8422;top:7909;width:911;height:300" filled="f" stroked="f">
              <v:textbox style="mso-fit-shape-to-text:t" inset="0,0,0,0">
                <w:txbxContent>
                  <w:p w:rsidR="009F08D6" w:rsidRPr="009822F5" w:rsidRDefault="009F08D6" w:rsidP="00E07FDD">
                    <w:pPr>
                      <w:spacing w:before="20" w:line="140" w:lineRule="exact"/>
                      <w:rPr>
                        <w:bCs/>
                        <w:color w:val="000000"/>
                        <w:sz w:val="12"/>
                        <w:szCs w:val="12"/>
                      </w:rPr>
                    </w:pPr>
                    <w:r w:rsidRPr="009822F5">
                      <w:rPr>
                        <w:bCs/>
                        <w:color w:val="000000"/>
                        <w:sz w:val="12"/>
                        <w:szCs w:val="12"/>
                      </w:rPr>
                      <w:t xml:space="preserve">Media </w:t>
                    </w:r>
                    <w:r>
                      <w:rPr>
                        <w:bCs/>
                        <w:color w:val="000000"/>
                        <w:sz w:val="12"/>
                        <w:szCs w:val="12"/>
                      </w:rPr>
                      <w:br/>
                    </w:r>
                    <w:r w:rsidRPr="009822F5">
                      <w:rPr>
                        <w:bCs/>
                        <w:color w:val="000000"/>
                        <w:sz w:val="12"/>
                        <w:szCs w:val="12"/>
                      </w:rPr>
                      <w:t>(segundo ciclo)</w:t>
                    </w:r>
                  </w:p>
                </w:txbxContent>
              </v:textbox>
            </v:rect>
            <v:rect id="_x0000_s1210" style="position:absolute;left:8271;top:8202;width:113;height:114" fillcolor="#606" strokeweight=".95pt"/>
            <v:rect id="_x0000_s1211" style="position:absolute;left:8422;top:8128;width:785;height:240" filled="f" stroked="f">
              <v:textbox style="mso-fit-shape-to-text:t" inset="0,0,0,0">
                <w:txbxContent>
                  <w:p w:rsidR="009F08D6" w:rsidRPr="009822F5" w:rsidRDefault="009F08D6" w:rsidP="00E07FDD">
                    <w:pPr>
                      <w:rPr>
                        <w:bCs/>
                        <w:color w:val="000000"/>
                        <w:sz w:val="14"/>
                        <w:szCs w:val="14"/>
                      </w:rPr>
                    </w:pPr>
                    <w:r>
                      <w:rPr>
                        <w:bCs/>
                        <w:color w:val="000000"/>
                        <w:sz w:val="14"/>
                        <w:szCs w:val="14"/>
                      </w:rPr>
                      <w:t>Secu</w:t>
                    </w:r>
                    <w:r w:rsidRPr="009822F5">
                      <w:rPr>
                        <w:bCs/>
                        <w:color w:val="000000"/>
                        <w:sz w:val="14"/>
                        <w:szCs w:val="14"/>
                      </w:rPr>
                      <w:t>ndar</w:t>
                    </w:r>
                    <w:r>
                      <w:rPr>
                        <w:bCs/>
                        <w:color w:val="000000"/>
                        <w:sz w:val="14"/>
                        <w:szCs w:val="14"/>
                      </w:rPr>
                      <w:t>ia</w:t>
                    </w:r>
                  </w:p>
                </w:txbxContent>
              </v:textbox>
            </v:rect>
            <v:rect id="_x0000_s1212" style="position:absolute;left:8271;top:8429;width:113;height:114" fillcolor="#ff8080" strokeweight=".95pt"/>
            <v:rect id="_x0000_s1213" style="position:absolute;left:8422;top:8409;width:971;height:140" filled="f" stroked="f">
              <v:textbox style="mso-fit-shape-to-text:t" inset="0,0,0,0">
                <w:txbxContent>
                  <w:p w:rsidR="009F08D6" w:rsidRPr="009822F5" w:rsidRDefault="009F08D6" w:rsidP="00E07FDD">
                    <w:pPr>
                      <w:spacing w:line="140" w:lineRule="exact"/>
                      <w:rPr>
                        <w:bCs/>
                        <w:color w:val="000000"/>
                        <w:sz w:val="12"/>
                        <w:szCs w:val="12"/>
                      </w:rPr>
                    </w:pPr>
                    <w:r w:rsidRPr="009822F5">
                      <w:rPr>
                        <w:bCs/>
                        <w:color w:val="000000"/>
                        <w:sz w:val="12"/>
                        <w:szCs w:val="12"/>
                      </w:rPr>
                      <w:t>Escuela especial</w:t>
                    </w:r>
                  </w:p>
                </w:txbxContent>
              </v:textbox>
            </v:rect>
            <v:shape id="_x0000_s1214" style="position:absolute;left:2464;top:7067;width:6960;height:3368" coordsize="6960,3368" path="m6828,r19,l6885,r19,19l6923,38r19,19l6942,75r18,19l6960,132r,3123l6960,3274r-18,19l6942,3312r-19,18l6904,3349r-19,19l6847,3368r-19,l132,3368r-38,l75,3368,56,3349,38,3330,19,3312,,3293r,-19l,3255,,132,,94,,75,19,57,38,38,56,19,75,,94,r38,l6828,e" filled="f" strokeweight=".95pt">
              <v:path arrowok="t"/>
            </v:shape>
          </v:group>
        </w:pict>
      </w:r>
    </w:p>
    <w:p w:rsidR="00E07FDD" w:rsidRDefault="00E07FDD" w:rsidP="00E07FDD">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E07FDD" w:rsidRDefault="00E07FDD" w:rsidP="00E07FDD">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E07FDD" w:rsidRDefault="00E07FDD" w:rsidP="00E07FDD">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E07FDD" w:rsidRDefault="00E07FDD" w:rsidP="00E07FDD">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E07FDD" w:rsidRDefault="00E07FDD" w:rsidP="00E07FDD">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E07FDD" w:rsidRDefault="00E07FDD" w:rsidP="00E07FDD">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E07FDD" w:rsidRDefault="00E07FDD" w:rsidP="00E07FDD">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E07FDD" w:rsidRDefault="00E07FDD" w:rsidP="00E07FDD">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E07FDD" w:rsidRDefault="00E07FDD" w:rsidP="00E07FDD">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E07FDD" w:rsidRDefault="00E07FDD" w:rsidP="00E07FDD">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CB4C62" w:rsidRPr="004668C9" w:rsidRDefault="00CB4C62" w:rsidP="00CB4C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3" w:name="_Hlt307576076"/>
      <w:bookmarkStart w:id="34" w:name="_Hlt307576077"/>
      <w:r>
        <w:br w:type="page"/>
      </w:r>
      <w:r w:rsidRPr="004668C9">
        <w:tab/>
      </w:r>
      <w:r w:rsidRPr="004668C9">
        <w:tab/>
        <w:t xml:space="preserve">Directoras de instituciones educativas y jefas de departamento </w:t>
      </w:r>
    </w:p>
    <w:p w:rsidR="00CB4C62" w:rsidRPr="004668C9" w:rsidRDefault="00CB4C62" w:rsidP="00CB4C62">
      <w:pPr>
        <w:pStyle w:val="SingleTxt"/>
        <w:spacing w:after="0" w:line="120" w:lineRule="exact"/>
        <w:rPr>
          <w:sz w:val="10"/>
        </w:rPr>
      </w:pPr>
    </w:p>
    <w:p w:rsidR="00CB4C62" w:rsidRPr="004668C9" w:rsidRDefault="00CB4C62" w:rsidP="00CB4C62">
      <w:pPr>
        <w:pStyle w:val="SingleTxt"/>
        <w:numPr>
          <w:ilvl w:val="0"/>
          <w:numId w:val="1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bookmarkStart w:id="35" w:name="_Hlt307576751"/>
      <w:bookmarkStart w:id="36" w:name="_Hlt307576752"/>
      <w:bookmarkEnd w:id="33"/>
      <w:bookmarkEnd w:id="34"/>
      <w:r w:rsidRPr="004668C9">
        <w:t xml:space="preserve">Hay un total de 605 administradores de instituciones educativas en las Bahamas. El término </w:t>
      </w:r>
      <w:r>
        <w:t>“</w:t>
      </w:r>
      <w:r w:rsidRPr="004668C9">
        <w:t>administrador de instituciones educativas</w:t>
      </w:r>
      <w:r>
        <w:t>”</w:t>
      </w:r>
      <w:r w:rsidRPr="004668C9">
        <w:t xml:space="preserve"> comprende a directores, subdirectores y directores generales. De esta cifra, 383 son mujeres. Esto representa el 63,3% de la fuerza de trabajo en esta esfera. El cuadro que figura a continuación muestra la distribución de las administradoras en el sistema.</w:t>
      </w:r>
    </w:p>
    <w:bookmarkEnd w:id="35"/>
    <w:bookmarkEnd w:id="36"/>
    <w:p w:rsidR="00CB4C62" w:rsidRPr="004668C9" w:rsidRDefault="00CB4C62" w:rsidP="00CB4C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CB4C62" w:rsidRPr="004668C9" w:rsidRDefault="00CB4C62" w:rsidP="00CB4C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19" w:hanging="1267"/>
      </w:pPr>
      <w:r w:rsidRPr="004668C9">
        <w:tab/>
      </w:r>
      <w:r w:rsidRPr="004668C9">
        <w:tab/>
        <w:t>Distribución de administradoras en las Bahamas por tipo de institución educativa</w:t>
      </w:r>
    </w:p>
    <w:p w:rsidR="00CB4C62" w:rsidRPr="004668C9" w:rsidRDefault="00CB4C62" w:rsidP="00CB4C62">
      <w:pPr>
        <w:pStyle w:val="SingleTxt"/>
        <w:spacing w:after="0" w:line="120" w:lineRule="exact"/>
        <w:rPr>
          <w:sz w:val="10"/>
        </w:rPr>
      </w:pPr>
    </w:p>
    <w:p w:rsidR="00CB4C62" w:rsidRPr="004668C9" w:rsidRDefault="00CB4C62" w:rsidP="00CB4C62">
      <w:pPr>
        <w:pStyle w:val="SingleTxt"/>
        <w:suppressAutoHyphens/>
      </w:pPr>
      <w:r w:rsidRPr="004668C9">
        <w:t>Gráfico de barras 2</w:t>
      </w:r>
    </w:p>
    <w:p w:rsidR="00CB4C62" w:rsidRPr="004668C9" w:rsidRDefault="00CB4C62" w:rsidP="00CB4C62">
      <w:pPr>
        <w:pStyle w:val="SingleTxt"/>
        <w:suppressAutoHyphens/>
        <w:spacing w:after="0" w:line="120" w:lineRule="exact"/>
        <w:rPr>
          <w:sz w:val="10"/>
        </w:rPr>
      </w:pPr>
    </w:p>
    <w:p w:rsidR="00CB4C62" w:rsidRPr="004668C9" w:rsidRDefault="00CB4C62" w:rsidP="00CB4C62">
      <w:pPr>
        <w:pStyle w:val="SingleTxt"/>
        <w:suppressAutoHyphens/>
      </w:pPr>
      <w:r w:rsidRPr="004668C9">
        <w:rPr>
          <w:w w:val="100"/>
        </w:rPr>
        <w:pict>
          <v:group id="_x0000_s1215" style="position:absolute;left:0;text-align:left;margin-left:64.75pt;margin-top:2.45pt;width:370.35pt;height:184.55pt;z-index:3" coordorigin="2560,5215" coordsize="7271,3623">
            <o:lock v:ext="edit" aspectratio="t"/>
            <v:roundrect id="_x0000_s1216" style="position:absolute;left:2581;top:5236;width:7250;height:3525" arcsize="2640f" fillcolor="black" stroked="f">
              <o:lock v:ext="edit" aspectratio="t"/>
            </v:roundrect>
            <v:rect id="_x0000_s1217" style="position:absolute;left:2560;top:5215;width:7250;height:347" fillcolor="#ccf" stroked="f">
              <o:lock v:ext="edit" aspectratio="t"/>
            </v:rect>
            <v:rect id="_x0000_s1218" style="position:absolute;left:2560;top:5562;width:7250;height:273" fillcolor="#caccff" stroked="f">
              <o:lock v:ext="edit" aspectratio="t"/>
            </v:rect>
            <v:rect id="_x0000_s1219" style="position:absolute;left:2560;top:5835;width:7250;height:200" fillcolor="#c8ccff" stroked="f">
              <o:lock v:ext="edit" aspectratio="t"/>
            </v:rect>
            <v:rect id="_x0000_s1220" style="position:absolute;left:2560;top:6035;width:7250;height:148" fillcolor="#c6ccff" stroked="f">
              <o:lock v:ext="edit" aspectratio="t"/>
            </v:rect>
            <v:rect id="_x0000_s1221" style="position:absolute;left:2560;top:6183;width:7250;height:126" fillcolor="#c4ccff" stroked="f">
              <o:lock v:ext="edit" aspectratio="t"/>
            </v:rect>
            <v:rect id="_x0000_s1222" style="position:absolute;left:2560;top:6309;width:7250;height:105" fillcolor="#c2ccff" stroked="f">
              <o:lock v:ext="edit" aspectratio="t"/>
            </v:rect>
            <v:rect id="_x0000_s1223" style="position:absolute;left:2560;top:6414;width:7250;height:116" fillcolor="#c0ccff" stroked="f">
              <o:lock v:ext="edit" aspectratio="t"/>
            </v:rect>
            <v:rect id="_x0000_s1224" style="position:absolute;left:2560;top:6530;width:7250;height:95" fillcolor="#beccff" stroked="f">
              <o:lock v:ext="edit" aspectratio="t"/>
            </v:rect>
            <v:rect id="_x0000_s1225" style="position:absolute;left:2560;top:6625;width:7250;height:94" fillcolor="#bcccff" stroked="f">
              <o:lock v:ext="edit" aspectratio="t"/>
            </v:rect>
            <v:rect id="_x0000_s1226" style="position:absolute;left:2560;top:6719;width:7250;height:95" fillcolor="#baccff" stroked="f">
              <o:lock v:ext="edit" aspectratio="t"/>
            </v:rect>
            <v:rect id="_x0000_s1227" style="position:absolute;left:2560;top:6814;width:7250;height:84" fillcolor="#b8ccff" stroked="f">
              <o:lock v:ext="edit" aspectratio="t"/>
            </v:rect>
            <v:rect id="_x0000_s1228" style="position:absolute;left:2560;top:6898;width:7250;height:84" fillcolor="#b6ccff" stroked="f">
              <o:lock v:ext="edit" aspectratio="t"/>
            </v:rect>
            <v:rect id="_x0000_s1229" style="position:absolute;left:2560;top:6982;width:7250;height:74" fillcolor="#b4ccff" stroked="f">
              <o:lock v:ext="edit" aspectratio="t"/>
            </v:rect>
            <v:rect id="_x0000_s1230" style="position:absolute;left:2560;top:7056;width:7250;height:84" fillcolor="#b2ccff" stroked="f">
              <o:lock v:ext="edit" aspectratio="t"/>
            </v:rect>
            <v:rect id="_x0000_s1231" style="position:absolute;left:2560;top:7140;width:7250;height:85" fillcolor="#b0ccff" stroked="f">
              <o:lock v:ext="edit" aspectratio="t"/>
            </v:rect>
            <v:rect id="_x0000_s1232" style="position:absolute;left:2560;top:7225;width:7250;height:94" fillcolor="#aeccff" stroked="f">
              <o:lock v:ext="edit" aspectratio="t"/>
            </v:rect>
            <v:rect id="_x0000_s1233" style="position:absolute;left:2560;top:7319;width:7250;height:84" fillcolor="#acccff" stroked="f">
              <o:lock v:ext="edit" aspectratio="t"/>
            </v:rect>
            <v:rect id="_x0000_s1234" style="position:absolute;left:2560;top:7403;width:7250;height:85" fillcolor="#acf" stroked="f">
              <o:lock v:ext="edit" aspectratio="t"/>
            </v:rect>
            <v:rect id="_x0000_s1235" style="position:absolute;left:2560;top:7488;width:7250;height:94" fillcolor="#a8ccff" stroked="f">
              <o:lock v:ext="edit" aspectratio="t"/>
            </v:rect>
            <v:rect id="_x0000_s1236" style="position:absolute;left:2560;top:7582;width:7250;height:116" fillcolor="#a6ccff" stroked="f">
              <o:lock v:ext="edit" aspectratio="t"/>
            </v:rect>
            <v:rect id="_x0000_s1237" style="position:absolute;left:2560;top:7698;width:7250;height:95" fillcolor="#a4ccff" stroked="f">
              <o:lock v:ext="edit" aspectratio="t"/>
            </v:rect>
            <v:rect id="_x0000_s1238" style="position:absolute;left:2560;top:7793;width:7250;height:115" fillcolor="#a2ccff" stroked="f">
              <o:lock v:ext="edit" aspectratio="t"/>
            </v:rect>
            <v:rect id="_x0000_s1239" style="position:absolute;left:2560;top:7908;width:7250;height:137" fillcolor="#a0ccff" stroked="f">
              <o:lock v:ext="edit" aspectratio="t"/>
            </v:rect>
            <v:rect id="_x0000_s1240" style="position:absolute;left:2560;top:8045;width:7250;height:169" fillcolor="#9eccff" stroked="f">
              <o:lock v:ext="edit" aspectratio="t"/>
            </v:rect>
            <v:rect id="_x0000_s1241" style="position:absolute;left:2560;top:8214;width:7250;height:252" fillcolor="#9cccff" stroked="f">
              <o:lock v:ext="edit" aspectratio="t"/>
            </v:rect>
            <v:rect id="_x0000_s1242" style="position:absolute;left:2560;top:8466;width:7250;height:274" fillcolor="#9cf" stroked="f">
              <o:lock v:ext="edit" aspectratio="t"/>
            </v:rect>
            <v:shape id="_x0000_s1243" style="position:absolute;left:2560;top:5215;width:7240;height:3514" coordsize="10976,5344" path="m10768,hdc10880,,10976,96,10976,208hal10976,5136hdc10976,5248,10880,5344,10768,5344hal208,5344hdc96,5344,,5248,,5136hal,208hdc,96,96,,208,hal10768,hdxe" filled="f" strokeweight=".55pt">
              <v:stroke endcap="round"/>
              <v:path arrowok="t"/>
              <o:lock v:ext="edit" aspectratio="t"/>
            </v:shape>
            <v:rect id="_x0000_s1244" style="position:absolute;left:3035;top:5467;width:6670;height:274" fillcolor="#ccf" stroked="f">
              <o:lock v:ext="edit" aspectratio="t"/>
            </v:rect>
            <v:rect id="_x0000_s1245" style="position:absolute;left:3035;top:5741;width:6670;height:221" fillcolor="#caccff" stroked="f">
              <o:lock v:ext="edit" aspectratio="t"/>
            </v:rect>
            <v:rect id="_x0000_s1246" style="position:absolute;left:3035;top:5962;width:6670;height:147" fillcolor="#c8ccff" stroked="f">
              <o:lock v:ext="edit" aspectratio="t"/>
            </v:rect>
            <v:rect id="_x0000_s1247" style="position:absolute;left:3035;top:6109;width:6670;height:116" fillcolor="#c6ccff" stroked="f">
              <o:lock v:ext="edit" aspectratio="t"/>
            </v:rect>
            <v:rect id="_x0000_s1248" style="position:absolute;left:3035;top:6225;width:6670;height:95" fillcolor="#c4ccff" stroked="f">
              <o:lock v:ext="edit" aspectratio="t"/>
            </v:rect>
            <v:rect id="_x0000_s1249" style="position:absolute;left:3035;top:6320;width:6670;height:94" fillcolor="#c2ccff" stroked="f">
              <o:lock v:ext="edit" aspectratio="t"/>
            </v:rect>
            <v:rect id="_x0000_s1250" style="position:absolute;left:3035;top:6414;width:6670;height:84" fillcolor="#c0ccff" stroked="f">
              <o:lock v:ext="edit" aspectratio="t"/>
            </v:rect>
            <v:rect id="_x0000_s1251" style="position:absolute;left:3035;top:6498;width:6670;height:74" fillcolor="#beccff" stroked="f">
              <o:lock v:ext="edit" aspectratio="t"/>
            </v:rect>
            <v:rect id="_x0000_s1252" style="position:absolute;left:3035;top:6572;width:6670;height:74" fillcolor="#bcccff" stroked="f">
              <o:lock v:ext="edit" aspectratio="t"/>
            </v:rect>
            <v:rect id="_x0000_s1253" style="position:absolute;left:3035;top:6646;width:6670;height:73" fillcolor="#baccff" stroked="f">
              <o:lock v:ext="edit" aspectratio="t"/>
            </v:rect>
            <v:rect id="_x0000_s1254" style="position:absolute;left:3035;top:6719;width:6670;height:64" fillcolor="#b8ccff" stroked="f">
              <o:lock v:ext="edit" aspectratio="t"/>
            </v:rect>
            <v:rect id="_x0000_s1255" style="position:absolute;left:3035;top:6783;width:6670;height:73" fillcolor="#b6ccff" stroked="f">
              <o:lock v:ext="edit" aspectratio="t"/>
            </v:rect>
            <v:rect id="_x0000_s1256" style="position:absolute;left:3035;top:6856;width:6670;height:63" fillcolor="#b4ccff" stroked="f">
              <o:lock v:ext="edit" aspectratio="t"/>
            </v:rect>
            <v:rect id="_x0000_s1257" style="position:absolute;left:3035;top:6919;width:6670;height:63" fillcolor="#b2ccff" stroked="f">
              <o:lock v:ext="edit" aspectratio="t"/>
            </v:rect>
            <v:rect id="_x0000_s1258" style="position:absolute;left:3035;top:6982;width:6670;height:64" fillcolor="#b0ccff" stroked="f">
              <o:lock v:ext="edit" aspectratio="t"/>
            </v:rect>
            <v:rect id="_x0000_s1259" style="position:absolute;left:3035;top:7046;width:6670;height:73" fillcolor="#aeccff" stroked="f">
              <o:lock v:ext="edit" aspectratio="t"/>
            </v:rect>
            <v:rect id="_x0000_s1260" style="position:absolute;left:3035;top:7119;width:6670;height:63" fillcolor="#acccff" stroked="f">
              <o:lock v:ext="edit" aspectratio="t"/>
            </v:rect>
            <v:rect id="_x0000_s1261" style="position:absolute;left:3035;top:7182;width:6670;height:64" fillcolor="#acf" stroked="f">
              <o:lock v:ext="edit" aspectratio="t"/>
            </v:rect>
            <v:rect id="_x0000_s1262" style="position:absolute;left:3035;top:7246;width:6670;height:84" fillcolor="#a8ccff" stroked="f">
              <o:lock v:ext="edit" aspectratio="t"/>
            </v:rect>
            <v:rect id="_x0000_s1263" style="position:absolute;left:3035;top:7330;width:6670;height:84" fillcolor="#a6ccff" stroked="f">
              <o:lock v:ext="edit" aspectratio="t"/>
            </v:rect>
            <v:rect id="_x0000_s1264" style="position:absolute;left:3035;top:7414;width:6670;height:74" fillcolor="#a4ccff" stroked="f">
              <o:lock v:ext="edit" aspectratio="t"/>
            </v:rect>
            <v:rect id="_x0000_s1265" style="position:absolute;left:3035;top:7488;width:6670;height:94" fillcolor="#a2ccff" stroked="f">
              <o:lock v:ext="edit" aspectratio="t"/>
            </v:rect>
            <v:rect id="_x0000_s1266" style="position:absolute;left:3035;top:7582;width:6670;height:106" fillcolor="#a0ccff" stroked="f">
              <o:lock v:ext="edit" aspectratio="t"/>
            </v:rect>
            <v:rect id="_x0000_s1267" style="position:absolute;left:3035;top:7688;width:6670;height:136" fillcolor="#9eccff" stroked="f">
              <o:lock v:ext="edit" aspectratio="t"/>
            </v:rect>
            <v:rect id="_x0000_s1268" style="position:absolute;left:3035;top:7824;width:6670;height:190" fillcolor="#9cccff" stroked="f">
              <o:lock v:ext="edit" aspectratio="t"/>
            </v:rect>
            <v:rect id="_x0000_s1269" style="position:absolute;left:3035;top:8014;width:6670;height:210" fillcolor="#9cf" stroked="f">
              <o:lock v:ext="edit" aspectratio="t"/>
            </v:rect>
            <v:rect id="_x0000_s1270" style="position:absolute;left:3035;top:5467;width:6670;height:2757" filled="f" stroked="f">
              <o:lock v:ext="edit" aspectratio="t"/>
            </v:rect>
            <v:rect id="_x0000_s1271" style="position:absolute;left:3035;top:5467;width:6670;height:2757" filled="f" strokecolor="gray" strokeweight=".55pt">
              <o:lock v:ext="edit" aspectratio="t"/>
            </v:rect>
            <v:rect id="_x0000_s1272" style="position:absolute;left:3436;top:5951;width:527;height:2273" fillcolor="#339" strokeweight=".55pt">
              <o:lock v:ext="edit" aspectratio="t"/>
            </v:rect>
            <v:rect id="_x0000_s1273" style="position:absolute;left:4766;top:8098;width:538;height:126" fillcolor="#339" strokeweight=".55pt">
              <o:lock v:ext="edit" aspectratio="t"/>
            </v:rect>
            <v:rect id="_x0000_s1274" style="position:absolute;left:6106;top:7772;width:528;height:452" fillcolor="#339" strokeweight=".55pt">
              <o:lock v:ext="edit" aspectratio="t"/>
            </v:rect>
            <v:rect id="_x0000_s1275" style="position:absolute;left:7436;top:7719;width:538;height:505" fillcolor="#339" strokeweight=".55pt">
              <o:lock v:ext="edit" aspectratio="t"/>
            </v:rect>
            <v:rect id="_x0000_s1276" style="position:absolute;left:8776;top:8056;width:528;height:168" fillcolor="#339" strokeweight=".55pt">
              <o:lock v:ext="edit" aspectratio="t"/>
            </v:rect>
            <v:line id="_x0000_s1277" style="position:absolute" from="3035,5467" to="3035,8224" strokeweight="0">
              <o:lock v:ext="edit" aspectratio="t"/>
            </v:line>
            <v:line id="_x0000_s1278" style="position:absolute" from="2982,8224" to="3035,8224" strokeweight="0">
              <o:lock v:ext="edit" aspectratio="t"/>
            </v:line>
            <v:line id="_x0000_s1279" style="position:absolute" from="2982,7761" to="3035,7761" strokeweight="0">
              <o:lock v:ext="edit" aspectratio="t"/>
            </v:line>
            <v:line id="_x0000_s1280" style="position:absolute" from="2982,7309" to="3035,7309" strokeweight="0">
              <o:lock v:ext="edit" aspectratio="t"/>
            </v:line>
            <v:line id="_x0000_s1281" style="position:absolute" from="2982,6846" to="3035,6846" strokeweight="0">
              <o:lock v:ext="edit" aspectratio="t"/>
            </v:line>
            <v:line id="_x0000_s1282" style="position:absolute" from="2982,6383" to="3035,6383" strokeweight="0">
              <o:lock v:ext="edit" aspectratio="t"/>
            </v:line>
            <v:line id="_x0000_s1283" style="position:absolute" from="2982,5930" to="3035,5930" strokeweight="0">
              <o:lock v:ext="edit" aspectratio="t"/>
            </v:line>
            <v:line id="_x0000_s1284" style="position:absolute" from="2982,5467" to="3035,5467" strokeweight="0">
              <o:lock v:ext="edit" aspectratio="t"/>
            </v:line>
            <v:line id="_x0000_s1285" style="position:absolute" from="3035,8224" to="9705,8224" strokeweight="0">
              <o:lock v:ext="edit" aspectratio="t"/>
            </v:line>
            <v:line id="_x0000_s1286" style="position:absolute;flip:y" from="3035,8224" to="3035,8277" strokeweight="0">
              <o:lock v:ext="edit" aspectratio="t"/>
            </v:line>
            <v:line id="_x0000_s1287" style="position:absolute;flip:y" from="4364,8224" to="4364,8277" strokeweight="0">
              <o:lock v:ext="edit" aspectratio="t"/>
            </v:line>
            <v:line id="_x0000_s1288" style="position:absolute;flip:y" from="5705,8224" to="5705,8277" strokeweight="0">
              <o:lock v:ext="edit" aspectratio="t"/>
            </v:line>
            <v:line id="_x0000_s1289" style="position:absolute;flip:y" from="7035,8224" to="7035,8277" strokeweight="0">
              <o:lock v:ext="edit" aspectratio="t"/>
            </v:line>
            <v:line id="_x0000_s1290" style="position:absolute;flip:y" from="8375,8224" to="8375,8277" strokeweight="0">
              <o:lock v:ext="edit" aspectratio="t"/>
            </v:line>
            <v:line id="_x0000_s1291" style="position:absolute;flip:y" from="9705,8224" to="9705,8277" strokeweight="0">
              <o:lock v:ext="edit" aspectratio="t"/>
            </v:line>
            <v:rect id="_x0000_s1292" style="position:absolute;left:3554;top:5704;width:326;height:240" filled="f" stroked="f">
              <o:lock v:ext="edit" aspectratio="t"/>
              <v:textbox style="mso-next-textbox:#_x0000_s1292" inset="0,0,0,0">
                <w:txbxContent>
                  <w:p w:rsidR="009F08D6" w:rsidRPr="00D906EC" w:rsidRDefault="009F08D6" w:rsidP="00CB4C62">
                    <w:r w:rsidRPr="00D906EC">
                      <w:rPr>
                        <w:bCs/>
                        <w:color w:val="000000"/>
                        <w:sz w:val="16"/>
                        <w:szCs w:val="16"/>
                      </w:rPr>
                      <w:t>247</w:t>
                    </w:r>
                  </w:p>
                </w:txbxContent>
              </v:textbox>
            </v:rect>
            <v:rect id="_x0000_s1293" style="position:absolute;left:4955;top:7835;width:175;height:480" filled="f" stroked="f">
              <o:lock v:ext="edit" aspectratio="t"/>
              <v:textbox style="mso-next-textbox:#_x0000_s1293" inset="0,0,0,0">
                <w:txbxContent>
                  <w:p w:rsidR="009F08D6" w:rsidRPr="00D906EC" w:rsidRDefault="009F08D6" w:rsidP="00CB4C62">
                    <w:r w:rsidRPr="00D906EC">
                      <w:rPr>
                        <w:bCs/>
                        <w:color w:val="000000"/>
                        <w:sz w:val="16"/>
                        <w:szCs w:val="16"/>
                      </w:rPr>
                      <w:t>14</w:t>
                    </w:r>
                  </w:p>
                </w:txbxContent>
              </v:textbox>
            </v:rect>
            <v:rect id="_x0000_s1294" style="position:absolute;left:6296;top:7509;width:175;height:480" filled="f" stroked="f">
              <o:lock v:ext="edit" aspectratio="t"/>
              <v:textbox style="mso-next-textbox:#_x0000_s1294" inset="0,0,0,0">
                <w:txbxContent>
                  <w:p w:rsidR="009F08D6" w:rsidRPr="00D906EC" w:rsidRDefault="009F08D6" w:rsidP="00CB4C62">
                    <w:r w:rsidRPr="00D906EC">
                      <w:rPr>
                        <w:bCs/>
                        <w:color w:val="000000"/>
                        <w:sz w:val="16"/>
                        <w:szCs w:val="16"/>
                      </w:rPr>
                      <w:t>49</w:t>
                    </w:r>
                  </w:p>
                </w:txbxContent>
              </v:textbox>
            </v:rect>
            <v:rect id="_x0000_s1295" style="position:absolute;left:7626;top:7456;width:175;height:480" filled="f" stroked="f">
              <o:lock v:ext="edit" aspectratio="t"/>
              <v:textbox style="mso-next-textbox:#_x0000_s1295" inset="0,0,0,0">
                <w:txbxContent>
                  <w:p w:rsidR="009F08D6" w:rsidRPr="00D906EC" w:rsidRDefault="009F08D6" w:rsidP="00CB4C62">
                    <w:r w:rsidRPr="00D906EC">
                      <w:rPr>
                        <w:bCs/>
                        <w:color w:val="000000"/>
                        <w:sz w:val="16"/>
                        <w:szCs w:val="16"/>
                      </w:rPr>
                      <w:t>55</w:t>
                    </w:r>
                  </w:p>
                </w:txbxContent>
              </v:textbox>
            </v:rect>
            <v:rect id="_x0000_s1296" style="position:absolute;left:8966;top:7793;width:175;height:480" filled="f" stroked="f">
              <o:lock v:ext="edit" aspectratio="t"/>
              <v:textbox style="mso-next-textbox:#_x0000_s1296" inset="0,0,0,0">
                <w:txbxContent>
                  <w:p w:rsidR="009F08D6" w:rsidRPr="00D906EC" w:rsidRDefault="009F08D6" w:rsidP="00CB4C62">
                    <w:r w:rsidRPr="00D906EC">
                      <w:rPr>
                        <w:bCs/>
                        <w:color w:val="000000"/>
                        <w:sz w:val="16"/>
                        <w:szCs w:val="16"/>
                      </w:rPr>
                      <w:t>18</w:t>
                    </w:r>
                  </w:p>
                </w:txbxContent>
              </v:textbox>
            </v:rect>
            <v:rect id="_x0000_s1297" style="position:absolute;left:2845;top:8073;width:88;height:240" filled="f" stroked="f">
              <o:lock v:ext="edit" aspectratio="t"/>
              <v:textbox style="mso-next-textbox:#_x0000_s1297" inset="0,0,0,0">
                <w:txbxContent>
                  <w:p w:rsidR="009F08D6" w:rsidRPr="00D906EC" w:rsidRDefault="009F08D6" w:rsidP="00CB4C62">
                    <w:r w:rsidRPr="00D906EC">
                      <w:rPr>
                        <w:bCs/>
                        <w:color w:val="000000"/>
                        <w:sz w:val="16"/>
                        <w:szCs w:val="16"/>
                      </w:rPr>
                      <w:t>0</w:t>
                    </w:r>
                  </w:p>
                </w:txbxContent>
              </v:textbox>
            </v:rect>
            <v:rect id="_x0000_s1298" style="position:absolute;left:2758;top:7618;width:175;height:480" filled="f" stroked="f">
              <o:lock v:ext="edit" aspectratio="t"/>
              <v:textbox style="mso-next-textbox:#_x0000_s1298" inset="0,0,0,0">
                <w:txbxContent>
                  <w:p w:rsidR="009F08D6" w:rsidRPr="00D906EC" w:rsidRDefault="009F08D6" w:rsidP="00CB4C62">
                    <w:r w:rsidRPr="00D906EC">
                      <w:rPr>
                        <w:bCs/>
                        <w:color w:val="000000"/>
                        <w:sz w:val="16"/>
                        <w:szCs w:val="16"/>
                      </w:rPr>
                      <w:t>50</w:t>
                    </w:r>
                  </w:p>
                </w:txbxContent>
              </v:textbox>
            </v:rect>
            <v:rect id="_x0000_s1299" style="position:absolute;left:2670;top:7166;width:263;height:480" filled="f" stroked="f">
              <o:lock v:ext="edit" aspectratio="t"/>
              <v:textbox style="mso-next-textbox:#_x0000_s1299" inset="0,0,0,0">
                <w:txbxContent>
                  <w:p w:rsidR="009F08D6" w:rsidRPr="00D906EC" w:rsidRDefault="009F08D6" w:rsidP="00CB4C62">
                    <w:r w:rsidRPr="00D906EC">
                      <w:rPr>
                        <w:bCs/>
                        <w:color w:val="000000"/>
                        <w:sz w:val="16"/>
                        <w:szCs w:val="16"/>
                      </w:rPr>
                      <w:t>100</w:t>
                    </w:r>
                  </w:p>
                </w:txbxContent>
              </v:textbox>
            </v:rect>
            <v:rect id="_x0000_s1300" style="position:absolute;left:2671;top:6703;width:262;height:480" filled="f" stroked="f">
              <o:lock v:ext="edit" aspectratio="t"/>
              <v:textbox style="mso-next-textbox:#_x0000_s1300" inset="0,0,0,0">
                <w:txbxContent>
                  <w:p w:rsidR="009F08D6" w:rsidRPr="00D906EC" w:rsidRDefault="009F08D6" w:rsidP="00CB4C62">
                    <w:r w:rsidRPr="00D906EC">
                      <w:rPr>
                        <w:bCs/>
                        <w:color w:val="000000"/>
                        <w:sz w:val="16"/>
                        <w:szCs w:val="16"/>
                      </w:rPr>
                      <w:t>150</w:t>
                    </w:r>
                  </w:p>
                </w:txbxContent>
              </v:textbox>
            </v:rect>
            <v:rect id="_x0000_s1301" style="position:absolute;left:2671;top:6248;width:262;height:480" filled="f" stroked="f">
              <o:lock v:ext="edit" aspectratio="t"/>
              <v:textbox style="mso-next-textbox:#_x0000_s1301" inset="0,0,0,0">
                <w:txbxContent>
                  <w:p w:rsidR="009F08D6" w:rsidRPr="00D906EC" w:rsidRDefault="009F08D6" w:rsidP="00CB4C62">
                    <w:r w:rsidRPr="00D906EC">
                      <w:rPr>
                        <w:bCs/>
                        <w:color w:val="000000"/>
                        <w:sz w:val="16"/>
                        <w:szCs w:val="16"/>
                      </w:rPr>
                      <w:t>200</w:t>
                    </w:r>
                  </w:p>
                </w:txbxContent>
              </v:textbox>
            </v:rect>
            <v:rect id="_x0000_s1302" style="position:absolute;left:2671;top:5795;width:262;height:480" filled="f" stroked="f">
              <o:lock v:ext="edit" aspectratio="t"/>
              <v:textbox style="mso-next-textbox:#_x0000_s1302" inset="0,0,0,0">
                <w:txbxContent>
                  <w:p w:rsidR="009F08D6" w:rsidRPr="00D906EC" w:rsidRDefault="009F08D6" w:rsidP="00CB4C62">
                    <w:r w:rsidRPr="00D906EC">
                      <w:rPr>
                        <w:bCs/>
                        <w:color w:val="000000"/>
                        <w:sz w:val="16"/>
                        <w:szCs w:val="16"/>
                      </w:rPr>
                      <w:t>250</w:t>
                    </w:r>
                  </w:p>
                </w:txbxContent>
              </v:textbox>
            </v:rect>
            <v:rect id="_x0000_s1303" style="position:absolute;left:2670;top:5332;width:263;height:480" filled="f" stroked="f">
              <o:lock v:ext="edit" aspectratio="t"/>
              <v:textbox style="mso-next-textbox:#_x0000_s1303" inset="0,0,0,0">
                <w:txbxContent>
                  <w:p w:rsidR="009F08D6" w:rsidRPr="00D906EC" w:rsidRDefault="009F08D6" w:rsidP="00CB4C62">
                    <w:r w:rsidRPr="00D906EC">
                      <w:rPr>
                        <w:bCs/>
                        <w:color w:val="000000"/>
                        <w:sz w:val="16"/>
                        <w:szCs w:val="16"/>
                      </w:rPr>
                      <w:t>300</w:t>
                    </w:r>
                  </w:p>
                </w:txbxContent>
              </v:textbox>
            </v:rect>
            <v:rect id="_x0000_s1304" style="position:absolute;left:3414;top:8286;width:600;height:368" filled="f" stroked="f">
              <o:lock v:ext="edit" aspectratio="t"/>
              <v:textbox style="mso-next-textbox:#_x0000_s1304" inset="0,0,0,0">
                <w:txbxContent>
                  <w:p w:rsidR="009F08D6" w:rsidRPr="00D906EC" w:rsidRDefault="009F08D6" w:rsidP="00CB4C62">
                    <w:pPr>
                      <w:spacing w:line="240" w:lineRule="auto"/>
                      <w:jc w:val="center"/>
                    </w:pPr>
                    <w:r>
                      <w:rPr>
                        <w:bCs/>
                        <w:color w:val="000000"/>
                        <w:sz w:val="16"/>
                        <w:szCs w:val="16"/>
                      </w:rPr>
                      <w:t>Primaria</w:t>
                    </w:r>
                  </w:p>
                </w:txbxContent>
              </v:textbox>
            </v:rect>
            <v:rect id="_x0000_s1305" style="position:absolute;left:4545;top:8286;width:967;height:552" filled="f" stroked="f">
              <o:lock v:ext="edit" aspectratio="t"/>
              <v:textbox style="mso-next-textbox:#_x0000_s1305" inset="0,0,0,0">
                <w:txbxContent>
                  <w:p w:rsidR="009F08D6" w:rsidRDefault="009F08D6" w:rsidP="00CB4C62">
                    <w:pPr>
                      <w:spacing w:line="240" w:lineRule="auto"/>
                      <w:jc w:val="center"/>
                      <w:rPr>
                        <w:bCs/>
                        <w:color w:val="000000"/>
                        <w:sz w:val="16"/>
                        <w:szCs w:val="16"/>
                      </w:rPr>
                    </w:pPr>
                    <w:r>
                      <w:rPr>
                        <w:bCs/>
                        <w:color w:val="000000"/>
                        <w:sz w:val="16"/>
                        <w:szCs w:val="16"/>
                      </w:rPr>
                      <w:t>Media</w:t>
                    </w:r>
                  </w:p>
                  <w:p w:rsidR="009F08D6" w:rsidRPr="00D906EC" w:rsidRDefault="009F08D6" w:rsidP="00CB4C62">
                    <w:pPr>
                      <w:spacing w:line="240" w:lineRule="auto"/>
                      <w:jc w:val="center"/>
                    </w:pPr>
                    <w:r>
                      <w:rPr>
                        <w:bCs/>
                        <w:color w:val="000000"/>
                        <w:sz w:val="16"/>
                        <w:szCs w:val="16"/>
                      </w:rPr>
                      <w:t>(primer ciclo)</w:t>
                    </w:r>
                  </w:p>
                </w:txbxContent>
              </v:textbox>
            </v:rect>
            <v:rect id="_x0000_s1306" style="position:absolute;left:5848;top:8286;width:1080;height:552" filled="f" stroked="f">
              <o:lock v:ext="edit" aspectratio="t"/>
              <v:textbox style="mso-next-textbox:#_x0000_s1306" inset="0,0,0,0">
                <w:txbxContent>
                  <w:p w:rsidR="009F08D6" w:rsidRDefault="009F08D6" w:rsidP="00CB4C62">
                    <w:pPr>
                      <w:spacing w:line="240" w:lineRule="auto"/>
                      <w:jc w:val="center"/>
                      <w:rPr>
                        <w:bCs/>
                        <w:color w:val="000000"/>
                        <w:sz w:val="16"/>
                        <w:szCs w:val="16"/>
                      </w:rPr>
                    </w:pPr>
                    <w:r>
                      <w:rPr>
                        <w:bCs/>
                        <w:color w:val="000000"/>
                        <w:sz w:val="16"/>
                        <w:szCs w:val="16"/>
                      </w:rPr>
                      <w:t>Media</w:t>
                    </w:r>
                  </w:p>
                  <w:p w:rsidR="009F08D6" w:rsidRPr="00D906EC" w:rsidRDefault="009F08D6" w:rsidP="00CB4C62">
                    <w:pPr>
                      <w:spacing w:line="240" w:lineRule="auto"/>
                      <w:jc w:val="center"/>
                    </w:pPr>
                    <w:r>
                      <w:rPr>
                        <w:bCs/>
                        <w:color w:val="000000"/>
                        <w:sz w:val="16"/>
                        <w:szCs w:val="16"/>
                      </w:rPr>
                      <w:t>(segundo ciclo)</w:t>
                    </w:r>
                  </w:p>
                </w:txbxContent>
              </v:textbox>
            </v:rect>
            <v:rect id="_x0000_s1307" style="position:absolute;left:7330;top:8286;width:772;height:368" filled="f" stroked="f">
              <o:lock v:ext="edit" aspectratio="t"/>
              <v:textbox style="mso-next-textbox:#_x0000_s1307" inset="0,0,0,0">
                <w:txbxContent>
                  <w:p w:rsidR="009F08D6" w:rsidRPr="00D906EC" w:rsidRDefault="009F08D6" w:rsidP="00CB4C62">
                    <w:pPr>
                      <w:spacing w:line="240" w:lineRule="auto"/>
                      <w:jc w:val="center"/>
                    </w:pPr>
                    <w:r>
                      <w:rPr>
                        <w:bCs/>
                        <w:color w:val="000000"/>
                        <w:sz w:val="16"/>
                        <w:szCs w:val="16"/>
                      </w:rPr>
                      <w:t>Secundaria</w:t>
                    </w:r>
                  </w:p>
                </w:txbxContent>
              </v:textbox>
            </v:rect>
            <v:rect id="_x0000_s1308" style="position:absolute;left:8479;top:8286;width:1148;height:368" filled="f" stroked="f">
              <o:lock v:ext="edit" aspectratio="t"/>
              <v:textbox style="mso-next-textbox:#_x0000_s1308" inset="0,0,0,0">
                <w:txbxContent>
                  <w:p w:rsidR="009F08D6" w:rsidRPr="00D906EC" w:rsidRDefault="009F08D6" w:rsidP="00CB4C62">
                    <w:pPr>
                      <w:spacing w:line="240" w:lineRule="auto"/>
                      <w:jc w:val="center"/>
                    </w:pPr>
                    <w:r>
                      <w:rPr>
                        <w:bCs/>
                        <w:color w:val="000000"/>
                        <w:sz w:val="16"/>
                        <w:szCs w:val="16"/>
                      </w:rPr>
                      <w:t>Escuela especial</w:t>
                    </w:r>
                  </w:p>
                </w:txbxContent>
              </v:textbox>
            </v:rect>
            <v:shape id="_x0000_s1309" style="position:absolute;left:2560;top:5215;width:7240;height:3514" coordsize="10976,5344" path="m10768,hdc10880,,10976,96,10976,208hal10976,5136hdc10976,5248,10880,5344,10768,5344hal208,5344hdc96,5344,,5248,,5136hal,208hdc,96,96,,208,hal10768,hdxe" filled="f" strokeweight=".55pt">
              <v:stroke endcap="round"/>
              <v:path arrowok="t"/>
              <o:lock v:ext="edit" aspectratio="t"/>
            </v:shape>
          </v:group>
        </w:pict>
      </w:r>
    </w:p>
    <w:p w:rsidR="00CB4C62" w:rsidRPr="004668C9" w:rsidRDefault="00CB4C62" w:rsidP="00CB4C62">
      <w:pPr>
        <w:pStyle w:val="SingleTxt"/>
        <w:suppressAutoHyphens/>
      </w:pPr>
    </w:p>
    <w:p w:rsidR="00CB4C62" w:rsidRPr="004668C9" w:rsidRDefault="00CB4C62" w:rsidP="00CB4C62">
      <w:pPr>
        <w:pStyle w:val="SingleTxt"/>
        <w:suppressAutoHyphens/>
      </w:pPr>
    </w:p>
    <w:p w:rsidR="00CB4C62" w:rsidRPr="004668C9" w:rsidRDefault="00CB4C62" w:rsidP="00CB4C62">
      <w:pPr>
        <w:pStyle w:val="SingleTxt"/>
        <w:suppressAutoHyphens/>
      </w:pPr>
    </w:p>
    <w:p w:rsidR="00CB4C62" w:rsidRPr="004668C9" w:rsidRDefault="00CB4C62" w:rsidP="00CB4C62">
      <w:pPr>
        <w:pStyle w:val="SingleTxt"/>
        <w:suppressAutoHyphens/>
      </w:pPr>
    </w:p>
    <w:p w:rsidR="00CB4C62" w:rsidRPr="004668C9" w:rsidRDefault="00CB4C62" w:rsidP="00CB4C62">
      <w:pPr>
        <w:pStyle w:val="SingleTxt"/>
        <w:suppressAutoHyphens/>
      </w:pPr>
    </w:p>
    <w:p w:rsidR="00CB4C62" w:rsidRPr="004668C9" w:rsidRDefault="00CB4C62" w:rsidP="00CB4C62">
      <w:pPr>
        <w:pStyle w:val="SingleTxt"/>
        <w:suppressAutoHyphens/>
      </w:pPr>
    </w:p>
    <w:p w:rsidR="00CB4C62" w:rsidRPr="004668C9" w:rsidRDefault="00CB4C62" w:rsidP="00CB4C62">
      <w:pPr>
        <w:pStyle w:val="SingleTxt"/>
        <w:suppressAutoHyphens/>
      </w:pPr>
    </w:p>
    <w:p w:rsidR="00CB4C62" w:rsidRPr="004668C9" w:rsidRDefault="00CB4C62" w:rsidP="00CB4C62">
      <w:pPr>
        <w:pStyle w:val="SingleTxt"/>
        <w:suppressAutoHyphens/>
      </w:pPr>
    </w:p>
    <w:p w:rsidR="00CB4C62" w:rsidRPr="004668C9" w:rsidRDefault="00CB4C62" w:rsidP="00CB4C62">
      <w:pPr>
        <w:pStyle w:val="SingleTxt"/>
        <w:suppressAutoHyphens/>
      </w:pPr>
    </w:p>
    <w:p w:rsidR="00CB4C62" w:rsidRPr="004668C9" w:rsidRDefault="00CB4C62" w:rsidP="00CB4C62">
      <w:pPr>
        <w:pStyle w:val="SingleTxt"/>
        <w:suppressAutoHyphens/>
        <w:spacing w:after="0" w:line="120" w:lineRule="exact"/>
        <w:rPr>
          <w:sz w:val="10"/>
        </w:rPr>
      </w:pPr>
    </w:p>
    <w:p w:rsidR="00CB4C62" w:rsidRPr="004668C9" w:rsidRDefault="00CB4C62" w:rsidP="00CB4C62">
      <w:pPr>
        <w:pStyle w:val="SingleTxt"/>
        <w:suppressAutoHyphens/>
        <w:spacing w:after="0" w:line="120" w:lineRule="exact"/>
        <w:rPr>
          <w:sz w:val="10"/>
        </w:rPr>
      </w:pPr>
    </w:p>
    <w:p w:rsidR="00CB4C62" w:rsidRPr="004668C9" w:rsidRDefault="00CB4C62" w:rsidP="00CB4C62">
      <w:pPr>
        <w:pStyle w:val="SingleTxt"/>
        <w:suppressAutoHyphens/>
        <w:spacing w:after="0" w:line="120" w:lineRule="exact"/>
        <w:rPr>
          <w:sz w:val="10"/>
        </w:rPr>
      </w:pPr>
      <w:r w:rsidRPr="004668C9">
        <w:rPr>
          <w:w w:val="100"/>
        </w:rPr>
        <w:pict>
          <v:group id="_x0000_s1310" editas="canvas" style="position:absolute;left:0;text-align:left;margin-left:63.1pt;margin-top:5.55pt;width:372.65pt;height:183.85pt;z-index:4" coordorigin="2457,8333" coordsize="7453,3677">
            <o:lock v:ext="edit" aspectratio="t"/>
            <v:shape id="_x0000_s1311" type="#_x0000_t75" style="position:absolute;left:2457;top:8333;width:7453;height:3677" o:preferrelative="f">
              <v:fill o:detectmouseclick="t"/>
              <v:path o:extrusionok="t" o:connecttype="none"/>
              <o:lock v:ext="edit" text="t"/>
            </v:shape>
          </v:group>
        </w:pict>
      </w:r>
    </w:p>
    <w:p w:rsidR="00CB4C62" w:rsidRPr="004668C9" w:rsidRDefault="00CB4C62" w:rsidP="00CB4C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68C9">
        <w:tab/>
      </w:r>
      <w:r w:rsidRPr="004668C9">
        <w:tab/>
        <w:t>Porcentaje de directoras/administradoras de instituciones educativas</w:t>
      </w:r>
    </w:p>
    <w:p w:rsidR="00CB4C62" w:rsidRPr="004668C9" w:rsidRDefault="00CB4C62" w:rsidP="00CB4C62">
      <w:pPr>
        <w:pStyle w:val="SingleTxt"/>
        <w:spacing w:after="0" w:line="120" w:lineRule="exact"/>
        <w:rPr>
          <w:sz w:val="10"/>
        </w:rPr>
      </w:pPr>
    </w:p>
    <w:p w:rsidR="00CB4C62" w:rsidRPr="004668C9" w:rsidRDefault="00CB4C62" w:rsidP="00CB4C62">
      <w:pPr>
        <w:pStyle w:val="SingleTxt"/>
        <w:suppressAutoHyphens/>
      </w:pPr>
      <w:r w:rsidRPr="004668C9">
        <w:t>Diagrama de sectores 2</w:t>
      </w:r>
    </w:p>
    <w:p w:rsidR="00CB4C62" w:rsidRPr="004668C9" w:rsidRDefault="00CB4C62" w:rsidP="00CB4C62">
      <w:pPr>
        <w:pStyle w:val="SingleTxt"/>
        <w:spacing w:after="0" w:line="120" w:lineRule="exact"/>
        <w:rPr>
          <w:sz w:val="10"/>
        </w:rPr>
      </w:pPr>
    </w:p>
    <w:p w:rsidR="00CB4C62" w:rsidRPr="004668C9" w:rsidRDefault="00CB4C62" w:rsidP="00CB4C62">
      <w:pPr>
        <w:pStyle w:val="SingleTxt"/>
        <w:spacing w:after="0" w:line="120" w:lineRule="exact"/>
        <w:rPr>
          <w:sz w:val="10"/>
        </w:rPr>
      </w:pPr>
      <w:r w:rsidRPr="004668C9">
        <w:rPr>
          <w:w w:val="100"/>
        </w:rPr>
        <w:pict>
          <v:group id="_x0000_s1312" style="position:absolute;left:0;text-align:left;margin-left:63.1pt;margin-top:.55pt;width:372.65pt;height:183.85pt;z-index:5" coordorigin="2457,8333" coordsize="7031,3469">
            <o:lock v:ext="edit" aspectratio="t"/>
            <v:rect id="_x0000_s1313" style="position:absolute;left:2457;top:8333;width:77;height:240" filled="f" stroked="f">
              <o:lock v:ext="edit" aspectratio="t"/>
              <v:textbox style="mso-next-textbox:#_x0000_s1313" inset="0,0,0,0">
                <w:txbxContent>
                  <w:p w:rsidR="009F08D6" w:rsidRDefault="009F08D6" w:rsidP="00CB4C62">
                    <w:r>
                      <w:rPr>
                        <w:color w:val="000000"/>
                        <w:sz w:val="28"/>
                        <w:szCs w:val="28"/>
                      </w:rPr>
                      <w:t xml:space="preserve"> </w:t>
                    </w:r>
                  </w:p>
                </w:txbxContent>
              </v:textbox>
            </v:rect>
            <v:roundrect id="_x0000_s1314" style="position:absolute;left:2517;top:8431;width:6971;height:3371" arcsize="2667f" fillcolor="black" stroked="f">
              <o:lock v:ext="edit" aspectratio="t"/>
            </v:roundrect>
            <v:rect id="_x0000_s1315" style="position:absolute;left:2517;top:8412;width:6951;height:235" fillcolor="#9cf" stroked="f">
              <o:lock v:ext="edit" aspectratio="t"/>
            </v:rect>
            <v:rect id="_x0000_s1316" style="position:absolute;left:2517;top:8647;width:6951;height:255" fillcolor="#9bccff" stroked="f">
              <o:lock v:ext="edit" aspectratio="t"/>
            </v:rect>
            <v:rect id="_x0000_s1317" style="position:absolute;left:2517;top:8902;width:6951;height:157" fillcolor="#9dccff" stroked="f">
              <o:lock v:ext="edit" aspectratio="t"/>
            </v:rect>
            <v:rect id="_x0000_s1318" style="position:absolute;left:2517;top:9059;width:6951;height:117" fillcolor="#9fccff" stroked="f">
              <o:lock v:ext="edit" aspectratio="t"/>
            </v:rect>
            <v:rect id="_x0000_s1319" style="position:absolute;left:2517;top:9176;width:6951;height:118" fillcolor="#a1ccff" stroked="f">
              <o:lock v:ext="edit" aspectratio="t"/>
            </v:rect>
            <v:rect id="_x0000_s1320" style="position:absolute;left:2517;top:9294;width:6951;height:98" fillcolor="#a3ccff" stroked="f">
              <o:lock v:ext="edit" aspectratio="t"/>
            </v:rect>
            <v:rect id="_x0000_s1321" style="position:absolute;left:2517;top:9392;width:6951;height:98" fillcolor="#a5ccff" stroked="f">
              <o:lock v:ext="edit" aspectratio="t"/>
            </v:rect>
            <v:rect id="_x0000_s1322" style="position:absolute;left:2517;top:9490;width:6951;height:98" fillcolor="#a7ccff" stroked="f">
              <o:lock v:ext="edit" aspectratio="t"/>
            </v:rect>
            <v:rect id="_x0000_s1323" style="position:absolute;left:2517;top:9588;width:6951;height:78" fillcolor="#a9ccff" stroked="f">
              <o:lock v:ext="edit" aspectratio="t"/>
            </v:rect>
            <v:rect id="_x0000_s1324" style="position:absolute;left:2517;top:9666;width:6951;height:79" fillcolor="#abccff" stroked="f">
              <o:lock v:ext="edit" aspectratio="t"/>
            </v:rect>
            <v:rect id="_x0000_s1325" style="position:absolute;left:2517;top:9745;width:6951;height:98" fillcolor="#adccff" stroked="f">
              <o:lock v:ext="edit" aspectratio="t"/>
            </v:rect>
            <v:rect id="_x0000_s1326" style="position:absolute;left:2517;top:9843;width:6951;height:78" fillcolor="#afccff" stroked="f">
              <o:lock v:ext="edit" aspectratio="t"/>
            </v:rect>
            <v:rect id="_x0000_s1327" style="position:absolute;left:2517;top:9921;width:6951;height:78" fillcolor="#b1ccff" stroked="f">
              <o:lock v:ext="edit" aspectratio="t"/>
            </v:rect>
            <v:rect id="_x0000_s1328" style="position:absolute;left:2517;top:9999;width:6951;height:59" fillcolor="#b3ccff" stroked="f">
              <o:lock v:ext="edit" aspectratio="t"/>
            </v:rect>
            <v:rect id="_x0000_s1329" style="position:absolute;left:2517;top:10058;width:6951;height:78" fillcolor="#b5ccff" stroked="f">
              <o:lock v:ext="edit" aspectratio="t"/>
            </v:rect>
            <v:rect id="_x0000_s1330" style="position:absolute;left:2517;top:10136;width:6951;height:79" fillcolor="#b7ccff" stroked="f">
              <o:lock v:ext="edit" aspectratio="t"/>
            </v:rect>
            <v:rect id="_x0000_s1331" style="position:absolute;left:2517;top:10215;width:6951;height:98" fillcolor="#b9ccff" stroked="f">
              <o:lock v:ext="edit" aspectratio="t"/>
            </v:rect>
            <v:rect id="_x0000_s1332" style="position:absolute;left:2517;top:10313;width:6951;height:98" fillcolor="#bcf" stroked="f">
              <o:lock v:ext="edit" aspectratio="t"/>
            </v:rect>
            <v:rect id="_x0000_s1333" style="position:absolute;left:2517;top:10411;width:6951;height:78" fillcolor="#bdccff" stroked="f">
              <o:lock v:ext="edit" aspectratio="t"/>
            </v:rect>
            <v:rect id="_x0000_s1334" style="position:absolute;left:2517;top:10489;width:6951;height:118" fillcolor="#bfccff" stroked="f">
              <o:lock v:ext="edit" aspectratio="t"/>
            </v:rect>
            <v:rect id="_x0000_s1335" style="position:absolute;left:2517;top:10607;width:6951;height:98" fillcolor="#c1ccff" stroked="f">
              <o:lock v:ext="edit" aspectratio="t"/>
            </v:rect>
            <v:rect id="_x0000_s1336" style="position:absolute;left:2517;top:10705;width:6951;height:117" fillcolor="#c3ccff" stroked="f">
              <o:lock v:ext="edit" aspectratio="t"/>
            </v:rect>
            <v:rect id="_x0000_s1337" style="position:absolute;left:2517;top:10822;width:6951;height:138" fillcolor="#c5ccff" stroked="f">
              <o:lock v:ext="edit" aspectratio="t"/>
            </v:rect>
            <v:rect id="_x0000_s1338" style="position:absolute;left:2517;top:10960;width:6951;height:196" fillcolor="#c7ccff" stroked="f">
              <o:lock v:ext="edit" aspectratio="t"/>
            </v:rect>
            <v:rect id="_x0000_s1339" style="position:absolute;left:2517;top:11156;width:6951;height:254" fillcolor="#c9ccff" stroked="f">
              <o:lock v:ext="edit" aspectratio="t"/>
            </v:rect>
            <v:rect id="_x0000_s1340" style="position:absolute;left:2517;top:11410;width:6951;height:334" fillcolor="#ccf" stroked="f">
              <o:lock v:ext="edit" aspectratio="t"/>
            </v:rect>
            <v:shape id="_x0000_s1341" style="position:absolute;left:2517;top:8412;width:6931;height:3332" coordsize="6931,3332" path="m6812,r20,l6852,r20,19l6892,39r19,20l6931,78r,20l6931,117r,3077l6931,3234r,19l6911,3273r-19,19l6872,3312r-20,l6832,3332r-20,l119,3332r-20,l79,3312r-39,l40,3292,20,3273,,3253r,-19l,3194,,117,,98,,78,20,59,40,39r,-20l79,,99,r20,l6812,e" filled="f" strokeweight="1pt">
              <v:path arrowok="t"/>
              <o:lock v:ext="edit" aspectratio="t"/>
            </v:shape>
            <v:shape id="_x0000_s1342" style="position:absolute;left:4827;top:9333;width:498;height:843" coordsize="498,843" path="m498,392l,,,451,498,843r,-451xe" fillcolor="#303" strokeweight="1pt">
              <v:path arrowok="t"/>
              <o:lock v:ext="edit" aspectratio="t"/>
            </v:shape>
            <v:shape id="_x0000_s1343" style="position:absolute;left:4827;top:9313;width:498;height:412" coordsize="498,412" path="m,20l40,r60,l120,r60,l219,r40,l299,r20,l379,r40,l458,r40,l498,412,,20xe" fillcolor="#606" strokeweight="1pt">
              <v:path arrowok="t"/>
              <o:lock v:ext="edit" aspectratio="t"/>
            </v:shape>
            <v:shape id="_x0000_s1344" style="position:absolute;left:3553;top:9607;width:1553;height:608" coordsize="1553,608" path="m1553,157l,,,451,1553,608r,-451xe" fillcolor="#668080" strokeweight="1pt">
              <v:path arrowok="t"/>
              <o:lock v:ext="edit" aspectratio="t"/>
            </v:shape>
            <v:shape id="_x0000_s1345" style="position:absolute;left:3553;top:9372;width:1553;height:392" coordsize="1553,392" path="m,235r19,l19,216r20,l59,196r20,l119,177r20,l179,157r20,l219,137r20,l278,118r20,l338,98r40,l398,98,438,79r20,l497,59r40,l577,59,617,39r20,l697,39,717,20r59,l816,20r40,l896,r40,l976,r39,l1055,r498,392l,235xe" fillcolor="#cff" strokeweight="1pt">
              <v:path arrowok="t"/>
              <o:lock v:ext="edit" aspectratio="t"/>
            </v:shape>
            <v:shape id="_x0000_s1346" style="position:absolute;left:3313;top:9843;width:140;height:627" coordsize="140,627" path="m140,176r-20,l120,156r-20,l80,137r-20,l40,117r,-19l20,98r,-20l,58r,l,39,,19r,l,,,450r,20l,470r,19l,509r,l20,529r,19l40,548r,20l60,587r20,l100,607r20,l120,627r20,l140,176xe" fillcolor="#808066" strokeweight="1pt">
              <v:path arrowok="t"/>
              <o:lock v:ext="edit" aspectratio="t"/>
            </v:shape>
            <v:shape id="_x0000_s1347" style="position:absolute;left:3453;top:9843;width:1514;height:627" coordsize="1514,627" path="m1514,l,176,,627,1514,450,1514,xe" fillcolor="#808066" strokeweight="1pt">
              <v:path arrowok="t"/>
              <o:lock v:ext="edit" aspectratio="t"/>
            </v:shape>
            <v:shape id="_x0000_s1348" style="position:absolute;left:3313;top:9686;width:1654;height:333" coordsize="1654,333" path="m140,333r-20,l120,313r-20,l80,294r-20,l60,274r-20,l40,255,20,235r,l,215r,l,196r,l,176,,157r,l,137,,117r,l,98r20,l20,78r,-19l40,59r,-20l60,39,80,19r,l100,,1654,157,140,333xe" fillcolor="#ffc" strokeweight="1pt">
              <v:path arrowok="t"/>
              <o:lock v:ext="edit" aspectratio="t"/>
            </v:shape>
            <v:shape id="_x0000_s1349" style="position:absolute;left:3513;top:10078;width:219;height:529" coordsize="219,529" path="m219,78r-20,l159,78,139,58r-40,l79,39r-20,l40,19r-20,l,,,450r20,20l40,470r19,20l79,490r20,19l139,509r20,20l199,529r20,l219,78xe" fillcolor="#4d1a33" strokeweight="1pt">
              <v:path arrowok="t"/>
              <o:lock v:ext="edit" aspectratio="t"/>
            </v:shape>
            <v:shape id="_x0000_s1350" style="position:absolute;left:3732;top:9901;width:1294;height:706" coordsize="1294,706" path="m1294,l,255,,706,1294,451,1294,xe" fillcolor="#4d1a33" strokeweight="1pt">
              <v:path arrowok="t"/>
              <o:lock v:ext="edit" aspectratio="t"/>
            </v:shape>
            <v:shape id="_x0000_s1351" style="position:absolute;left:3513;top:9901;width:1513;height:255" coordsize="1513,255" path="m219,255r-20,l159,255,139,235r-40,l79,216r-20,l40,196r-20,l,177,1513,,219,255xe" fillcolor="#936" strokeweight="1pt">
              <v:path arrowok="t"/>
              <o:lock v:ext="edit" aspectratio="t"/>
            </v:shape>
            <v:shape id="_x0000_s1352" style="position:absolute;left:4449;top:9901;width:2988;height:863" coordsize="2988,863" path="m2988,r,20l2988,20r-20,20l2968,40r,19l2948,79r,l2948,98r-20,l2908,118r,l2888,138r-20,l2848,157r,20l2808,177r-39,19l2769,196r-40,20l2709,216r-20,19l2649,235r-20,20l2609,255r-40,20l2549,275r-39,19l2470,294r-20,l2410,314r-40,l2350,333r-60,l2271,333r-40,20l2171,353r-20,l2091,373r-59,l2012,373r-40,l1912,392r-20,l1832,412r-39,l1753,412r-60,l1653,412r-60,l1534,412r-20,l1454,431r-60,l1374,431r-60,l1275,431r-40,l1175,431r-40,l1075,412r-39,l996,412r-60,l896,412r-40,l797,412,777,392r-60,l657,373r-20,l577,373r-39,l498,353r-40,l438,353,378,333r-40,l299,333,259,314r-40,l199,314,159,294r-20,l99,275r-39,l40,275,,255,,706r40,19l60,725r39,l139,745r20,l199,765r20,l259,765r40,19l338,784r40,l438,804r20,l498,804r40,19l577,823r60,l657,823r60,20l777,843r20,l856,843r40,l936,863r60,l1036,863r39,l1135,863r40,l1235,863r40,l1314,863r60,l1394,863r60,l1514,863r20,l1593,863r60,l1693,863r60,-20l1793,843r39,l1892,843r20,l1972,823r40,l2032,823r59,l2151,804r20,l2231,804r40,-20l2290,784r60,l2370,765r40,l2450,745r20,l2510,745r39,-20l2569,725r40,-19l2629,706r20,-20l2689,686r20,-19l2729,667r40,-20l2769,647r39,-20l2848,627r,-19l2868,588r20,l2908,569r,l2928,549r20,l2948,529r,l2968,510r,-20l2968,490r20,-19l2988,471r,-20l2988,xe" fillcolor="#4d4d80" strokeweight="1pt">
              <v:path arrowok="t"/>
              <o:lock v:ext="edit" aspectratio="t"/>
            </v:shape>
            <v:shape id="_x0000_s1353" style="position:absolute;left:4449;top:9470;width:2988;height:862" coordsize="2988,862" path="m1314,r60,l1394,r60,l1514,r20,l1593,r60,20l1693,20r60,l1773,20r59,l1892,20r20,19l1972,39r40,l2032,39r59,20l2151,59r20,l2231,79r40,l2290,79r60,19l2370,98r40,l2450,118r20,l2510,137r39,l2569,137r40,20l2649,177r,l2689,177r40,19l2729,196r40,20l2788,235r20,l2848,255r,l2868,275r20,l2908,294r,20l2928,314r20,19l2948,333r20,40l2968,373r,19l2968,392r20,20l2988,431r,l2988,451r-20,l2968,471r,l2968,490r-20,20l2948,510r-20,19l2928,529r-20,20l2888,569r,l2868,588r-20,20l2828,608r-40,19l2769,627r-20,20l2729,647r-20,l2669,666r-20,20l2629,686r-40,20l2549,706r-19,l2490,725r-40,l2430,745r-40,l2350,764r-40,l2271,764r-20,l2191,784r-40,l2111,784r-40,20l2012,804r-20,l1932,823r-40,l1852,823r-59,20l1753,843r-40,l1653,843r-20,l1573,843r-59,l1474,862r-40,l1374,862r-40,l1275,862r-40,l1195,862r-60,l1075,843r-19,l996,843r-60,l896,843r-40,l817,843,777,823r-60,l697,823,637,804r-60,l558,804,498,784r-40,l438,784,378,764r-40,l299,764,259,745r-20,l199,745,159,725r-20,l99,706r-39,l40,706,,686,1314,431,1314,xe" fillcolor="#99f" strokeweight="1pt">
              <v:path arrowok="t"/>
              <o:lock v:ext="edit" aspectratio="t"/>
            </v:shape>
            <v:rect id="_x0000_s1354" style="position:absolute;left:7337;top:10528;width:335;height:240" filled="f" stroked="f">
              <o:lock v:ext="edit" aspectratio="t"/>
              <v:textbox style="mso-next-textbox:#_x0000_s1354" inset="0,0,0,0">
                <w:txbxContent>
                  <w:p w:rsidR="009F08D6" w:rsidRPr="00333CAC" w:rsidRDefault="009F08D6" w:rsidP="00CB4C62">
                    <w:r w:rsidRPr="00333CAC">
                      <w:rPr>
                        <w:bCs/>
                        <w:color w:val="000000"/>
                        <w:sz w:val="16"/>
                        <w:szCs w:val="16"/>
                      </w:rPr>
                      <w:t>247</w:t>
                    </w:r>
                  </w:p>
                </w:txbxContent>
              </v:textbox>
            </v:rect>
            <v:rect id="_x0000_s1355" style="position:absolute;left:3413;top:10587;width:175;height:480" filled="f" stroked="f">
              <o:lock v:ext="edit" aspectratio="t"/>
              <v:textbox style="mso-next-textbox:#_x0000_s1355" inset="0,0,0,0">
                <w:txbxContent>
                  <w:p w:rsidR="009F08D6" w:rsidRPr="00333CAC" w:rsidRDefault="009F08D6" w:rsidP="00CB4C62">
                    <w:r w:rsidRPr="00333CAC">
                      <w:rPr>
                        <w:bCs/>
                        <w:color w:val="000000"/>
                        <w:sz w:val="16"/>
                        <w:szCs w:val="16"/>
                      </w:rPr>
                      <w:t>14</w:t>
                    </w:r>
                  </w:p>
                </w:txbxContent>
              </v:textbox>
            </v:rect>
            <v:rect id="_x0000_s1356" style="position:absolute;left:3074;top:10234;width:175;height:480" filled="f" stroked="f">
              <o:lock v:ext="edit" aspectratio="t"/>
              <v:textbox style="mso-next-textbox:#_x0000_s1356" inset="0,0,0,0">
                <w:txbxContent>
                  <w:p w:rsidR="009F08D6" w:rsidRPr="00333CAC" w:rsidRDefault="009F08D6" w:rsidP="00CB4C62">
                    <w:r w:rsidRPr="00333CAC">
                      <w:rPr>
                        <w:bCs/>
                        <w:color w:val="000000"/>
                        <w:sz w:val="16"/>
                        <w:szCs w:val="16"/>
                      </w:rPr>
                      <w:t>49</w:t>
                    </w:r>
                  </w:p>
                </w:txbxContent>
              </v:textbox>
            </v:rect>
            <v:rect id="_x0000_s1357" style="position:absolute;left:3752;top:9215;width:175;height:480" filled="f" stroked="f">
              <o:lock v:ext="edit" aspectratio="t"/>
              <v:textbox style="mso-next-textbox:#_x0000_s1357" inset="0,0,0,0">
                <w:txbxContent>
                  <w:p w:rsidR="009F08D6" w:rsidRPr="00333CAC" w:rsidRDefault="009F08D6" w:rsidP="00CB4C62">
                    <w:r w:rsidRPr="00333CAC">
                      <w:rPr>
                        <w:bCs/>
                        <w:color w:val="000000"/>
                        <w:sz w:val="16"/>
                        <w:szCs w:val="16"/>
                      </w:rPr>
                      <w:t>55</w:t>
                    </w:r>
                  </w:p>
                </w:txbxContent>
              </v:textbox>
            </v:rect>
            <v:rect id="_x0000_s1358" style="position:absolute;left:4947;top:9078;width:175;height:480" filled="f" stroked="f">
              <o:lock v:ext="edit" aspectratio="t"/>
              <v:textbox style="mso-next-textbox:#_x0000_s1358" inset="0,0,0,0">
                <w:txbxContent>
                  <w:p w:rsidR="009F08D6" w:rsidRPr="00333CAC" w:rsidRDefault="009F08D6" w:rsidP="00CB4C62">
                    <w:r w:rsidRPr="00333CAC">
                      <w:rPr>
                        <w:bCs/>
                        <w:color w:val="000000"/>
                        <w:sz w:val="16"/>
                        <w:szCs w:val="16"/>
                      </w:rPr>
                      <w:t>18</w:t>
                    </w:r>
                  </w:p>
                </w:txbxContent>
              </v:textbox>
            </v:rect>
            <v:rect id="_x0000_s1359" style="position:absolute;left:8293;top:9490;width:1116;height:39" fillcolor="#9cf" stroked="f">
              <o:lock v:ext="edit" aspectratio="t"/>
            </v:rect>
            <v:rect id="_x0000_s1360" style="position:absolute;left:8293;top:9529;width:1116;height:39" fillcolor="#9accff" stroked="f">
              <o:lock v:ext="edit" aspectratio="t"/>
            </v:rect>
            <v:rect id="_x0000_s1361" style="position:absolute;left:8293;top:9568;width:1116;height:59" fillcolor="#9bccff" stroked="f">
              <o:lock v:ext="edit" aspectratio="t"/>
            </v:rect>
            <v:rect id="_x0000_s1362" style="position:absolute;left:8293;top:9627;width:1116;height:39" fillcolor="#9cccff" stroked="f">
              <o:lock v:ext="edit" aspectratio="t"/>
            </v:rect>
            <v:rect id="_x0000_s1363" style="position:absolute;left:8293;top:9666;width:1116;height:20" fillcolor="#9dccff" stroked="f">
              <o:lock v:ext="edit" aspectratio="t"/>
            </v:rect>
            <v:rect id="_x0000_s1364" style="position:absolute;left:8293;top:9686;width:1116;height:19" fillcolor="#9eccff" stroked="f">
              <o:lock v:ext="edit" aspectratio="t"/>
            </v:rect>
            <v:rect id="_x0000_s1365" style="position:absolute;left:8293;top:9705;width:1116;height:20" fillcolor="#9fccff" stroked="f">
              <o:lock v:ext="edit" aspectratio="t"/>
            </v:rect>
            <v:rect id="_x0000_s1366" style="position:absolute;left:8293;top:9725;width:1116;height:20" fillcolor="#a0ccff" stroked="f">
              <o:lock v:ext="edit" aspectratio="t"/>
            </v:rect>
            <v:rect id="_x0000_s1367" style="position:absolute;left:8293;top:9745;width:1116;height:39" fillcolor="#a1ccff" stroked="f">
              <o:lock v:ext="edit" aspectratio="t"/>
            </v:rect>
            <v:rect id="_x0000_s1368" style="position:absolute;left:8293;top:9784;width:1116;height:19" fillcolor="#a2ccff" stroked="f">
              <o:lock v:ext="edit" aspectratio="t"/>
            </v:rect>
            <v:rect id="_x0000_s1369" style="position:absolute;left:8293;top:9803;width:1116;height:20" fillcolor="#a3ccff" stroked="f">
              <o:lock v:ext="edit" aspectratio="t"/>
            </v:rect>
            <v:rect id="_x0000_s1370" style="position:absolute;left:8293;top:9823;width:1116;height:20" fillcolor="#a4ccff" stroked="f">
              <o:lock v:ext="edit" aspectratio="t"/>
            </v:rect>
            <v:rect id="_x0000_s1371" style="position:absolute;left:8293;top:9843;width:1116;height:19" fillcolor="#a5ccff" stroked="f">
              <o:lock v:ext="edit" aspectratio="t"/>
            </v:rect>
            <v:rect id="_x0000_s1372" style="position:absolute;left:8293;top:9862;width:1116;height:1" fillcolor="#a6ccff" stroked="f">
              <o:lock v:ext="edit" aspectratio="t"/>
            </v:rect>
            <v:rect id="_x0000_s1373" style="position:absolute;left:8293;top:9862;width:1116;height:20" fillcolor="#a7ccff" stroked="f">
              <o:lock v:ext="edit" aspectratio="t"/>
            </v:rect>
            <v:rect id="_x0000_s1374" style="position:absolute;left:8293;top:9882;width:1116;height:19" fillcolor="#a8ccff" stroked="f">
              <o:lock v:ext="edit" aspectratio="t"/>
            </v:rect>
            <v:rect id="_x0000_s1375" style="position:absolute;left:8293;top:9901;width:1116;height:20" fillcolor="#a9ccff" stroked="f">
              <o:lock v:ext="edit" aspectratio="t"/>
            </v:rect>
            <v:rect id="_x0000_s1376" style="position:absolute;left:8293;top:9921;width:1116;height:20" fillcolor="#acf" stroked="f">
              <o:lock v:ext="edit" aspectratio="t"/>
            </v:rect>
            <v:rect id="_x0000_s1377" style="position:absolute;left:8293;top:9941;width:1116;height:1" fillcolor="#abccff" stroked="f">
              <o:lock v:ext="edit" aspectratio="t"/>
            </v:rect>
            <v:rect id="_x0000_s1378" style="position:absolute;left:8293;top:9941;width:1116;height:19" fillcolor="#acccff" stroked="f">
              <o:lock v:ext="edit" aspectratio="t"/>
            </v:rect>
            <v:rect id="_x0000_s1379" style="position:absolute;left:8293;top:9960;width:1116;height:20" fillcolor="#adccff" stroked="f">
              <o:lock v:ext="edit" aspectratio="t"/>
            </v:rect>
            <v:rect id="_x0000_s1380" style="position:absolute;left:8293;top:9980;width:1116;height:1" fillcolor="#aeccff" stroked="f">
              <o:lock v:ext="edit" aspectratio="t"/>
            </v:rect>
            <v:rect id="_x0000_s1381" style="position:absolute;left:8293;top:9980;width:1116;height:19" fillcolor="#afccff" stroked="f">
              <o:lock v:ext="edit" aspectratio="t"/>
            </v:rect>
            <v:rect id="_x0000_s1382" style="position:absolute;left:8293;top:9999;width:1116;height:20" fillcolor="#b0ccff" stroked="f">
              <o:lock v:ext="edit" aspectratio="t"/>
            </v:rect>
            <v:rect id="_x0000_s1383" style="position:absolute;left:8293;top:10019;width:1116;height:1" fillcolor="#b1ccff" stroked="f">
              <o:lock v:ext="edit" aspectratio="t"/>
            </v:rect>
            <v:rect id="_x0000_s1384" style="position:absolute;left:8293;top:10019;width:1116;height:20" fillcolor="#b2ccff" stroked="f">
              <o:lock v:ext="edit" aspectratio="t"/>
            </v:rect>
            <v:rect id="_x0000_s1385" style="position:absolute;left:8293;top:10039;width:1116;height:19" fillcolor="#b3ccff" stroked="f">
              <o:lock v:ext="edit" aspectratio="t"/>
            </v:rect>
            <v:rect id="_x0000_s1386" style="position:absolute;left:8293;top:10058;width:1116;height:1" fillcolor="#b4ccff" stroked="f">
              <o:lock v:ext="edit" aspectratio="t"/>
            </v:rect>
            <v:rect id="_x0000_s1387" style="position:absolute;left:8293;top:10058;width:1116;height:20" fillcolor="#b5ccff" stroked="f">
              <o:lock v:ext="edit" aspectratio="t"/>
            </v:rect>
            <v:rect id="_x0000_s1388" style="position:absolute;left:8293;top:10078;width:1116;height:19" fillcolor="#b6ccff" stroked="f">
              <o:lock v:ext="edit" aspectratio="t"/>
            </v:rect>
            <v:rect id="_x0000_s1389" style="position:absolute;left:8293;top:10097;width:1116;height:20" fillcolor="#b7ccff" stroked="f">
              <o:lock v:ext="edit" aspectratio="t"/>
            </v:rect>
            <v:rect id="_x0000_s1390" style="position:absolute;left:8293;top:10117;width:1116;height:19" fillcolor="#b9ccff" stroked="f">
              <o:lock v:ext="edit" aspectratio="t"/>
            </v:rect>
            <v:rect id="_x0000_s1391" style="position:absolute;left:8293;top:10136;width:1116;height:20" fillcolor="#baccff" stroked="f">
              <o:lock v:ext="edit" aspectratio="t"/>
            </v:rect>
            <v:rect id="_x0000_s1392" style="position:absolute;left:8293;top:10156;width:1116;height:1" fillcolor="#bcf" stroked="f">
              <o:lock v:ext="edit" aspectratio="t"/>
            </v:rect>
            <v:rect id="_x0000_s1393" style="position:absolute;left:8293;top:10156;width:1116;height:20" fillcolor="#bcccff" stroked="f">
              <o:lock v:ext="edit" aspectratio="t"/>
            </v:rect>
            <v:rect id="_x0000_s1394" style="position:absolute;left:8293;top:10176;width:1116;height:19" fillcolor="#bdccff" stroked="f">
              <o:lock v:ext="edit" aspectratio="t"/>
            </v:rect>
            <v:rect id="_x0000_s1395" style="position:absolute;left:8293;top:10195;width:1116;height:20" fillcolor="#beccff" stroked="f">
              <o:lock v:ext="edit" aspectratio="t"/>
            </v:rect>
            <v:rect id="_x0000_s1396" style="position:absolute;left:8293;top:10215;width:1116;height:1" fillcolor="#bfccff" stroked="f">
              <o:lock v:ext="edit" aspectratio="t"/>
            </v:rect>
            <v:rect id="_x0000_s1397" style="position:absolute;left:8293;top:10215;width:1116;height:39" fillcolor="#c0ccff" stroked="f">
              <o:lock v:ext="edit" aspectratio="t"/>
            </v:rect>
            <v:rect id="_x0000_s1398" style="position:absolute;left:8293;top:10254;width:1116;height:1" fillcolor="#c1ccff" stroked="f">
              <o:lock v:ext="edit" aspectratio="t"/>
            </v:rect>
            <v:rect id="_x0000_s1399" style="position:absolute;left:8293;top:10254;width:1116;height:39" fillcolor="#c2ccff" stroked="f">
              <o:lock v:ext="edit" aspectratio="t"/>
            </v:rect>
            <v:rect id="_x0000_s1400" style="position:absolute;left:8293;top:10293;width:1116;height:20" fillcolor="#c3ccff" stroked="f">
              <o:lock v:ext="edit" aspectratio="t"/>
            </v:rect>
            <v:rect id="_x0000_s1401" style="position:absolute;left:8293;top:10313;width:1116;height:19" fillcolor="#c4ccff" stroked="f">
              <o:lock v:ext="edit" aspectratio="t"/>
            </v:rect>
            <v:rect id="_x0000_s1402" style="position:absolute;left:8293;top:10332;width:1116;height:20" fillcolor="#c5ccff" stroked="f">
              <o:lock v:ext="edit" aspectratio="t"/>
            </v:rect>
            <v:rect id="_x0000_s1403" style="position:absolute;left:8293;top:10352;width:1116;height:39" fillcolor="#c6ccff" stroked="f">
              <o:lock v:ext="edit" aspectratio="t"/>
            </v:rect>
            <v:rect id="_x0000_s1404" style="position:absolute;left:8293;top:10391;width:1116;height:20" fillcolor="#c7ccff" stroked="f">
              <o:lock v:ext="edit" aspectratio="t"/>
            </v:rect>
            <v:rect id="_x0000_s1405" style="position:absolute;left:8293;top:10411;width:1116;height:19" fillcolor="#c8ccff" stroked="f">
              <o:lock v:ext="edit" aspectratio="t"/>
            </v:rect>
            <v:rect id="_x0000_s1406" style="position:absolute;left:8293;top:10430;width:1116;height:40" fillcolor="#c9ccff" stroked="f">
              <o:lock v:ext="edit" aspectratio="t"/>
            </v:rect>
            <v:rect id="_x0000_s1407" style="position:absolute;left:8293;top:10470;width:1116;height:58" fillcolor="#caccff" stroked="f">
              <o:lock v:ext="edit" aspectratio="t"/>
            </v:rect>
            <v:rect id="_x0000_s1408" style="position:absolute;left:8293;top:10528;width:1116;height:79" fillcolor="#cbccff" stroked="f">
              <o:lock v:ext="edit" aspectratio="t"/>
            </v:rect>
            <v:rect id="_x0000_s1409" style="position:absolute;left:8293;top:10607;width:1116;height:39" fillcolor="#ccf" stroked="f">
              <o:lock v:ext="edit" aspectratio="t"/>
            </v:rect>
            <v:rect id="_x0000_s1410" style="position:absolute;left:7653;top:8594;width:1780;height:1176" filled="f" strokeweight="0">
              <o:lock v:ext="edit" aspectratio="t"/>
            </v:rect>
            <v:rect id="_x0000_s1411" style="position:absolute;left:7713;top:8672;width:99;height:118" fillcolor="#99f" strokeweight="1pt">
              <o:lock v:ext="edit" aspectratio="t"/>
            </v:rect>
            <v:rect id="_x0000_s1412" style="position:absolute;left:7852;top:8633;width:600;height:368" filled="f" stroked="f">
              <o:lock v:ext="edit" aspectratio="t"/>
              <v:textbox style="mso-next-textbox:#_x0000_s1412" inset="0,0,0,0">
                <w:txbxContent>
                  <w:p w:rsidR="009F08D6" w:rsidRPr="00333CAC" w:rsidRDefault="009F08D6" w:rsidP="00CB4C62">
                    <w:pPr>
                      <w:spacing w:line="240" w:lineRule="auto"/>
                    </w:pPr>
                    <w:r w:rsidRPr="00333CAC">
                      <w:rPr>
                        <w:bCs/>
                        <w:color w:val="000000"/>
                        <w:sz w:val="16"/>
                        <w:szCs w:val="16"/>
                      </w:rPr>
                      <w:t>Primaria</w:t>
                    </w:r>
                  </w:p>
                </w:txbxContent>
              </v:textbox>
            </v:rect>
            <v:rect id="_x0000_s1413" style="position:absolute;left:7713;top:8907;width:99;height:118" fillcolor="#936" strokeweight="1pt">
              <o:lock v:ext="edit" aspectratio="t"/>
            </v:rect>
            <v:rect id="_x0000_s1414" style="position:absolute;left:7852;top:8868;width:1453;height:368" filled="f" stroked="f">
              <o:lock v:ext="edit" aspectratio="t"/>
              <v:textbox style="mso-next-textbox:#_x0000_s1414" inset="0,0,0,0">
                <w:txbxContent>
                  <w:p w:rsidR="009F08D6" w:rsidRPr="00333CAC" w:rsidRDefault="009F08D6" w:rsidP="00CB4C62">
                    <w:pPr>
                      <w:spacing w:line="240" w:lineRule="auto"/>
                    </w:pPr>
                    <w:r w:rsidRPr="00333CAC">
                      <w:rPr>
                        <w:bCs/>
                        <w:color w:val="000000"/>
                        <w:sz w:val="16"/>
                        <w:szCs w:val="16"/>
                      </w:rPr>
                      <w:t>Media (primer ciclo)</w:t>
                    </w:r>
                  </w:p>
                </w:txbxContent>
              </v:textbox>
            </v:rect>
            <v:rect id="_x0000_s1415" style="position:absolute;left:7713;top:9143;width:99;height:97" fillcolor="#ffc" strokeweight="1pt">
              <o:lock v:ext="edit" aspectratio="t"/>
            </v:rect>
            <v:rect id="_x0000_s1416" style="position:absolute;left:7852;top:9103;width:1566;height:368" filled="f" stroked="f">
              <o:lock v:ext="edit" aspectratio="t"/>
              <v:textbox style="mso-next-textbox:#_x0000_s1416" inset="0,0,0,0">
                <w:txbxContent>
                  <w:p w:rsidR="009F08D6" w:rsidRPr="00333CAC" w:rsidRDefault="009F08D6" w:rsidP="00CB4C62">
                    <w:pPr>
                      <w:spacing w:line="240" w:lineRule="auto"/>
                    </w:pPr>
                    <w:r w:rsidRPr="00333CAC">
                      <w:rPr>
                        <w:bCs/>
                        <w:color w:val="000000"/>
                        <w:sz w:val="16"/>
                        <w:szCs w:val="16"/>
                      </w:rPr>
                      <w:t>Media (segundo ciclo)</w:t>
                    </w:r>
                  </w:p>
                </w:txbxContent>
              </v:textbox>
            </v:rect>
            <v:rect id="_x0000_s1417" style="position:absolute;left:7713;top:9358;width:99;height:118" fillcolor="#cff" strokeweight="1pt">
              <o:lock v:ext="edit" aspectratio="t"/>
            </v:rect>
            <v:rect id="_x0000_s1418" style="position:absolute;left:7852;top:9319;width:772;height:368" filled="f" stroked="f">
              <o:lock v:ext="edit" aspectratio="t"/>
              <v:textbox style="mso-next-textbox:#_x0000_s1418" inset="0,0,0,0">
                <w:txbxContent>
                  <w:p w:rsidR="009F08D6" w:rsidRPr="00333CAC" w:rsidRDefault="009F08D6" w:rsidP="00CB4C62">
                    <w:pPr>
                      <w:spacing w:line="240" w:lineRule="auto"/>
                    </w:pPr>
                    <w:r w:rsidRPr="00333CAC">
                      <w:rPr>
                        <w:bCs/>
                        <w:color w:val="000000"/>
                        <w:sz w:val="16"/>
                        <w:szCs w:val="16"/>
                      </w:rPr>
                      <w:t>Secundaria</w:t>
                    </w:r>
                  </w:p>
                </w:txbxContent>
              </v:textbox>
            </v:rect>
            <v:rect id="_x0000_s1419" style="position:absolute;left:7713;top:9593;width:99;height:118" fillcolor="#606" strokeweight="1pt">
              <o:lock v:ext="edit" aspectratio="t"/>
            </v:rect>
            <v:rect id="_x0000_s1420" style="position:absolute;left:7852;top:9554;width:1148;height:368" filled="f" stroked="f">
              <o:lock v:ext="edit" aspectratio="t"/>
              <v:textbox style="mso-next-textbox:#_x0000_s1420" inset="0,0,0,0">
                <w:txbxContent>
                  <w:p w:rsidR="009F08D6" w:rsidRPr="00333CAC" w:rsidRDefault="009F08D6" w:rsidP="00CB4C62">
                    <w:pPr>
                      <w:spacing w:line="240" w:lineRule="auto"/>
                    </w:pPr>
                    <w:r w:rsidRPr="00333CAC">
                      <w:rPr>
                        <w:bCs/>
                        <w:color w:val="000000"/>
                        <w:sz w:val="16"/>
                        <w:szCs w:val="16"/>
                      </w:rPr>
                      <w:t>Escuela especial</w:t>
                    </w:r>
                  </w:p>
                </w:txbxContent>
              </v:textbox>
            </v:rect>
            <v:shape id="_x0000_s1421" style="position:absolute;left:2517;top:8412;width:6931;height:3332" coordsize="6931,3332" path="m6812,r20,l6852,r20,19l6892,39r19,20l6931,78r,20l6931,117r,3077l6931,3234r,19l6911,3273r-19,19l6872,3312r-20,l6832,3332r-20,l119,3332r-20,l79,3312r-39,l40,3292,20,3273,,3253r,-19l,3194,,117,,98,,78,20,59,40,39r,-20l79,,99,r20,l6812,e" filled="f" strokeweight="1pt">
              <v:path arrowok="t"/>
              <o:lock v:ext="edit" aspectratio="t"/>
            </v:shape>
          </v:group>
        </w:pict>
      </w:r>
    </w:p>
    <w:p w:rsidR="00CB4C62" w:rsidRPr="004668C9" w:rsidRDefault="00CB4C62" w:rsidP="00CB4C62">
      <w:pPr>
        <w:pStyle w:val="SingleTxt"/>
        <w:spacing w:after="0" w:line="120" w:lineRule="exact"/>
        <w:rPr>
          <w:sz w:val="10"/>
        </w:rPr>
      </w:pPr>
    </w:p>
    <w:p w:rsidR="00CB4C62" w:rsidRPr="004668C9" w:rsidRDefault="00CB4C62" w:rsidP="00CB4C62">
      <w:pPr>
        <w:pStyle w:val="SingleTxt"/>
        <w:spacing w:after="0" w:line="120" w:lineRule="exact"/>
        <w:rPr>
          <w:sz w:val="10"/>
        </w:rPr>
      </w:pPr>
    </w:p>
    <w:p w:rsidR="00CB4C62" w:rsidRPr="004668C9" w:rsidRDefault="00CB4C62" w:rsidP="00CB4C62">
      <w:pPr>
        <w:pStyle w:val="SingleTxt"/>
        <w:spacing w:after="0" w:line="120" w:lineRule="exact"/>
        <w:rPr>
          <w:sz w:val="10"/>
        </w:rPr>
      </w:pPr>
    </w:p>
    <w:p w:rsidR="00CB4C62" w:rsidRPr="004668C9" w:rsidRDefault="00CB4C62" w:rsidP="00CB4C62">
      <w:pPr>
        <w:pStyle w:val="SingleTxt"/>
        <w:spacing w:after="0" w:line="120" w:lineRule="exact"/>
        <w:rPr>
          <w:sz w:val="10"/>
        </w:rPr>
      </w:pPr>
    </w:p>
    <w:p w:rsidR="00CB4C62" w:rsidRPr="004668C9" w:rsidRDefault="00CB4C62" w:rsidP="00CB4C62">
      <w:pPr>
        <w:pStyle w:val="SingleTxt"/>
      </w:pPr>
    </w:p>
    <w:p w:rsidR="00CB4C62" w:rsidRPr="004668C9" w:rsidRDefault="00CB4C62" w:rsidP="00CB4C62">
      <w:pPr>
        <w:pStyle w:val="SingleTxt"/>
      </w:pPr>
    </w:p>
    <w:p w:rsidR="00CB4C62" w:rsidRPr="004668C9" w:rsidRDefault="00CB4C62" w:rsidP="00CB4C62">
      <w:pPr>
        <w:pStyle w:val="SingleTxt"/>
      </w:pPr>
    </w:p>
    <w:p w:rsidR="00CB4C62" w:rsidRPr="004668C9" w:rsidRDefault="00CB4C62" w:rsidP="00CB4C62">
      <w:pPr>
        <w:pStyle w:val="SingleTxt"/>
      </w:pPr>
    </w:p>
    <w:p w:rsidR="00CB4C62" w:rsidRPr="004668C9" w:rsidRDefault="00CB4C62" w:rsidP="00CB4C62">
      <w:pPr>
        <w:pStyle w:val="SingleTxt"/>
      </w:pPr>
    </w:p>
    <w:p w:rsidR="00CB4C62" w:rsidRPr="004668C9" w:rsidRDefault="00CB4C62" w:rsidP="00CB4C62">
      <w:pPr>
        <w:pStyle w:val="SingleTxt"/>
      </w:pPr>
    </w:p>
    <w:p w:rsidR="00CB4C62" w:rsidRPr="004668C9" w:rsidRDefault="00CB4C62" w:rsidP="00CB4C62">
      <w:pPr>
        <w:pStyle w:val="SingleTxt"/>
      </w:pPr>
    </w:p>
    <w:p w:rsidR="00CB4C62" w:rsidRPr="004668C9" w:rsidRDefault="00CB4C62" w:rsidP="00CB4C62">
      <w:pPr>
        <w:pStyle w:val="SingleTxt"/>
      </w:pPr>
    </w:p>
    <w:p w:rsidR="00CB4C62" w:rsidRPr="004668C9" w:rsidRDefault="00CB4C62" w:rsidP="00CB4C62">
      <w:pPr>
        <w:pStyle w:val="SingleTxt"/>
      </w:pPr>
    </w:p>
    <w:p w:rsidR="00CB4C62" w:rsidRPr="004668C9" w:rsidRDefault="00CB4C62" w:rsidP="00CB4C62">
      <w:pPr>
        <w:pStyle w:val="SingleTxt"/>
      </w:pPr>
    </w:p>
    <w:p w:rsidR="00CB4C62" w:rsidRPr="004668C9" w:rsidRDefault="00CB4C62" w:rsidP="00CB4C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68C9">
        <w:br w:type="page"/>
      </w:r>
      <w:r w:rsidRPr="004668C9">
        <w:tab/>
      </w:r>
      <w:r w:rsidRPr="004668C9">
        <w:tab/>
        <w:t>Igualdad entre los géneros en el acceso a la salud y la vida familiar</w:t>
      </w:r>
    </w:p>
    <w:p w:rsidR="00CB4C62" w:rsidRPr="004668C9" w:rsidRDefault="00CB4C62" w:rsidP="00CB4C62">
      <w:pPr>
        <w:pStyle w:val="SingleTxt"/>
        <w:spacing w:after="0" w:line="120" w:lineRule="exact"/>
        <w:rPr>
          <w:sz w:val="10"/>
        </w:rPr>
      </w:pPr>
    </w:p>
    <w:p w:rsidR="00CB4C62" w:rsidRPr="004668C9" w:rsidRDefault="00CB4C62" w:rsidP="00CB4C62">
      <w:pPr>
        <w:pStyle w:val="SingleTxt"/>
        <w:numPr>
          <w:ilvl w:val="0"/>
          <w:numId w:val="17"/>
        </w:numPr>
        <w:tabs>
          <w:tab w:val="clear" w:pos="475"/>
          <w:tab w:val="num" w:pos="1742"/>
        </w:tabs>
        <w:suppressAutoHyphens/>
        <w:ind w:left="1267"/>
      </w:pPr>
      <w:r w:rsidRPr="004668C9">
        <w:t>El objetivo principal de la educación para la salud y la vida familiar es empoderar a los niños y adolescentes para tomar decisiones que mejoren su vida y ayudarlos a evitar las influencias negativas para su salud y su bienestar. Por tanto, la educación para la salud y la vida familiar se imparte a estudiantes de ambos sexos en las instituciones educativas de las Bahamas.</w:t>
      </w:r>
      <w:r>
        <w:t xml:space="preserve"> </w:t>
      </w:r>
      <w:r w:rsidRPr="004668C9">
        <w:t xml:space="preserve">En las clases de educación para la salud y la vida familiar se hace hincapié en la preparación para la vida, los valores y las actitudes necesarios para un desarrollo pleno y una participación activa en la sociedad. Si bien no se ofrece instrucción en materia de planificación familiar en la escuela primaria como una asignatura aparte, sí se enseñan los conceptos relativos al desarrollo de los estudiantes: el ciclo de la vida humana, la pubertad y la reproducción. </w:t>
      </w:r>
    </w:p>
    <w:p w:rsidR="00CB4C62" w:rsidRPr="004668C9" w:rsidRDefault="00CB4C62" w:rsidP="00CB4C62">
      <w:pPr>
        <w:pStyle w:val="SingleTxt"/>
        <w:numPr>
          <w:ilvl w:val="0"/>
          <w:numId w:val="17"/>
        </w:numPr>
        <w:tabs>
          <w:tab w:val="clear" w:pos="475"/>
          <w:tab w:val="num" w:pos="1742"/>
        </w:tabs>
        <w:suppressAutoHyphens/>
        <w:ind w:left="1267"/>
      </w:pPr>
      <w:r w:rsidRPr="004668C9">
        <w:t>El currículo de educación para la salud y la vida familiar de la escuela primaria se basa en el Marco regional de educación para la salud y la vida familiar de la CARICOM, que se divide en cuatro esferas temáticas: relaciones consigo mismo e interpersonales, sexualidad y salud sexual, nutrición y actividad física y gestión del medio ambiente.</w:t>
      </w:r>
      <w:r>
        <w:t xml:space="preserve"> </w:t>
      </w:r>
    </w:p>
    <w:p w:rsidR="00CB4C62" w:rsidRPr="004668C9" w:rsidRDefault="00CB4C62" w:rsidP="00CB4C62">
      <w:pPr>
        <w:pStyle w:val="SingleTxt"/>
        <w:numPr>
          <w:ilvl w:val="0"/>
          <w:numId w:val="17"/>
        </w:numPr>
        <w:tabs>
          <w:tab w:val="clear" w:pos="475"/>
          <w:tab w:val="num" w:pos="1742"/>
        </w:tabs>
        <w:suppressAutoHyphens/>
        <w:ind w:left="1267"/>
      </w:pPr>
      <w:bookmarkStart w:id="37" w:name="_Hlt307577816"/>
      <w:bookmarkStart w:id="38" w:name="_Hlt307577817"/>
      <w:bookmarkStart w:id="39" w:name="_Hlt307578041"/>
      <w:bookmarkStart w:id="40" w:name="_Hlt307578042"/>
      <w:r w:rsidRPr="004668C9">
        <w:t>Los estudiantes serán empoderados para tomar decisiones que mejoren su vida mediante la adquisición de conocimientos, la preparación para la vida, valores positivos y servicios necesarios para su desarrollo pleno y su participación activa en la sociedad.</w:t>
      </w:r>
      <w:r>
        <w:t xml:space="preserve"> </w:t>
      </w:r>
      <w:r w:rsidRPr="004668C9">
        <w:t>Al completar la capacitación en estos temas, los estudiantes podrán:</w:t>
      </w:r>
      <w:r>
        <w:t xml:space="preserve"> </w:t>
      </w:r>
    </w:p>
    <w:bookmarkEnd w:id="37"/>
    <w:bookmarkEnd w:id="38"/>
    <w:bookmarkEnd w:id="39"/>
    <w:bookmarkEnd w:id="40"/>
    <w:p w:rsidR="00CB4C62" w:rsidRPr="004668C9" w:rsidRDefault="00CB4C62" w:rsidP="00CB4C62">
      <w:pPr>
        <w:pStyle w:val="SingleTxt"/>
        <w:tabs>
          <w:tab w:val="right" w:pos="1685"/>
        </w:tabs>
        <w:ind w:left="1742" w:hanging="475"/>
      </w:pPr>
      <w:r w:rsidRPr="004668C9">
        <w:tab/>
        <w:t>•</w:t>
      </w:r>
      <w:r w:rsidRPr="004668C9">
        <w:tab/>
        <w:t>Examinar las características de la persona, la familia, la institución educativa y la comunidad para construir relaciones duraderas y sanas y mejorar las opciones en lo que respecta al estilo de vida</w:t>
      </w:r>
      <w:r>
        <w:t xml:space="preserve"> </w:t>
      </w:r>
    </w:p>
    <w:p w:rsidR="00CB4C62" w:rsidRPr="004668C9" w:rsidRDefault="00CB4C62" w:rsidP="00CB4C62">
      <w:pPr>
        <w:pStyle w:val="SingleTxt"/>
        <w:tabs>
          <w:tab w:val="right" w:pos="1685"/>
        </w:tabs>
        <w:ind w:left="1742" w:hanging="475"/>
      </w:pPr>
      <w:r w:rsidRPr="004668C9">
        <w:tab/>
        <w:t>•</w:t>
      </w:r>
      <w:r w:rsidRPr="004668C9">
        <w:tab/>
        <w:t xml:space="preserve">Desarrollar competencias para la acción a fin de reducir la vulnerabilidad a las consecuencias de las conductas de riesgo, incluidas las infecciones de transmisión sexual, el VIH y el SIDA (adaptado del estándar regional núm. 4, 2005 de la educación para la salud y la vida familiar de la CARICOM) </w:t>
      </w:r>
    </w:p>
    <w:p w:rsidR="00CB4C62" w:rsidRPr="004668C9" w:rsidRDefault="00CB4C62" w:rsidP="00CB4C62">
      <w:pPr>
        <w:pStyle w:val="SingleTxt"/>
        <w:tabs>
          <w:tab w:val="right" w:pos="1685"/>
        </w:tabs>
        <w:ind w:left="1742" w:hanging="475"/>
      </w:pPr>
      <w:r w:rsidRPr="004668C9">
        <w:tab/>
        <w:t>•</w:t>
      </w:r>
      <w:r w:rsidRPr="004668C9">
        <w:tab/>
        <w:t xml:space="preserve">Demostrar la capacidad de tomar decisiones alimenticias saludables y realizar actividad física con regularidad </w:t>
      </w:r>
    </w:p>
    <w:p w:rsidR="00CB4C62" w:rsidRPr="004668C9" w:rsidRDefault="00CB4C62" w:rsidP="00CB4C62">
      <w:pPr>
        <w:pStyle w:val="SingleTxt"/>
        <w:tabs>
          <w:tab w:val="right" w:pos="1685"/>
        </w:tabs>
        <w:ind w:left="1742" w:hanging="475"/>
      </w:pPr>
      <w:r w:rsidRPr="004668C9">
        <w:tab/>
        <w:t>•</w:t>
      </w:r>
      <w:r w:rsidRPr="004668C9">
        <w:tab/>
        <w:t>Demostrar la capacidad de optar por estilos de vida que estén e</w:t>
      </w:r>
      <w:r>
        <w:t>n armonía con el medio ambiente.</w:t>
      </w:r>
    </w:p>
    <w:p w:rsidR="00CB4C62" w:rsidRPr="004668C9" w:rsidRDefault="00CB4C62" w:rsidP="00CB4C62">
      <w:pPr>
        <w:pStyle w:val="SingleTxt"/>
        <w:numPr>
          <w:ilvl w:val="0"/>
          <w:numId w:val="17"/>
        </w:numPr>
        <w:tabs>
          <w:tab w:val="clear" w:pos="475"/>
          <w:tab w:val="num" w:pos="1742"/>
        </w:tabs>
        <w:suppressAutoHyphens/>
        <w:ind w:left="1267"/>
      </w:pPr>
      <w:bookmarkStart w:id="41" w:name="_Hlt307579337"/>
      <w:bookmarkStart w:id="42" w:name="_Hlt307579338"/>
      <w:r w:rsidRPr="004668C9">
        <w:t>Las cuestiones y contenidos tratados en el marco de los cuatro temas incluyen: el embarazo adolescente, las infecciones de transmisión sexual, el VIH, el SIDA, el abuso de menores y el abuso sexual, las prácticas sexuales de riesgo, la sexualidad, las partes del cuerpo, la reproducción masculina y femenina, la igualdad entre los géneros (similitudes y diferencias entre el hombre y la mujer), las enfermedades crónicas (por ej</w:t>
      </w:r>
      <w:r>
        <w:t>emplo</w:t>
      </w:r>
      <w:r w:rsidRPr="004668C9">
        <w:t xml:space="preserve">, la diabetes o la obesidad), la toxicomanía y el tráfico de drogas, la delincuencia y la violencia, las subculturas negativas y los valores cambiantes. </w:t>
      </w:r>
    </w:p>
    <w:bookmarkEnd w:id="41"/>
    <w:bookmarkEnd w:id="42"/>
    <w:p w:rsidR="00CB4C62" w:rsidRDefault="00CB4C62" w:rsidP="00CB4C62">
      <w:pPr>
        <w:pStyle w:val="SingleTxt"/>
        <w:numPr>
          <w:ilvl w:val="0"/>
          <w:numId w:val="17"/>
        </w:numPr>
        <w:tabs>
          <w:tab w:val="clear" w:pos="475"/>
          <w:tab w:val="num" w:pos="1742"/>
        </w:tabs>
        <w:suppressAutoHyphens/>
        <w:ind w:left="1267"/>
      </w:pPr>
      <w:r w:rsidRPr="004668C9">
        <w:t>El currículo también está concebido para facilitar un enfoque didáctico más centrado en el alumno, que incorpore la formación del carácter y los enfoques interdisciplinarios.</w:t>
      </w:r>
      <w:r>
        <w:t xml:space="preserve"> </w:t>
      </w:r>
    </w:p>
    <w:p w:rsidR="00CB4C62" w:rsidRDefault="00CB4C62" w:rsidP="00CB4C62">
      <w:pPr>
        <w:pStyle w:val="SingleTxt"/>
        <w:tabs>
          <w:tab w:val="num" w:pos="1742"/>
        </w:tabs>
        <w:suppressAutoHyphens/>
      </w:pPr>
    </w:p>
    <w:p w:rsidR="00CB4C62" w:rsidRPr="004668C9" w:rsidRDefault="00CB4C62" w:rsidP="00CB4C62">
      <w:pPr>
        <w:pStyle w:val="SingleTxt"/>
        <w:tabs>
          <w:tab w:val="num" w:pos="1742"/>
        </w:tabs>
        <w:suppressAutoHyphens/>
      </w:pPr>
    </w:p>
    <w:p w:rsidR="00CB4C62" w:rsidRPr="004668C9" w:rsidRDefault="00CB4C62" w:rsidP="00CB4C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68C9">
        <w:tab/>
      </w:r>
      <w:r w:rsidRPr="004668C9">
        <w:tab/>
        <w:t xml:space="preserve">Las niñas en los deportes y la educación física </w:t>
      </w:r>
    </w:p>
    <w:p w:rsidR="00CB4C62" w:rsidRPr="004668C9" w:rsidRDefault="00CB4C62" w:rsidP="00CB4C62">
      <w:pPr>
        <w:pStyle w:val="SingleTxt"/>
        <w:spacing w:after="0" w:line="120" w:lineRule="exact"/>
        <w:rPr>
          <w:sz w:val="10"/>
        </w:rPr>
      </w:pPr>
    </w:p>
    <w:p w:rsidR="00CB4C62" w:rsidRPr="004668C9" w:rsidRDefault="00CB4C62" w:rsidP="00CB4C62">
      <w:pPr>
        <w:pStyle w:val="SingleTxt"/>
        <w:numPr>
          <w:ilvl w:val="0"/>
          <w:numId w:val="17"/>
        </w:numPr>
        <w:tabs>
          <w:tab w:val="clear" w:pos="475"/>
          <w:tab w:val="num" w:pos="1742"/>
        </w:tabs>
        <w:suppressAutoHyphens/>
        <w:ind w:left="1267"/>
      </w:pPr>
      <w:r w:rsidRPr="004668C9">
        <w:t xml:space="preserve">Las niñas tienen las mismas posibilidades que los varones de participar en los deportes y la educación física en las instituciones educativas. Sin embargo, en la escuela primaria las niñas juegan al softball y los varones al béisbol. No existen disposiciones que prohíban la participación de las mujeres y las niñas en los deportes y la educación física. </w:t>
      </w:r>
    </w:p>
    <w:p w:rsidR="00CB4C62" w:rsidRPr="004668C9" w:rsidRDefault="00CB4C62" w:rsidP="00CB4C62">
      <w:pPr>
        <w:pStyle w:val="SingleTxt"/>
        <w:numPr>
          <w:ilvl w:val="0"/>
          <w:numId w:val="17"/>
        </w:numPr>
        <w:tabs>
          <w:tab w:val="clear" w:pos="475"/>
          <w:tab w:val="num" w:pos="1742"/>
        </w:tabs>
        <w:suppressAutoHyphens/>
        <w:ind w:left="1267"/>
      </w:pPr>
      <w:r w:rsidRPr="004668C9">
        <w:t>Algunos estudiantes se visten de acuerdo con su afiliación religiosa. En las escuelas secundarias, los rastafaris usan pantalones cortos más largos o pantalones largos directamente para las clases de educación física.</w:t>
      </w:r>
      <w:r>
        <w:t xml:space="preserve"> </w:t>
      </w:r>
    </w:p>
    <w:p w:rsidR="00CB4C62" w:rsidRPr="004668C9" w:rsidRDefault="00CB4C62" w:rsidP="00CB4C62">
      <w:pPr>
        <w:pStyle w:val="SingleTxt"/>
        <w:numPr>
          <w:ilvl w:val="0"/>
          <w:numId w:val="17"/>
        </w:numPr>
        <w:tabs>
          <w:tab w:val="clear" w:pos="475"/>
          <w:tab w:val="num" w:pos="1742"/>
        </w:tabs>
        <w:suppressAutoHyphens/>
        <w:ind w:left="1267"/>
      </w:pPr>
      <w:bookmarkStart w:id="43" w:name="_Hlt307580217"/>
      <w:bookmarkStart w:id="44" w:name="_Hlt307580218"/>
      <w:r w:rsidRPr="004668C9">
        <w:t>Las instalaciones deportivas están disponibles para hombres y mujeres; algunas islas tienen más instalaciones que otras.</w:t>
      </w:r>
    </w:p>
    <w:bookmarkEnd w:id="43"/>
    <w:bookmarkEnd w:id="44"/>
    <w:p w:rsidR="00CB4C62" w:rsidRPr="004668C9" w:rsidRDefault="00CB4C62" w:rsidP="00CB4C62">
      <w:pPr>
        <w:pStyle w:val="SingleTxt"/>
        <w:numPr>
          <w:ilvl w:val="0"/>
          <w:numId w:val="17"/>
        </w:numPr>
        <w:tabs>
          <w:tab w:val="clear" w:pos="475"/>
          <w:tab w:val="num" w:pos="1742"/>
        </w:tabs>
        <w:suppressAutoHyphens/>
        <w:ind w:left="1267"/>
      </w:pPr>
      <w:r w:rsidRPr="004668C9">
        <w:t>En las Bahamas no existen objeciones culturales a que las mujeres practiquen deportes. Algunas de las instalaciones disponibles son:</w:t>
      </w:r>
      <w:r>
        <w:t xml:space="preserve"> </w:t>
      </w:r>
    </w:p>
    <w:p w:rsidR="00CB4C62" w:rsidRPr="004668C9" w:rsidRDefault="00CB4C62" w:rsidP="00CB4C62">
      <w:pPr>
        <w:pStyle w:val="SingleTxt"/>
        <w:tabs>
          <w:tab w:val="right" w:pos="1685"/>
        </w:tabs>
        <w:ind w:left="1742" w:hanging="475"/>
      </w:pPr>
      <w:bookmarkStart w:id="45" w:name="_Hlt307583066"/>
      <w:bookmarkStart w:id="46" w:name="_Hlt307583067"/>
      <w:r w:rsidRPr="004668C9">
        <w:tab/>
        <w:t>•</w:t>
      </w:r>
      <w:r w:rsidRPr="004668C9">
        <w:tab/>
        <w:t>Canchas de softball y béisbol</w:t>
      </w:r>
    </w:p>
    <w:p w:rsidR="00CB4C62" w:rsidRPr="004668C9" w:rsidRDefault="00CB4C62" w:rsidP="00CB4C62">
      <w:pPr>
        <w:pStyle w:val="SingleTxt"/>
        <w:tabs>
          <w:tab w:val="right" w:pos="1685"/>
        </w:tabs>
        <w:ind w:left="1742" w:hanging="475"/>
      </w:pPr>
      <w:bookmarkStart w:id="47" w:name="_Hlt307583107"/>
      <w:bookmarkStart w:id="48" w:name="_Hlt307583108"/>
      <w:bookmarkEnd w:id="45"/>
      <w:bookmarkEnd w:id="46"/>
      <w:r w:rsidRPr="004668C9">
        <w:tab/>
        <w:t>•</w:t>
      </w:r>
      <w:r w:rsidRPr="004668C9">
        <w:tab/>
        <w:t>Estadios con pistas de atletismo y canchas</w:t>
      </w:r>
    </w:p>
    <w:bookmarkEnd w:id="47"/>
    <w:bookmarkEnd w:id="48"/>
    <w:p w:rsidR="00CB4C62" w:rsidRPr="004668C9" w:rsidRDefault="00CB4C62" w:rsidP="00CB4C62">
      <w:pPr>
        <w:pStyle w:val="SingleTxt"/>
        <w:tabs>
          <w:tab w:val="right" w:pos="1685"/>
        </w:tabs>
        <w:ind w:left="1742" w:hanging="475"/>
      </w:pPr>
      <w:r w:rsidRPr="004668C9">
        <w:tab/>
        <w:t>•</w:t>
      </w:r>
      <w:r w:rsidRPr="004668C9">
        <w:tab/>
        <w:t>Gimnasios para básquetbol</w:t>
      </w:r>
    </w:p>
    <w:p w:rsidR="00CB4C62" w:rsidRPr="004668C9" w:rsidRDefault="00CB4C62" w:rsidP="00CB4C62">
      <w:pPr>
        <w:pStyle w:val="SingleTxt"/>
        <w:tabs>
          <w:tab w:val="right" w:pos="1685"/>
        </w:tabs>
        <w:ind w:left="1742" w:hanging="475"/>
      </w:pPr>
      <w:r w:rsidRPr="004668C9">
        <w:tab/>
        <w:t>•</w:t>
      </w:r>
      <w:r w:rsidRPr="004668C9">
        <w:tab/>
        <w:t>Centros comunitarios</w:t>
      </w:r>
    </w:p>
    <w:p w:rsidR="00CB4C62" w:rsidRPr="004668C9" w:rsidRDefault="00CB4C62" w:rsidP="00CB4C62">
      <w:pPr>
        <w:pStyle w:val="SingleTxt"/>
        <w:tabs>
          <w:tab w:val="right" w:pos="1685"/>
        </w:tabs>
        <w:ind w:left="1742" w:hanging="475"/>
      </w:pPr>
      <w:r w:rsidRPr="004668C9">
        <w:tab/>
        <w:t>•</w:t>
      </w:r>
      <w:r w:rsidRPr="004668C9">
        <w:tab/>
        <w:t>Canchas de fútbol</w:t>
      </w:r>
    </w:p>
    <w:p w:rsidR="00CB4C62" w:rsidRPr="004668C9" w:rsidRDefault="00CB4C62" w:rsidP="00CB4C62">
      <w:pPr>
        <w:pStyle w:val="SingleTxt"/>
        <w:tabs>
          <w:tab w:val="right" w:pos="1685"/>
        </w:tabs>
        <w:ind w:left="1742" w:hanging="475"/>
      </w:pPr>
      <w:r w:rsidRPr="004668C9">
        <w:tab/>
        <w:t>•</w:t>
      </w:r>
      <w:r w:rsidRPr="004668C9">
        <w:tab/>
        <w:t>Complejo de natación</w:t>
      </w:r>
    </w:p>
    <w:p w:rsidR="00CB4C62" w:rsidRPr="004668C9" w:rsidRDefault="00CB4C62" w:rsidP="00CB4C62">
      <w:pPr>
        <w:pStyle w:val="SingleTxt"/>
      </w:pPr>
      <w:r w:rsidRPr="004668C9">
        <w:t>Los varones juegan al béisbol porque hay becas disponibles.</w:t>
      </w:r>
      <w:r>
        <w:t xml:space="preserve"> </w:t>
      </w:r>
    </w:p>
    <w:p w:rsidR="00CB4C62" w:rsidRPr="004668C9" w:rsidRDefault="00CB4C62" w:rsidP="00CB4C62">
      <w:pPr>
        <w:pStyle w:val="SingleTxt"/>
        <w:spacing w:after="0" w:line="120" w:lineRule="exact"/>
        <w:rPr>
          <w:sz w:val="10"/>
        </w:rPr>
      </w:pPr>
    </w:p>
    <w:p w:rsidR="00CB4C62" w:rsidRPr="004668C9" w:rsidRDefault="00CB4C62" w:rsidP="00CB4C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68C9">
        <w:tab/>
      </w:r>
      <w:r w:rsidRPr="004668C9">
        <w:tab/>
        <w:t>Fijación de estereotipos femeninos</w:t>
      </w:r>
    </w:p>
    <w:p w:rsidR="00CB4C62" w:rsidRPr="004668C9" w:rsidRDefault="00CB4C62" w:rsidP="00CB4C62">
      <w:pPr>
        <w:pStyle w:val="SingleTxt"/>
        <w:spacing w:after="0" w:line="120" w:lineRule="exact"/>
        <w:rPr>
          <w:sz w:val="10"/>
        </w:rPr>
      </w:pPr>
    </w:p>
    <w:p w:rsidR="00CB4C62" w:rsidRPr="004668C9" w:rsidRDefault="00CB4C62" w:rsidP="00CB4C62">
      <w:pPr>
        <w:pStyle w:val="SingleTxt"/>
        <w:numPr>
          <w:ilvl w:val="0"/>
          <w:numId w:val="17"/>
        </w:numPr>
        <w:tabs>
          <w:tab w:val="clear" w:pos="475"/>
          <w:tab w:val="num" w:pos="1742"/>
        </w:tabs>
        <w:suppressAutoHyphens/>
        <w:ind w:left="1267"/>
      </w:pPr>
      <w:r w:rsidRPr="004668C9">
        <w:t>Como la mayoría de los libros de texto (de historia) tienden a minimizar el papel de las mujeres en muchos de los acontecimientos históricos más importantes, la Dependencia de Estudios Sociales ha dado instrucciones a los profesores para llevar a cabo investigaciones adicionales a fin de determinar el papel que desempeñaron las mujeres en estos hechos.</w:t>
      </w:r>
      <w:r>
        <w:t xml:space="preserve"> </w:t>
      </w:r>
    </w:p>
    <w:p w:rsidR="00CB4C62" w:rsidRPr="004668C9" w:rsidRDefault="00CB4C62" w:rsidP="00CB4C62">
      <w:pPr>
        <w:pStyle w:val="SingleTxt"/>
        <w:tabs>
          <w:tab w:val="clear" w:pos="1742"/>
        </w:tabs>
        <w:suppressAutoHyphens/>
        <w:spacing w:after="0" w:line="120" w:lineRule="exact"/>
        <w:ind w:left="0"/>
        <w:rPr>
          <w:sz w:val="10"/>
        </w:rPr>
      </w:pPr>
    </w:p>
    <w:p w:rsidR="00CB4C62" w:rsidRPr="004668C9" w:rsidRDefault="00CB4C62" w:rsidP="00CB4C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68C9">
        <w:tab/>
      </w:r>
      <w:r w:rsidRPr="004668C9">
        <w:tab/>
        <w:t>Orientación profesional y vocacional para las mujeres</w:t>
      </w:r>
    </w:p>
    <w:p w:rsidR="00CB4C62" w:rsidRPr="004668C9" w:rsidRDefault="00CB4C62" w:rsidP="00CB4C62">
      <w:pPr>
        <w:pStyle w:val="SingleTxt"/>
        <w:spacing w:after="0" w:line="120" w:lineRule="exact"/>
        <w:rPr>
          <w:sz w:val="10"/>
        </w:rPr>
      </w:pPr>
    </w:p>
    <w:p w:rsidR="00CB4C62" w:rsidRPr="004668C9" w:rsidRDefault="00CB4C62" w:rsidP="00CB4C62">
      <w:pPr>
        <w:pStyle w:val="SingleTxt"/>
        <w:numPr>
          <w:ilvl w:val="0"/>
          <w:numId w:val="17"/>
        </w:numPr>
        <w:tabs>
          <w:tab w:val="clear" w:pos="475"/>
          <w:tab w:val="num" w:pos="1742"/>
        </w:tabs>
        <w:suppressAutoHyphens/>
        <w:ind w:left="1267"/>
      </w:pPr>
      <w:r w:rsidRPr="004668C9">
        <w:t>La orientación profesional es un componente importante en el currículo de orientación vocacional desde el nivel preescolar hasta el 12º grado para todos los estudiantes en el sistema educativo.</w:t>
      </w:r>
      <w:r>
        <w:t xml:space="preserve"> </w:t>
      </w:r>
      <w:r w:rsidRPr="004668C9">
        <w:t>Los estudiantes reciben información sobre carreras de la siguiente manera:</w:t>
      </w:r>
    </w:p>
    <w:p w:rsidR="00CB4C62" w:rsidRPr="004668C9" w:rsidRDefault="00CB4C62" w:rsidP="00CB4C62">
      <w:pPr>
        <w:pStyle w:val="SingleTxt"/>
      </w:pPr>
      <w:r>
        <w:tab/>
      </w:r>
      <w:r w:rsidRPr="004668C9">
        <w:t>1.</w:t>
      </w:r>
      <w:r w:rsidRPr="004668C9">
        <w:tab/>
        <w:t>Orientación en la clase</w:t>
      </w:r>
    </w:p>
    <w:p w:rsidR="00CB4C62" w:rsidRPr="004668C9" w:rsidRDefault="00CB4C62" w:rsidP="00CB4C62">
      <w:pPr>
        <w:pStyle w:val="SingleTxt"/>
      </w:pPr>
      <w:bookmarkStart w:id="49" w:name="_Hlt307584250"/>
      <w:bookmarkStart w:id="50" w:name="_Hlt307584251"/>
      <w:r>
        <w:tab/>
      </w:r>
      <w:r w:rsidRPr="004668C9">
        <w:t>2.</w:t>
      </w:r>
      <w:r w:rsidRPr="004668C9">
        <w:tab/>
        <w:t>Ferias sobre profesiones</w:t>
      </w:r>
    </w:p>
    <w:bookmarkEnd w:id="49"/>
    <w:bookmarkEnd w:id="50"/>
    <w:p w:rsidR="00CB4C62" w:rsidRPr="004668C9" w:rsidRDefault="00CB4C62" w:rsidP="00CB4C62">
      <w:pPr>
        <w:pStyle w:val="SingleTxt"/>
      </w:pPr>
      <w:r>
        <w:tab/>
      </w:r>
      <w:r w:rsidRPr="004668C9">
        <w:t>3.</w:t>
      </w:r>
      <w:r w:rsidRPr="004668C9">
        <w:tab/>
        <w:t>Programas para cadetes</w:t>
      </w:r>
    </w:p>
    <w:p w:rsidR="00CB4C62" w:rsidRPr="004668C9" w:rsidRDefault="00CB4C62" w:rsidP="00CB4C62">
      <w:pPr>
        <w:pStyle w:val="SingleTxt"/>
      </w:pPr>
      <w:r>
        <w:tab/>
      </w:r>
      <w:r w:rsidRPr="004668C9">
        <w:t>4.</w:t>
      </w:r>
      <w:r w:rsidRPr="004668C9">
        <w:tab/>
        <w:t>Programas de pasantías laborales</w:t>
      </w:r>
    </w:p>
    <w:p w:rsidR="00CB4C62" w:rsidRPr="004668C9" w:rsidRDefault="00CB4C62" w:rsidP="00CB4C62">
      <w:pPr>
        <w:pStyle w:val="SingleTxt"/>
      </w:pPr>
      <w:r>
        <w:tab/>
      </w:r>
      <w:r w:rsidRPr="004668C9">
        <w:t>5.</w:t>
      </w:r>
      <w:r w:rsidRPr="004668C9">
        <w:tab/>
        <w:t>Servicio comunitario</w:t>
      </w:r>
    </w:p>
    <w:p w:rsidR="00CB4C62" w:rsidRPr="004668C9" w:rsidRDefault="00CB4C62" w:rsidP="00CB4C62">
      <w:pPr>
        <w:pStyle w:val="SingleTxt"/>
        <w:ind w:left="2218" w:hanging="951"/>
      </w:pPr>
      <w:r>
        <w:tab/>
      </w:r>
      <w:r w:rsidRPr="004668C9">
        <w:t>6.</w:t>
      </w:r>
      <w:r w:rsidRPr="004668C9">
        <w:tab/>
        <w:t>Oradores invitados de diversas profesiones y representantes de universidades</w:t>
      </w:r>
    </w:p>
    <w:p w:rsidR="00CB4C62" w:rsidRPr="004668C9" w:rsidRDefault="00CB4C62" w:rsidP="00CB4C62">
      <w:pPr>
        <w:pStyle w:val="SingleTxt"/>
      </w:pPr>
      <w:r>
        <w:tab/>
      </w:r>
      <w:r w:rsidRPr="004668C9">
        <w:t>7.</w:t>
      </w:r>
      <w:r w:rsidRPr="004668C9">
        <w:tab/>
        <w:t>Investigación en Internet</w:t>
      </w:r>
    </w:p>
    <w:p w:rsidR="00CB4C62" w:rsidRPr="004668C9" w:rsidRDefault="00CB4C62" w:rsidP="00CB4C62">
      <w:pPr>
        <w:pStyle w:val="SingleTxt"/>
      </w:pPr>
      <w:r>
        <w:tab/>
      </w:r>
      <w:r w:rsidRPr="004668C9">
        <w:t>8.</w:t>
      </w:r>
      <w:r w:rsidRPr="004668C9">
        <w:tab/>
        <w:t xml:space="preserve">Observación de actividades profesionales </w:t>
      </w:r>
      <w:r w:rsidRPr="005A0895">
        <w:rPr>
          <w:i/>
        </w:rPr>
        <w:t>in situ</w:t>
      </w:r>
    </w:p>
    <w:p w:rsidR="00CB4C62" w:rsidRPr="004668C9" w:rsidRDefault="00CB4C62" w:rsidP="00CB4C62">
      <w:pPr>
        <w:pStyle w:val="SingleTxt"/>
      </w:pPr>
      <w:r>
        <w:tab/>
      </w:r>
      <w:r w:rsidRPr="004668C9">
        <w:t>9.</w:t>
      </w:r>
      <w:r w:rsidRPr="004668C9">
        <w:tab/>
        <w:t>Ferias de universidades</w:t>
      </w:r>
    </w:p>
    <w:p w:rsidR="00CB4C62" w:rsidRPr="004668C9" w:rsidRDefault="00CB4C62" w:rsidP="00CB4C62">
      <w:pPr>
        <w:pStyle w:val="SingleTxt"/>
      </w:pPr>
      <w:r>
        <w:tab/>
      </w:r>
      <w:r w:rsidRPr="004668C9">
        <w:t>10.</w:t>
      </w:r>
      <w:r w:rsidRPr="004668C9">
        <w:tab/>
        <w:t>Coloquios sobre becas</w:t>
      </w:r>
    </w:p>
    <w:p w:rsidR="00CB4C62" w:rsidRPr="004668C9" w:rsidRDefault="00CB4C62" w:rsidP="00CB4C62">
      <w:pPr>
        <w:pStyle w:val="SingleTxt"/>
        <w:spacing w:after="0" w:line="120" w:lineRule="exact"/>
        <w:rPr>
          <w:sz w:val="10"/>
        </w:rPr>
      </w:pPr>
    </w:p>
    <w:p w:rsidR="00CB4C62" w:rsidRPr="004668C9" w:rsidRDefault="00CB4C62" w:rsidP="00CB4C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68C9">
        <w:tab/>
      </w:r>
      <w:r w:rsidRPr="004668C9">
        <w:tab/>
        <w:t>La necesidad de dar estímulos especiales</w:t>
      </w:r>
    </w:p>
    <w:p w:rsidR="00CB4C62" w:rsidRPr="004668C9" w:rsidRDefault="00CB4C62" w:rsidP="00CB4C62">
      <w:pPr>
        <w:pStyle w:val="SingleTxt"/>
        <w:spacing w:after="0" w:line="120" w:lineRule="exact"/>
        <w:rPr>
          <w:sz w:val="10"/>
        </w:rPr>
      </w:pPr>
    </w:p>
    <w:p w:rsidR="00CB4C62" w:rsidRPr="004668C9" w:rsidRDefault="00CB4C62" w:rsidP="00CB4C62">
      <w:pPr>
        <w:pStyle w:val="SingleTxt"/>
        <w:numPr>
          <w:ilvl w:val="0"/>
          <w:numId w:val="17"/>
        </w:numPr>
        <w:tabs>
          <w:tab w:val="clear" w:pos="475"/>
          <w:tab w:val="num" w:pos="1742"/>
        </w:tabs>
        <w:suppressAutoHyphens/>
        <w:ind w:left="1267"/>
      </w:pPr>
      <w:r w:rsidRPr="004668C9">
        <w:t>Hoy en día, en las Bahamas se alienta a las niñas (al igual que a los varones) a aprovechar todas las oportunidades de orientación vocacional que se les ofrecen.</w:t>
      </w:r>
    </w:p>
    <w:p w:rsidR="00CB4C62" w:rsidRPr="004668C9" w:rsidRDefault="00CB4C62" w:rsidP="00CB4C62">
      <w:pPr>
        <w:pStyle w:val="SingleTxt"/>
        <w:numPr>
          <w:ilvl w:val="0"/>
          <w:numId w:val="17"/>
        </w:numPr>
        <w:tabs>
          <w:tab w:val="clear" w:pos="475"/>
          <w:tab w:val="num" w:pos="1742"/>
        </w:tabs>
        <w:suppressAutoHyphens/>
        <w:ind w:left="1267"/>
      </w:pPr>
      <w:r w:rsidRPr="004668C9">
        <w:t>Entre otras cosas, se intenta animar a los estudiantes a:</w:t>
      </w:r>
    </w:p>
    <w:p w:rsidR="00CB4C62" w:rsidRPr="004668C9" w:rsidRDefault="00CB4C62" w:rsidP="00CB4C62">
      <w:pPr>
        <w:pStyle w:val="SingleTxt"/>
      </w:pPr>
      <w:r w:rsidRPr="004668C9">
        <w:tab/>
        <w:t>1.</w:t>
      </w:r>
      <w:r w:rsidRPr="004668C9">
        <w:tab/>
        <w:t>Explorar el amplio espectro de carreras tradicionales y no tradicionales</w:t>
      </w:r>
    </w:p>
    <w:p w:rsidR="00CB4C62" w:rsidRPr="004668C9" w:rsidRDefault="00CB4C62" w:rsidP="00CB4C62">
      <w:pPr>
        <w:pStyle w:val="SingleTxt"/>
      </w:pPr>
      <w:r w:rsidRPr="004668C9">
        <w:tab/>
        <w:t>2.</w:t>
      </w:r>
      <w:r w:rsidRPr="004668C9">
        <w:tab/>
        <w:t>Realizar la prueba de orientación vocacional</w:t>
      </w:r>
    </w:p>
    <w:p w:rsidR="00CB4C62" w:rsidRPr="004668C9" w:rsidRDefault="00CB4C62" w:rsidP="00CB4C62">
      <w:pPr>
        <w:pStyle w:val="SingleTxt"/>
      </w:pPr>
      <w:r w:rsidRPr="004668C9">
        <w:tab/>
        <w:t>3.</w:t>
      </w:r>
      <w:r w:rsidRPr="004668C9">
        <w:tab/>
        <w:t>Explorar y desarrollar sus talentos</w:t>
      </w:r>
    </w:p>
    <w:p w:rsidR="00CB4C62" w:rsidRPr="004668C9" w:rsidRDefault="00CB4C62" w:rsidP="00CB4C62">
      <w:pPr>
        <w:pStyle w:val="SingleTxt"/>
      </w:pPr>
      <w:r w:rsidRPr="004668C9">
        <w:tab/>
        <w:t>4.</w:t>
      </w:r>
      <w:r w:rsidRPr="004668C9">
        <w:tab/>
        <w:t>Realizar sus horas de servicio comunitario y experiencia laboral mediante la asignación a lugares de trabajo relacionados con sus intereses.</w:t>
      </w:r>
    </w:p>
    <w:p w:rsidR="00CB4C62" w:rsidRPr="004668C9" w:rsidRDefault="00CB4C62" w:rsidP="00CB4C62">
      <w:pPr>
        <w:pStyle w:val="SingleTxt"/>
        <w:numPr>
          <w:ilvl w:val="0"/>
          <w:numId w:val="17"/>
        </w:numPr>
        <w:tabs>
          <w:tab w:val="clear" w:pos="475"/>
          <w:tab w:val="num" w:pos="1742"/>
        </w:tabs>
        <w:suppressAutoHyphens/>
        <w:ind w:left="1267"/>
      </w:pPr>
      <w:r w:rsidRPr="004668C9">
        <w:t>Algunos de los obstáculos son los siguientes:</w:t>
      </w:r>
    </w:p>
    <w:p w:rsidR="00CB4C62" w:rsidRPr="004668C9" w:rsidRDefault="00CB4C62" w:rsidP="00CB4C62">
      <w:pPr>
        <w:pStyle w:val="SingleTxt"/>
      </w:pPr>
      <w:r w:rsidRPr="004668C9">
        <w:tab/>
        <w:t>1.</w:t>
      </w:r>
      <w:r w:rsidRPr="004668C9">
        <w:tab/>
        <w:t>La financiación puede ser un obstáculo de envergadura para ambos géneros a la hora de hacer realidad sus intereses académicos vocacionales</w:t>
      </w:r>
    </w:p>
    <w:p w:rsidR="00CB4C62" w:rsidRPr="004668C9" w:rsidRDefault="00CB4C62" w:rsidP="00CB4C62">
      <w:pPr>
        <w:pStyle w:val="SingleTxt"/>
      </w:pPr>
      <w:r w:rsidRPr="004668C9">
        <w:tab/>
        <w:t>2.</w:t>
      </w:r>
      <w:r w:rsidRPr="004668C9">
        <w:tab/>
        <w:t>La preparación académica y para la universidad o el trabajo.</w:t>
      </w:r>
    </w:p>
    <w:p w:rsidR="00CB4C62" w:rsidRPr="004668C9" w:rsidRDefault="00CB4C62" w:rsidP="00CB4C62">
      <w:pPr>
        <w:pStyle w:val="SingleTxt"/>
        <w:numPr>
          <w:ilvl w:val="0"/>
          <w:numId w:val="17"/>
        </w:numPr>
        <w:tabs>
          <w:tab w:val="clear" w:pos="475"/>
          <w:tab w:val="num" w:pos="1742"/>
        </w:tabs>
        <w:suppressAutoHyphens/>
        <w:ind w:left="1267"/>
      </w:pPr>
      <w:bookmarkStart w:id="51" w:name="_Hlt307586968"/>
      <w:bookmarkStart w:id="52" w:name="_Hlt307586969"/>
      <w:r w:rsidRPr="004668C9">
        <w:t>Entre las medidas para aprovechar las oportunidades se incluyen:</w:t>
      </w:r>
    </w:p>
    <w:bookmarkEnd w:id="51"/>
    <w:bookmarkEnd w:id="52"/>
    <w:p w:rsidR="00CB4C62" w:rsidRPr="004668C9" w:rsidRDefault="00CB4C62" w:rsidP="00CB4C62">
      <w:pPr>
        <w:pStyle w:val="SingleTxt"/>
      </w:pPr>
      <w:r w:rsidRPr="004668C9">
        <w:tab/>
        <w:t>1.</w:t>
      </w:r>
      <w:r w:rsidRPr="004668C9">
        <w:tab/>
        <w:t>El desarrollo y la actualización profesional para los consejeros y profesores de orientación vocacional</w:t>
      </w:r>
    </w:p>
    <w:p w:rsidR="00CB4C62" w:rsidRPr="004668C9" w:rsidRDefault="00CB4C62" w:rsidP="00CB4C62">
      <w:pPr>
        <w:pStyle w:val="SingleTxt"/>
      </w:pPr>
      <w:r w:rsidRPr="004668C9">
        <w:tab/>
        <w:t>2.</w:t>
      </w:r>
      <w:r w:rsidRPr="004668C9">
        <w:tab/>
        <w:t>Los talleres para padres</w:t>
      </w:r>
    </w:p>
    <w:p w:rsidR="00CB4C62" w:rsidRPr="004668C9" w:rsidRDefault="00CB4C62" w:rsidP="00CB4C62">
      <w:pPr>
        <w:pStyle w:val="SingleTxt"/>
      </w:pPr>
      <w:r w:rsidRPr="004668C9">
        <w:tab/>
        <w:t>3.</w:t>
      </w:r>
      <w:r w:rsidRPr="004668C9">
        <w:tab/>
        <w:t xml:space="preserve">La combinación de los aspectos académicos y las habilidades deportivas o musicales para las becas universitarias. </w:t>
      </w:r>
    </w:p>
    <w:p w:rsidR="00CB4C62" w:rsidRPr="00301AE7" w:rsidRDefault="00CB4C62" w:rsidP="00CB4C62">
      <w:pPr>
        <w:pStyle w:val="SingleTxt"/>
        <w:spacing w:after="0" w:line="120" w:lineRule="exact"/>
        <w:rPr>
          <w:sz w:val="10"/>
        </w:rPr>
      </w:pPr>
    </w:p>
    <w:p w:rsidR="00CB4C62" w:rsidRPr="004668C9" w:rsidRDefault="00CB4C62" w:rsidP="00CB4C62">
      <w:pPr>
        <w:pStyle w:val="SingleTxt"/>
        <w:spacing w:after="0" w:line="120" w:lineRule="exact"/>
        <w:rPr>
          <w:sz w:val="10"/>
        </w:rPr>
      </w:pPr>
    </w:p>
    <w:p w:rsidR="00CB4C62" w:rsidRPr="004668C9" w:rsidRDefault="00CB4C62" w:rsidP="00CB4C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68C9">
        <w:tab/>
      </w:r>
      <w:r w:rsidRPr="004668C9">
        <w:tab/>
        <w:t>Artículo 11: Empleo</w:t>
      </w:r>
    </w:p>
    <w:p w:rsidR="00CB4C62" w:rsidRPr="00301AE7" w:rsidRDefault="00CB4C62" w:rsidP="00CB4C62">
      <w:pPr>
        <w:pStyle w:val="SingleTxt"/>
        <w:spacing w:after="0" w:line="120" w:lineRule="exact"/>
        <w:rPr>
          <w:sz w:val="10"/>
        </w:rPr>
      </w:pPr>
    </w:p>
    <w:p w:rsidR="00CB4C62" w:rsidRPr="004668C9" w:rsidRDefault="00CB4C62" w:rsidP="00CB4C62">
      <w:pPr>
        <w:pStyle w:val="SingleTxt"/>
        <w:spacing w:after="0" w:line="120" w:lineRule="exact"/>
        <w:rPr>
          <w:sz w:val="10"/>
        </w:rPr>
      </w:pPr>
    </w:p>
    <w:p w:rsidR="00CB4C62" w:rsidRPr="004668C9" w:rsidRDefault="00CB4C62" w:rsidP="00CB4C62">
      <w:pPr>
        <w:pStyle w:val="SingleTxt"/>
        <w:numPr>
          <w:ilvl w:val="0"/>
          <w:numId w:val="17"/>
        </w:numPr>
        <w:tabs>
          <w:tab w:val="clear" w:pos="475"/>
          <w:tab w:val="num" w:pos="1742"/>
        </w:tabs>
        <w:suppressAutoHyphens/>
        <w:ind w:left="1267"/>
      </w:pPr>
      <w:r w:rsidRPr="004668C9">
        <w:t>Las Ley sobre relaciones laborales (en su versión enmendada, capítulo 321 del derecho legislado de las Bahamas, 1 de marzo de 1971) abarca al empleo y el funcionamiento de los sindicatos.</w:t>
      </w:r>
      <w:r>
        <w:t xml:space="preserve"> </w:t>
      </w:r>
    </w:p>
    <w:p w:rsidR="00CB4C62" w:rsidRPr="004668C9" w:rsidRDefault="00CB4C62" w:rsidP="00CB4C62">
      <w:pPr>
        <w:pStyle w:val="SingleTxt"/>
        <w:tabs>
          <w:tab w:val="clear" w:pos="1742"/>
        </w:tabs>
        <w:suppressAutoHyphens/>
        <w:spacing w:after="0" w:line="120" w:lineRule="exact"/>
        <w:ind w:left="0"/>
        <w:rPr>
          <w:sz w:val="10"/>
        </w:rPr>
      </w:pPr>
    </w:p>
    <w:p w:rsidR="00CB4C62" w:rsidRPr="004668C9" w:rsidRDefault="00CB4C62" w:rsidP="00CB4C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68C9">
        <w:tab/>
      </w:r>
      <w:r w:rsidRPr="004668C9">
        <w:tab/>
        <w:t>Prácticas de contratación y empleo</w:t>
      </w:r>
    </w:p>
    <w:p w:rsidR="00CB4C62" w:rsidRPr="004668C9" w:rsidRDefault="00CB4C62" w:rsidP="00CB4C62">
      <w:pPr>
        <w:pStyle w:val="SingleTxt"/>
        <w:spacing w:after="0" w:line="120" w:lineRule="exact"/>
        <w:rPr>
          <w:sz w:val="10"/>
        </w:rPr>
      </w:pPr>
    </w:p>
    <w:p w:rsidR="00CB4C62" w:rsidRPr="004668C9" w:rsidRDefault="00CB4C62" w:rsidP="00CB4C62">
      <w:pPr>
        <w:pStyle w:val="SingleTxt"/>
        <w:numPr>
          <w:ilvl w:val="0"/>
          <w:numId w:val="17"/>
        </w:numPr>
        <w:tabs>
          <w:tab w:val="clear" w:pos="475"/>
          <w:tab w:val="num" w:pos="1742"/>
        </w:tabs>
        <w:suppressAutoHyphens/>
        <w:ind w:left="1267"/>
      </w:pPr>
      <w:r w:rsidRPr="004668C9">
        <w:t>No existe discriminación en materia de contratación y empleo entre hombres y mujeres en las Bahamas. Las disposiciones de la Ley de empleo de 2001 (en su forma enmendada) establecen que es ilegal para los empleadores distinguir entre hombres y mujeres en las prácticas de contratación y empleo. Así, los hombres y las mujeres tienen derecho a las mismas oportunidades laborales, incluida la aplicación de los mismos criterios de selección en cuestiones de empleo.</w:t>
      </w:r>
    </w:p>
    <w:p w:rsidR="00CE5D7C" w:rsidRPr="00CE5D7C" w:rsidRDefault="00CE5D7C" w:rsidP="00CE5D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CB4C62" w:rsidRPr="004668C9" w:rsidRDefault="00CE5D7C" w:rsidP="00CB4C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CB4C62">
        <w:tab/>
      </w:r>
      <w:r w:rsidR="00CB4C62">
        <w:tab/>
      </w:r>
      <w:r w:rsidR="00CB4C62" w:rsidRPr="004668C9">
        <w:t>Leyes para eliminar la discriminación en el empleo y la remuneración</w:t>
      </w:r>
    </w:p>
    <w:p w:rsidR="00CB4C62" w:rsidRPr="004668C9" w:rsidRDefault="00CB4C62" w:rsidP="00CB4C62">
      <w:pPr>
        <w:pStyle w:val="SingleTxt"/>
        <w:spacing w:after="0" w:line="120" w:lineRule="exact"/>
        <w:rPr>
          <w:sz w:val="10"/>
        </w:rPr>
      </w:pPr>
    </w:p>
    <w:p w:rsidR="00CB4C62" w:rsidRPr="004668C9" w:rsidRDefault="00CB4C62" w:rsidP="00CB4C62">
      <w:pPr>
        <w:pStyle w:val="SingleTxt"/>
        <w:numPr>
          <w:ilvl w:val="0"/>
          <w:numId w:val="17"/>
        </w:numPr>
        <w:tabs>
          <w:tab w:val="clear" w:pos="475"/>
          <w:tab w:val="num" w:pos="1742"/>
        </w:tabs>
        <w:suppressAutoHyphens/>
        <w:ind w:left="1267"/>
      </w:pPr>
      <w:r w:rsidRPr="004668C9">
        <w:t>Como se indicó en el informe anterior, se ha promulgado legislación específica que no discrimina a las mujeres, de conformidad con la sección 6 de la Ley de empleo de 2001:</w:t>
      </w:r>
    </w:p>
    <w:p w:rsidR="00CB4C62" w:rsidRPr="004668C9" w:rsidRDefault="00CB4C62" w:rsidP="00CB4C62">
      <w:pPr>
        <w:pStyle w:val="SingleTxt"/>
        <w:ind w:left="1742" w:hanging="475"/>
      </w:pPr>
      <w:r w:rsidRPr="004668C9">
        <w:tab/>
      </w:r>
      <w:r>
        <w:t>“</w:t>
      </w:r>
      <w:r w:rsidRPr="004668C9">
        <w:t>vi)</w:t>
      </w:r>
      <w:r w:rsidRPr="004668C9">
        <w:tab/>
        <w:t>ningún empleador o persona que actúe en nombre de un empleador podrá discriminar por motivos de raza, creencias, sexo, estado civil, opinión política, edad o infección por el VIH/SIDA a un empleado o una persona que solicita empleo</w:t>
      </w:r>
      <w:r>
        <w:t>.”</w:t>
      </w:r>
    </w:p>
    <w:p w:rsidR="00CB4C62" w:rsidRPr="004668C9" w:rsidRDefault="00CB4C62" w:rsidP="00CB4C62">
      <w:pPr>
        <w:pStyle w:val="SingleTxt"/>
        <w:numPr>
          <w:ilvl w:val="0"/>
          <w:numId w:val="17"/>
        </w:numPr>
        <w:tabs>
          <w:tab w:val="clear" w:pos="475"/>
          <w:tab w:val="num" w:pos="1742"/>
        </w:tabs>
        <w:suppressAutoHyphens/>
        <w:ind w:left="1267"/>
      </w:pPr>
      <w:r w:rsidRPr="004668C9">
        <w:t xml:space="preserve">Según esta Ley, una mujer no puede ser objeto de discriminación con respecto a: las oportunidades de empleo; el derecho al ascenso; el derecho a recibir capacitación; la estabilidad laboral y todas las prestaciones y condiciones de servicio y el derecho a la seguridad social; el derecho a la igualdad de remuneración; el derecho a la seguridad en el empleo de las personas infectadas con el VIH/SIDA; el derecho a la protección de las mujeres de tipos perjudiciales de trabajo durante el embarazo; el derecho a las prestaciones por maternidad y otras prestaciones de seguridad social en caso de jubilación, desempleo, enfermedad y vacaciones pagadas; y el derecho de protección frente al despido improcedente por motivos de embarazo o sobre la base del estado civil. </w:t>
      </w:r>
    </w:p>
    <w:p w:rsidR="00CB4C62" w:rsidRPr="004668C9" w:rsidRDefault="00CB4C62" w:rsidP="00CB4C62">
      <w:pPr>
        <w:pStyle w:val="SingleTxt"/>
        <w:tabs>
          <w:tab w:val="clear" w:pos="1742"/>
        </w:tabs>
        <w:suppressAutoHyphens/>
        <w:spacing w:after="0" w:line="120" w:lineRule="exact"/>
        <w:ind w:left="0"/>
        <w:rPr>
          <w:sz w:val="10"/>
        </w:rPr>
      </w:pPr>
    </w:p>
    <w:p w:rsidR="00CB4C62" w:rsidRPr="004668C9" w:rsidRDefault="00CB4C62" w:rsidP="00CB4C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68C9">
        <w:tab/>
      </w:r>
      <w:r w:rsidRPr="004668C9">
        <w:tab/>
        <w:t>Porcentaje de mujeres en la fuerza de trabajo remunerada</w:t>
      </w:r>
    </w:p>
    <w:p w:rsidR="00CB4C62" w:rsidRPr="004668C9" w:rsidRDefault="00CB4C62" w:rsidP="00CB4C62">
      <w:pPr>
        <w:pStyle w:val="SingleTxt"/>
        <w:spacing w:after="0" w:line="120" w:lineRule="exact"/>
        <w:rPr>
          <w:sz w:val="10"/>
        </w:rPr>
      </w:pPr>
    </w:p>
    <w:p w:rsidR="00CB4C62" w:rsidRPr="004668C9" w:rsidRDefault="00CB4C62" w:rsidP="00CB4C62">
      <w:pPr>
        <w:pStyle w:val="SingleTxt"/>
        <w:numPr>
          <w:ilvl w:val="0"/>
          <w:numId w:val="17"/>
        </w:numPr>
        <w:tabs>
          <w:tab w:val="clear" w:pos="475"/>
          <w:tab w:val="num" w:pos="1742"/>
        </w:tabs>
        <w:suppressAutoHyphens/>
        <w:ind w:left="1267"/>
      </w:pPr>
      <w:bookmarkStart w:id="53" w:name="_Hlt307831840"/>
      <w:bookmarkStart w:id="54" w:name="_Hlt307831841"/>
      <w:r w:rsidRPr="004668C9">
        <w:t xml:space="preserve">Las cifras del Departamento de Estadística muestran que, en 2009, las mujeres representaban aproximadamente el 48,9% de la fuerza de trabajo total y su tasa de participación en la fuerza laboral era de aproximadamente el 69,1%. </w:t>
      </w:r>
    </w:p>
    <w:p w:rsidR="00CB4C62" w:rsidRPr="004668C9" w:rsidRDefault="00CB4C62" w:rsidP="00CB4C62">
      <w:pPr>
        <w:pStyle w:val="SingleTxt"/>
        <w:tabs>
          <w:tab w:val="clear" w:pos="1742"/>
        </w:tabs>
        <w:suppressAutoHyphens/>
        <w:spacing w:after="0" w:line="120" w:lineRule="exact"/>
        <w:ind w:left="0"/>
        <w:rPr>
          <w:sz w:val="10"/>
        </w:rPr>
      </w:pPr>
    </w:p>
    <w:bookmarkEnd w:id="53"/>
    <w:bookmarkEnd w:id="54"/>
    <w:p w:rsidR="00CB4C62" w:rsidRPr="004668C9" w:rsidRDefault="00CB4C62" w:rsidP="00CB4C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68C9">
        <w:tab/>
      </w:r>
      <w:r w:rsidRPr="004668C9">
        <w:tab/>
        <w:t>Profesiones en las que predominan las mujeres o los hombres</w:t>
      </w:r>
    </w:p>
    <w:p w:rsidR="00CB4C62" w:rsidRPr="004668C9" w:rsidRDefault="00CB4C62" w:rsidP="00CB4C62">
      <w:pPr>
        <w:pStyle w:val="SingleTxt"/>
        <w:spacing w:after="0" w:line="120" w:lineRule="exact"/>
        <w:rPr>
          <w:sz w:val="10"/>
        </w:rPr>
      </w:pPr>
    </w:p>
    <w:p w:rsidR="00CB4C62" w:rsidRPr="004668C9" w:rsidRDefault="00CB4C62" w:rsidP="00CB4C62">
      <w:pPr>
        <w:pStyle w:val="SingleTxt"/>
        <w:numPr>
          <w:ilvl w:val="0"/>
          <w:numId w:val="17"/>
        </w:numPr>
        <w:tabs>
          <w:tab w:val="clear" w:pos="475"/>
          <w:tab w:val="num" w:pos="1742"/>
        </w:tabs>
        <w:suppressAutoHyphens/>
        <w:ind w:left="1267"/>
      </w:pPr>
      <w:r w:rsidRPr="004668C9">
        <w:t>Las dos profesiones en las que todavía predominan las mujeres son la enseñanza y la enfermería, además de los otros ámbitos mencionados en el informe periódico anterior.</w:t>
      </w:r>
      <w:r>
        <w:t xml:space="preserve"> </w:t>
      </w:r>
    </w:p>
    <w:p w:rsidR="00CB4C62" w:rsidRPr="004668C9" w:rsidRDefault="00CB4C62" w:rsidP="00CB4C62">
      <w:pPr>
        <w:pStyle w:val="SingleTxt"/>
        <w:tabs>
          <w:tab w:val="clear" w:pos="1742"/>
        </w:tabs>
        <w:suppressAutoHyphens/>
        <w:spacing w:after="0" w:line="120" w:lineRule="exact"/>
        <w:ind w:left="0"/>
        <w:rPr>
          <w:sz w:val="10"/>
        </w:rPr>
      </w:pPr>
    </w:p>
    <w:p w:rsidR="00CB4C62" w:rsidRPr="004668C9" w:rsidRDefault="00CB4C62" w:rsidP="00CB4C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68C9">
        <w:tab/>
      </w:r>
      <w:r w:rsidRPr="004668C9">
        <w:tab/>
        <w:t xml:space="preserve">Cursos de aprendizaje </w:t>
      </w:r>
    </w:p>
    <w:p w:rsidR="00CB4C62" w:rsidRPr="004668C9" w:rsidRDefault="00CB4C62" w:rsidP="00CB4C62">
      <w:pPr>
        <w:pStyle w:val="SingleTxt"/>
        <w:spacing w:after="0" w:line="120" w:lineRule="exact"/>
        <w:rPr>
          <w:sz w:val="10"/>
        </w:rPr>
      </w:pPr>
    </w:p>
    <w:p w:rsidR="00CB4C62" w:rsidRPr="004668C9" w:rsidRDefault="00CB4C62" w:rsidP="00CB4C62">
      <w:pPr>
        <w:pStyle w:val="SingleTxt"/>
        <w:numPr>
          <w:ilvl w:val="0"/>
          <w:numId w:val="17"/>
        </w:numPr>
        <w:tabs>
          <w:tab w:val="clear" w:pos="475"/>
          <w:tab w:val="num" w:pos="1742"/>
        </w:tabs>
        <w:suppressAutoHyphens/>
        <w:ind w:left="1267"/>
      </w:pPr>
      <w:r w:rsidRPr="004668C9">
        <w:t xml:space="preserve">Las mujeres son libres de elegir las carreras que les interesen. En el BTVI se imparten cursos de capacitación en diversas esferas técnicas y las mujeres pueden inscribirse y participar en todos y cada uno de ellos al igual que los hombres. Hay consejeros disponibles para ayudar a los futuros estudiantes a completar el proceso. </w:t>
      </w:r>
    </w:p>
    <w:p w:rsidR="00CB4C62" w:rsidRPr="004668C9" w:rsidRDefault="00CB4C62" w:rsidP="00CB4C62">
      <w:pPr>
        <w:pStyle w:val="SingleTxt"/>
        <w:tabs>
          <w:tab w:val="clear" w:pos="1742"/>
        </w:tabs>
        <w:suppressAutoHyphens/>
        <w:spacing w:after="0" w:line="120" w:lineRule="exact"/>
        <w:ind w:left="0"/>
        <w:rPr>
          <w:sz w:val="10"/>
        </w:rPr>
      </w:pPr>
    </w:p>
    <w:p w:rsidR="00CB4C62" w:rsidRPr="004668C9" w:rsidRDefault="00CB4C62" w:rsidP="00CB4C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68C9">
        <w:tab/>
      </w:r>
      <w:r w:rsidRPr="004668C9">
        <w:tab/>
        <w:t xml:space="preserve">Legislación sobre igualdad en las remuneraciones </w:t>
      </w:r>
    </w:p>
    <w:p w:rsidR="00CB4C62" w:rsidRPr="004668C9" w:rsidRDefault="00CB4C62" w:rsidP="00CB4C62">
      <w:pPr>
        <w:pStyle w:val="SingleTxt"/>
        <w:spacing w:after="0" w:line="120" w:lineRule="exact"/>
        <w:rPr>
          <w:sz w:val="10"/>
        </w:rPr>
      </w:pPr>
    </w:p>
    <w:p w:rsidR="00CB4C62" w:rsidRPr="004668C9" w:rsidRDefault="00CB4C62" w:rsidP="00CB4C62">
      <w:pPr>
        <w:pStyle w:val="SingleTxt"/>
        <w:numPr>
          <w:ilvl w:val="0"/>
          <w:numId w:val="17"/>
        </w:numPr>
        <w:tabs>
          <w:tab w:val="clear" w:pos="475"/>
          <w:tab w:val="num" w:pos="1742"/>
        </w:tabs>
        <w:suppressAutoHyphens/>
        <w:ind w:left="1267"/>
      </w:pPr>
      <w:r w:rsidRPr="004668C9">
        <w:t>Este aspecto está contemplado en la Ley de empleo de 2001.</w:t>
      </w:r>
      <w:r>
        <w:t xml:space="preserve"> </w:t>
      </w:r>
    </w:p>
    <w:p w:rsidR="00CB4C62" w:rsidRPr="004668C9" w:rsidRDefault="00CB4C62" w:rsidP="00CB4C62">
      <w:pPr>
        <w:pStyle w:val="SingleTxt"/>
        <w:tabs>
          <w:tab w:val="clear" w:pos="1742"/>
        </w:tabs>
        <w:suppressAutoHyphens/>
        <w:spacing w:after="0" w:line="120" w:lineRule="exact"/>
        <w:ind w:left="0"/>
        <w:rPr>
          <w:sz w:val="10"/>
        </w:rPr>
      </w:pPr>
    </w:p>
    <w:p w:rsidR="00CB4C62" w:rsidRPr="004668C9" w:rsidRDefault="00CB4C62" w:rsidP="00CB4C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68C9">
        <w:tab/>
      </w:r>
      <w:r w:rsidRPr="004668C9">
        <w:tab/>
        <w:t>Prestaciones relacionadas con el trabajo</w:t>
      </w:r>
    </w:p>
    <w:p w:rsidR="00CB4C62" w:rsidRPr="004668C9" w:rsidRDefault="00CB4C62" w:rsidP="00CB4C62">
      <w:pPr>
        <w:pStyle w:val="SingleTxt"/>
        <w:spacing w:after="0" w:line="120" w:lineRule="exact"/>
        <w:rPr>
          <w:sz w:val="10"/>
        </w:rPr>
      </w:pPr>
    </w:p>
    <w:p w:rsidR="00CB4C62" w:rsidRPr="004668C9" w:rsidRDefault="00CB4C62" w:rsidP="00CB4C62">
      <w:pPr>
        <w:pStyle w:val="SingleTxt"/>
        <w:numPr>
          <w:ilvl w:val="0"/>
          <w:numId w:val="17"/>
        </w:numPr>
        <w:tabs>
          <w:tab w:val="clear" w:pos="475"/>
          <w:tab w:val="num" w:pos="1742"/>
        </w:tabs>
        <w:suppressAutoHyphens/>
        <w:ind w:left="1267"/>
      </w:pPr>
      <w:r w:rsidRPr="004668C9">
        <w:t>La Ley nacional de seguros regula las prestaciones laborales, como se afirmó en el informe anterior.</w:t>
      </w:r>
      <w:r>
        <w:t xml:space="preserve"> </w:t>
      </w:r>
    </w:p>
    <w:p w:rsidR="00CB4C62" w:rsidRPr="004668C9" w:rsidRDefault="00CB4C62" w:rsidP="00CB4C62">
      <w:pPr>
        <w:pStyle w:val="SingleTxt"/>
        <w:tabs>
          <w:tab w:val="clear" w:pos="1742"/>
        </w:tabs>
        <w:suppressAutoHyphens/>
        <w:spacing w:after="0" w:line="120" w:lineRule="exact"/>
        <w:ind w:left="0"/>
        <w:rPr>
          <w:sz w:val="10"/>
        </w:rPr>
      </w:pPr>
    </w:p>
    <w:p w:rsidR="00CB4C62" w:rsidRPr="004668C9" w:rsidRDefault="00CB4C62" w:rsidP="00CB4C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68C9">
        <w:tab/>
      </w:r>
      <w:r w:rsidRPr="004668C9">
        <w:tab/>
        <w:t xml:space="preserve">Licencia por maternidad y seguridad en el empleo </w:t>
      </w:r>
    </w:p>
    <w:p w:rsidR="00CB4C62" w:rsidRPr="004668C9" w:rsidRDefault="00CB4C62" w:rsidP="00CB4C62">
      <w:pPr>
        <w:pStyle w:val="SingleTxt"/>
        <w:spacing w:after="0" w:line="120" w:lineRule="exact"/>
        <w:rPr>
          <w:sz w:val="10"/>
        </w:rPr>
      </w:pPr>
    </w:p>
    <w:p w:rsidR="00CB4C62" w:rsidRPr="004668C9" w:rsidRDefault="00CB4C62" w:rsidP="00CB4C62">
      <w:pPr>
        <w:pStyle w:val="SingleTxt"/>
        <w:numPr>
          <w:ilvl w:val="0"/>
          <w:numId w:val="17"/>
        </w:numPr>
        <w:tabs>
          <w:tab w:val="clear" w:pos="475"/>
          <w:tab w:val="num" w:pos="1742"/>
        </w:tabs>
        <w:suppressAutoHyphens/>
        <w:ind w:left="1267"/>
      </w:pPr>
      <w:r w:rsidRPr="004668C9">
        <w:t>En virtud de la Ley de licencia por maternidad, la seguridad en el empleo no se ve afectada por el embarazo.</w:t>
      </w:r>
    </w:p>
    <w:p w:rsidR="00CB4C62" w:rsidRPr="004668C9" w:rsidRDefault="00CB4C62" w:rsidP="00CB4C62">
      <w:pPr>
        <w:pStyle w:val="SingleTxt"/>
        <w:tabs>
          <w:tab w:val="clear" w:pos="1742"/>
        </w:tabs>
        <w:suppressAutoHyphens/>
        <w:spacing w:after="0" w:line="120" w:lineRule="exact"/>
        <w:ind w:left="0"/>
        <w:rPr>
          <w:sz w:val="10"/>
        </w:rPr>
      </w:pPr>
    </w:p>
    <w:p w:rsidR="00CB4C62" w:rsidRPr="004668C9" w:rsidRDefault="00CB4C62" w:rsidP="00CB4C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68C9">
        <w:tab/>
      </w:r>
      <w:r w:rsidRPr="004668C9">
        <w:tab/>
        <w:t xml:space="preserve">Disposiciones relativas a la licencia por maternidad </w:t>
      </w:r>
    </w:p>
    <w:p w:rsidR="00CB4C62" w:rsidRPr="004668C9" w:rsidRDefault="00CB4C62" w:rsidP="00CB4C62">
      <w:pPr>
        <w:pStyle w:val="SingleTxt"/>
        <w:spacing w:after="0" w:line="120" w:lineRule="exact"/>
        <w:rPr>
          <w:sz w:val="10"/>
        </w:rPr>
      </w:pPr>
    </w:p>
    <w:p w:rsidR="00CB4C62" w:rsidRPr="004668C9" w:rsidRDefault="00CB4C62" w:rsidP="00CB4C62">
      <w:pPr>
        <w:pStyle w:val="SingleTxt"/>
        <w:numPr>
          <w:ilvl w:val="0"/>
          <w:numId w:val="17"/>
        </w:numPr>
        <w:tabs>
          <w:tab w:val="clear" w:pos="475"/>
          <w:tab w:val="num" w:pos="1742"/>
        </w:tabs>
        <w:suppressAutoHyphens/>
        <w:ind w:left="1267"/>
      </w:pPr>
      <w:bookmarkStart w:id="55" w:name="_Hlt307834458"/>
      <w:bookmarkStart w:id="56" w:name="_Hlt307834459"/>
      <w:bookmarkStart w:id="57" w:name="_Hlt307842031"/>
      <w:bookmarkStart w:id="58" w:name="_Hlt307842032"/>
      <w:r w:rsidRPr="004668C9">
        <w:t>La información relacionada con los siguientes aspectos no ha cambiado desde el último informe periódico: la licencia para la atención de los hijos, el despido de la mujer a causa del embarazo, las vacaciones pagadas, las disposiciones sobre las modalidades de trabajo flexibles, el estado civil y la seguridad laboral, las leyes sobre salud y seguridad, las restricciones para la contratación de mujeres, las instalaciones para el cuidado de los niños, las medidas jurídicas que regulan el funcionamiento de las instalaciones para la primera infancia, el porcentaje de empleadores que proporcionan servicios de guardería, el cuidado de los niños fuera del horario escolar, la política de lactancia materna en el lugar de trabajo.</w:t>
      </w:r>
      <w:r>
        <w:t xml:space="preserve"> </w:t>
      </w:r>
    </w:p>
    <w:bookmarkEnd w:id="55"/>
    <w:bookmarkEnd w:id="56"/>
    <w:bookmarkEnd w:id="57"/>
    <w:bookmarkEnd w:id="58"/>
    <w:p w:rsidR="00F21848" w:rsidRPr="00F21848" w:rsidRDefault="00F21848" w:rsidP="00F21848">
      <w:pPr>
        <w:pStyle w:val="SingleTxt"/>
        <w:spacing w:after="0" w:line="120" w:lineRule="exact"/>
        <w:rPr>
          <w:sz w:val="10"/>
        </w:rPr>
      </w:pPr>
    </w:p>
    <w:p w:rsidR="00F21848" w:rsidRPr="00F21848" w:rsidRDefault="00F21848" w:rsidP="00F21848">
      <w:pPr>
        <w:pStyle w:val="SingleTxt"/>
        <w:spacing w:after="0" w:line="120" w:lineRule="exact"/>
        <w:rPr>
          <w:sz w:val="10"/>
        </w:rPr>
      </w:pPr>
    </w:p>
    <w:p w:rsidR="00F21848" w:rsidRDefault="00F21848" w:rsidP="00F218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Artículo 12: I</w:t>
      </w:r>
      <w:r w:rsidRPr="003E5851">
        <w:t>gualdad en el acceso a la atención de la salud</w:t>
      </w:r>
    </w:p>
    <w:p w:rsidR="00F21848" w:rsidRPr="00F21848" w:rsidRDefault="00F21848" w:rsidP="00F21848">
      <w:pPr>
        <w:pStyle w:val="SingleTxt"/>
        <w:spacing w:after="0" w:line="120" w:lineRule="exact"/>
        <w:rPr>
          <w:sz w:val="10"/>
        </w:rPr>
      </w:pPr>
    </w:p>
    <w:p w:rsidR="00F21848" w:rsidRPr="00F21848" w:rsidRDefault="00F21848" w:rsidP="00F21848">
      <w:pPr>
        <w:pStyle w:val="SingleTxt"/>
        <w:spacing w:after="0" w:line="120" w:lineRule="exact"/>
        <w:rPr>
          <w:sz w:val="10"/>
        </w:rPr>
      </w:pPr>
    </w:p>
    <w:p w:rsidR="00F21848" w:rsidRDefault="00F21848" w:rsidP="00F218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3E5851">
        <w:t>Medidas para eliminar la discriminación contra las mujeres en los servicios de atención de la salud</w:t>
      </w:r>
    </w:p>
    <w:p w:rsidR="00F21848" w:rsidRPr="00F21848" w:rsidRDefault="00F21848" w:rsidP="00F21848">
      <w:pPr>
        <w:pStyle w:val="SingleTxt"/>
        <w:spacing w:after="0" w:line="120" w:lineRule="exact"/>
        <w:rPr>
          <w:sz w:val="10"/>
        </w:rPr>
      </w:pPr>
    </w:p>
    <w:p w:rsidR="00F21848" w:rsidRPr="003E5851" w:rsidRDefault="00F21848" w:rsidP="00F21848">
      <w:pPr>
        <w:pStyle w:val="SingleTxt"/>
        <w:numPr>
          <w:ilvl w:val="0"/>
          <w:numId w:val="2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3E5851">
        <w:t xml:space="preserve">Se presta especial atención a la salud de la mujer, particularmente en lo que se refiere a los servicios de salud reproductiva, que son bastante amplios y abarcan </w:t>
      </w:r>
      <w:r>
        <w:t xml:space="preserve">la información </w:t>
      </w:r>
      <w:r w:rsidRPr="003E5851">
        <w:t>sobre la salud reproductiva, así como sobre el papel de los hombres en este proceso. El Gobierno también ha incorporado el programa de estudios sobre la vida en familia y la salud a todos los niveles escolares, desde el primer grado hasta el duodécimo.</w:t>
      </w:r>
    </w:p>
    <w:p w:rsidR="00F21848" w:rsidRPr="00F21848" w:rsidRDefault="00F21848" w:rsidP="00F21848">
      <w:pPr>
        <w:pStyle w:val="SingleTxt"/>
        <w:spacing w:after="0" w:line="120" w:lineRule="exact"/>
        <w:rPr>
          <w:sz w:val="10"/>
        </w:rPr>
      </w:pPr>
    </w:p>
    <w:p w:rsidR="00F21848" w:rsidRPr="003E5851" w:rsidRDefault="00F21848" w:rsidP="00F218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3E5851">
        <w:t>Iniciativas para asegurar que las mujeres puedan acceder a los servicios de atención de la salud en condiciones de igualdad</w:t>
      </w:r>
    </w:p>
    <w:p w:rsidR="00F21848" w:rsidRPr="00F21848" w:rsidRDefault="00F21848" w:rsidP="00F21848">
      <w:pPr>
        <w:pStyle w:val="SingleTxt"/>
        <w:spacing w:after="0" w:line="120" w:lineRule="exact"/>
        <w:rPr>
          <w:sz w:val="10"/>
        </w:rPr>
      </w:pPr>
    </w:p>
    <w:p w:rsidR="00F21848" w:rsidRPr="003E5851" w:rsidRDefault="00F21848" w:rsidP="00F21848">
      <w:pPr>
        <w:pStyle w:val="SingleTxt"/>
        <w:numPr>
          <w:ilvl w:val="0"/>
          <w:numId w:val="2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3E5851">
        <w:t>En las Bahamas, las mujeres y los hombres acceden en igualdad de condiciones a la atención de la salud: las vacunas, la inmunización y los medicamentos. Sin embargo, la distribución de anticonceptivos de emergencia, como la píldora del día después, y la atención obstétrica durante la realización de un aborto y los cuidados posteriores son insuficientes. Los servicios para las mujeres antes y después de la menopausia también son inadecuados.</w:t>
      </w:r>
    </w:p>
    <w:p w:rsidR="00F21848" w:rsidRPr="003E5851" w:rsidRDefault="00F21848" w:rsidP="00F21848">
      <w:pPr>
        <w:pStyle w:val="SingleTxt"/>
        <w:numPr>
          <w:ilvl w:val="0"/>
          <w:numId w:val="25"/>
        </w:numPr>
        <w:tabs>
          <w:tab w:val="clear" w:pos="475"/>
          <w:tab w:val="num" w:pos="1742"/>
        </w:tabs>
        <w:suppressAutoHyphens/>
        <w:ind w:left="1267"/>
      </w:pPr>
      <w:r w:rsidRPr="003E5851">
        <w:t xml:space="preserve">En algunas comunidades escasamente pobladas de las islas </w:t>
      </w:r>
      <w:r w:rsidR="009660AF">
        <w:t>de la familia de las Bahamas</w:t>
      </w:r>
      <w:r w:rsidRPr="003E5851">
        <w:t xml:space="preserve">, los servicios especializados de atención sanitaria son limitados. No obstante, los ciudadanos y los residentes de cada una de esas islas pueden recibir atención primaria de la salud a través de un dispensario. Además, en 2010 se empezó a usar la telemedicina en </w:t>
      </w:r>
      <w:r w:rsidR="009660AF">
        <w:t xml:space="preserve">estas </w:t>
      </w:r>
      <w:r w:rsidRPr="003E5851">
        <w:t>islas y esto mejoró el acceso a los servicios especializados.</w:t>
      </w:r>
    </w:p>
    <w:p w:rsidR="00F21848" w:rsidRPr="00F21848" w:rsidRDefault="00F21848" w:rsidP="00F21848">
      <w:pPr>
        <w:pStyle w:val="SingleTxt"/>
        <w:spacing w:after="0" w:line="120" w:lineRule="exact"/>
        <w:rPr>
          <w:sz w:val="10"/>
        </w:rPr>
      </w:pPr>
    </w:p>
    <w:p w:rsidR="00F21848" w:rsidRPr="003E5851" w:rsidRDefault="00F21848" w:rsidP="00F218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3E5851">
        <w:t>Atención de la salud antes del nacimiento</w:t>
      </w:r>
    </w:p>
    <w:p w:rsidR="00F21848" w:rsidRPr="00F21848" w:rsidRDefault="00F21848" w:rsidP="00F21848">
      <w:pPr>
        <w:pStyle w:val="SingleTxt"/>
        <w:spacing w:after="0" w:line="120" w:lineRule="exact"/>
        <w:rPr>
          <w:sz w:val="10"/>
        </w:rPr>
      </w:pPr>
    </w:p>
    <w:p w:rsidR="00F21848" w:rsidRPr="003E5851" w:rsidRDefault="00F21848" w:rsidP="00F21848">
      <w:pPr>
        <w:pStyle w:val="SingleTxt"/>
        <w:numPr>
          <w:ilvl w:val="0"/>
          <w:numId w:val="25"/>
        </w:numPr>
        <w:tabs>
          <w:tab w:val="clear" w:pos="475"/>
          <w:tab w:val="num" w:pos="1742"/>
        </w:tabs>
        <w:suppressAutoHyphens/>
        <w:ind w:left="1267"/>
      </w:pPr>
      <w:r w:rsidRPr="003E5851">
        <w:t xml:space="preserve">El porcentaje de mujeres que recibe atención prenatal siguió siendo elevado durante el período que abarca el informe, como consecuencia de </w:t>
      </w:r>
      <w:r>
        <w:t xml:space="preserve">una </w:t>
      </w:r>
      <w:r w:rsidRPr="003E5851">
        <w:t xml:space="preserve">política de salud reproductiva </w:t>
      </w:r>
      <w:r>
        <w:t xml:space="preserve">de </w:t>
      </w:r>
      <w:r w:rsidRPr="003E5851">
        <w:t xml:space="preserve">servicios </w:t>
      </w:r>
      <w:r>
        <w:t xml:space="preserve">gratuitos e </w:t>
      </w:r>
      <w:r w:rsidRPr="003E5851">
        <w:t xml:space="preserve">instalaciones </w:t>
      </w:r>
      <w:r>
        <w:t>sanitarias estratégicamente situadas</w:t>
      </w:r>
      <w:r w:rsidRPr="003E5851">
        <w:t>. Las estadísticas del Ministerio de Salud muestran que, en 2010, el número medio de consultas de pacientes embarazadas en dispensarios públicos fue de 8,1 y el porcentaje de pacientes embarazadas que fueron atendidas antes de las 16 semanas de gestación fue del 53,5%, datos que representan un incremento respecto a los de 2009, de 7,6</w:t>
      </w:r>
      <w:r>
        <w:t>%</w:t>
      </w:r>
      <w:r w:rsidRPr="003E5851">
        <w:t xml:space="preserve"> y 44,7% respectivamente.</w:t>
      </w:r>
    </w:p>
    <w:p w:rsidR="00F21848" w:rsidRPr="00F21848" w:rsidRDefault="00F21848" w:rsidP="00F21848">
      <w:pPr>
        <w:pStyle w:val="SingleTxt"/>
        <w:spacing w:after="0" w:line="120" w:lineRule="exact"/>
        <w:rPr>
          <w:sz w:val="10"/>
        </w:rPr>
      </w:pPr>
    </w:p>
    <w:p w:rsidR="00F21848" w:rsidRPr="003E5851" w:rsidRDefault="00F21848" w:rsidP="00F218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3E5851">
        <w:t>Servicios de salud reproductiva anteriores y posteriores al nacimiento</w:t>
      </w:r>
    </w:p>
    <w:p w:rsidR="00F21848" w:rsidRPr="00F21848" w:rsidRDefault="00F21848" w:rsidP="00F21848">
      <w:pPr>
        <w:pStyle w:val="SingleTxt"/>
        <w:spacing w:after="0" w:line="120" w:lineRule="exact"/>
        <w:rPr>
          <w:sz w:val="10"/>
        </w:rPr>
      </w:pPr>
    </w:p>
    <w:p w:rsidR="00F21848" w:rsidRPr="003E5851" w:rsidRDefault="00F21848" w:rsidP="00F21848">
      <w:pPr>
        <w:pStyle w:val="SingleTxt"/>
        <w:numPr>
          <w:ilvl w:val="0"/>
          <w:numId w:val="25"/>
        </w:numPr>
        <w:tabs>
          <w:tab w:val="clear" w:pos="475"/>
          <w:tab w:val="num" w:pos="1742"/>
        </w:tabs>
        <w:suppressAutoHyphens/>
        <w:ind w:left="1267"/>
      </w:pPr>
      <w:r w:rsidRPr="003E5851">
        <w:t xml:space="preserve">Todos los dispensarios del Estado prestan estos servicios de forma gratuita. En ellos también se practican </w:t>
      </w:r>
      <w:r>
        <w:t>reconocimientos</w:t>
      </w:r>
      <w:r w:rsidRPr="003E5851">
        <w:t xml:space="preserve"> físicos, como pruebas de Papanicolau, pruebas de detección de infecciones de transmisión sexual y exámenes de mamas, y se </w:t>
      </w:r>
      <w:r>
        <w:t>ofrece</w:t>
      </w:r>
      <w:r w:rsidRPr="003E5851">
        <w:t xml:space="preserve"> información sobre diversos métodos de planificación familiar. También se han puesto en marcha iniciativas para mejorar el acceso a otros servicios de salud </w:t>
      </w:r>
      <w:r>
        <w:t>re</w:t>
      </w:r>
      <w:r w:rsidRPr="003E5851">
        <w:t>productiva. Hoy día</w:t>
      </w:r>
      <w:r>
        <w:t>,</w:t>
      </w:r>
      <w:r w:rsidRPr="003E5851">
        <w:t xml:space="preserve"> en todos los dispensarios </w:t>
      </w:r>
      <w:r>
        <w:t>estatales</w:t>
      </w:r>
      <w:r w:rsidRPr="003E5851">
        <w:t xml:space="preserve"> del país hay un coordinador de planificación familiar a jornada completa encargado de supervisar las actividades que se realizan en esta esfera. Se han ampliado los horarios de atención de los dispensarios para que puedan acudir las personas que necesiten acceder a los servicios en horario vespertino. Se crearon las iniciativas de salud masculina dentro de la Dependencia de Salud Maternoinfantil del Ministerio de Salud, a fin de abordar los problemas de los hombres. El programa también tiene por objeto alentarlos a hacerse responsables de su salud reproductiva, apoyar a su pareja y desempeñar un papel activo en la salud de sus hijos. </w:t>
      </w:r>
    </w:p>
    <w:p w:rsidR="00F21848" w:rsidRPr="003E5851" w:rsidRDefault="00F21848" w:rsidP="00F21848">
      <w:pPr>
        <w:pStyle w:val="SingleTxt"/>
        <w:numPr>
          <w:ilvl w:val="0"/>
          <w:numId w:val="25"/>
        </w:numPr>
        <w:tabs>
          <w:tab w:val="clear" w:pos="475"/>
          <w:tab w:val="num" w:pos="1742"/>
        </w:tabs>
        <w:suppressAutoHyphens/>
        <w:ind w:left="1267"/>
      </w:pPr>
      <w:r w:rsidRPr="003E5851">
        <w:t xml:space="preserve">La colaboración entre la Asociación de Planificación Familiar de las Bahamas y el Gobierno se centra en la ejecución de un programa de salud reproductiva para adolescentes a fin de reducir los embarazos y las enfermedades de transmisión sexual en los adolescentes. Estas son algunas de las iniciativas: formación para profesionales </w:t>
      </w:r>
      <w:r>
        <w:t>sanitarios</w:t>
      </w:r>
      <w:r w:rsidRPr="003E5851">
        <w:t xml:space="preserve"> en el ámbito de la planificación familiar, derivación de pacientes para que reciban asesoramiento y compra de anticonceptivos a la asociación.</w:t>
      </w:r>
    </w:p>
    <w:p w:rsidR="00F21848" w:rsidRPr="00F21848" w:rsidRDefault="00F21848" w:rsidP="00F21848">
      <w:pPr>
        <w:pStyle w:val="SingleTxt"/>
        <w:spacing w:after="0" w:line="120" w:lineRule="exact"/>
        <w:rPr>
          <w:sz w:val="10"/>
        </w:rPr>
      </w:pPr>
    </w:p>
    <w:p w:rsidR="00F21848" w:rsidRPr="003E5851" w:rsidRDefault="00F21848" w:rsidP="00F218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3E5851">
        <w:t>Apoyo nutricional a las embarazadas y las mujeres que amamantan a sus hijos</w:t>
      </w:r>
    </w:p>
    <w:p w:rsidR="00F21848" w:rsidRPr="00F21848" w:rsidRDefault="00F21848" w:rsidP="00F21848">
      <w:pPr>
        <w:pStyle w:val="SingleTxt"/>
        <w:spacing w:after="0" w:line="120" w:lineRule="exact"/>
        <w:rPr>
          <w:sz w:val="10"/>
        </w:rPr>
      </w:pPr>
    </w:p>
    <w:p w:rsidR="00F21848" w:rsidRPr="003E5851" w:rsidRDefault="00F21848" w:rsidP="00F21848">
      <w:pPr>
        <w:pStyle w:val="SingleTxt"/>
        <w:numPr>
          <w:ilvl w:val="0"/>
          <w:numId w:val="25"/>
        </w:numPr>
        <w:tabs>
          <w:tab w:val="clear" w:pos="475"/>
          <w:tab w:val="num" w:pos="1742"/>
        </w:tabs>
        <w:suppressAutoHyphens/>
        <w:ind w:left="1267"/>
      </w:pPr>
      <w:r w:rsidRPr="003E5851">
        <w:t>Las mujeres embarazadas tienen a su disposición unos servicios perinatales integrales que incluyen la administración sistemática de hierro, ácido fólico y suplementos vitamínicos Estos servicios se prestan de manera gratuita en centros de salud públicos a las pacientes de las islas de las Bahamas. También existen centros privados para las personas que lo prefieran. El porcentaje de madres que al salir del hospital alimentaban a sus hijos recién nacidos exclusivamente con leche materna aumentó del 38,0% al 83,8%. Este incremento puede atribuirse a la promoción de la lactancia materna mediante iniciativas dirigidas a embarazadas y mujeres en general a través de los medios de difusión, foros comunitarios y sesiones de lactancia. Según datos de los informes mensuales del Departamento de Salud Pública sobre bebés que asistieron a consulta con profesionales</w:t>
      </w:r>
      <w:r>
        <w:t xml:space="preserve"> de la salud, al cumplir un mes</w:t>
      </w:r>
      <w:r w:rsidRPr="003E5851">
        <w:t xml:space="preserve"> el 31% había recibido lactancia materna exclusiva durante cuatro semanas. Se siguen realizando esfuerzos por promover la lactancia materna exclusiva en los seis primeros meses de vida. </w:t>
      </w:r>
    </w:p>
    <w:p w:rsidR="00F21848" w:rsidRPr="003E5851" w:rsidRDefault="00F21848" w:rsidP="00F21848">
      <w:pPr>
        <w:pStyle w:val="SingleTxt"/>
        <w:numPr>
          <w:ilvl w:val="0"/>
          <w:numId w:val="25"/>
        </w:numPr>
        <w:tabs>
          <w:tab w:val="clear" w:pos="475"/>
          <w:tab w:val="num" w:pos="1742"/>
        </w:tabs>
        <w:suppressAutoHyphens/>
        <w:ind w:left="1267"/>
      </w:pPr>
      <w:r w:rsidRPr="003E5851">
        <w:t>Los datos de la encuesta de 2005 sobre factores de riesgo y prevalencia de enfermedades crónicas no transmisibles del Ministerio de Salud muestran que los principales trastornos relacionados con la nutrición en el grupo de edades comprendidas entre los 15 y los 64 años eran la hipertensión (26%) y el sobrepeso o la obesidad (70%).</w:t>
      </w:r>
    </w:p>
    <w:p w:rsidR="00F21848" w:rsidRPr="00F21848" w:rsidRDefault="00F21848" w:rsidP="00F21848">
      <w:pPr>
        <w:pStyle w:val="SingleTxt"/>
        <w:spacing w:after="0" w:line="120" w:lineRule="exact"/>
        <w:rPr>
          <w:sz w:val="10"/>
        </w:rPr>
      </w:pPr>
    </w:p>
    <w:p w:rsidR="00F21848" w:rsidRPr="003E5851" w:rsidRDefault="00F21848" w:rsidP="00F218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3E5851">
        <w:t>Infraestructura: organización e instalaciones</w:t>
      </w:r>
    </w:p>
    <w:p w:rsidR="00F21848" w:rsidRPr="00F21848" w:rsidRDefault="00F21848" w:rsidP="00F21848">
      <w:pPr>
        <w:pStyle w:val="SingleTxt"/>
        <w:spacing w:after="0" w:line="120" w:lineRule="exact"/>
        <w:rPr>
          <w:sz w:val="10"/>
        </w:rPr>
      </w:pPr>
    </w:p>
    <w:p w:rsidR="00F21848" w:rsidRPr="00F21848" w:rsidRDefault="00F21848" w:rsidP="00F21848">
      <w:pPr>
        <w:pStyle w:val="SingleTxt"/>
        <w:numPr>
          <w:ilvl w:val="0"/>
          <w:numId w:val="25"/>
        </w:numPr>
        <w:tabs>
          <w:tab w:val="clear" w:pos="475"/>
          <w:tab w:val="num" w:pos="1742"/>
        </w:tabs>
        <w:suppressAutoHyphens/>
        <w:ind w:left="1267"/>
        <w:rPr>
          <w:spacing w:val="2"/>
        </w:rPr>
      </w:pPr>
      <w:r w:rsidRPr="00F21848">
        <w:rPr>
          <w:spacing w:val="2"/>
        </w:rPr>
        <w:t>El hecho de que las Bahamas sean un archipiélago plantea dificultades al Gobierno, que tiene que dotar de infraestructuras y servicios a numerosas islas. Sin embargo, se han adoptado medidas y procedimientos para superar este obstáculo. Los sucesivos Gobiernos de las Bahamas han aplicado unas políticas de gestión de la salud eficaces y han mejorado las instalaciones físicas y los servicios socioeconómicos para que todos los ciudadanos y los residentes de todas las islas puedan acceder a los servicios de atención sanitaria, incluso los que viven en las menos pobladas.</w:t>
      </w:r>
    </w:p>
    <w:p w:rsidR="00F21848" w:rsidRPr="003E5851" w:rsidRDefault="00F21848" w:rsidP="00F21848">
      <w:pPr>
        <w:pStyle w:val="SingleTxt"/>
        <w:numPr>
          <w:ilvl w:val="0"/>
          <w:numId w:val="25"/>
        </w:numPr>
        <w:tabs>
          <w:tab w:val="clear" w:pos="475"/>
          <w:tab w:val="num" w:pos="1742"/>
        </w:tabs>
        <w:suppressAutoHyphens/>
        <w:ind w:left="1267"/>
      </w:pPr>
      <w:r w:rsidRPr="003E5851">
        <w:t>Durante el período que abarca el informe, la infraestructura sanitaria se ha ampliado. Las estadísticas del Ministerio de Salud indican que en 2010 había cuatro hospitales principales (tres públicos y uno privado) con 1</w:t>
      </w:r>
      <w:r>
        <w:t>.</w:t>
      </w:r>
      <w:r w:rsidRPr="003E5851">
        <w:t>054 camas, lo que suponía una relación de 30,4 por cada 10.000 habitantes. Había 61 policlínicas y hospitales principales: 10 en New Providence, 8 en Gran</w:t>
      </w:r>
      <w:r>
        <w:t>d</w:t>
      </w:r>
      <w:r w:rsidRPr="003E5851">
        <w:t xml:space="preserve"> Bahama y 43 en las islas </w:t>
      </w:r>
      <w:r w:rsidR="00225B17">
        <w:t>de la familia de las Bahamas</w:t>
      </w:r>
      <w:r w:rsidRPr="003E5851">
        <w:t>. En las Bahamas hay un to</w:t>
      </w:r>
      <w:r>
        <w:t>tal de 34 dispensarios satélite;</w:t>
      </w:r>
      <w:r w:rsidRPr="003E5851">
        <w:t xml:space="preserve"> algunos se cerraron ya que el desplazamiento de la población hizo que dejaran de ser necesarios en determinadas zonas. La proporción del presupuesto del Estado destinada a la s</w:t>
      </w:r>
      <w:r>
        <w:t>alud para el período 2009/</w:t>
      </w:r>
      <w:r w:rsidRPr="003E5851">
        <w:t xml:space="preserve">2010 fue del 14,37% y el gasto </w:t>
      </w:r>
      <w:r>
        <w:t>sanitario per cápita</w:t>
      </w:r>
      <w:r w:rsidRPr="003E5851">
        <w:t xml:space="preserve"> </w:t>
      </w:r>
      <w:r>
        <w:t xml:space="preserve">fue </w:t>
      </w:r>
      <w:r w:rsidRPr="003E5851">
        <w:t xml:space="preserve">de 620,48 dólares. </w:t>
      </w:r>
    </w:p>
    <w:p w:rsidR="00F21848" w:rsidRPr="003E5851" w:rsidRDefault="00F21848" w:rsidP="00F21848">
      <w:pPr>
        <w:pStyle w:val="SingleTxt"/>
        <w:numPr>
          <w:ilvl w:val="0"/>
          <w:numId w:val="25"/>
        </w:numPr>
        <w:tabs>
          <w:tab w:val="clear" w:pos="475"/>
          <w:tab w:val="num" w:pos="1742"/>
        </w:tabs>
        <w:suppressAutoHyphens/>
        <w:ind w:left="1267"/>
      </w:pPr>
      <w:r w:rsidRPr="003E5851">
        <w:t>Ha aumentado el número de policlínicas y se han construido, renovado y ampliado otras instalaciones sanitarias, como un hospital psiquiátrico y uno geriátrico ubicados en New Providence, así como un hospital general que cuenta con un centro integral de atención obstétrica básica en Gran</w:t>
      </w:r>
      <w:r>
        <w:t>d</w:t>
      </w:r>
      <w:r w:rsidRPr="003E5851">
        <w:t xml:space="preserve"> Bahama. Al aumentar el número de policlínicas, dispensarios de atención maternoinfantil y dispensarios satélite distribuidos en ubicaciones estratégicas en las islas, el acceso a la atención sanitaria ha seguido mejorando. </w:t>
      </w:r>
    </w:p>
    <w:p w:rsidR="00F21848" w:rsidRPr="003E5851" w:rsidRDefault="00F21848" w:rsidP="00F21848">
      <w:pPr>
        <w:pStyle w:val="SingleTxt"/>
        <w:numPr>
          <w:ilvl w:val="0"/>
          <w:numId w:val="25"/>
        </w:numPr>
        <w:tabs>
          <w:tab w:val="clear" w:pos="475"/>
          <w:tab w:val="num" w:pos="1742"/>
        </w:tabs>
        <w:suppressAutoHyphens/>
        <w:ind w:left="1267"/>
      </w:pPr>
      <w:r w:rsidRPr="003E5851">
        <w:t xml:space="preserve">El personal sanitario constaba de médicos y enfermeros: 830 médicos </w:t>
      </w:r>
      <w:r>
        <w:t xml:space="preserve">en los </w:t>
      </w:r>
      <w:r w:rsidRPr="003E5851">
        <w:t>sector</w:t>
      </w:r>
      <w:r>
        <w:t>es</w:t>
      </w:r>
      <w:r w:rsidRPr="003E5851">
        <w:t xml:space="preserve"> público y privado, a razón de 24 profesionales por cada 10.000 habitantes. Solo en el sector público, había 964 enfermeros titulados (a razón de 28 por cada 10.000 habitantes) y 451 enfermeros clínicos titulados (13 por cada 10.000 habitantes).</w:t>
      </w:r>
    </w:p>
    <w:p w:rsidR="00F21848" w:rsidRPr="003E5851" w:rsidRDefault="00F21848" w:rsidP="00F21848">
      <w:pPr>
        <w:pStyle w:val="SingleTxt"/>
        <w:numPr>
          <w:ilvl w:val="0"/>
          <w:numId w:val="25"/>
        </w:numPr>
        <w:tabs>
          <w:tab w:val="clear" w:pos="475"/>
          <w:tab w:val="num" w:pos="1742"/>
        </w:tabs>
        <w:suppressAutoHyphens/>
        <w:ind w:left="1267"/>
      </w:pPr>
      <w:r w:rsidRPr="003E5851">
        <w:t>Los programas de salud pública están orientados a mejorar la salud de las mujeres, los niños y los ancianos e incluyen atención médica preventiva y de rutina. Las principales iniciativas son las siguientes:</w:t>
      </w:r>
    </w:p>
    <w:p w:rsidR="00F21848" w:rsidRPr="003E5851" w:rsidRDefault="00F21848" w:rsidP="00F21848">
      <w:pPr>
        <w:pStyle w:val="SingleTxt"/>
        <w:suppressAutoHyphens/>
      </w:pPr>
      <w:r>
        <w:tab/>
        <w:t>a)</w:t>
      </w:r>
      <w:r>
        <w:tab/>
      </w:r>
      <w:r w:rsidRPr="003E5851">
        <w:t>El Programa de Salud</w:t>
      </w:r>
      <w:r>
        <w:t xml:space="preserve"> Maternoinfantil, que comprende</w:t>
      </w:r>
      <w:r w:rsidRPr="003E5851">
        <w:t xml:space="preserve"> la salud reproductiva, la salud infantil, el programa de niños en situaciones de alto riesgo, la salud escolar, el manejo de la lactancia, los adolescentes, los casos sospechosos de abusos y descuidos y los programas de nutrición;</w:t>
      </w:r>
    </w:p>
    <w:p w:rsidR="00F21848" w:rsidRPr="003E5851" w:rsidRDefault="00F21848" w:rsidP="00F21848">
      <w:pPr>
        <w:pStyle w:val="SingleTxt"/>
        <w:suppressAutoHyphens/>
      </w:pPr>
      <w:r>
        <w:tab/>
        <w:t>b)</w:t>
      </w:r>
      <w:r>
        <w:tab/>
      </w:r>
      <w:r w:rsidRPr="003E5851">
        <w:t>El Programa ampliado de inmunización (que incluye la inmunización de las mujeres contra el tétanos, la rubéola y la hepatitis B);</w:t>
      </w:r>
    </w:p>
    <w:p w:rsidR="00F21848" w:rsidRPr="003E5851" w:rsidRDefault="00F21848" w:rsidP="00F21848">
      <w:pPr>
        <w:pStyle w:val="SingleTxt"/>
        <w:suppressAutoHyphens/>
      </w:pPr>
      <w:r>
        <w:tab/>
        <w:t>c)</w:t>
      </w:r>
      <w:r>
        <w:tab/>
      </w:r>
      <w:r w:rsidRPr="003E5851">
        <w:t>El Programa de enfermedades transmisibles y el Programa de enfermedades crónicas no transmisibles.</w:t>
      </w:r>
    </w:p>
    <w:p w:rsidR="00F21848" w:rsidRPr="00F21848" w:rsidRDefault="00F21848" w:rsidP="00F21848">
      <w:pPr>
        <w:pStyle w:val="SingleTxt"/>
        <w:spacing w:after="0" w:line="120" w:lineRule="exact"/>
        <w:rPr>
          <w:sz w:val="10"/>
        </w:rPr>
      </w:pPr>
    </w:p>
    <w:p w:rsidR="00F21848" w:rsidRPr="003E5851" w:rsidRDefault="00F21848" w:rsidP="00F218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3E5851">
        <w:t>Mortalidad y morbilidad de la mujer</w:t>
      </w:r>
    </w:p>
    <w:p w:rsidR="00F21848" w:rsidRPr="00F21848" w:rsidRDefault="00F21848" w:rsidP="00F21848">
      <w:pPr>
        <w:pStyle w:val="SingleTxt"/>
        <w:spacing w:after="0" w:line="120" w:lineRule="exact"/>
        <w:rPr>
          <w:sz w:val="10"/>
        </w:rPr>
      </w:pPr>
    </w:p>
    <w:p w:rsidR="00F21848" w:rsidRPr="003E5851" w:rsidRDefault="00F21848" w:rsidP="00F21848">
      <w:pPr>
        <w:pStyle w:val="SingleTxt"/>
        <w:numPr>
          <w:ilvl w:val="0"/>
          <w:numId w:val="25"/>
        </w:numPr>
        <w:tabs>
          <w:tab w:val="clear" w:pos="475"/>
          <w:tab w:val="num" w:pos="1742"/>
        </w:tabs>
        <w:suppressAutoHyphens/>
        <w:ind w:left="1267"/>
      </w:pPr>
      <w:r w:rsidRPr="003E5851">
        <w:t xml:space="preserve">Según los datos del Ministerio de Salud correspondientes a 2008, las cinco principales causas de mortalidad en las mujeres por cada 100.000 habitantes fueron: las cardiopatías isquémicas (47,8), la hipertensión (47,3), las enfermedades cerebrovasculares (40,3), la diabetes (29,4) y el cáncer de mama (25,4). En cuanto a los hombres, las causas principales por cada 100.000 </w:t>
      </w:r>
      <w:r>
        <w:t xml:space="preserve">habitantes </w:t>
      </w:r>
      <w:r w:rsidRPr="003E5851">
        <w:t xml:space="preserve">fueron las cardiopatías isquémicas (49,2), </w:t>
      </w:r>
      <w:r>
        <w:t xml:space="preserve">las </w:t>
      </w:r>
      <w:r w:rsidRPr="003E5851">
        <w:t>enfermedades relacionadas con el VIH (SIDA) (47,9), las enfermedades cerebrovasculares (47,3), la hipertensión (46,1) y las agresiones</w:t>
      </w:r>
      <w:r>
        <w:t xml:space="preserve"> (homicidios) (41,9).</w:t>
      </w:r>
    </w:p>
    <w:p w:rsidR="00F21848" w:rsidRPr="003E5851" w:rsidRDefault="00F21848" w:rsidP="00F21848">
      <w:pPr>
        <w:pStyle w:val="SingleTxt"/>
        <w:numPr>
          <w:ilvl w:val="0"/>
          <w:numId w:val="25"/>
        </w:numPr>
        <w:tabs>
          <w:tab w:val="clear" w:pos="475"/>
          <w:tab w:val="num" w:pos="1742"/>
        </w:tabs>
        <w:suppressAutoHyphens/>
        <w:ind w:left="1267"/>
      </w:pPr>
      <w:r w:rsidRPr="003E5851">
        <w:t xml:space="preserve">La hipertensión y la obesidad son las causas de morbilidad más importantes en las mujeres. Como las enfermedades cardiovasculares constituyen la principal carga de morbilidad y de mortalidad, tanto para los hombres como para las mujeres, el Gobierno ha creado el Programa de Enfermedades </w:t>
      </w:r>
      <w:r>
        <w:t xml:space="preserve">Crónicas </w:t>
      </w:r>
      <w:r w:rsidRPr="003E5851">
        <w:t>No Transmisibles que cuenta con cuatro unidad</w:t>
      </w:r>
      <w:r>
        <w:t>es funcionales que se ocupan de</w:t>
      </w:r>
      <w:r w:rsidRPr="003E5851">
        <w:t xml:space="preserve"> la prevención primaria y secundaria, la gestión y la vigilancia de las enfermedades cardiovasculares, la diabetes mellitus, el cáncer y el asma. El programa para la promoción de unos hábitos saludables se centra en la detección precoz y en los factores de riesgo de las enfermedades crónicas no transmisibles.</w:t>
      </w:r>
    </w:p>
    <w:p w:rsidR="00F21848" w:rsidRPr="003E5851" w:rsidRDefault="00F21848" w:rsidP="00F218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3E5851">
        <w:t>Mortalidad materna</w:t>
      </w:r>
    </w:p>
    <w:p w:rsidR="00F21848" w:rsidRPr="00F21848" w:rsidRDefault="00F21848" w:rsidP="00F21848">
      <w:pPr>
        <w:pStyle w:val="SingleTxt"/>
        <w:spacing w:after="0" w:line="120" w:lineRule="exact"/>
        <w:rPr>
          <w:sz w:val="10"/>
        </w:rPr>
      </w:pPr>
    </w:p>
    <w:p w:rsidR="00F21848" w:rsidRPr="003E5851" w:rsidRDefault="00F21848" w:rsidP="00F21848">
      <w:pPr>
        <w:pStyle w:val="SingleTxt"/>
        <w:numPr>
          <w:ilvl w:val="0"/>
          <w:numId w:val="25"/>
        </w:numPr>
        <w:tabs>
          <w:tab w:val="clear" w:pos="475"/>
          <w:tab w:val="num" w:pos="1742"/>
        </w:tabs>
        <w:suppressAutoHyphens/>
        <w:ind w:left="1267"/>
      </w:pPr>
      <w:r w:rsidRPr="003E5851">
        <w:t>En 2008 la razón de mortalidad materna ajustada era de 55 por 100.000 nacidos vivos (tres defunciones). Aunque ha habido excepciones, el número de defunciones maternas en las Bahamas suele oscilar entre una y cuatro al año. Según el informe de la Organización Mundial de la Salud de 2006</w:t>
      </w:r>
      <w:r>
        <w:t>,</w:t>
      </w:r>
      <w:r w:rsidRPr="003E5851">
        <w:t xml:space="preserve"> los casos de mortalidad materna han disminuido de manera sostenida y se prevé que en 2015 el país cumplirá con la</w:t>
      </w:r>
      <w:r>
        <w:t>s</w:t>
      </w:r>
      <w:r w:rsidRPr="003E5851">
        <w:t xml:space="preserve"> meta</w:t>
      </w:r>
      <w:r>
        <w:t>s</w:t>
      </w:r>
      <w:r w:rsidRPr="003E5851">
        <w:t xml:space="preserve"> establecida</w:t>
      </w:r>
      <w:r>
        <w:t>s</w:t>
      </w:r>
      <w:r w:rsidRPr="003E5851">
        <w:t xml:space="preserve"> en los Objetivos de Desarrollo del Milenio. Los esfuerzos realizados por evitar las defunciones maternas y mantener los avances se han concentrado en la salud durante el embarazo, el seguimiento de las enfermedades crónicas no transmisibles durante el embarazo y la intervención temprana en embarazos de alto riesgo. </w:t>
      </w:r>
    </w:p>
    <w:p w:rsidR="00F21848" w:rsidRPr="00F21848" w:rsidRDefault="00F21848" w:rsidP="00F21848">
      <w:pPr>
        <w:pStyle w:val="SingleTxt"/>
        <w:spacing w:after="0" w:line="120" w:lineRule="exact"/>
        <w:rPr>
          <w:sz w:val="10"/>
        </w:rPr>
      </w:pPr>
    </w:p>
    <w:p w:rsidR="00F21848" w:rsidRDefault="00F21848" w:rsidP="00F218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253191">
        <w:rPr>
          <w:b w:val="0"/>
        </w:rPr>
        <w:t>Cuadro 15</w:t>
      </w:r>
      <w:r w:rsidRPr="00253191">
        <w:rPr>
          <w:b w:val="0"/>
        </w:rPr>
        <w:br/>
      </w:r>
      <w:r w:rsidRPr="003E5851">
        <w:t>Estadísticas de mortalidad materna en las Bahamas</w:t>
      </w:r>
    </w:p>
    <w:p w:rsidR="00F21848" w:rsidRPr="00F21848" w:rsidRDefault="00F21848" w:rsidP="00F21848">
      <w:pPr>
        <w:pStyle w:val="SingleTxt"/>
        <w:spacing w:after="0" w:line="120" w:lineRule="exact"/>
        <w:rPr>
          <w:sz w:val="10"/>
        </w:rPr>
      </w:pPr>
    </w:p>
    <w:p w:rsidR="00F21848" w:rsidRPr="00F21848" w:rsidRDefault="00F21848" w:rsidP="00F21848">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F21848" w:rsidRPr="00E91AAA" w:rsidTr="00F21848">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F21848" w:rsidRPr="00E91AAA" w:rsidRDefault="00F21848" w:rsidP="00F21848">
            <w:pPr>
              <w:spacing w:before="80" w:after="80" w:line="160" w:lineRule="exact"/>
              <w:ind w:right="40"/>
              <w:rPr>
                <w:i/>
                <w:color w:val="000000"/>
                <w:kern w:val="0"/>
                <w:sz w:val="14"/>
              </w:rPr>
            </w:pPr>
            <w:r w:rsidRPr="00E91AAA">
              <w:rPr>
                <w:i/>
                <w:color w:val="000000"/>
                <w:kern w:val="0"/>
                <w:sz w:val="14"/>
              </w:rPr>
              <w:t>Año</w:t>
            </w:r>
          </w:p>
        </w:tc>
        <w:tc>
          <w:tcPr>
            <w:tcW w:w="1830" w:type="dxa"/>
            <w:tcBorders>
              <w:top w:val="single" w:sz="4" w:space="0" w:color="auto"/>
              <w:bottom w:val="single" w:sz="12" w:space="0" w:color="auto"/>
            </w:tcBorders>
            <w:shd w:val="clear" w:color="auto" w:fill="auto"/>
            <w:vAlign w:val="bottom"/>
          </w:tcPr>
          <w:p w:rsidR="00F21848" w:rsidRPr="00E91AAA" w:rsidRDefault="00F21848" w:rsidP="00F21848">
            <w:pPr>
              <w:spacing w:before="80" w:after="80" w:line="160" w:lineRule="exact"/>
              <w:ind w:right="40"/>
              <w:jc w:val="right"/>
              <w:rPr>
                <w:i/>
                <w:color w:val="000000"/>
                <w:kern w:val="0"/>
                <w:sz w:val="14"/>
              </w:rPr>
            </w:pPr>
            <w:r w:rsidRPr="00E91AAA">
              <w:rPr>
                <w:i/>
                <w:color w:val="000000"/>
                <w:kern w:val="0"/>
                <w:sz w:val="14"/>
              </w:rPr>
              <w:t>Razón de mortalidad materna (número y tasa por 100.000 nacidos vivos)</w:t>
            </w:r>
          </w:p>
        </w:tc>
        <w:tc>
          <w:tcPr>
            <w:tcW w:w="1830" w:type="dxa"/>
            <w:tcBorders>
              <w:top w:val="single" w:sz="4" w:space="0" w:color="auto"/>
              <w:bottom w:val="single" w:sz="12" w:space="0" w:color="auto"/>
            </w:tcBorders>
            <w:shd w:val="clear" w:color="auto" w:fill="auto"/>
            <w:vAlign w:val="bottom"/>
          </w:tcPr>
          <w:p w:rsidR="00F21848" w:rsidRPr="00E91AAA" w:rsidRDefault="00F21848" w:rsidP="00F21848">
            <w:pPr>
              <w:spacing w:before="80" w:after="80" w:line="160" w:lineRule="exact"/>
              <w:ind w:right="40"/>
              <w:jc w:val="right"/>
              <w:rPr>
                <w:i/>
                <w:color w:val="000000"/>
                <w:kern w:val="0"/>
                <w:sz w:val="14"/>
              </w:rPr>
            </w:pPr>
            <w:r w:rsidRPr="00E91AAA">
              <w:rPr>
                <w:i/>
                <w:color w:val="000000"/>
                <w:kern w:val="0"/>
                <w:sz w:val="14"/>
              </w:rPr>
              <w:t>Partos atendidos por personal sanitario especializado (en porcentaje)</w:t>
            </w:r>
          </w:p>
        </w:tc>
        <w:tc>
          <w:tcPr>
            <w:tcW w:w="1830" w:type="dxa"/>
            <w:tcBorders>
              <w:top w:val="single" w:sz="4" w:space="0" w:color="auto"/>
              <w:bottom w:val="single" w:sz="12" w:space="0" w:color="auto"/>
            </w:tcBorders>
            <w:shd w:val="clear" w:color="auto" w:fill="auto"/>
            <w:vAlign w:val="bottom"/>
          </w:tcPr>
          <w:p w:rsidR="00F21848" w:rsidRPr="00E91AAA" w:rsidRDefault="00F21848" w:rsidP="00F21848">
            <w:pPr>
              <w:spacing w:before="80" w:after="80" w:line="160" w:lineRule="exact"/>
              <w:ind w:right="40"/>
              <w:jc w:val="right"/>
              <w:rPr>
                <w:i/>
                <w:color w:val="000000"/>
                <w:kern w:val="0"/>
                <w:sz w:val="14"/>
              </w:rPr>
            </w:pPr>
            <w:r w:rsidRPr="00E91AAA">
              <w:rPr>
                <w:i/>
                <w:color w:val="000000"/>
                <w:kern w:val="0"/>
                <w:sz w:val="14"/>
              </w:rPr>
              <w:t>Tasa bruta de mortalidad</w:t>
            </w:r>
          </w:p>
        </w:tc>
      </w:tr>
      <w:tr w:rsidR="00F21848" w:rsidRPr="00253191" w:rsidTr="00F21848">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F21848" w:rsidRPr="00253191" w:rsidRDefault="00F21848" w:rsidP="00F21848">
            <w:pPr>
              <w:spacing w:before="40" w:after="40" w:line="210" w:lineRule="exact"/>
              <w:ind w:right="40"/>
              <w:jc w:val="right"/>
              <w:rPr>
                <w:color w:val="000000"/>
                <w:kern w:val="0"/>
                <w:sz w:val="17"/>
              </w:rPr>
            </w:pPr>
          </w:p>
        </w:tc>
        <w:tc>
          <w:tcPr>
            <w:tcW w:w="1830" w:type="dxa"/>
            <w:tcBorders>
              <w:top w:val="single" w:sz="12" w:space="0" w:color="auto"/>
            </w:tcBorders>
            <w:shd w:val="clear" w:color="auto" w:fill="auto"/>
            <w:vAlign w:val="bottom"/>
          </w:tcPr>
          <w:p w:rsidR="00F21848" w:rsidRPr="00253191" w:rsidRDefault="00F21848" w:rsidP="00F21848">
            <w:pPr>
              <w:spacing w:before="40" w:after="40" w:line="210" w:lineRule="exact"/>
              <w:ind w:right="40"/>
              <w:jc w:val="right"/>
              <w:rPr>
                <w:color w:val="000000"/>
                <w:kern w:val="0"/>
                <w:sz w:val="17"/>
              </w:rPr>
            </w:pPr>
          </w:p>
        </w:tc>
        <w:tc>
          <w:tcPr>
            <w:tcW w:w="1830" w:type="dxa"/>
            <w:tcBorders>
              <w:top w:val="single" w:sz="12" w:space="0" w:color="auto"/>
            </w:tcBorders>
            <w:shd w:val="clear" w:color="auto" w:fill="auto"/>
            <w:vAlign w:val="bottom"/>
          </w:tcPr>
          <w:p w:rsidR="00F21848" w:rsidRPr="00253191" w:rsidRDefault="00F21848" w:rsidP="00F21848">
            <w:pPr>
              <w:spacing w:before="40" w:after="40" w:line="210" w:lineRule="exact"/>
              <w:ind w:right="40"/>
              <w:jc w:val="right"/>
              <w:rPr>
                <w:color w:val="000000"/>
                <w:kern w:val="0"/>
                <w:sz w:val="17"/>
              </w:rPr>
            </w:pPr>
          </w:p>
        </w:tc>
        <w:tc>
          <w:tcPr>
            <w:tcW w:w="1830" w:type="dxa"/>
            <w:tcBorders>
              <w:top w:val="single" w:sz="12" w:space="0" w:color="auto"/>
            </w:tcBorders>
            <w:shd w:val="clear" w:color="auto" w:fill="auto"/>
            <w:vAlign w:val="bottom"/>
          </w:tcPr>
          <w:p w:rsidR="00F21848" w:rsidRPr="00253191" w:rsidRDefault="00F21848" w:rsidP="00F21848">
            <w:pPr>
              <w:spacing w:before="40" w:after="40" w:line="210" w:lineRule="exact"/>
              <w:ind w:right="40"/>
              <w:jc w:val="right"/>
              <w:rPr>
                <w:color w:val="000000"/>
                <w:kern w:val="0"/>
                <w:sz w:val="17"/>
              </w:rPr>
            </w:pPr>
          </w:p>
        </w:tc>
      </w:tr>
      <w:tr w:rsidR="00F21848" w:rsidRPr="00253191" w:rsidTr="00F21848">
        <w:tblPrEx>
          <w:tblCellMar>
            <w:top w:w="0" w:type="dxa"/>
            <w:bottom w:w="0" w:type="dxa"/>
          </w:tblCellMar>
        </w:tblPrEx>
        <w:tc>
          <w:tcPr>
            <w:tcW w:w="1830" w:type="dxa"/>
            <w:shd w:val="clear" w:color="auto" w:fill="auto"/>
            <w:vAlign w:val="bottom"/>
          </w:tcPr>
          <w:p w:rsidR="00F21848" w:rsidRPr="00253191" w:rsidRDefault="00F21848" w:rsidP="00F21848">
            <w:pPr>
              <w:tabs>
                <w:tab w:val="left" w:pos="288"/>
                <w:tab w:val="left" w:pos="576"/>
                <w:tab w:val="left" w:pos="864"/>
                <w:tab w:val="left" w:pos="1152"/>
              </w:tabs>
              <w:spacing w:before="40" w:after="40" w:line="210" w:lineRule="exact"/>
              <w:ind w:right="40"/>
              <w:rPr>
                <w:color w:val="000000"/>
                <w:kern w:val="0"/>
                <w:sz w:val="17"/>
              </w:rPr>
            </w:pPr>
            <w:r w:rsidRPr="00253191">
              <w:rPr>
                <w:color w:val="000000"/>
                <w:kern w:val="0"/>
                <w:sz w:val="17"/>
              </w:rPr>
              <w:t>1990</w:t>
            </w:r>
          </w:p>
        </w:tc>
        <w:tc>
          <w:tcPr>
            <w:tcW w:w="1830" w:type="dxa"/>
            <w:shd w:val="clear" w:color="auto" w:fill="auto"/>
            <w:vAlign w:val="bottom"/>
          </w:tcPr>
          <w:p w:rsidR="00F21848" w:rsidRPr="00253191" w:rsidRDefault="00F21848" w:rsidP="00F21848">
            <w:pPr>
              <w:spacing w:before="40" w:after="40" w:line="210" w:lineRule="exact"/>
              <w:ind w:right="40"/>
              <w:jc w:val="right"/>
              <w:rPr>
                <w:color w:val="000000"/>
                <w:kern w:val="0"/>
                <w:sz w:val="17"/>
              </w:rPr>
            </w:pPr>
            <w:r w:rsidRPr="00253191">
              <w:rPr>
                <w:color w:val="000000"/>
                <w:kern w:val="0"/>
                <w:sz w:val="17"/>
              </w:rPr>
              <w:t>1 (16,3)</w:t>
            </w:r>
          </w:p>
        </w:tc>
        <w:tc>
          <w:tcPr>
            <w:tcW w:w="1830" w:type="dxa"/>
            <w:shd w:val="clear" w:color="auto" w:fill="auto"/>
            <w:vAlign w:val="bottom"/>
          </w:tcPr>
          <w:p w:rsidR="00F21848" w:rsidRPr="00253191" w:rsidRDefault="00F21848" w:rsidP="00F21848">
            <w:pPr>
              <w:tabs>
                <w:tab w:val="left" w:pos="288"/>
                <w:tab w:val="left" w:pos="576"/>
                <w:tab w:val="left" w:pos="864"/>
                <w:tab w:val="left" w:pos="1152"/>
              </w:tabs>
              <w:spacing w:before="40" w:after="40" w:line="210" w:lineRule="exact"/>
              <w:ind w:right="40"/>
              <w:jc w:val="right"/>
              <w:rPr>
                <w:color w:val="000000"/>
                <w:kern w:val="0"/>
                <w:sz w:val="17"/>
              </w:rPr>
            </w:pPr>
            <w:r w:rsidRPr="00253191">
              <w:rPr>
                <w:color w:val="000000"/>
                <w:kern w:val="0"/>
                <w:sz w:val="17"/>
              </w:rPr>
              <w:t>99</w:t>
            </w:r>
          </w:p>
        </w:tc>
        <w:tc>
          <w:tcPr>
            <w:tcW w:w="1830" w:type="dxa"/>
            <w:shd w:val="clear" w:color="auto" w:fill="auto"/>
            <w:vAlign w:val="bottom"/>
          </w:tcPr>
          <w:p w:rsidR="00F21848" w:rsidRPr="00253191" w:rsidRDefault="00F21848" w:rsidP="00F21848">
            <w:pPr>
              <w:tabs>
                <w:tab w:val="left" w:pos="288"/>
                <w:tab w:val="left" w:pos="576"/>
                <w:tab w:val="left" w:pos="864"/>
                <w:tab w:val="left" w:pos="1152"/>
              </w:tabs>
              <w:spacing w:before="40" w:after="40" w:line="210" w:lineRule="exact"/>
              <w:ind w:right="40"/>
              <w:jc w:val="right"/>
              <w:rPr>
                <w:color w:val="000000"/>
                <w:kern w:val="0"/>
                <w:sz w:val="17"/>
              </w:rPr>
            </w:pPr>
            <w:r w:rsidRPr="00253191">
              <w:rPr>
                <w:color w:val="000000"/>
                <w:kern w:val="0"/>
                <w:sz w:val="17"/>
              </w:rPr>
              <w:t>5,3</w:t>
            </w:r>
          </w:p>
        </w:tc>
      </w:tr>
      <w:tr w:rsidR="00F21848" w:rsidRPr="00253191" w:rsidTr="00F21848">
        <w:tblPrEx>
          <w:tblCellMar>
            <w:top w:w="0" w:type="dxa"/>
            <w:bottom w:w="0" w:type="dxa"/>
          </w:tblCellMar>
        </w:tblPrEx>
        <w:tc>
          <w:tcPr>
            <w:tcW w:w="1830" w:type="dxa"/>
            <w:shd w:val="clear" w:color="auto" w:fill="auto"/>
            <w:vAlign w:val="bottom"/>
          </w:tcPr>
          <w:p w:rsidR="00F21848" w:rsidRPr="00253191" w:rsidRDefault="00F21848" w:rsidP="00F21848">
            <w:pPr>
              <w:tabs>
                <w:tab w:val="left" w:pos="288"/>
                <w:tab w:val="left" w:pos="576"/>
                <w:tab w:val="left" w:pos="864"/>
                <w:tab w:val="left" w:pos="1152"/>
              </w:tabs>
              <w:spacing w:before="40" w:after="40" w:line="210" w:lineRule="exact"/>
              <w:ind w:right="40"/>
              <w:rPr>
                <w:color w:val="000000"/>
                <w:kern w:val="0"/>
                <w:sz w:val="17"/>
              </w:rPr>
            </w:pPr>
            <w:r w:rsidRPr="00253191">
              <w:rPr>
                <w:color w:val="000000"/>
                <w:kern w:val="0"/>
                <w:sz w:val="17"/>
              </w:rPr>
              <w:t>1994</w:t>
            </w:r>
          </w:p>
        </w:tc>
        <w:tc>
          <w:tcPr>
            <w:tcW w:w="1830" w:type="dxa"/>
            <w:shd w:val="clear" w:color="auto" w:fill="auto"/>
            <w:vAlign w:val="bottom"/>
          </w:tcPr>
          <w:p w:rsidR="00F21848" w:rsidRPr="00253191" w:rsidRDefault="00F21848" w:rsidP="00F21848">
            <w:pPr>
              <w:spacing w:before="40" w:after="40" w:line="210" w:lineRule="exact"/>
              <w:ind w:right="40"/>
              <w:jc w:val="right"/>
              <w:rPr>
                <w:color w:val="000000"/>
                <w:kern w:val="0"/>
                <w:sz w:val="17"/>
              </w:rPr>
            </w:pPr>
            <w:r w:rsidRPr="00253191">
              <w:rPr>
                <w:color w:val="000000"/>
                <w:kern w:val="0"/>
                <w:sz w:val="17"/>
              </w:rPr>
              <w:t>1 (16)</w:t>
            </w:r>
          </w:p>
        </w:tc>
        <w:tc>
          <w:tcPr>
            <w:tcW w:w="1830" w:type="dxa"/>
            <w:shd w:val="clear" w:color="auto" w:fill="auto"/>
            <w:vAlign w:val="bottom"/>
          </w:tcPr>
          <w:p w:rsidR="00F21848" w:rsidRPr="00253191" w:rsidRDefault="00F21848" w:rsidP="00F21848">
            <w:pPr>
              <w:tabs>
                <w:tab w:val="left" w:pos="288"/>
                <w:tab w:val="left" w:pos="576"/>
                <w:tab w:val="left" w:pos="864"/>
                <w:tab w:val="left" w:pos="1152"/>
              </w:tabs>
              <w:spacing w:before="40" w:after="40" w:line="210" w:lineRule="exact"/>
              <w:ind w:right="40"/>
              <w:jc w:val="right"/>
              <w:rPr>
                <w:color w:val="000000"/>
                <w:kern w:val="0"/>
                <w:sz w:val="17"/>
              </w:rPr>
            </w:pPr>
            <w:r w:rsidRPr="00253191">
              <w:rPr>
                <w:color w:val="000000"/>
                <w:kern w:val="0"/>
                <w:sz w:val="17"/>
              </w:rPr>
              <w:t>99</w:t>
            </w:r>
          </w:p>
        </w:tc>
        <w:tc>
          <w:tcPr>
            <w:tcW w:w="1830" w:type="dxa"/>
            <w:shd w:val="clear" w:color="auto" w:fill="auto"/>
            <w:vAlign w:val="bottom"/>
          </w:tcPr>
          <w:p w:rsidR="00F21848" w:rsidRPr="00253191" w:rsidRDefault="00F21848" w:rsidP="00F21848">
            <w:pPr>
              <w:tabs>
                <w:tab w:val="left" w:pos="288"/>
                <w:tab w:val="left" w:pos="576"/>
                <w:tab w:val="left" w:pos="864"/>
                <w:tab w:val="left" w:pos="1152"/>
              </w:tabs>
              <w:spacing w:before="40" w:after="40" w:line="210" w:lineRule="exact"/>
              <w:ind w:right="40"/>
              <w:jc w:val="right"/>
              <w:rPr>
                <w:color w:val="000000"/>
                <w:kern w:val="0"/>
                <w:sz w:val="17"/>
              </w:rPr>
            </w:pPr>
            <w:r w:rsidRPr="00253191">
              <w:rPr>
                <w:color w:val="000000"/>
                <w:kern w:val="0"/>
                <w:sz w:val="17"/>
              </w:rPr>
              <w:t>5,6</w:t>
            </w:r>
          </w:p>
        </w:tc>
      </w:tr>
      <w:tr w:rsidR="00F21848" w:rsidRPr="00253191" w:rsidTr="00F21848">
        <w:tblPrEx>
          <w:tblCellMar>
            <w:top w:w="0" w:type="dxa"/>
            <w:bottom w:w="0" w:type="dxa"/>
          </w:tblCellMar>
        </w:tblPrEx>
        <w:tc>
          <w:tcPr>
            <w:tcW w:w="1830" w:type="dxa"/>
            <w:shd w:val="clear" w:color="auto" w:fill="auto"/>
            <w:vAlign w:val="bottom"/>
          </w:tcPr>
          <w:p w:rsidR="00F21848" w:rsidRPr="00253191" w:rsidRDefault="00F21848" w:rsidP="00F21848">
            <w:pPr>
              <w:tabs>
                <w:tab w:val="left" w:pos="288"/>
                <w:tab w:val="left" w:pos="576"/>
                <w:tab w:val="left" w:pos="864"/>
                <w:tab w:val="left" w:pos="1152"/>
              </w:tabs>
              <w:spacing w:before="40" w:after="40" w:line="210" w:lineRule="exact"/>
              <w:ind w:right="40"/>
              <w:rPr>
                <w:color w:val="000000"/>
                <w:kern w:val="0"/>
                <w:sz w:val="17"/>
              </w:rPr>
            </w:pPr>
            <w:r w:rsidRPr="00253191">
              <w:rPr>
                <w:color w:val="000000"/>
                <w:kern w:val="0"/>
                <w:sz w:val="17"/>
              </w:rPr>
              <w:t>1995</w:t>
            </w:r>
          </w:p>
        </w:tc>
        <w:tc>
          <w:tcPr>
            <w:tcW w:w="1830" w:type="dxa"/>
            <w:shd w:val="clear" w:color="auto" w:fill="auto"/>
            <w:vAlign w:val="bottom"/>
          </w:tcPr>
          <w:p w:rsidR="00F21848" w:rsidRPr="00253191" w:rsidRDefault="00F21848" w:rsidP="00F21848">
            <w:pPr>
              <w:spacing w:before="40" w:after="40" w:line="210" w:lineRule="exact"/>
              <w:ind w:right="40"/>
              <w:jc w:val="right"/>
              <w:rPr>
                <w:color w:val="000000"/>
                <w:kern w:val="0"/>
                <w:sz w:val="17"/>
              </w:rPr>
            </w:pPr>
            <w:r w:rsidRPr="00253191">
              <w:rPr>
                <w:color w:val="000000"/>
                <w:kern w:val="0"/>
                <w:sz w:val="17"/>
              </w:rPr>
              <w:t>4 (64)</w:t>
            </w:r>
          </w:p>
        </w:tc>
        <w:tc>
          <w:tcPr>
            <w:tcW w:w="1830" w:type="dxa"/>
            <w:shd w:val="clear" w:color="auto" w:fill="auto"/>
            <w:vAlign w:val="bottom"/>
          </w:tcPr>
          <w:p w:rsidR="00F21848" w:rsidRPr="00253191" w:rsidRDefault="00F21848" w:rsidP="00F21848">
            <w:pPr>
              <w:tabs>
                <w:tab w:val="left" w:pos="288"/>
                <w:tab w:val="left" w:pos="576"/>
                <w:tab w:val="left" w:pos="864"/>
                <w:tab w:val="left" w:pos="1152"/>
              </w:tabs>
              <w:spacing w:before="40" w:after="40" w:line="210" w:lineRule="exact"/>
              <w:ind w:right="40"/>
              <w:jc w:val="right"/>
              <w:rPr>
                <w:color w:val="000000"/>
                <w:kern w:val="0"/>
                <w:sz w:val="17"/>
              </w:rPr>
            </w:pPr>
            <w:r w:rsidRPr="00253191">
              <w:rPr>
                <w:color w:val="000000"/>
                <w:kern w:val="0"/>
                <w:sz w:val="17"/>
              </w:rPr>
              <w:t>99</w:t>
            </w:r>
          </w:p>
        </w:tc>
        <w:tc>
          <w:tcPr>
            <w:tcW w:w="1830" w:type="dxa"/>
            <w:shd w:val="clear" w:color="auto" w:fill="auto"/>
            <w:vAlign w:val="bottom"/>
          </w:tcPr>
          <w:p w:rsidR="00F21848" w:rsidRPr="00253191" w:rsidRDefault="00F21848" w:rsidP="00F21848">
            <w:pPr>
              <w:tabs>
                <w:tab w:val="left" w:pos="288"/>
                <w:tab w:val="left" w:pos="576"/>
                <w:tab w:val="left" w:pos="864"/>
                <w:tab w:val="left" w:pos="1152"/>
              </w:tabs>
              <w:spacing w:before="40" w:after="40" w:line="210" w:lineRule="exact"/>
              <w:ind w:right="40"/>
              <w:jc w:val="right"/>
              <w:rPr>
                <w:color w:val="000000"/>
                <w:kern w:val="0"/>
                <w:sz w:val="17"/>
              </w:rPr>
            </w:pPr>
            <w:r w:rsidRPr="00253191">
              <w:rPr>
                <w:color w:val="000000"/>
                <w:kern w:val="0"/>
                <w:sz w:val="17"/>
              </w:rPr>
              <w:t>5,9</w:t>
            </w:r>
          </w:p>
        </w:tc>
      </w:tr>
      <w:tr w:rsidR="00F21848" w:rsidRPr="00253191" w:rsidTr="00F21848">
        <w:tblPrEx>
          <w:tblCellMar>
            <w:top w:w="0" w:type="dxa"/>
            <w:bottom w:w="0" w:type="dxa"/>
          </w:tblCellMar>
        </w:tblPrEx>
        <w:tc>
          <w:tcPr>
            <w:tcW w:w="1830" w:type="dxa"/>
            <w:shd w:val="clear" w:color="auto" w:fill="auto"/>
            <w:vAlign w:val="bottom"/>
          </w:tcPr>
          <w:p w:rsidR="00F21848" w:rsidRPr="00253191" w:rsidRDefault="00F21848" w:rsidP="00F21848">
            <w:pPr>
              <w:tabs>
                <w:tab w:val="left" w:pos="288"/>
                <w:tab w:val="left" w:pos="576"/>
                <w:tab w:val="left" w:pos="864"/>
                <w:tab w:val="left" w:pos="1152"/>
              </w:tabs>
              <w:spacing w:before="40" w:after="40" w:line="210" w:lineRule="exact"/>
              <w:ind w:right="40"/>
              <w:rPr>
                <w:color w:val="000000"/>
                <w:kern w:val="0"/>
                <w:sz w:val="17"/>
              </w:rPr>
            </w:pPr>
            <w:r w:rsidRPr="00253191">
              <w:rPr>
                <w:color w:val="000000"/>
                <w:kern w:val="0"/>
                <w:sz w:val="17"/>
              </w:rPr>
              <w:t>1996</w:t>
            </w:r>
          </w:p>
        </w:tc>
        <w:tc>
          <w:tcPr>
            <w:tcW w:w="1830" w:type="dxa"/>
            <w:shd w:val="clear" w:color="auto" w:fill="auto"/>
            <w:vAlign w:val="bottom"/>
          </w:tcPr>
          <w:p w:rsidR="00F21848" w:rsidRPr="00253191" w:rsidRDefault="00F21848" w:rsidP="00F21848">
            <w:pPr>
              <w:spacing w:before="40" w:after="40" w:line="210" w:lineRule="exact"/>
              <w:ind w:right="40"/>
              <w:jc w:val="right"/>
              <w:rPr>
                <w:color w:val="000000"/>
                <w:kern w:val="0"/>
                <w:sz w:val="17"/>
              </w:rPr>
            </w:pPr>
            <w:r w:rsidRPr="00253191">
              <w:rPr>
                <w:color w:val="000000"/>
                <w:kern w:val="0"/>
                <w:sz w:val="17"/>
              </w:rPr>
              <w:t>0 (0)</w:t>
            </w:r>
          </w:p>
        </w:tc>
        <w:tc>
          <w:tcPr>
            <w:tcW w:w="1830" w:type="dxa"/>
            <w:shd w:val="clear" w:color="auto" w:fill="auto"/>
            <w:vAlign w:val="bottom"/>
          </w:tcPr>
          <w:p w:rsidR="00F21848" w:rsidRPr="00253191" w:rsidRDefault="00F21848" w:rsidP="00F21848">
            <w:pPr>
              <w:tabs>
                <w:tab w:val="left" w:pos="288"/>
                <w:tab w:val="left" w:pos="576"/>
                <w:tab w:val="left" w:pos="864"/>
                <w:tab w:val="left" w:pos="1152"/>
              </w:tabs>
              <w:spacing w:before="40" w:after="40" w:line="210" w:lineRule="exact"/>
              <w:ind w:right="40"/>
              <w:jc w:val="right"/>
              <w:rPr>
                <w:color w:val="000000"/>
                <w:kern w:val="0"/>
                <w:sz w:val="17"/>
              </w:rPr>
            </w:pPr>
            <w:r w:rsidRPr="00253191">
              <w:rPr>
                <w:color w:val="000000"/>
                <w:kern w:val="0"/>
                <w:sz w:val="17"/>
              </w:rPr>
              <w:t>99</w:t>
            </w:r>
          </w:p>
        </w:tc>
        <w:tc>
          <w:tcPr>
            <w:tcW w:w="1830" w:type="dxa"/>
            <w:shd w:val="clear" w:color="auto" w:fill="auto"/>
            <w:vAlign w:val="bottom"/>
          </w:tcPr>
          <w:p w:rsidR="00F21848" w:rsidRPr="00253191" w:rsidRDefault="00F21848" w:rsidP="00F21848">
            <w:pPr>
              <w:tabs>
                <w:tab w:val="left" w:pos="288"/>
                <w:tab w:val="left" w:pos="576"/>
                <w:tab w:val="left" w:pos="864"/>
                <w:tab w:val="left" w:pos="1152"/>
              </w:tabs>
              <w:spacing w:before="40" w:after="40" w:line="210" w:lineRule="exact"/>
              <w:ind w:right="40"/>
              <w:jc w:val="right"/>
              <w:rPr>
                <w:color w:val="000000"/>
                <w:kern w:val="0"/>
                <w:sz w:val="17"/>
              </w:rPr>
            </w:pPr>
            <w:r w:rsidRPr="00253191">
              <w:rPr>
                <w:color w:val="000000"/>
                <w:kern w:val="0"/>
                <w:sz w:val="17"/>
              </w:rPr>
              <w:t>5,4</w:t>
            </w:r>
          </w:p>
        </w:tc>
      </w:tr>
      <w:tr w:rsidR="00F21848" w:rsidRPr="00253191" w:rsidTr="00F21848">
        <w:tblPrEx>
          <w:tblCellMar>
            <w:top w:w="0" w:type="dxa"/>
            <w:bottom w:w="0" w:type="dxa"/>
          </w:tblCellMar>
        </w:tblPrEx>
        <w:tc>
          <w:tcPr>
            <w:tcW w:w="1830" w:type="dxa"/>
            <w:shd w:val="clear" w:color="auto" w:fill="auto"/>
            <w:vAlign w:val="bottom"/>
          </w:tcPr>
          <w:p w:rsidR="00F21848" w:rsidRPr="00253191" w:rsidRDefault="00F21848" w:rsidP="00F21848">
            <w:pPr>
              <w:tabs>
                <w:tab w:val="left" w:pos="288"/>
                <w:tab w:val="left" w:pos="576"/>
                <w:tab w:val="left" w:pos="864"/>
                <w:tab w:val="left" w:pos="1152"/>
              </w:tabs>
              <w:spacing w:before="40" w:after="40" w:line="210" w:lineRule="exact"/>
              <w:ind w:right="40"/>
              <w:rPr>
                <w:color w:val="000000"/>
                <w:kern w:val="0"/>
                <w:sz w:val="17"/>
              </w:rPr>
            </w:pPr>
            <w:r w:rsidRPr="00253191">
              <w:rPr>
                <w:color w:val="000000"/>
                <w:kern w:val="0"/>
                <w:sz w:val="17"/>
              </w:rPr>
              <w:t>1997</w:t>
            </w:r>
          </w:p>
        </w:tc>
        <w:tc>
          <w:tcPr>
            <w:tcW w:w="1830" w:type="dxa"/>
            <w:shd w:val="clear" w:color="auto" w:fill="auto"/>
            <w:vAlign w:val="bottom"/>
          </w:tcPr>
          <w:p w:rsidR="00F21848" w:rsidRPr="00253191" w:rsidRDefault="00F21848" w:rsidP="00F21848">
            <w:pPr>
              <w:spacing w:before="40" w:after="40" w:line="210" w:lineRule="exact"/>
              <w:ind w:right="40"/>
              <w:jc w:val="right"/>
              <w:rPr>
                <w:color w:val="000000"/>
                <w:kern w:val="0"/>
                <w:sz w:val="17"/>
              </w:rPr>
            </w:pPr>
            <w:r w:rsidRPr="00253191">
              <w:rPr>
                <w:color w:val="000000"/>
                <w:kern w:val="0"/>
                <w:sz w:val="17"/>
              </w:rPr>
              <w:t>0 (0)</w:t>
            </w:r>
          </w:p>
        </w:tc>
        <w:tc>
          <w:tcPr>
            <w:tcW w:w="1830" w:type="dxa"/>
            <w:shd w:val="clear" w:color="auto" w:fill="auto"/>
            <w:vAlign w:val="bottom"/>
          </w:tcPr>
          <w:p w:rsidR="00F21848" w:rsidRPr="00253191" w:rsidRDefault="00F21848" w:rsidP="00F21848">
            <w:pPr>
              <w:tabs>
                <w:tab w:val="left" w:pos="288"/>
                <w:tab w:val="left" w:pos="576"/>
                <w:tab w:val="left" w:pos="864"/>
                <w:tab w:val="left" w:pos="1152"/>
              </w:tabs>
              <w:spacing w:before="40" w:after="40" w:line="210" w:lineRule="exact"/>
              <w:ind w:right="40"/>
              <w:jc w:val="right"/>
              <w:rPr>
                <w:color w:val="000000"/>
                <w:kern w:val="0"/>
                <w:sz w:val="17"/>
              </w:rPr>
            </w:pPr>
            <w:r w:rsidRPr="00253191">
              <w:rPr>
                <w:color w:val="000000"/>
                <w:kern w:val="0"/>
                <w:sz w:val="17"/>
              </w:rPr>
              <w:t>99</w:t>
            </w:r>
          </w:p>
        </w:tc>
        <w:tc>
          <w:tcPr>
            <w:tcW w:w="1830" w:type="dxa"/>
            <w:shd w:val="clear" w:color="auto" w:fill="auto"/>
            <w:vAlign w:val="bottom"/>
          </w:tcPr>
          <w:p w:rsidR="00F21848" w:rsidRPr="00253191" w:rsidRDefault="00F21848" w:rsidP="00F21848">
            <w:pPr>
              <w:tabs>
                <w:tab w:val="left" w:pos="288"/>
                <w:tab w:val="left" w:pos="576"/>
                <w:tab w:val="left" w:pos="864"/>
                <w:tab w:val="left" w:pos="1152"/>
              </w:tabs>
              <w:spacing w:before="40" w:after="40" w:line="210" w:lineRule="exact"/>
              <w:ind w:right="40"/>
              <w:jc w:val="right"/>
              <w:rPr>
                <w:color w:val="000000"/>
                <w:kern w:val="0"/>
                <w:sz w:val="17"/>
              </w:rPr>
            </w:pPr>
            <w:r w:rsidRPr="00253191">
              <w:rPr>
                <w:color w:val="000000"/>
                <w:kern w:val="0"/>
                <w:sz w:val="17"/>
              </w:rPr>
              <w:t>5,9</w:t>
            </w:r>
          </w:p>
        </w:tc>
      </w:tr>
      <w:tr w:rsidR="00F21848" w:rsidRPr="00253191" w:rsidTr="00F21848">
        <w:tblPrEx>
          <w:tblCellMar>
            <w:top w:w="0" w:type="dxa"/>
            <w:bottom w:w="0" w:type="dxa"/>
          </w:tblCellMar>
        </w:tblPrEx>
        <w:tc>
          <w:tcPr>
            <w:tcW w:w="1830" w:type="dxa"/>
            <w:shd w:val="clear" w:color="auto" w:fill="auto"/>
            <w:vAlign w:val="bottom"/>
          </w:tcPr>
          <w:p w:rsidR="00F21848" w:rsidRPr="00253191" w:rsidRDefault="00F21848" w:rsidP="00F21848">
            <w:pPr>
              <w:tabs>
                <w:tab w:val="left" w:pos="288"/>
                <w:tab w:val="left" w:pos="576"/>
                <w:tab w:val="left" w:pos="864"/>
                <w:tab w:val="left" w:pos="1152"/>
              </w:tabs>
              <w:spacing w:before="40" w:after="40" w:line="210" w:lineRule="exact"/>
              <w:ind w:right="40"/>
              <w:rPr>
                <w:color w:val="000000"/>
                <w:kern w:val="0"/>
                <w:sz w:val="17"/>
              </w:rPr>
            </w:pPr>
            <w:r w:rsidRPr="00253191">
              <w:rPr>
                <w:color w:val="000000"/>
                <w:kern w:val="0"/>
                <w:sz w:val="17"/>
              </w:rPr>
              <w:t>1998</w:t>
            </w:r>
          </w:p>
        </w:tc>
        <w:tc>
          <w:tcPr>
            <w:tcW w:w="1830" w:type="dxa"/>
            <w:shd w:val="clear" w:color="auto" w:fill="auto"/>
            <w:vAlign w:val="bottom"/>
          </w:tcPr>
          <w:p w:rsidR="00F21848" w:rsidRPr="00253191" w:rsidRDefault="00F21848" w:rsidP="00F21848">
            <w:pPr>
              <w:spacing w:before="40" w:after="40" w:line="210" w:lineRule="exact"/>
              <w:ind w:right="40"/>
              <w:jc w:val="right"/>
              <w:rPr>
                <w:color w:val="000000"/>
                <w:kern w:val="0"/>
                <w:sz w:val="17"/>
              </w:rPr>
            </w:pPr>
            <w:r w:rsidRPr="00253191">
              <w:rPr>
                <w:color w:val="000000"/>
                <w:kern w:val="0"/>
                <w:sz w:val="17"/>
              </w:rPr>
              <w:t>1 (17)</w:t>
            </w:r>
          </w:p>
        </w:tc>
        <w:tc>
          <w:tcPr>
            <w:tcW w:w="1830" w:type="dxa"/>
            <w:shd w:val="clear" w:color="auto" w:fill="auto"/>
            <w:vAlign w:val="bottom"/>
          </w:tcPr>
          <w:p w:rsidR="00F21848" w:rsidRPr="00253191" w:rsidRDefault="00F21848" w:rsidP="00F21848">
            <w:pPr>
              <w:tabs>
                <w:tab w:val="left" w:pos="288"/>
                <w:tab w:val="left" w:pos="576"/>
                <w:tab w:val="left" w:pos="864"/>
                <w:tab w:val="left" w:pos="1152"/>
              </w:tabs>
              <w:spacing w:before="40" w:after="40" w:line="210" w:lineRule="exact"/>
              <w:ind w:right="40"/>
              <w:jc w:val="right"/>
              <w:rPr>
                <w:color w:val="000000"/>
                <w:kern w:val="0"/>
                <w:sz w:val="17"/>
              </w:rPr>
            </w:pPr>
            <w:r w:rsidRPr="00253191">
              <w:rPr>
                <w:color w:val="000000"/>
                <w:kern w:val="0"/>
                <w:sz w:val="17"/>
              </w:rPr>
              <w:t>99</w:t>
            </w:r>
          </w:p>
        </w:tc>
        <w:tc>
          <w:tcPr>
            <w:tcW w:w="1830" w:type="dxa"/>
            <w:shd w:val="clear" w:color="auto" w:fill="auto"/>
            <w:vAlign w:val="bottom"/>
          </w:tcPr>
          <w:p w:rsidR="00F21848" w:rsidRPr="00253191" w:rsidRDefault="00F21848" w:rsidP="00F21848">
            <w:pPr>
              <w:tabs>
                <w:tab w:val="left" w:pos="288"/>
                <w:tab w:val="left" w:pos="576"/>
                <w:tab w:val="left" w:pos="864"/>
                <w:tab w:val="left" w:pos="1152"/>
              </w:tabs>
              <w:spacing w:before="40" w:after="40" w:line="210" w:lineRule="exact"/>
              <w:ind w:right="40"/>
              <w:jc w:val="right"/>
              <w:rPr>
                <w:color w:val="000000"/>
                <w:kern w:val="0"/>
                <w:sz w:val="17"/>
              </w:rPr>
            </w:pPr>
            <w:r w:rsidRPr="00253191">
              <w:rPr>
                <w:color w:val="000000"/>
                <w:kern w:val="0"/>
                <w:sz w:val="17"/>
              </w:rPr>
              <w:t>6,1</w:t>
            </w:r>
          </w:p>
        </w:tc>
      </w:tr>
      <w:tr w:rsidR="00F21848" w:rsidRPr="00253191" w:rsidTr="00F21848">
        <w:tblPrEx>
          <w:tblCellMar>
            <w:top w:w="0" w:type="dxa"/>
            <w:bottom w:w="0" w:type="dxa"/>
          </w:tblCellMar>
        </w:tblPrEx>
        <w:tc>
          <w:tcPr>
            <w:tcW w:w="1830" w:type="dxa"/>
            <w:shd w:val="clear" w:color="auto" w:fill="auto"/>
            <w:vAlign w:val="bottom"/>
          </w:tcPr>
          <w:p w:rsidR="00F21848" w:rsidRPr="00253191" w:rsidRDefault="00F21848" w:rsidP="00F21848">
            <w:pPr>
              <w:tabs>
                <w:tab w:val="left" w:pos="288"/>
                <w:tab w:val="left" w:pos="576"/>
                <w:tab w:val="left" w:pos="864"/>
                <w:tab w:val="left" w:pos="1152"/>
              </w:tabs>
              <w:spacing w:before="40" w:after="40" w:line="210" w:lineRule="exact"/>
              <w:ind w:right="40"/>
              <w:rPr>
                <w:color w:val="000000"/>
                <w:kern w:val="0"/>
                <w:sz w:val="17"/>
              </w:rPr>
            </w:pPr>
            <w:r w:rsidRPr="00253191">
              <w:rPr>
                <w:color w:val="000000"/>
                <w:kern w:val="0"/>
                <w:sz w:val="17"/>
              </w:rPr>
              <w:t>1999</w:t>
            </w:r>
          </w:p>
        </w:tc>
        <w:tc>
          <w:tcPr>
            <w:tcW w:w="1830" w:type="dxa"/>
            <w:shd w:val="clear" w:color="auto" w:fill="auto"/>
            <w:vAlign w:val="bottom"/>
          </w:tcPr>
          <w:p w:rsidR="00F21848" w:rsidRPr="00253191" w:rsidRDefault="00F21848" w:rsidP="00F21848">
            <w:pPr>
              <w:spacing w:before="40" w:after="40" w:line="210" w:lineRule="exact"/>
              <w:ind w:right="40"/>
              <w:jc w:val="right"/>
              <w:rPr>
                <w:color w:val="000000"/>
                <w:kern w:val="0"/>
                <w:sz w:val="17"/>
              </w:rPr>
            </w:pPr>
            <w:r w:rsidRPr="00253191">
              <w:rPr>
                <w:color w:val="000000"/>
                <w:kern w:val="0"/>
                <w:sz w:val="17"/>
              </w:rPr>
              <w:t>1 (19)</w:t>
            </w:r>
          </w:p>
        </w:tc>
        <w:tc>
          <w:tcPr>
            <w:tcW w:w="1830" w:type="dxa"/>
            <w:shd w:val="clear" w:color="auto" w:fill="auto"/>
            <w:vAlign w:val="bottom"/>
          </w:tcPr>
          <w:p w:rsidR="00F21848" w:rsidRPr="00253191" w:rsidRDefault="00F21848" w:rsidP="00F21848">
            <w:pPr>
              <w:tabs>
                <w:tab w:val="left" w:pos="288"/>
                <w:tab w:val="left" w:pos="576"/>
                <w:tab w:val="left" w:pos="864"/>
                <w:tab w:val="left" w:pos="1152"/>
              </w:tabs>
              <w:spacing w:before="40" w:after="40" w:line="210" w:lineRule="exact"/>
              <w:ind w:right="40"/>
              <w:jc w:val="right"/>
              <w:rPr>
                <w:color w:val="000000"/>
                <w:kern w:val="0"/>
                <w:sz w:val="17"/>
              </w:rPr>
            </w:pPr>
            <w:r w:rsidRPr="00253191">
              <w:rPr>
                <w:color w:val="000000"/>
                <w:kern w:val="0"/>
                <w:sz w:val="17"/>
              </w:rPr>
              <w:t>99</w:t>
            </w:r>
          </w:p>
        </w:tc>
        <w:tc>
          <w:tcPr>
            <w:tcW w:w="1830" w:type="dxa"/>
            <w:shd w:val="clear" w:color="auto" w:fill="auto"/>
            <w:vAlign w:val="bottom"/>
          </w:tcPr>
          <w:p w:rsidR="00F21848" w:rsidRPr="00253191" w:rsidRDefault="00F21848" w:rsidP="00F21848">
            <w:pPr>
              <w:tabs>
                <w:tab w:val="left" w:pos="288"/>
                <w:tab w:val="left" w:pos="576"/>
                <w:tab w:val="left" w:pos="864"/>
                <w:tab w:val="left" w:pos="1152"/>
              </w:tabs>
              <w:spacing w:before="40" w:after="40" w:line="210" w:lineRule="exact"/>
              <w:ind w:right="40"/>
              <w:jc w:val="right"/>
              <w:rPr>
                <w:color w:val="000000"/>
                <w:kern w:val="0"/>
                <w:sz w:val="17"/>
              </w:rPr>
            </w:pPr>
            <w:r w:rsidRPr="00253191">
              <w:rPr>
                <w:color w:val="000000"/>
                <w:kern w:val="0"/>
                <w:sz w:val="17"/>
              </w:rPr>
              <w:t>5,5</w:t>
            </w:r>
          </w:p>
        </w:tc>
      </w:tr>
      <w:tr w:rsidR="00F21848" w:rsidRPr="00253191" w:rsidTr="00F21848">
        <w:tblPrEx>
          <w:tblCellMar>
            <w:top w:w="0" w:type="dxa"/>
            <w:bottom w:w="0" w:type="dxa"/>
          </w:tblCellMar>
        </w:tblPrEx>
        <w:tc>
          <w:tcPr>
            <w:tcW w:w="1830" w:type="dxa"/>
            <w:shd w:val="clear" w:color="auto" w:fill="auto"/>
            <w:vAlign w:val="bottom"/>
          </w:tcPr>
          <w:p w:rsidR="00F21848" w:rsidRPr="00253191" w:rsidRDefault="00F21848" w:rsidP="00F21848">
            <w:pPr>
              <w:tabs>
                <w:tab w:val="left" w:pos="288"/>
                <w:tab w:val="left" w:pos="576"/>
                <w:tab w:val="left" w:pos="864"/>
                <w:tab w:val="left" w:pos="1152"/>
              </w:tabs>
              <w:spacing w:before="40" w:after="40" w:line="210" w:lineRule="exact"/>
              <w:ind w:right="40"/>
              <w:rPr>
                <w:color w:val="000000"/>
                <w:kern w:val="0"/>
                <w:sz w:val="17"/>
              </w:rPr>
            </w:pPr>
            <w:r w:rsidRPr="00253191">
              <w:rPr>
                <w:color w:val="000000"/>
                <w:kern w:val="0"/>
                <w:sz w:val="17"/>
              </w:rPr>
              <w:t>2000</w:t>
            </w:r>
          </w:p>
        </w:tc>
        <w:tc>
          <w:tcPr>
            <w:tcW w:w="1830" w:type="dxa"/>
            <w:shd w:val="clear" w:color="auto" w:fill="auto"/>
            <w:vAlign w:val="bottom"/>
          </w:tcPr>
          <w:p w:rsidR="00F21848" w:rsidRPr="00253191" w:rsidRDefault="00F21848" w:rsidP="00F21848">
            <w:pPr>
              <w:spacing w:before="40" w:after="40" w:line="210" w:lineRule="exact"/>
              <w:ind w:right="40"/>
              <w:jc w:val="right"/>
              <w:rPr>
                <w:color w:val="000000"/>
                <w:kern w:val="0"/>
                <w:sz w:val="17"/>
              </w:rPr>
            </w:pPr>
            <w:r w:rsidRPr="00253191">
              <w:rPr>
                <w:color w:val="000000"/>
                <w:kern w:val="0"/>
                <w:sz w:val="17"/>
              </w:rPr>
              <w:t>2 (37,8)</w:t>
            </w:r>
          </w:p>
        </w:tc>
        <w:tc>
          <w:tcPr>
            <w:tcW w:w="1830" w:type="dxa"/>
            <w:shd w:val="clear" w:color="auto" w:fill="auto"/>
            <w:vAlign w:val="bottom"/>
          </w:tcPr>
          <w:p w:rsidR="00F21848" w:rsidRPr="00253191" w:rsidRDefault="00F21848" w:rsidP="00F21848">
            <w:pPr>
              <w:tabs>
                <w:tab w:val="left" w:pos="288"/>
                <w:tab w:val="left" w:pos="576"/>
                <w:tab w:val="left" w:pos="864"/>
                <w:tab w:val="left" w:pos="1152"/>
              </w:tabs>
              <w:spacing w:before="40" w:after="40" w:line="210" w:lineRule="exact"/>
              <w:ind w:right="40"/>
              <w:jc w:val="right"/>
              <w:rPr>
                <w:color w:val="000000"/>
                <w:kern w:val="0"/>
                <w:sz w:val="17"/>
              </w:rPr>
            </w:pPr>
            <w:r w:rsidRPr="00253191">
              <w:rPr>
                <w:color w:val="000000"/>
                <w:kern w:val="0"/>
                <w:sz w:val="17"/>
              </w:rPr>
              <w:t>99</w:t>
            </w:r>
          </w:p>
        </w:tc>
        <w:tc>
          <w:tcPr>
            <w:tcW w:w="1830" w:type="dxa"/>
            <w:shd w:val="clear" w:color="auto" w:fill="auto"/>
            <w:vAlign w:val="bottom"/>
          </w:tcPr>
          <w:p w:rsidR="00F21848" w:rsidRPr="00253191" w:rsidRDefault="00F21848" w:rsidP="00F21848">
            <w:pPr>
              <w:tabs>
                <w:tab w:val="left" w:pos="288"/>
                <w:tab w:val="left" w:pos="576"/>
                <w:tab w:val="left" w:pos="864"/>
                <w:tab w:val="left" w:pos="1152"/>
              </w:tabs>
              <w:spacing w:before="40" w:after="40" w:line="210" w:lineRule="exact"/>
              <w:ind w:right="40"/>
              <w:jc w:val="right"/>
              <w:rPr>
                <w:color w:val="000000"/>
                <w:kern w:val="0"/>
                <w:sz w:val="17"/>
              </w:rPr>
            </w:pPr>
            <w:r w:rsidRPr="00253191">
              <w:rPr>
                <w:color w:val="000000"/>
                <w:kern w:val="0"/>
                <w:sz w:val="17"/>
              </w:rPr>
              <w:t>5,4</w:t>
            </w:r>
          </w:p>
        </w:tc>
      </w:tr>
      <w:tr w:rsidR="00F21848" w:rsidRPr="00253191" w:rsidTr="00F21848">
        <w:tblPrEx>
          <w:tblCellMar>
            <w:top w:w="0" w:type="dxa"/>
            <w:bottom w:w="0" w:type="dxa"/>
          </w:tblCellMar>
        </w:tblPrEx>
        <w:tc>
          <w:tcPr>
            <w:tcW w:w="1830" w:type="dxa"/>
            <w:shd w:val="clear" w:color="auto" w:fill="auto"/>
            <w:vAlign w:val="bottom"/>
          </w:tcPr>
          <w:p w:rsidR="00F21848" w:rsidRPr="00253191" w:rsidRDefault="00F21848" w:rsidP="00F21848">
            <w:pPr>
              <w:tabs>
                <w:tab w:val="left" w:pos="288"/>
                <w:tab w:val="left" w:pos="576"/>
                <w:tab w:val="left" w:pos="864"/>
                <w:tab w:val="left" w:pos="1152"/>
              </w:tabs>
              <w:spacing w:before="40" w:after="40" w:line="210" w:lineRule="exact"/>
              <w:ind w:right="40"/>
              <w:rPr>
                <w:color w:val="000000"/>
                <w:kern w:val="0"/>
                <w:sz w:val="17"/>
              </w:rPr>
            </w:pPr>
            <w:r w:rsidRPr="00253191">
              <w:rPr>
                <w:color w:val="000000"/>
                <w:kern w:val="0"/>
                <w:sz w:val="17"/>
              </w:rPr>
              <w:t>2001</w:t>
            </w:r>
          </w:p>
        </w:tc>
        <w:tc>
          <w:tcPr>
            <w:tcW w:w="1830" w:type="dxa"/>
            <w:shd w:val="clear" w:color="auto" w:fill="auto"/>
            <w:vAlign w:val="bottom"/>
          </w:tcPr>
          <w:p w:rsidR="00F21848" w:rsidRPr="00253191" w:rsidRDefault="00F21848" w:rsidP="00F21848">
            <w:pPr>
              <w:spacing w:before="40" w:after="40" w:line="210" w:lineRule="exact"/>
              <w:ind w:right="40"/>
              <w:jc w:val="right"/>
              <w:rPr>
                <w:color w:val="000000"/>
                <w:kern w:val="0"/>
                <w:sz w:val="17"/>
              </w:rPr>
            </w:pPr>
            <w:r w:rsidRPr="00253191">
              <w:rPr>
                <w:color w:val="000000"/>
                <w:kern w:val="0"/>
                <w:sz w:val="17"/>
              </w:rPr>
              <w:t>10 (18,7)</w:t>
            </w:r>
          </w:p>
        </w:tc>
        <w:tc>
          <w:tcPr>
            <w:tcW w:w="1830" w:type="dxa"/>
            <w:shd w:val="clear" w:color="auto" w:fill="auto"/>
            <w:vAlign w:val="bottom"/>
          </w:tcPr>
          <w:p w:rsidR="00F21848" w:rsidRPr="00253191" w:rsidRDefault="00F21848" w:rsidP="00F21848">
            <w:pPr>
              <w:tabs>
                <w:tab w:val="left" w:pos="288"/>
                <w:tab w:val="left" w:pos="576"/>
                <w:tab w:val="left" w:pos="864"/>
                <w:tab w:val="left" w:pos="1152"/>
              </w:tabs>
              <w:spacing w:before="40" w:after="40" w:line="210" w:lineRule="exact"/>
              <w:ind w:right="40"/>
              <w:jc w:val="right"/>
              <w:rPr>
                <w:color w:val="000000"/>
                <w:kern w:val="0"/>
                <w:sz w:val="17"/>
              </w:rPr>
            </w:pPr>
            <w:r w:rsidRPr="00253191">
              <w:rPr>
                <w:color w:val="000000"/>
                <w:kern w:val="0"/>
                <w:sz w:val="17"/>
              </w:rPr>
              <w:t>99</w:t>
            </w:r>
          </w:p>
        </w:tc>
        <w:tc>
          <w:tcPr>
            <w:tcW w:w="1830" w:type="dxa"/>
            <w:shd w:val="clear" w:color="auto" w:fill="auto"/>
            <w:vAlign w:val="bottom"/>
          </w:tcPr>
          <w:p w:rsidR="00F21848" w:rsidRPr="00253191" w:rsidRDefault="00F21848" w:rsidP="00F21848">
            <w:pPr>
              <w:tabs>
                <w:tab w:val="left" w:pos="288"/>
                <w:tab w:val="left" w:pos="576"/>
                <w:tab w:val="left" w:pos="864"/>
                <w:tab w:val="left" w:pos="1152"/>
              </w:tabs>
              <w:spacing w:before="40" w:after="40" w:line="210" w:lineRule="exact"/>
              <w:ind w:right="40"/>
              <w:jc w:val="right"/>
              <w:rPr>
                <w:color w:val="000000"/>
                <w:kern w:val="0"/>
                <w:sz w:val="17"/>
              </w:rPr>
            </w:pPr>
            <w:r w:rsidRPr="00253191">
              <w:rPr>
                <w:color w:val="000000"/>
                <w:kern w:val="0"/>
                <w:sz w:val="17"/>
              </w:rPr>
              <w:t>5,7</w:t>
            </w:r>
          </w:p>
        </w:tc>
      </w:tr>
      <w:tr w:rsidR="00F21848" w:rsidRPr="00253191" w:rsidTr="00F21848">
        <w:tblPrEx>
          <w:tblCellMar>
            <w:top w:w="0" w:type="dxa"/>
            <w:bottom w:w="0" w:type="dxa"/>
          </w:tblCellMar>
        </w:tblPrEx>
        <w:tc>
          <w:tcPr>
            <w:tcW w:w="1830" w:type="dxa"/>
            <w:shd w:val="clear" w:color="auto" w:fill="auto"/>
            <w:vAlign w:val="bottom"/>
          </w:tcPr>
          <w:p w:rsidR="00F21848" w:rsidRPr="00253191" w:rsidRDefault="00F21848" w:rsidP="00F21848">
            <w:pPr>
              <w:tabs>
                <w:tab w:val="left" w:pos="288"/>
                <w:tab w:val="left" w:pos="576"/>
                <w:tab w:val="left" w:pos="864"/>
                <w:tab w:val="left" w:pos="1152"/>
              </w:tabs>
              <w:spacing w:before="40" w:after="40" w:line="210" w:lineRule="exact"/>
              <w:ind w:right="40"/>
              <w:rPr>
                <w:color w:val="000000"/>
                <w:kern w:val="0"/>
                <w:sz w:val="17"/>
              </w:rPr>
            </w:pPr>
            <w:r w:rsidRPr="00253191">
              <w:rPr>
                <w:color w:val="000000"/>
                <w:kern w:val="0"/>
                <w:sz w:val="17"/>
              </w:rPr>
              <w:t>2003</w:t>
            </w:r>
          </w:p>
        </w:tc>
        <w:tc>
          <w:tcPr>
            <w:tcW w:w="1830" w:type="dxa"/>
            <w:shd w:val="clear" w:color="auto" w:fill="auto"/>
            <w:vAlign w:val="bottom"/>
          </w:tcPr>
          <w:p w:rsidR="00F21848" w:rsidRPr="00253191" w:rsidRDefault="00F21848" w:rsidP="00F21848">
            <w:pPr>
              <w:spacing w:before="40" w:after="40" w:line="210" w:lineRule="exact"/>
              <w:ind w:right="40"/>
              <w:jc w:val="right"/>
              <w:rPr>
                <w:color w:val="000000"/>
                <w:kern w:val="0"/>
                <w:sz w:val="17"/>
              </w:rPr>
            </w:pPr>
            <w:r w:rsidRPr="00253191">
              <w:rPr>
                <w:color w:val="000000"/>
                <w:kern w:val="0"/>
                <w:sz w:val="17"/>
              </w:rPr>
              <w:t>2 (39,6)</w:t>
            </w:r>
          </w:p>
        </w:tc>
        <w:tc>
          <w:tcPr>
            <w:tcW w:w="1830" w:type="dxa"/>
            <w:shd w:val="clear" w:color="auto" w:fill="auto"/>
            <w:vAlign w:val="bottom"/>
          </w:tcPr>
          <w:p w:rsidR="00F21848" w:rsidRPr="00253191" w:rsidRDefault="00F21848" w:rsidP="00F21848">
            <w:pPr>
              <w:tabs>
                <w:tab w:val="left" w:pos="288"/>
                <w:tab w:val="left" w:pos="576"/>
                <w:tab w:val="left" w:pos="864"/>
                <w:tab w:val="left" w:pos="1152"/>
              </w:tabs>
              <w:spacing w:before="40" w:after="40" w:line="210" w:lineRule="exact"/>
              <w:ind w:right="40"/>
              <w:jc w:val="right"/>
              <w:rPr>
                <w:color w:val="000000"/>
                <w:kern w:val="0"/>
                <w:sz w:val="17"/>
              </w:rPr>
            </w:pPr>
            <w:r w:rsidRPr="00253191">
              <w:rPr>
                <w:color w:val="000000"/>
                <w:kern w:val="0"/>
                <w:sz w:val="17"/>
              </w:rPr>
              <w:t>99</w:t>
            </w:r>
          </w:p>
        </w:tc>
        <w:tc>
          <w:tcPr>
            <w:tcW w:w="1830" w:type="dxa"/>
            <w:shd w:val="clear" w:color="auto" w:fill="auto"/>
            <w:vAlign w:val="bottom"/>
          </w:tcPr>
          <w:p w:rsidR="00F21848" w:rsidRPr="00253191" w:rsidRDefault="00F21848" w:rsidP="00F21848">
            <w:pPr>
              <w:tabs>
                <w:tab w:val="left" w:pos="288"/>
                <w:tab w:val="left" w:pos="576"/>
                <w:tab w:val="left" w:pos="864"/>
                <w:tab w:val="left" w:pos="1152"/>
              </w:tabs>
              <w:spacing w:before="40" w:after="40" w:line="210" w:lineRule="exact"/>
              <w:ind w:right="40"/>
              <w:jc w:val="right"/>
              <w:rPr>
                <w:color w:val="000000"/>
                <w:kern w:val="0"/>
                <w:sz w:val="17"/>
              </w:rPr>
            </w:pPr>
            <w:r w:rsidRPr="00253191">
              <w:rPr>
                <w:color w:val="000000"/>
                <w:kern w:val="0"/>
                <w:sz w:val="17"/>
              </w:rPr>
              <w:t>5,3</w:t>
            </w:r>
          </w:p>
        </w:tc>
      </w:tr>
      <w:tr w:rsidR="00F21848" w:rsidRPr="00253191" w:rsidTr="00F21848">
        <w:tblPrEx>
          <w:tblCellMar>
            <w:top w:w="0" w:type="dxa"/>
            <w:bottom w:w="0" w:type="dxa"/>
          </w:tblCellMar>
        </w:tblPrEx>
        <w:tc>
          <w:tcPr>
            <w:tcW w:w="1830" w:type="dxa"/>
            <w:shd w:val="clear" w:color="auto" w:fill="auto"/>
            <w:vAlign w:val="bottom"/>
          </w:tcPr>
          <w:p w:rsidR="00F21848" w:rsidRPr="00253191" w:rsidRDefault="00F21848" w:rsidP="00F21848">
            <w:pPr>
              <w:tabs>
                <w:tab w:val="left" w:pos="288"/>
                <w:tab w:val="left" w:pos="576"/>
                <w:tab w:val="left" w:pos="864"/>
                <w:tab w:val="left" w:pos="1152"/>
              </w:tabs>
              <w:spacing w:before="40" w:after="40" w:line="210" w:lineRule="exact"/>
              <w:ind w:right="40"/>
              <w:rPr>
                <w:color w:val="000000"/>
                <w:kern w:val="0"/>
                <w:sz w:val="17"/>
              </w:rPr>
            </w:pPr>
            <w:r w:rsidRPr="00253191">
              <w:rPr>
                <w:color w:val="000000"/>
                <w:kern w:val="0"/>
                <w:sz w:val="17"/>
              </w:rPr>
              <w:t>2004</w:t>
            </w:r>
          </w:p>
        </w:tc>
        <w:tc>
          <w:tcPr>
            <w:tcW w:w="1830" w:type="dxa"/>
            <w:shd w:val="clear" w:color="auto" w:fill="auto"/>
            <w:vAlign w:val="bottom"/>
          </w:tcPr>
          <w:p w:rsidR="00F21848" w:rsidRPr="00253191" w:rsidRDefault="00F21848" w:rsidP="00F21848">
            <w:pPr>
              <w:spacing w:before="40" w:after="40" w:line="210" w:lineRule="exact"/>
              <w:ind w:right="40"/>
              <w:jc w:val="right"/>
              <w:rPr>
                <w:color w:val="000000"/>
                <w:kern w:val="0"/>
                <w:sz w:val="17"/>
              </w:rPr>
            </w:pPr>
            <w:r w:rsidRPr="00253191">
              <w:rPr>
                <w:color w:val="000000"/>
                <w:kern w:val="0"/>
                <w:sz w:val="17"/>
              </w:rPr>
              <w:t>2 (39)</w:t>
            </w:r>
          </w:p>
        </w:tc>
        <w:tc>
          <w:tcPr>
            <w:tcW w:w="1830" w:type="dxa"/>
            <w:shd w:val="clear" w:color="auto" w:fill="auto"/>
            <w:vAlign w:val="bottom"/>
          </w:tcPr>
          <w:p w:rsidR="00F21848" w:rsidRPr="00253191" w:rsidRDefault="00F21848" w:rsidP="00F21848">
            <w:pPr>
              <w:tabs>
                <w:tab w:val="left" w:pos="288"/>
                <w:tab w:val="left" w:pos="576"/>
                <w:tab w:val="left" w:pos="864"/>
                <w:tab w:val="left" w:pos="1152"/>
              </w:tabs>
              <w:spacing w:before="40" w:after="40" w:line="210" w:lineRule="exact"/>
              <w:ind w:right="40"/>
              <w:jc w:val="right"/>
              <w:rPr>
                <w:color w:val="000000"/>
                <w:kern w:val="0"/>
                <w:sz w:val="17"/>
              </w:rPr>
            </w:pPr>
            <w:r w:rsidRPr="00253191">
              <w:rPr>
                <w:color w:val="000000"/>
                <w:kern w:val="0"/>
                <w:sz w:val="17"/>
              </w:rPr>
              <w:t>99</w:t>
            </w:r>
          </w:p>
        </w:tc>
        <w:tc>
          <w:tcPr>
            <w:tcW w:w="1830" w:type="dxa"/>
            <w:shd w:val="clear" w:color="auto" w:fill="auto"/>
            <w:vAlign w:val="bottom"/>
          </w:tcPr>
          <w:p w:rsidR="00F21848" w:rsidRPr="00253191" w:rsidRDefault="00F21848" w:rsidP="00F21848">
            <w:pPr>
              <w:tabs>
                <w:tab w:val="left" w:pos="288"/>
                <w:tab w:val="left" w:pos="576"/>
                <w:tab w:val="left" w:pos="864"/>
                <w:tab w:val="left" w:pos="1152"/>
              </w:tabs>
              <w:spacing w:before="40" w:after="40" w:line="210" w:lineRule="exact"/>
              <w:ind w:right="40"/>
              <w:jc w:val="right"/>
              <w:rPr>
                <w:color w:val="000000"/>
                <w:kern w:val="0"/>
                <w:sz w:val="17"/>
              </w:rPr>
            </w:pPr>
            <w:r w:rsidRPr="00253191">
              <w:rPr>
                <w:color w:val="000000"/>
                <w:kern w:val="0"/>
                <w:sz w:val="17"/>
              </w:rPr>
              <w:t>5,4</w:t>
            </w:r>
          </w:p>
        </w:tc>
      </w:tr>
      <w:tr w:rsidR="00F21848" w:rsidRPr="00253191" w:rsidTr="00F21848">
        <w:tblPrEx>
          <w:tblCellMar>
            <w:top w:w="0" w:type="dxa"/>
            <w:bottom w:w="0" w:type="dxa"/>
          </w:tblCellMar>
        </w:tblPrEx>
        <w:tc>
          <w:tcPr>
            <w:tcW w:w="1830" w:type="dxa"/>
            <w:shd w:val="clear" w:color="auto" w:fill="auto"/>
            <w:vAlign w:val="bottom"/>
          </w:tcPr>
          <w:p w:rsidR="00F21848" w:rsidRPr="00253191" w:rsidRDefault="00F21848" w:rsidP="00F21848">
            <w:pPr>
              <w:tabs>
                <w:tab w:val="left" w:pos="288"/>
                <w:tab w:val="left" w:pos="576"/>
                <w:tab w:val="left" w:pos="864"/>
                <w:tab w:val="left" w:pos="1152"/>
              </w:tabs>
              <w:spacing w:before="40" w:after="40" w:line="210" w:lineRule="exact"/>
              <w:ind w:right="40"/>
              <w:rPr>
                <w:color w:val="000000"/>
                <w:kern w:val="0"/>
                <w:sz w:val="17"/>
              </w:rPr>
            </w:pPr>
            <w:r w:rsidRPr="00253191">
              <w:rPr>
                <w:color w:val="000000"/>
                <w:kern w:val="0"/>
                <w:sz w:val="17"/>
              </w:rPr>
              <w:t>2005</w:t>
            </w:r>
          </w:p>
        </w:tc>
        <w:tc>
          <w:tcPr>
            <w:tcW w:w="1830" w:type="dxa"/>
            <w:shd w:val="clear" w:color="auto" w:fill="auto"/>
            <w:vAlign w:val="bottom"/>
          </w:tcPr>
          <w:p w:rsidR="00F21848" w:rsidRPr="00253191" w:rsidRDefault="00F21848" w:rsidP="00F21848">
            <w:pPr>
              <w:spacing w:before="40" w:after="40" w:line="210" w:lineRule="exact"/>
              <w:ind w:right="40"/>
              <w:jc w:val="right"/>
              <w:rPr>
                <w:color w:val="000000"/>
                <w:kern w:val="0"/>
                <w:sz w:val="17"/>
              </w:rPr>
            </w:pPr>
            <w:r w:rsidRPr="00253191">
              <w:rPr>
                <w:color w:val="000000"/>
                <w:kern w:val="0"/>
                <w:sz w:val="17"/>
              </w:rPr>
              <w:t>5 (90)</w:t>
            </w:r>
          </w:p>
        </w:tc>
        <w:tc>
          <w:tcPr>
            <w:tcW w:w="1830" w:type="dxa"/>
            <w:shd w:val="clear" w:color="auto" w:fill="auto"/>
            <w:vAlign w:val="bottom"/>
          </w:tcPr>
          <w:p w:rsidR="00F21848" w:rsidRPr="00253191" w:rsidRDefault="00F21848" w:rsidP="00F21848">
            <w:pPr>
              <w:tabs>
                <w:tab w:val="left" w:pos="288"/>
                <w:tab w:val="left" w:pos="576"/>
                <w:tab w:val="left" w:pos="864"/>
                <w:tab w:val="left" w:pos="1152"/>
              </w:tabs>
              <w:spacing w:before="40" w:after="40" w:line="210" w:lineRule="exact"/>
              <w:ind w:right="40"/>
              <w:jc w:val="right"/>
              <w:rPr>
                <w:color w:val="000000"/>
                <w:kern w:val="0"/>
                <w:sz w:val="17"/>
              </w:rPr>
            </w:pPr>
            <w:r w:rsidRPr="00253191">
              <w:rPr>
                <w:color w:val="000000"/>
                <w:kern w:val="0"/>
                <w:sz w:val="17"/>
              </w:rPr>
              <w:t>99</w:t>
            </w:r>
          </w:p>
        </w:tc>
        <w:tc>
          <w:tcPr>
            <w:tcW w:w="1830" w:type="dxa"/>
            <w:shd w:val="clear" w:color="auto" w:fill="auto"/>
            <w:vAlign w:val="bottom"/>
          </w:tcPr>
          <w:p w:rsidR="00F21848" w:rsidRPr="00253191" w:rsidRDefault="00F21848" w:rsidP="00F21848">
            <w:pPr>
              <w:tabs>
                <w:tab w:val="left" w:pos="288"/>
                <w:tab w:val="left" w:pos="576"/>
                <w:tab w:val="left" w:pos="864"/>
                <w:tab w:val="left" w:pos="1152"/>
              </w:tabs>
              <w:spacing w:before="40" w:after="40" w:line="210" w:lineRule="exact"/>
              <w:ind w:right="40"/>
              <w:jc w:val="right"/>
              <w:rPr>
                <w:color w:val="000000"/>
                <w:kern w:val="0"/>
                <w:sz w:val="17"/>
              </w:rPr>
            </w:pPr>
            <w:r w:rsidRPr="00253191">
              <w:rPr>
                <w:color w:val="000000"/>
                <w:kern w:val="0"/>
                <w:sz w:val="17"/>
              </w:rPr>
              <w:t>5,6</w:t>
            </w:r>
          </w:p>
        </w:tc>
      </w:tr>
      <w:tr w:rsidR="00F21848" w:rsidRPr="00253191" w:rsidTr="00F21848">
        <w:tblPrEx>
          <w:tblCellMar>
            <w:top w:w="0" w:type="dxa"/>
            <w:bottom w:w="0" w:type="dxa"/>
          </w:tblCellMar>
        </w:tblPrEx>
        <w:tc>
          <w:tcPr>
            <w:tcW w:w="1830" w:type="dxa"/>
            <w:shd w:val="clear" w:color="auto" w:fill="auto"/>
            <w:vAlign w:val="bottom"/>
          </w:tcPr>
          <w:p w:rsidR="00F21848" w:rsidRPr="00253191" w:rsidRDefault="00F21848" w:rsidP="00F21848">
            <w:pPr>
              <w:tabs>
                <w:tab w:val="left" w:pos="288"/>
                <w:tab w:val="left" w:pos="576"/>
                <w:tab w:val="left" w:pos="864"/>
                <w:tab w:val="left" w:pos="1152"/>
              </w:tabs>
              <w:spacing w:before="40" w:after="40" w:line="210" w:lineRule="exact"/>
              <w:ind w:right="40"/>
              <w:rPr>
                <w:color w:val="000000"/>
                <w:kern w:val="0"/>
                <w:sz w:val="17"/>
              </w:rPr>
            </w:pPr>
            <w:r w:rsidRPr="00253191">
              <w:rPr>
                <w:color w:val="000000"/>
                <w:kern w:val="0"/>
                <w:sz w:val="17"/>
              </w:rPr>
              <w:t>2006</w:t>
            </w:r>
          </w:p>
        </w:tc>
        <w:tc>
          <w:tcPr>
            <w:tcW w:w="1830" w:type="dxa"/>
            <w:shd w:val="clear" w:color="auto" w:fill="auto"/>
            <w:vAlign w:val="bottom"/>
          </w:tcPr>
          <w:p w:rsidR="00F21848" w:rsidRPr="00253191" w:rsidRDefault="00F21848" w:rsidP="00F21848">
            <w:pPr>
              <w:spacing w:before="40" w:after="40" w:line="210" w:lineRule="exact"/>
              <w:ind w:right="40"/>
              <w:jc w:val="right"/>
              <w:rPr>
                <w:color w:val="000000"/>
                <w:kern w:val="0"/>
                <w:sz w:val="17"/>
              </w:rPr>
            </w:pPr>
            <w:r w:rsidRPr="00253191">
              <w:rPr>
                <w:color w:val="000000"/>
                <w:kern w:val="0"/>
                <w:sz w:val="17"/>
              </w:rPr>
              <w:t>0 (0)</w:t>
            </w:r>
          </w:p>
        </w:tc>
        <w:tc>
          <w:tcPr>
            <w:tcW w:w="1830" w:type="dxa"/>
            <w:shd w:val="clear" w:color="auto" w:fill="auto"/>
            <w:vAlign w:val="bottom"/>
          </w:tcPr>
          <w:p w:rsidR="00F21848" w:rsidRPr="00253191" w:rsidRDefault="00F21848" w:rsidP="00F21848">
            <w:pPr>
              <w:tabs>
                <w:tab w:val="left" w:pos="288"/>
                <w:tab w:val="left" w:pos="576"/>
                <w:tab w:val="left" w:pos="864"/>
                <w:tab w:val="left" w:pos="1152"/>
              </w:tabs>
              <w:spacing w:before="40" w:after="40" w:line="210" w:lineRule="exact"/>
              <w:ind w:right="40"/>
              <w:jc w:val="right"/>
              <w:rPr>
                <w:color w:val="000000"/>
                <w:kern w:val="0"/>
                <w:sz w:val="17"/>
              </w:rPr>
            </w:pPr>
            <w:r w:rsidRPr="00253191">
              <w:rPr>
                <w:color w:val="000000"/>
                <w:kern w:val="0"/>
                <w:sz w:val="17"/>
              </w:rPr>
              <w:t>99</w:t>
            </w:r>
          </w:p>
        </w:tc>
        <w:tc>
          <w:tcPr>
            <w:tcW w:w="1830" w:type="dxa"/>
            <w:shd w:val="clear" w:color="auto" w:fill="auto"/>
            <w:vAlign w:val="bottom"/>
          </w:tcPr>
          <w:p w:rsidR="00F21848" w:rsidRPr="00253191" w:rsidRDefault="00F21848" w:rsidP="00F21848">
            <w:pPr>
              <w:tabs>
                <w:tab w:val="left" w:pos="288"/>
                <w:tab w:val="left" w:pos="576"/>
                <w:tab w:val="left" w:pos="864"/>
                <w:tab w:val="left" w:pos="1152"/>
              </w:tabs>
              <w:spacing w:before="40" w:after="40" w:line="210" w:lineRule="exact"/>
              <w:ind w:right="40"/>
              <w:jc w:val="right"/>
              <w:rPr>
                <w:color w:val="000000"/>
                <w:kern w:val="0"/>
                <w:sz w:val="17"/>
              </w:rPr>
            </w:pPr>
            <w:r w:rsidRPr="00253191">
              <w:rPr>
                <w:color w:val="000000"/>
                <w:kern w:val="0"/>
                <w:sz w:val="17"/>
              </w:rPr>
              <w:t>5,2</w:t>
            </w:r>
          </w:p>
        </w:tc>
      </w:tr>
      <w:tr w:rsidR="00F21848" w:rsidRPr="00253191" w:rsidTr="00F21848">
        <w:tblPrEx>
          <w:tblCellMar>
            <w:top w:w="0" w:type="dxa"/>
            <w:bottom w:w="0" w:type="dxa"/>
          </w:tblCellMar>
        </w:tblPrEx>
        <w:tc>
          <w:tcPr>
            <w:tcW w:w="1830" w:type="dxa"/>
            <w:shd w:val="clear" w:color="auto" w:fill="auto"/>
            <w:vAlign w:val="bottom"/>
          </w:tcPr>
          <w:p w:rsidR="00F21848" w:rsidRPr="00253191" w:rsidRDefault="00F21848" w:rsidP="00F21848">
            <w:pPr>
              <w:tabs>
                <w:tab w:val="left" w:pos="288"/>
                <w:tab w:val="left" w:pos="576"/>
                <w:tab w:val="left" w:pos="864"/>
                <w:tab w:val="left" w:pos="1152"/>
              </w:tabs>
              <w:spacing w:before="40" w:after="40" w:line="210" w:lineRule="exact"/>
              <w:ind w:right="40"/>
              <w:rPr>
                <w:color w:val="000000"/>
                <w:kern w:val="0"/>
                <w:sz w:val="17"/>
              </w:rPr>
            </w:pPr>
            <w:r w:rsidRPr="00253191">
              <w:rPr>
                <w:color w:val="000000"/>
                <w:kern w:val="0"/>
                <w:sz w:val="17"/>
              </w:rPr>
              <w:t>2007</w:t>
            </w:r>
          </w:p>
        </w:tc>
        <w:tc>
          <w:tcPr>
            <w:tcW w:w="1830" w:type="dxa"/>
            <w:shd w:val="clear" w:color="auto" w:fill="auto"/>
            <w:vAlign w:val="bottom"/>
          </w:tcPr>
          <w:p w:rsidR="00F21848" w:rsidRPr="00253191" w:rsidRDefault="00F21848" w:rsidP="00F21848">
            <w:pPr>
              <w:spacing w:before="40" w:after="40" w:line="210" w:lineRule="exact"/>
              <w:ind w:right="40"/>
              <w:jc w:val="right"/>
              <w:rPr>
                <w:color w:val="000000"/>
                <w:kern w:val="0"/>
                <w:sz w:val="17"/>
              </w:rPr>
            </w:pPr>
            <w:r w:rsidRPr="00253191">
              <w:rPr>
                <w:color w:val="000000"/>
                <w:kern w:val="0"/>
                <w:sz w:val="17"/>
              </w:rPr>
              <w:t>4 (68)</w:t>
            </w:r>
          </w:p>
        </w:tc>
        <w:tc>
          <w:tcPr>
            <w:tcW w:w="1830" w:type="dxa"/>
            <w:shd w:val="clear" w:color="auto" w:fill="auto"/>
            <w:vAlign w:val="bottom"/>
          </w:tcPr>
          <w:p w:rsidR="00F21848" w:rsidRPr="00253191" w:rsidRDefault="00F21848" w:rsidP="00F21848">
            <w:pPr>
              <w:tabs>
                <w:tab w:val="left" w:pos="288"/>
                <w:tab w:val="left" w:pos="576"/>
                <w:tab w:val="left" w:pos="864"/>
                <w:tab w:val="left" w:pos="1152"/>
              </w:tabs>
              <w:spacing w:before="40" w:after="40" w:line="210" w:lineRule="exact"/>
              <w:ind w:right="40"/>
              <w:jc w:val="right"/>
              <w:rPr>
                <w:color w:val="000000"/>
                <w:kern w:val="0"/>
                <w:sz w:val="17"/>
              </w:rPr>
            </w:pPr>
            <w:r w:rsidRPr="00253191">
              <w:rPr>
                <w:color w:val="000000"/>
                <w:kern w:val="0"/>
                <w:sz w:val="17"/>
              </w:rPr>
              <w:t>99</w:t>
            </w:r>
          </w:p>
        </w:tc>
        <w:tc>
          <w:tcPr>
            <w:tcW w:w="1830" w:type="dxa"/>
            <w:shd w:val="clear" w:color="auto" w:fill="auto"/>
            <w:vAlign w:val="bottom"/>
          </w:tcPr>
          <w:p w:rsidR="00F21848" w:rsidRPr="00253191" w:rsidRDefault="00F21848" w:rsidP="00F21848">
            <w:pPr>
              <w:tabs>
                <w:tab w:val="left" w:pos="288"/>
                <w:tab w:val="left" w:pos="576"/>
                <w:tab w:val="left" w:pos="864"/>
                <w:tab w:val="left" w:pos="1152"/>
              </w:tabs>
              <w:spacing w:before="40" w:after="40" w:line="210" w:lineRule="exact"/>
              <w:ind w:right="40"/>
              <w:jc w:val="right"/>
              <w:rPr>
                <w:color w:val="000000"/>
                <w:kern w:val="0"/>
                <w:sz w:val="17"/>
              </w:rPr>
            </w:pPr>
            <w:r w:rsidRPr="00253191">
              <w:rPr>
                <w:color w:val="000000"/>
                <w:kern w:val="0"/>
                <w:sz w:val="17"/>
              </w:rPr>
              <w:t>5,4</w:t>
            </w:r>
          </w:p>
        </w:tc>
      </w:tr>
      <w:tr w:rsidR="00F21848" w:rsidRPr="00253191" w:rsidTr="00F21848">
        <w:tblPrEx>
          <w:tblCellMar>
            <w:top w:w="0" w:type="dxa"/>
            <w:bottom w:w="0" w:type="dxa"/>
          </w:tblCellMar>
        </w:tblPrEx>
        <w:tc>
          <w:tcPr>
            <w:tcW w:w="1830" w:type="dxa"/>
            <w:tcBorders>
              <w:bottom w:val="single" w:sz="12" w:space="0" w:color="auto"/>
            </w:tcBorders>
            <w:shd w:val="clear" w:color="auto" w:fill="auto"/>
            <w:vAlign w:val="bottom"/>
          </w:tcPr>
          <w:p w:rsidR="00F21848" w:rsidRPr="00253191" w:rsidRDefault="00F21848" w:rsidP="00F21848">
            <w:pPr>
              <w:tabs>
                <w:tab w:val="left" w:pos="288"/>
                <w:tab w:val="left" w:pos="576"/>
                <w:tab w:val="left" w:pos="864"/>
                <w:tab w:val="left" w:pos="1152"/>
              </w:tabs>
              <w:spacing w:before="40" w:after="80" w:line="210" w:lineRule="exact"/>
              <w:ind w:right="43"/>
              <w:rPr>
                <w:color w:val="000000"/>
                <w:kern w:val="0"/>
                <w:sz w:val="17"/>
              </w:rPr>
            </w:pPr>
            <w:r w:rsidRPr="00253191">
              <w:rPr>
                <w:color w:val="000000"/>
                <w:kern w:val="0"/>
                <w:sz w:val="17"/>
              </w:rPr>
              <w:t>2008</w:t>
            </w:r>
          </w:p>
        </w:tc>
        <w:tc>
          <w:tcPr>
            <w:tcW w:w="1830" w:type="dxa"/>
            <w:tcBorders>
              <w:bottom w:val="single" w:sz="12" w:space="0" w:color="auto"/>
            </w:tcBorders>
            <w:shd w:val="clear" w:color="auto" w:fill="auto"/>
            <w:vAlign w:val="bottom"/>
          </w:tcPr>
          <w:p w:rsidR="00F21848" w:rsidRPr="00253191" w:rsidRDefault="00F21848" w:rsidP="00F21848">
            <w:pPr>
              <w:spacing w:before="40" w:after="80" w:line="210" w:lineRule="exact"/>
              <w:ind w:right="43"/>
              <w:jc w:val="right"/>
              <w:rPr>
                <w:color w:val="000000"/>
                <w:kern w:val="0"/>
                <w:sz w:val="17"/>
              </w:rPr>
            </w:pPr>
            <w:r w:rsidRPr="00253191">
              <w:rPr>
                <w:color w:val="000000"/>
                <w:kern w:val="0"/>
                <w:sz w:val="17"/>
              </w:rPr>
              <w:t>3 (55)</w:t>
            </w:r>
          </w:p>
        </w:tc>
        <w:tc>
          <w:tcPr>
            <w:tcW w:w="1830" w:type="dxa"/>
            <w:tcBorders>
              <w:bottom w:val="single" w:sz="12" w:space="0" w:color="auto"/>
            </w:tcBorders>
            <w:shd w:val="clear" w:color="auto" w:fill="auto"/>
            <w:vAlign w:val="bottom"/>
          </w:tcPr>
          <w:p w:rsidR="00F21848" w:rsidRPr="00253191" w:rsidRDefault="00F21848" w:rsidP="00F21848">
            <w:pPr>
              <w:tabs>
                <w:tab w:val="left" w:pos="288"/>
                <w:tab w:val="left" w:pos="576"/>
                <w:tab w:val="left" w:pos="864"/>
                <w:tab w:val="left" w:pos="1152"/>
              </w:tabs>
              <w:spacing w:before="40" w:after="80" w:line="210" w:lineRule="exact"/>
              <w:ind w:right="43"/>
              <w:jc w:val="right"/>
              <w:rPr>
                <w:color w:val="000000"/>
                <w:kern w:val="0"/>
                <w:sz w:val="17"/>
              </w:rPr>
            </w:pPr>
            <w:r w:rsidRPr="00253191">
              <w:rPr>
                <w:color w:val="000000"/>
                <w:kern w:val="0"/>
                <w:sz w:val="17"/>
              </w:rPr>
              <w:t>99</w:t>
            </w:r>
          </w:p>
        </w:tc>
        <w:tc>
          <w:tcPr>
            <w:tcW w:w="1830" w:type="dxa"/>
            <w:tcBorders>
              <w:bottom w:val="single" w:sz="12" w:space="0" w:color="auto"/>
            </w:tcBorders>
            <w:shd w:val="clear" w:color="auto" w:fill="auto"/>
            <w:vAlign w:val="bottom"/>
          </w:tcPr>
          <w:p w:rsidR="00F21848" w:rsidRPr="00253191" w:rsidRDefault="00F21848" w:rsidP="00F21848">
            <w:pPr>
              <w:tabs>
                <w:tab w:val="left" w:pos="288"/>
                <w:tab w:val="left" w:pos="576"/>
                <w:tab w:val="left" w:pos="864"/>
                <w:tab w:val="left" w:pos="1152"/>
              </w:tabs>
              <w:spacing w:before="40" w:after="80" w:line="210" w:lineRule="exact"/>
              <w:ind w:right="43"/>
              <w:jc w:val="right"/>
              <w:rPr>
                <w:color w:val="000000"/>
                <w:kern w:val="0"/>
                <w:sz w:val="17"/>
              </w:rPr>
            </w:pPr>
            <w:r w:rsidRPr="00253191">
              <w:rPr>
                <w:color w:val="000000"/>
                <w:kern w:val="0"/>
                <w:sz w:val="17"/>
              </w:rPr>
              <w:t>5,5</w:t>
            </w:r>
          </w:p>
        </w:tc>
      </w:tr>
    </w:tbl>
    <w:p w:rsidR="00F21848" w:rsidRPr="00F21848" w:rsidRDefault="00F21848" w:rsidP="00F21848">
      <w:pPr>
        <w:pStyle w:val="SingleTxt"/>
        <w:spacing w:after="0" w:line="120" w:lineRule="exact"/>
        <w:rPr>
          <w:sz w:val="10"/>
        </w:rPr>
      </w:pPr>
    </w:p>
    <w:p w:rsidR="00F21848" w:rsidRDefault="00F21848" w:rsidP="00F21848">
      <w:pPr>
        <w:pStyle w:val="FootnoteText"/>
        <w:tabs>
          <w:tab w:val="clear" w:pos="418"/>
          <w:tab w:val="right" w:pos="1476"/>
          <w:tab w:val="left" w:pos="1548"/>
          <w:tab w:val="right" w:pos="1836"/>
          <w:tab w:val="left" w:pos="1908"/>
        </w:tabs>
        <w:ind w:left="1548" w:right="1267" w:hanging="288"/>
      </w:pPr>
      <w:r>
        <w:rPr>
          <w:i/>
        </w:rPr>
        <w:tab/>
      </w:r>
      <w:r w:rsidRPr="00253191">
        <w:rPr>
          <w:i/>
        </w:rPr>
        <w:t xml:space="preserve">Fuentes: </w:t>
      </w:r>
      <w:r w:rsidRPr="00253191">
        <w:t xml:space="preserve">Sistema de Información Perinatal, </w:t>
      </w:r>
      <w:r>
        <w:t xml:space="preserve">Dirección </w:t>
      </w:r>
      <w:r w:rsidRPr="00253191">
        <w:t xml:space="preserve">de Hospitales Públicos; Defunciones Registradas, Departamento de Estadística. </w:t>
      </w:r>
    </w:p>
    <w:p w:rsidR="00F21848" w:rsidRPr="00F21848" w:rsidRDefault="00F21848" w:rsidP="00F21848">
      <w:pPr>
        <w:pStyle w:val="SingleTxt"/>
        <w:spacing w:after="0" w:line="120" w:lineRule="exact"/>
        <w:rPr>
          <w:sz w:val="10"/>
        </w:rPr>
      </w:pPr>
    </w:p>
    <w:p w:rsidR="00F21848" w:rsidRPr="00F21848" w:rsidRDefault="00F21848" w:rsidP="00F21848">
      <w:pPr>
        <w:pStyle w:val="SingleTxt"/>
        <w:spacing w:after="0" w:line="120" w:lineRule="exact"/>
        <w:rPr>
          <w:sz w:val="10"/>
        </w:rPr>
      </w:pPr>
    </w:p>
    <w:p w:rsidR="00F21848" w:rsidRDefault="00F21848" w:rsidP="00F218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w w:val="104"/>
        </w:rPr>
      </w:pPr>
      <w:r>
        <w:rPr>
          <w:w w:val="104"/>
        </w:rPr>
        <w:tab/>
      </w:r>
      <w:r>
        <w:rPr>
          <w:w w:val="104"/>
        </w:rPr>
        <w:tab/>
      </w:r>
      <w:r w:rsidRPr="00253191">
        <w:rPr>
          <w:w w:val="104"/>
        </w:rPr>
        <w:t>Tasas de mortalidad infantil y en la niñez</w:t>
      </w:r>
    </w:p>
    <w:p w:rsidR="00F21848" w:rsidRPr="00F21848" w:rsidRDefault="00F21848" w:rsidP="00F21848">
      <w:pPr>
        <w:pStyle w:val="SingleTxt"/>
        <w:spacing w:after="0" w:line="120" w:lineRule="exact"/>
        <w:rPr>
          <w:sz w:val="10"/>
        </w:rPr>
      </w:pPr>
    </w:p>
    <w:p w:rsidR="00F21848" w:rsidRPr="00253191" w:rsidRDefault="00F21848" w:rsidP="00F21848">
      <w:pPr>
        <w:pStyle w:val="SingleTxt"/>
        <w:numPr>
          <w:ilvl w:val="0"/>
          <w:numId w:val="25"/>
        </w:numPr>
        <w:tabs>
          <w:tab w:val="clear" w:pos="475"/>
          <w:tab w:val="num" w:pos="1742"/>
        </w:tabs>
        <w:suppressAutoHyphens/>
        <w:ind w:left="1267"/>
        <w:rPr>
          <w:w w:val="104"/>
        </w:rPr>
      </w:pPr>
      <w:r w:rsidRPr="00253191">
        <w:rPr>
          <w:w w:val="104"/>
        </w:rPr>
        <w:t xml:space="preserve">La tasa de mortalidad infantil se refiere a las defunciones de los bebés que todavía no han cumplido </w:t>
      </w:r>
      <w:r>
        <w:rPr>
          <w:w w:val="104"/>
        </w:rPr>
        <w:t>1</w:t>
      </w:r>
      <w:r w:rsidRPr="00253191">
        <w:rPr>
          <w:w w:val="104"/>
        </w:rPr>
        <w:t xml:space="preserve"> año de edad. En las Bahamas fue de 20,0 por </w:t>
      </w:r>
      <w:r>
        <w:rPr>
          <w:w w:val="104"/>
        </w:rPr>
        <w:t xml:space="preserve">1.000 </w:t>
      </w:r>
      <w:r w:rsidRPr="00253191">
        <w:rPr>
          <w:w w:val="104"/>
        </w:rPr>
        <w:t xml:space="preserve">nacidos vivos en 2010. El Ministerio de Salud está intensificando los esfuerzos por reducir el número de defunciones de menores de </w:t>
      </w:r>
      <w:r>
        <w:rPr>
          <w:w w:val="104"/>
        </w:rPr>
        <w:t>1</w:t>
      </w:r>
      <w:r w:rsidRPr="00253191">
        <w:rPr>
          <w:w w:val="104"/>
        </w:rPr>
        <w:t xml:space="preserve"> año a través del grupo consultivo técnico sobre salud maternoinfantil.</w:t>
      </w:r>
    </w:p>
    <w:p w:rsidR="00F21848" w:rsidRPr="00477DFA" w:rsidRDefault="00F21848" w:rsidP="00F218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w w:val="104"/>
        </w:rPr>
      </w:pPr>
      <w:r>
        <w:rPr>
          <w:w w:val="104"/>
        </w:rPr>
        <w:tab/>
      </w:r>
      <w:r>
        <w:rPr>
          <w:w w:val="104"/>
        </w:rPr>
        <w:tab/>
      </w:r>
      <w:r w:rsidRPr="00477DFA">
        <w:rPr>
          <w:b w:val="0"/>
          <w:w w:val="104"/>
        </w:rPr>
        <w:t>Cuadro 16</w:t>
      </w:r>
      <w:r w:rsidRPr="00477DFA">
        <w:rPr>
          <w:b w:val="0"/>
          <w:w w:val="104"/>
        </w:rPr>
        <w:br/>
      </w:r>
      <w:r w:rsidRPr="00477DFA">
        <w:rPr>
          <w:w w:val="104"/>
        </w:rPr>
        <w:t>Estadísticas de mortalidad infantil en las Bahamas</w:t>
      </w:r>
    </w:p>
    <w:p w:rsidR="00F21848" w:rsidRPr="00F21848" w:rsidRDefault="00F21848" w:rsidP="00F21848">
      <w:pPr>
        <w:pStyle w:val="SingleTxt"/>
        <w:spacing w:after="0" w:line="120" w:lineRule="exact"/>
        <w:rPr>
          <w:sz w:val="10"/>
        </w:rPr>
      </w:pPr>
    </w:p>
    <w:p w:rsidR="00F21848" w:rsidRPr="00F21848" w:rsidRDefault="00F21848" w:rsidP="00F21848">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29"/>
        <w:gridCol w:w="11"/>
      </w:tblGrid>
      <w:tr w:rsidR="00F21848" w:rsidRPr="00E91AAA" w:rsidTr="00F21848">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F21848" w:rsidRPr="00E91AAA" w:rsidRDefault="00F21848" w:rsidP="00F21848">
            <w:pPr>
              <w:spacing w:before="80" w:after="80" w:line="160" w:lineRule="exact"/>
              <w:ind w:right="40"/>
              <w:rPr>
                <w:i/>
                <w:color w:val="000000"/>
                <w:kern w:val="0"/>
                <w:sz w:val="14"/>
              </w:rPr>
            </w:pPr>
            <w:r w:rsidRPr="00E91AAA">
              <w:rPr>
                <w:i/>
                <w:color w:val="000000"/>
                <w:kern w:val="0"/>
                <w:sz w:val="14"/>
              </w:rPr>
              <w:t>Año</w:t>
            </w:r>
          </w:p>
        </w:tc>
        <w:tc>
          <w:tcPr>
            <w:tcW w:w="2440" w:type="dxa"/>
            <w:tcBorders>
              <w:top w:val="single" w:sz="4" w:space="0" w:color="auto"/>
              <w:bottom w:val="single" w:sz="12" w:space="0" w:color="auto"/>
            </w:tcBorders>
            <w:shd w:val="clear" w:color="auto" w:fill="auto"/>
            <w:vAlign w:val="bottom"/>
          </w:tcPr>
          <w:p w:rsidR="00F21848" w:rsidRPr="00E91AAA" w:rsidRDefault="00F21848" w:rsidP="00F21848">
            <w:pPr>
              <w:spacing w:before="80" w:after="80" w:line="160" w:lineRule="exact"/>
              <w:ind w:right="40"/>
              <w:jc w:val="right"/>
              <w:rPr>
                <w:i/>
                <w:color w:val="000000"/>
                <w:kern w:val="0"/>
                <w:sz w:val="14"/>
              </w:rPr>
            </w:pPr>
            <w:r w:rsidRPr="00E91AAA">
              <w:rPr>
                <w:i/>
                <w:color w:val="000000"/>
                <w:kern w:val="0"/>
                <w:sz w:val="14"/>
              </w:rPr>
              <w:t>Tasa de mortalidad infantil</w:t>
            </w:r>
          </w:p>
        </w:tc>
        <w:tc>
          <w:tcPr>
            <w:tcW w:w="2440" w:type="dxa"/>
            <w:gridSpan w:val="2"/>
            <w:tcBorders>
              <w:top w:val="single" w:sz="4" w:space="0" w:color="auto"/>
              <w:bottom w:val="single" w:sz="12" w:space="0" w:color="auto"/>
            </w:tcBorders>
            <w:shd w:val="clear" w:color="auto" w:fill="auto"/>
            <w:vAlign w:val="bottom"/>
          </w:tcPr>
          <w:p w:rsidR="00F21848" w:rsidRPr="00E91AAA" w:rsidRDefault="00F21848" w:rsidP="00F21848">
            <w:pPr>
              <w:spacing w:before="80" w:after="80" w:line="160" w:lineRule="exact"/>
              <w:ind w:right="40"/>
              <w:jc w:val="right"/>
              <w:rPr>
                <w:i/>
                <w:color w:val="000000"/>
                <w:kern w:val="0"/>
                <w:sz w:val="14"/>
              </w:rPr>
            </w:pPr>
            <w:r w:rsidRPr="00E91AAA">
              <w:rPr>
                <w:i/>
                <w:color w:val="000000"/>
                <w:kern w:val="0"/>
                <w:sz w:val="14"/>
              </w:rPr>
              <w:t>Tasa de mortalidad</w:t>
            </w:r>
          </w:p>
        </w:tc>
      </w:tr>
      <w:tr w:rsidR="00F21848" w:rsidRPr="00477DFA" w:rsidTr="00F21848">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F21848" w:rsidRPr="00477DFA" w:rsidRDefault="00F21848" w:rsidP="00F21848">
            <w:pPr>
              <w:spacing w:before="40" w:after="40" w:line="210" w:lineRule="exact"/>
              <w:ind w:right="40"/>
              <w:jc w:val="center"/>
              <w:rPr>
                <w:color w:val="000000"/>
                <w:kern w:val="0"/>
                <w:sz w:val="17"/>
              </w:rPr>
            </w:pPr>
          </w:p>
        </w:tc>
        <w:tc>
          <w:tcPr>
            <w:tcW w:w="2440" w:type="dxa"/>
            <w:tcBorders>
              <w:top w:val="single" w:sz="12" w:space="0" w:color="auto"/>
            </w:tcBorders>
            <w:shd w:val="clear" w:color="auto" w:fill="auto"/>
            <w:vAlign w:val="bottom"/>
          </w:tcPr>
          <w:p w:rsidR="00F21848" w:rsidRPr="00477DFA" w:rsidRDefault="00F21848" w:rsidP="00F21848">
            <w:pPr>
              <w:spacing w:before="40" w:after="40" w:line="210" w:lineRule="exact"/>
              <w:ind w:right="40"/>
              <w:jc w:val="right"/>
              <w:rPr>
                <w:color w:val="000000"/>
                <w:kern w:val="0"/>
                <w:sz w:val="17"/>
              </w:rPr>
            </w:pPr>
          </w:p>
        </w:tc>
        <w:tc>
          <w:tcPr>
            <w:tcW w:w="2440" w:type="dxa"/>
            <w:gridSpan w:val="2"/>
            <w:tcBorders>
              <w:top w:val="single" w:sz="12" w:space="0" w:color="auto"/>
            </w:tcBorders>
            <w:shd w:val="clear" w:color="auto" w:fill="auto"/>
            <w:vAlign w:val="bottom"/>
          </w:tcPr>
          <w:p w:rsidR="00F21848" w:rsidRPr="00477DFA" w:rsidRDefault="00F21848" w:rsidP="00F21848">
            <w:pPr>
              <w:spacing w:before="40" w:after="40" w:line="210" w:lineRule="exact"/>
              <w:ind w:right="40"/>
              <w:jc w:val="right"/>
              <w:rPr>
                <w:color w:val="000000"/>
                <w:kern w:val="0"/>
                <w:sz w:val="17"/>
              </w:rPr>
            </w:pPr>
          </w:p>
        </w:tc>
      </w:tr>
      <w:tr w:rsidR="00F21848" w:rsidRPr="00477DFA" w:rsidTr="00F21848">
        <w:tblPrEx>
          <w:tblCellMar>
            <w:top w:w="0" w:type="dxa"/>
            <w:bottom w:w="0" w:type="dxa"/>
          </w:tblCellMar>
        </w:tblPrEx>
        <w:tc>
          <w:tcPr>
            <w:tcW w:w="2440" w:type="dxa"/>
            <w:shd w:val="clear" w:color="auto" w:fill="auto"/>
            <w:vAlign w:val="bottom"/>
          </w:tcPr>
          <w:p w:rsidR="00F21848" w:rsidRPr="00477DFA" w:rsidRDefault="00F21848" w:rsidP="00F21848">
            <w:pPr>
              <w:tabs>
                <w:tab w:val="left" w:pos="288"/>
                <w:tab w:val="left" w:pos="576"/>
                <w:tab w:val="left" w:pos="864"/>
                <w:tab w:val="left" w:pos="1152"/>
              </w:tabs>
              <w:spacing w:before="40" w:after="40" w:line="210" w:lineRule="exact"/>
              <w:ind w:right="40"/>
              <w:rPr>
                <w:color w:val="000000"/>
                <w:kern w:val="0"/>
                <w:sz w:val="17"/>
              </w:rPr>
            </w:pPr>
            <w:r w:rsidRPr="00477DFA">
              <w:rPr>
                <w:color w:val="000000"/>
                <w:kern w:val="0"/>
                <w:sz w:val="17"/>
              </w:rPr>
              <w:t>1990</w:t>
            </w:r>
          </w:p>
        </w:tc>
        <w:tc>
          <w:tcPr>
            <w:tcW w:w="2440" w:type="dxa"/>
            <w:shd w:val="clear" w:color="auto" w:fill="auto"/>
            <w:vAlign w:val="bottom"/>
          </w:tcPr>
          <w:p w:rsidR="00F21848" w:rsidRPr="00477DFA" w:rsidRDefault="00F21848" w:rsidP="00F21848">
            <w:pPr>
              <w:tabs>
                <w:tab w:val="left" w:pos="288"/>
                <w:tab w:val="left" w:pos="576"/>
                <w:tab w:val="left" w:pos="864"/>
                <w:tab w:val="left" w:pos="1152"/>
              </w:tabs>
              <w:spacing w:before="40" w:after="40" w:line="210" w:lineRule="exact"/>
              <w:ind w:right="40"/>
              <w:jc w:val="right"/>
              <w:rPr>
                <w:color w:val="000000"/>
                <w:kern w:val="0"/>
                <w:sz w:val="17"/>
              </w:rPr>
            </w:pPr>
            <w:r w:rsidRPr="00477DFA">
              <w:rPr>
                <w:color w:val="000000"/>
                <w:kern w:val="0"/>
                <w:sz w:val="17"/>
              </w:rPr>
              <w:t>24,4</w:t>
            </w:r>
          </w:p>
        </w:tc>
        <w:tc>
          <w:tcPr>
            <w:tcW w:w="2440" w:type="dxa"/>
            <w:gridSpan w:val="2"/>
            <w:shd w:val="clear" w:color="auto" w:fill="auto"/>
            <w:vAlign w:val="bottom"/>
          </w:tcPr>
          <w:p w:rsidR="00F21848" w:rsidRPr="00477DFA" w:rsidRDefault="00F21848" w:rsidP="00F21848">
            <w:pPr>
              <w:tabs>
                <w:tab w:val="left" w:pos="288"/>
                <w:tab w:val="left" w:pos="576"/>
                <w:tab w:val="left" w:pos="864"/>
                <w:tab w:val="left" w:pos="1152"/>
              </w:tabs>
              <w:spacing w:before="40" w:after="40" w:line="210" w:lineRule="exact"/>
              <w:ind w:right="40"/>
              <w:jc w:val="right"/>
              <w:rPr>
                <w:color w:val="000000"/>
                <w:kern w:val="0"/>
                <w:sz w:val="17"/>
              </w:rPr>
            </w:pPr>
            <w:r w:rsidRPr="00477DFA">
              <w:rPr>
                <w:color w:val="000000"/>
                <w:kern w:val="0"/>
                <w:sz w:val="17"/>
              </w:rPr>
              <w:t>5,3</w:t>
            </w:r>
          </w:p>
        </w:tc>
      </w:tr>
      <w:tr w:rsidR="00F21848" w:rsidRPr="00477DFA" w:rsidTr="00F21848">
        <w:tblPrEx>
          <w:tblCellMar>
            <w:top w:w="0" w:type="dxa"/>
            <w:bottom w:w="0" w:type="dxa"/>
          </w:tblCellMar>
        </w:tblPrEx>
        <w:tc>
          <w:tcPr>
            <w:tcW w:w="2440" w:type="dxa"/>
            <w:shd w:val="clear" w:color="auto" w:fill="auto"/>
            <w:vAlign w:val="bottom"/>
          </w:tcPr>
          <w:p w:rsidR="00F21848" w:rsidRPr="00477DFA" w:rsidRDefault="00F21848" w:rsidP="00F21848">
            <w:pPr>
              <w:tabs>
                <w:tab w:val="left" w:pos="288"/>
                <w:tab w:val="left" w:pos="576"/>
                <w:tab w:val="left" w:pos="864"/>
                <w:tab w:val="left" w:pos="1152"/>
              </w:tabs>
              <w:spacing w:before="40" w:after="40" w:line="210" w:lineRule="exact"/>
              <w:ind w:right="40"/>
              <w:rPr>
                <w:color w:val="000000"/>
                <w:kern w:val="0"/>
                <w:sz w:val="17"/>
              </w:rPr>
            </w:pPr>
            <w:r w:rsidRPr="00477DFA">
              <w:rPr>
                <w:color w:val="000000"/>
                <w:kern w:val="0"/>
                <w:sz w:val="17"/>
              </w:rPr>
              <w:t>1994</w:t>
            </w:r>
          </w:p>
        </w:tc>
        <w:tc>
          <w:tcPr>
            <w:tcW w:w="2440" w:type="dxa"/>
            <w:shd w:val="clear" w:color="auto" w:fill="auto"/>
            <w:vAlign w:val="bottom"/>
          </w:tcPr>
          <w:p w:rsidR="00F21848" w:rsidRPr="00477DFA" w:rsidRDefault="00F21848" w:rsidP="00F21848">
            <w:pPr>
              <w:tabs>
                <w:tab w:val="left" w:pos="288"/>
                <w:tab w:val="left" w:pos="576"/>
                <w:tab w:val="left" w:pos="864"/>
                <w:tab w:val="left" w:pos="1152"/>
              </w:tabs>
              <w:spacing w:before="40" w:after="40" w:line="210" w:lineRule="exact"/>
              <w:ind w:right="40"/>
              <w:jc w:val="right"/>
              <w:rPr>
                <w:color w:val="000000"/>
                <w:kern w:val="0"/>
                <w:sz w:val="17"/>
              </w:rPr>
            </w:pPr>
            <w:r w:rsidRPr="00477DFA">
              <w:rPr>
                <w:color w:val="000000"/>
                <w:kern w:val="0"/>
                <w:sz w:val="17"/>
              </w:rPr>
              <w:t>19,7</w:t>
            </w:r>
          </w:p>
        </w:tc>
        <w:tc>
          <w:tcPr>
            <w:tcW w:w="2440" w:type="dxa"/>
            <w:gridSpan w:val="2"/>
            <w:shd w:val="clear" w:color="auto" w:fill="auto"/>
            <w:vAlign w:val="bottom"/>
          </w:tcPr>
          <w:p w:rsidR="00F21848" w:rsidRPr="00477DFA" w:rsidRDefault="00F21848" w:rsidP="00F21848">
            <w:pPr>
              <w:tabs>
                <w:tab w:val="left" w:pos="288"/>
                <w:tab w:val="left" w:pos="576"/>
                <w:tab w:val="left" w:pos="864"/>
                <w:tab w:val="left" w:pos="1152"/>
              </w:tabs>
              <w:spacing w:before="40" w:after="40" w:line="210" w:lineRule="exact"/>
              <w:ind w:right="40"/>
              <w:jc w:val="right"/>
              <w:rPr>
                <w:color w:val="000000"/>
                <w:kern w:val="0"/>
                <w:sz w:val="17"/>
              </w:rPr>
            </w:pPr>
            <w:r w:rsidRPr="00477DFA">
              <w:rPr>
                <w:color w:val="000000"/>
                <w:kern w:val="0"/>
                <w:sz w:val="17"/>
              </w:rPr>
              <w:t>5,6</w:t>
            </w:r>
          </w:p>
        </w:tc>
      </w:tr>
      <w:tr w:rsidR="00F21848" w:rsidRPr="00477DFA" w:rsidTr="00F21848">
        <w:tblPrEx>
          <w:tblCellMar>
            <w:top w:w="0" w:type="dxa"/>
            <w:bottom w:w="0" w:type="dxa"/>
          </w:tblCellMar>
        </w:tblPrEx>
        <w:tc>
          <w:tcPr>
            <w:tcW w:w="2440" w:type="dxa"/>
            <w:shd w:val="clear" w:color="auto" w:fill="auto"/>
            <w:vAlign w:val="bottom"/>
          </w:tcPr>
          <w:p w:rsidR="00F21848" w:rsidRPr="00477DFA" w:rsidRDefault="00F21848" w:rsidP="00F21848">
            <w:pPr>
              <w:tabs>
                <w:tab w:val="left" w:pos="288"/>
                <w:tab w:val="left" w:pos="576"/>
                <w:tab w:val="left" w:pos="864"/>
                <w:tab w:val="left" w:pos="1152"/>
              </w:tabs>
              <w:spacing w:before="40" w:after="40" w:line="210" w:lineRule="exact"/>
              <w:ind w:right="40"/>
              <w:rPr>
                <w:color w:val="000000"/>
                <w:kern w:val="0"/>
                <w:sz w:val="17"/>
              </w:rPr>
            </w:pPr>
            <w:r w:rsidRPr="00477DFA">
              <w:rPr>
                <w:color w:val="000000"/>
                <w:kern w:val="0"/>
                <w:sz w:val="17"/>
              </w:rPr>
              <w:t>1995</w:t>
            </w:r>
          </w:p>
        </w:tc>
        <w:tc>
          <w:tcPr>
            <w:tcW w:w="2440" w:type="dxa"/>
            <w:shd w:val="clear" w:color="auto" w:fill="auto"/>
            <w:vAlign w:val="bottom"/>
          </w:tcPr>
          <w:p w:rsidR="00F21848" w:rsidRPr="00477DFA" w:rsidRDefault="00F21848" w:rsidP="00F21848">
            <w:pPr>
              <w:tabs>
                <w:tab w:val="left" w:pos="288"/>
                <w:tab w:val="left" w:pos="576"/>
                <w:tab w:val="left" w:pos="864"/>
                <w:tab w:val="left" w:pos="1152"/>
              </w:tabs>
              <w:spacing w:before="40" w:after="40" w:line="210" w:lineRule="exact"/>
              <w:ind w:right="40"/>
              <w:jc w:val="right"/>
              <w:rPr>
                <w:color w:val="000000"/>
                <w:kern w:val="0"/>
                <w:sz w:val="17"/>
              </w:rPr>
            </w:pPr>
            <w:r w:rsidRPr="00477DFA">
              <w:rPr>
                <w:color w:val="000000"/>
                <w:kern w:val="0"/>
                <w:sz w:val="17"/>
              </w:rPr>
              <w:t>19,0</w:t>
            </w:r>
          </w:p>
        </w:tc>
        <w:tc>
          <w:tcPr>
            <w:tcW w:w="2440" w:type="dxa"/>
            <w:gridSpan w:val="2"/>
            <w:shd w:val="clear" w:color="auto" w:fill="auto"/>
            <w:vAlign w:val="bottom"/>
          </w:tcPr>
          <w:p w:rsidR="00F21848" w:rsidRPr="00477DFA" w:rsidRDefault="00F21848" w:rsidP="00F21848">
            <w:pPr>
              <w:tabs>
                <w:tab w:val="left" w:pos="288"/>
                <w:tab w:val="left" w:pos="576"/>
                <w:tab w:val="left" w:pos="864"/>
                <w:tab w:val="left" w:pos="1152"/>
              </w:tabs>
              <w:spacing w:before="40" w:after="40" w:line="210" w:lineRule="exact"/>
              <w:ind w:right="40"/>
              <w:jc w:val="right"/>
              <w:rPr>
                <w:color w:val="000000"/>
                <w:kern w:val="0"/>
                <w:sz w:val="17"/>
              </w:rPr>
            </w:pPr>
            <w:r w:rsidRPr="00477DFA">
              <w:rPr>
                <w:color w:val="000000"/>
                <w:kern w:val="0"/>
                <w:sz w:val="17"/>
              </w:rPr>
              <w:t>5,9</w:t>
            </w:r>
          </w:p>
        </w:tc>
      </w:tr>
      <w:tr w:rsidR="00F21848" w:rsidRPr="00477DFA" w:rsidTr="00F21848">
        <w:tblPrEx>
          <w:tblCellMar>
            <w:top w:w="0" w:type="dxa"/>
            <w:bottom w:w="0" w:type="dxa"/>
          </w:tblCellMar>
        </w:tblPrEx>
        <w:tc>
          <w:tcPr>
            <w:tcW w:w="2440" w:type="dxa"/>
            <w:shd w:val="clear" w:color="auto" w:fill="auto"/>
            <w:vAlign w:val="bottom"/>
          </w:tcPr>
          <w:p w:rsidR="00F21848" w:rsidRPr="00477DFA" w:rsidRDefault="00F21848" w:rsidP="00F21848">
            <w:pPr>
              <w:tabs>
                <w:tab w:val="left" w:pos="288"/>
                <w:tab w:val="left" w:pos="576"/>
                <w:tab w:val="left" w:pos="864"/>
                <w:tab w:val="left" w:pos="1152"/>
              </w:tabs>
              <w:spacing w:before="40" w:after="40" w:line="210" w:lineRule="exact"/>
              <w:ind w:right="40"/>
              <w:rPr>
                <w:color w:val="000000"/>
                <w:kern w:val="0"/>
                <w:sz w:val="17"/>
              </w:rPr>
            </w:pPr>
            <w:r w:rsidRPr="00477DFA">
              <w:rPr>
                <w:color w:val="000000"/>
                <w:kern w:val="0"/>
                <w:sz w:val="17"/>
              </w:rPr>
              <w:t>1996</w:t>
            </w:r>
          </w:p>
        </w:tc>
        <w:tc>
          <w:tcPr>
            <w:tcW w:w="2440" w:type="dxa"/>
            <w:shd w:val="clear" w:color="auto" w:fill="auto"/>
            <w:vAlign w:val="bottom"/>
          </w:tcPr>
          <w:p w:rsidR="00F21848" w:rsidRPr="00477DFA" w:rsidRDefault="00F21848" w:rsidP="00F21848">
            <w:pPr>
              <w:tabs>
                <w:tab w:val="left" w:pos="288"/>
                <w:tab w:val="left" w:pos="576"/>
                <w:tab w:val="left" w:pos="864"/>
                <w:tab w:val="left" w:pos="1152"/>
              </w:tabs>
              <w:spacing w:before="40" w:after="40" w:line="210" w:lineRule="exact"/>
              <w:ind w:right="40"/>
              <w:jc w:val="right"/>
              <w:rPr>
                <w:color w:val="000000"/>
                <w:kern w:val="0"/>
                <w:sz w:val="17"/>
              </w:rPr>
            </w:pPr>
            <w:r w:rsidRPr="00477DFA">
              <w:rPr>
                <w:color w:val="000000"/>
                <w:kern w:val="0"/>
                <w:sz w:val="17"/>
              </w:rPr>
              <w:t>18,4</w:t>
            </w:r>
          </w:p>
        </w:tc>
        <w:tc>
          <w:tcPr>
            <w:tcW w:w="2440" w:type="dxa"/>
            <w:gridSpan w:val="2"/>
            <w:shd w:val="clear" w:color="auto" w:fill="auto"/>
            <w:vAlign w:val="bottom"/>
          </w:tcPr>
          <w:p w:rsidR="00F21848" w:rsidRPr="00477DFA" w:rsidRDefault="00F21848" w:rsidP="00F21848">
            <w:pPr>
              <w:tabs>
                <w:tab w:val="left" w:pos="288"/>
                <w:tab w:val="left" w:pos="576"/>
                <w:tab w:val="left" w:pos="864"/>
                <w:tab w:val="left" w:pos="1152"/>
              </w:tabs>
              <w:spacing w:before="40" w:after="40" w:line="210" w:lineRule="exact"/>
              <w:ind w:right="40"/>
              <w:jc w:val="right"/>
              <w:rPr>
                <w:color w:val="000000"/>
                <w:kern w:val="0"/>
                <w:sz w:val="17"/>
              </w:rPr>
            </w:pPr>
            <w:r w:rsidRPr="00477DFA">
              <w:rPr>
                <w:color w:val="000000"/>
                <w:kern w:val="0"/>
                <w:sz w:val="17"/>
              </w:rPr>
              <w:t>5,4</w:t>
            </w:r>
          </w:p>
        </w:tc>
      </w:tr>
      <w:tr w:rsidR="00F21848" w:rsidRPr="00477DFA" w:rsidTr="00F21848">
        <w:tblPrEx>
          <w:tblCellMar>
            <w:top w:w="0" w:type="dxa"/>
            <w:bottom w:w="0" w:type="dxa"/>
          </w:tblCellMar>
        </w:tblPrEx>
        <w:tc>
          <w:tcPr>
            <w:tcW w:w="2440" w:type="dxa"/>
            <w:shd w:val="clear" w:color="auto" w:fill="auto"/>
            <w:vAlign w:val="bottom"/>
          </w:tcPr>
          <w:p w:rsidR="00F21848" w:rsidRPr="00477DFA" w:rsidRDefault="00F21848" w:rsidP="00F21848">
            <w:pPr>
              <w:tabs>
                <w:tab w:val="left" w:pos="288"/>
                <w:tab w:val="left" w:pos="576"/>
                <w:tab w:val="left" w:pos="864"/>
                <w:tab w:val="left" w:pos="1152"/>
              </w:tabs>
              <w:spacing w:before="40" w:after="40" w:line="210" w:lineRule="exact"/>
              <w:ind w:right="40"/>
              <w:rPr>
                <w:color w:val="000000"/>
                <w:kern w:val="0"/>
                <w:sz w:val="17"/>
              </w:rPr>
            </w:pPr>
            <w:r w:rsidRPr="00477DFA">
              <w:rPr>
                <w:color w:val="000000"/>
                <w:kern w:val="0"/>
                <w:sz w:val="17"/>
              </w:rPr>
              <w:t>1997</w:t>
            </w:r>
          </w:p>
        </w:tc>
        <w:tc>
          <w:tcPr>
            <w:tcW w:w="2440" w:type="dxa"/>
            <w:shd w:val="clear" w:color="auto" w:fill="auto"/>
            <w:vAlign w:val="bottom"/>
          </w:tcPr>
          <w:p w:rsidR="00F21848" w:rsidRPr="00477DFA" w:rsidRDefault="00F21848" w:rsidP="00F21848">
            <w:pPr>
              <w:tabs>
                <w:tab w:val="left" w:pos="288"/>
                <w:tab w:val="left" w:pos="576"/>
                <w:tab w:val="left" w:pos="864"/>
                <w:tab w:val="left" w:pos="1152"/>
              </w:tabs>
              <w:spacing w:before="40" w:after="40" w:line="210" w:lineRule="exact"/>
              <w:ind w:right="40"/>
              <w:jc w:val="right"/>
              <w:rPr>
                <w:color w:val="000000"/>
                <w:kern w:val="0"/>
                <w:sz w:val="17"/>
              </w:rPr>
            </w:pPr>
            <w:r w:rsidRPr="00477DFA">
              <w:rPr>
                <w:color w:val="000000"/>
                <w:kern w:val="0"/>
                <w:sz w:val="17"/>
              </w:rPr>
              <w:t>16,4</w:t>
            </w:r>
          </w:p>
        </w:tc>
        <w:tc>
          <w:tcPr>
            <w:tcW w:w="2440" w:type="dxa"/>
            <w:gridSpan w:val="2"/>
            <w:shd w:val="clear" w:color="auto" w:fill="auto"/>
            <w:vAlign w:val="bottom"/>
          </w:tcPr>
          <w:p w:rsidR="00F21848" w:rsidRPr="00477DFA" w:rsidRDefault="00F21848" w:rsidP="00F21848">
            <w:pPr>
              <w:tabs>
                <w:tab w:val="left" w:pos="288"/>
                <w:tab w:val="left" w:pos="576"/>
                <w:tab w:val="left" w:pos="864"/>
                <w:tab w:val="left" w:pos="1152"/>
              </w:tabs>
              <w:spacing w:before="40" w:after="40" w:line="210" w:lineRule="exact"/>
              <w:ind w:right="40"/>
              <w:jc w:val="right"/>
              <w:rPr>
                <w:color w:val="000000"/>
                <w:kern w:val="0"/>
                <w:sz w:val="17"/>
              </w:rPr>
            </w:pPr>
            <w:r w:rsidRPr="00477DFA">
              <w:rPr>
                <w:color w:val="000000"/>
                <w:kern w:val="0"/>
                <w:sz w:val="17"/>
              </w:rPr>
              <w:t>5,9</w:t>
            </w:r>
          </w:p>
        </w:tc>
      </w:tr>
      <w:tr w:rsidR="00F21848" w:rsidRPr="00477DFA" w:rsidTr="00F21848">
        <w:tblPrEx>
          <w:tblCellMar>
            <w:top w:w="0" w:type="dxa"/>
            <w:bottom w:w="0" w:type="dxa"/>
          </w:tblCellMar>
        </w:tblPrEx>
        <w:tc>
          <w:tcPr>
            <w:tcW w:w="2440" w:type="dxa"/>
            <w:shd w:val="clear" w:color="auto" w:fill="auto"/>
            <w:vAlign w:val="bottom"/>
          </w:tcPr>
          <w:p w:rsidR="00F21848" w:rsidRPr="00477DFA" w:rsidRDefault="00F21848" w:rsidP="00F21848">
            <w:pPr>
              <w:tabs>
                <w:tab w:val="left" w:pos="288"/>
                <w:tab w:val="left" w:pos="576"/>
                <w:tab w:val="left" w:pos="864"/>
                <w:tab w:val="left" w:pos="1152"/>
              </w:tabs>
              <w:spacing w:before="40" w:after="40" w:line="210" w:lineRule="exact"/>
              <w:ind w:right="40"/>
              <w:rPr>
                <w:color w:val="000000"/>
                <w:kern w:val="0"/>
                <w:sz w:val="17"/>
              </w:rPr>
            </w:pPr>
            <w:r w:rsidRPr="00477DFA">
              <w:rPr>
                <w:color w:val="000000"/>
                <w:kern w:val="0"/>
                <w:sz w:val="17"/>
              </w:rPr>
              <w:t>1998</w:t>
            </w:r>
          </w:p>
        </w:tc>
        <w:tc>
          <w:tcPr>
            <w:tcW w:w="2440" w:type="dxa"/>
            <w:shd w:val="clear" w:color="auto" w:fill="auto"/>
            <w:vAlign w:val="bottom"/>
          </w:tcPr>
          <w:p w:rsidR="00F21848" w:rsidRPr="00477DFA" w:rsidRDefault="00F21848" w:rsidP="00F21848">
            <w:pPr>
              <w:tabs>
                <w:tab w:val="left" w:pos="288"/>
                <w:tab w:val="left" w:pos="576"/>
                <w:tab w:val="left" w:pos="864"/>
                <w:tab w:val="left" w:pos="1152"/>
              </w:tabs>
              <w:spacing w:before="40" w:after="40" w:line="210" w:lineRule="exact"/>
              <w:ind w:right="40"/>
              <w:jc w:val="right"/>
              <w:rPr>
                <w:color w:val="000000"/>
                <w:kern w:val="0"/>
                <w:sz w:val="17"/>
              </w:rPr>
            </w:pPr>
            <w:r w:rsidRPr="00477DFA">
              <w:rPr>
                <w:color w:val="000000"/>
                <w:kern w:val="0"/>
                <w:sz w:val="17"/>
              </w:rPr>
              <w:t>14,0</w:t>
            </w:r>
          </w:p>
        </w:tc>
        <w:tc>
          <w:tcPr>
            <w:tcW w:w="2440" w:type="dxa"/>
            <w:gridSpan w:val="2"/>
            <w:shd w:val="clear" w:color="auto" w:fill="auto"/>
            <w:vAlign w:val="bottom"/>
          </w:tcPr>
          <w:p w:rsidR="00F21848" w:rsidRPr="00477DFA" w:rsidRDefault="00F21848" w:rsidP="00F21848">
            <w:pPr>
              <w:tabs>
                <w:tab w:val="left" w:pos="288"/>
                <w:tab w:val="left" w:pos="576"/>
                <w:tab w:val="left" w:pos="864"/>
                <w:tab w:val="left" w:pos="1152"/>
              </w:tabs>
              <w:spacing w:before="40" w:after="40" w:line="210" w:lineRule="exact"/>
              <w:ind w:right="40"/>
              <w:jc w:val="right"/>
              <w:rPr>
                <w:color w:val="000000"/>
                <w:kern w:val="0"/>
                <w:sz w:val="17"/>
              </w:rPr>
            </w:pPr>
            <w:r w:rsidRPr="00477DFA">
              <w:rPr>
                <w:color w:val="000000"/>
                <w:kern w:val="0"/>
                <w:sz w:val="17"/>
              </w:rPr>
              <w:t>6,1</w:t>
            </w:r>
          </w:p>
        </w:tc>
      </w:tr>
      <w:tr w:rsidR="00F21848" w:rsidRPr="00477DFA" w:rsidTr="00F21848">
        <w:tblPrEx>
          <w:tblCellMar>
            <w:top w:w="0" w:type="dxa"/>
            <w:bottom w:w="0" w:type="dxa"/>
          </w:tblCellMar>
        </w:tblPrEx>
        <w:tc>
          <w:tcPr>
            <w:tcW w:w="2440" w:type="dxa"/>
            <w:shd w:val="clear" w:color="auto" w:fill="auto"/>
            <w:vAlign w:val="bottom"/>
          </w:tcPr>
          <w:p w:rsidR="00F21848" w:rsidRPr="00477DFA" w:rsidRDefault="00F21848" w:rsidP="00F21848">
            <w:pPr>
              <w:tabs>
                <w:tab w:val="left" w:pos="288"/>
                <w:tab w:val="left" w:pos="576"/>
                <w:tab w:val="left" w:pos="864"/>
                <w:tab w:val="left" w:pos="1152"/>
              </w:tabs>
              <w:spacing w:before="40" w:after="40" w:line="210" w:lineRule="exact"/>
              <w:ind w:right="40"/>
              <w:rPr>
                <w:color w:val="000000"/>
                <w:kern w:val="0"/>
                <w:sz w:val="17"/>
              </w:rPr>
            </w:pPr>
            <w:r w:rsidRPr="00477DFA">
              <w:rPr>
                <w:color w:val="000000"/>
                <w:kern w:val="0"/>
                <w:sz w:val="17"/>
              </w:rPr>
              <w:t>1999</w:t>
            </w:r>
          </w:p>
        </w:tc>
        <w:tc>
          <w:tcPr>
            <w:tcW w:w="2440" w:type="dxa"/>
            <w:shd w:val="clear" w:color="auto" w:fill="auto"/>
            <w:vAlign w:val="bottom"/>
          </w:tcPr>
          <w:p w:rsidR="00F21848" w:rsidRPr="00477DFA" w:rsidRDefault="00F21848" w:rsidP="00F21848">
            <w:pPr>
              <w:tabs>
                <w:tab w:val="left" w:pos="288"/>
                <w:tab w:val="left" w:pos="576"/>
                <w:tab w:val="left" w:pos="864"/>
                <w:tab w:val="left" w:pos="1152"/>
              </w:tabs>
              <w:spacing w:before="40" w:after="40" w:line="210" w:lineRule="exact"/>
              <w:ind w:right="40"/>
              <w:jc w:val="right"/>
              <w:rPr>
                <w:color w:val="000000"/>
                <w:kern w:val="0"/>
                <w:sz w:val="17"/>
              </w:rPr>
            </w:pPr>
            <w:r w:rsidRPr="00477DFA">
              <w:rPr>
                <w:color w:val="000000"/>
                <w:kern w:val="0"/>
                <w:sz w:val="17"/>
              </w:rPr>
              <w:t>15,8</w:t>
            </w:r>
          </w:p>
        </w:tc>
        <w:tc>
          <w:tcPr>
            <w:tcW w:w="2440" w:type="dxa"/>
            <w:gridSpan w:val="2"/>
            <w:shd w:val="clear" w:color="auto" w:fill="auto"/>
            <w:vAlign w:val="bottom"/>
          </w:tcPr>
          <w:p w:rsidR="00F21848" w:rsidRPr="00477DFA" w:rsidRDefault="00F21848" w:rsidP="00F21848">
            <w:pPr>
              <w:tabs>
                <w:tab w:val="left" w:pos="288"/>
                <w:tab w:val="left" w:pos="576"/>
                <w:tab w:val="left" w:pos="864"/>
                <w:tab w:val="left" w:pos="1152"/>
              </w:tabs>
              <w:spacing w:before="40" w:after="40" w:line="210" w:lineRule="exact"/>
              <w:ind w:right="40"/>
              <w:jc w:val="right"/>
              <w:rPr>
                <w:color w:val="000000"/>
                <w:kern w:val="0"/>
                <w:sz w:val="17"/>
              </w:rPr>
            </w:pPr>
            <w:r w:rsidRPr="00477DFA">
              <w:rPr>
                <w:color w:val="000000"/>
                <w:kern w:val="0"/>
                <w:sz w:val="17"/>
              </w:rPr>
              <w:t>5,5</w:t>
            </w:r>
          </w:p>
        </w:tc>
      </w:tr>
      <w:tr w:rsidR="00F21848" w:rsidRPr="00477DFA" w:rsidTr="00F21848">
        <w:tblPrEx>
          <w:tblCellMar>
            <w:top w:w="0" w:type="dxa"/>
            <w:bottom w:w="0" w:type="dxa"/>
          </w:tblCellMar>
        </w:tblPrEx>
        <w:tc>
          <w:tcPr>
            <w:tcW w:w="2440" w:type="dxa"/>
            <w:shd w:val="clear" w:color="auto" w:fill="auto"/>
            <w:vAlign w:val="bottom"/>
          </w:tcPr>
          <w:p w:rsidR="00F21848" w:rsidRPr="00477DFA" w:rsidRDefault="00F21848" w:rsidP="00F21848">
            <w:pPr>
              <w:tabs>
                <w:tab w:val="left" w:pos="288"/>
                <w:tab w:val="left" w:pos="576"/>
                <w:tab w:val="left" w:pos="864"/>
                <w:tab w:val="left" w:pos="1152"/>
              </w:tabs>
              <w:spacing w:before="40" w:after="40" w:line="210" w:lineRule="exact"/>
              <w:ind w:right="40"/>
              <w:rPr>
                <w:color w:val="000000"/>
                <w:kern w:val="0"/>
                <w:sz w:val="17"/>
              </w:rPr>
            </w:pPr>
            <w:r w:rsidRPr="00477DFA">
              <w:rPr>
                <w:color w:val="000000"/>
                <w:kern w:val="0"/>
                <w:sz w:val="17"/>
              </w:rPr>
              <w:t>2000</w:t>
            </w:r>
          </w:p>
        </w:tc>
        <w:tc>
          <w:tcPr>
            <w:tcW w:w="2440" w:type="dxa"/>
            <w:shd w:val="clear" w:color="auto" w:fill="auto"/>
            <w:vAlign w:val="bottom"/>
          </w:tcPr>
          <w:p w:rsidR="00F21848" w:rsidRPr="00477DFA" w:rsidRDefault="00F21848" w:rsidP="00F21848">
            <w:pPr>
              <w:tabs>
                <w:tab w:val="left" w:pos="288"/>
                <w:tab w:val="left" w:pos="576"/>
                <w:tab w:val="left" w:pos="864"/>
                <w:tab w:val="left" w:pos="1152"/>
              </w:tabs>
              <w:spacing w:before="40" w:after="40" w:line="210" w:lineRule="exact"/>
              <w:ind w:right="40"/>
              <w:jc w:val="right"/>
              <w:rPr>
                <w:color w:val="000000"/>
                <w:kern w:val="0"/>
                <w:sz w:val="17"/>
              </w:rPr>
            </w:pPr>
            <w:r w:rsidRPr="00477DFA">
              <w:rPr>
                <w:color w:val="000000"/>
                <w:kern w:val="0"/>
                <w:sz w:val="17"/>
              </w:rPr>
              <w:t>14,8</w:t>
            </w:r>
          </w:p>
        </w:tc>
        <w:tc>
          <w:tcPr>
            <w:tcW w:w="2440" w:type="dxa"/>
            <w:gridSpan w:val="2"/>
            <w:shd w:val="clear" w:color="auto" w:fill="auto"/>
            <w:vAlign w:val="bottom"/>
          </w:tcPr>
          <w:p w:rsidR="00F21848" w:rsidRPr="00477DFA" w:rsidRDefault="00F21848" w:rsidP="00F21848">
            <w:pPr>
              <w:tabs>
                <w:tab w:val="left" w:pos="288"/>
                <w:tab w:val="left" w:pos="576"/>
                <w:tab w:val="left" w:pos="864"/>
                <w:tab w:val="left" w:pos="1152"/>
              </w:tabs>
              <w:spacing w:before="40" w:after="40" w:line="210" w:lineRule="exact"/>
              <w:ind w:right="40"/>
              <w:jc w:val="right"/>
              <w:rPr>
                <w:color w:val="000000"/>
                <w:kern w:val="0"/>
                <w:sz w:val="17"/>
              </w:rPr>
            </w:pPr>
            <w:r w:rsidRPr="00477DFA">
              <w:rPr>
                <w:color w:val="000000"/>
                <w:kern w:val="0"/>
                <w:sz w:val="17"/>
              </w:rPr>
              <w:t>5,4</w:t>
            </w:r>
          </w:p>
        </w:tc>
      </w:tr>
      <w:tr w:rsidR="00F21848" w:rsidRPr="00477DFA" w:rsidTr="00F21848">
        <w:tblPrEx>
          <w:tblCellMar>
            <w:top w:w="0" w:type="dxa"/>
            <w:bottom w:w="0" w:type="dxa"/>
          </w:tblCellMar>
        </w:tblPrEx>
        <w:tc>
          <w:tcPr>
            <w:tcW w:w="2440" w:type="dxa"/>
            <w:shd w:val="clear" w:color="auto" w:fill="auto"/>
            <w:vAlign w:val="bottom"/>
          </w:tcPr>
          <w:p w:rsidR="00F21848" w:rsidRPr="00477DFA" w:rsidRDefault="00F21848" w:rsidP="00F21848">
            <w:pPr>
              <w:tabs>
                <w:tab w:val="left" w:pos="288"/>
                <w:tab w:val="left" w:pos="576"/>
                <w:tab w:val="left" w:pos="864"/>
                <w:tab w:val="left" w:pos="1152"/>
              </w:tabs>
              <w:spacing w:before="40" w:after="40" w:line="210" w:lineRule="exact"/>
              <w:ind w:right="40"/>
              <w:rPr>
                <w:color w:val="000000"/>
                <w:kern w:val="0"/>
                <w:sz w:val="17"/>
              </w:rPr>
            </w:pPr>
            <w:r w:rsidRPr="00477DFA">
              <w:rPr>
                <w:color w:val="000000"/>
                <w:kern w:val="0"/>
                <w:sz w:val="17"/>
              </w:rPr>
              <w:t>2001</w:t>
            </w:r>
          </w:p>
        </w:tc>
        <w:tc>
          <w:tcPr>
            <w:tcW w:w="2440" w:type="dxa"/>
            <w:shd w:val="clear" w:color="auto" w:fill="auto"/>
            <w:vAlign w:val="bottom"/>
          </w:tcPr>
          <w:p w:rsidR="00F21848" w:rsidRPr="00477DFA" w:rsidRDefault="00F21848" w:rsidP="00F21848">
            <w:pPr>
              <w:tabs>
                <w:tab w:val="left" w:pos="288"/>
                <w:tab w:val="left" w:pos="576"/>
                <w:tab w:val="left" w:pos="864"/>
                <w:tab w:val="left" w:pos="1152"/>
              </w:tabs>
              <w:spacing w:before="40" w:after="40" w:line="210" w:lineRule="exact"/>
              <w:ind w:right="40"/>
              <w:jc w:val="right"/>
              <w:rPr>
                <w:color w:val="000000"/>
                <w:kern w:val="0"/>
                <w:sz w:val="17"/>
              </w:rPr>
            </w:pPr>
            <w:r w:rsidRPr="00477DFA">
              <w:rPr>
                <w:color w:val="000000"/>
                <w:kern w:val="0"/>
                <w:sz w:val="17"/>
              </w:rPr>
              <w:t>12,7</w:t>
            </w:r>
          </w:p>
        </w:tc>
        <w:tc>
          <w:tcPr>
            <w:tcW w:w="2440" w:type="dxa"/>
            <w:gridSpan w:val="2"/>
            <w:shd w:val="clear" w:color="auto" w:fill="auto"/>
            <w:vAlign w:val="bottom"/>
          </w:tcPr>
          <w:p w:rsidR="00F21848" w:rsidRPr="00477DFA" w:rsidRDefault="00F21848" w:rsidP="00F21848">
            <w:pPr>
              <w:tabs>
                <w:tab w:val="left" w:pos="288"/>
                <w:tab w:val="left" w:pos="576"/>
                <w:tab w:val="left" w:pos="864"/>
                <w:tab w:val="left" w:pos="1152"/>
              </w:tabs>
              <w:spacing w:before="40" w:after="40" w:line="210" w:lineRule="exact"/>
              <w:ind w:right="40"/>
              <w:jc w:val="right"/>
              <w:rPr>
                <w:color w:val="000000"/>
                <w:kern w:val="0"/>
                <w:sz w:val="17"/>
              </w:rPr>
            </w:pPr>
            <w:r w:rsidRPr="00477DFA">
              <w:rPr>
                <w:color w:val="000000"/>
                <w:kern w:val="0"/>
                <w:sz w:val="17"/>
              </w:rPr>
              <w:t>5,7</w:t>
            </w:r>
          </w:p>
        </w:tc>
      </w:tr>
      <w:tr w:rsidR="00F21848" w:rsidRPr="00477DFA" w:rsidTr="00F21848">
        <w:tblPrEx>
          <w:tblCellMar>
            <w:top w:w="0" w:type="dxa"/>
            <w:bottom w:w="0" w:type="dxa"/>
          </w:tblCellMar>
        </w:tblPrEx>
        <w:tc>
          <w:tcPr>
            <w:tcW w:w="2440" w:type="dxa"/>
            <w:shd w:val="clear" w:color="auto" w:fill="auto"/>
            <w:vAlign w:val="bottom"/>
          </w:tcPr>
          <w:p w:rsidR="00F21848" w:rsidRPr="00477DFA" w:rsidRDefault="00F21848" w:rsidP="00F21848">
            <w:pPr>
              <w:tabs>
                <w:tab w:val="left" w:pos="288"/>
                <w:tab w:val="left" w:pos="576"/>
                <w:tab w:val="left" w:pos="864"/>
                <w:tab w:val="left" w:pos="1152"/>
              </w:tabs>
              <w:spacing w:before="40" w:after="40" w:line="210" w:lineRule="exact"/>
              <w:ind w:right="40"/>
              <w:rPr>
                <w:color w:val="000000"/>
                <w:kern w:val="0"/>
                <w:sz w:val="17"/>
              </w:rPr>
            </w:pPr>
            <w:r w:rsidRPr="00477DFA">
              <w:rPr>
                <w:color w:val="000000"/>
                <w:kern w:val="0"/>
                <w:sz w:val="17"/>
              </w:rPr>
              <w:t>2002</w:t>
            </w:r>
          </w:p>
        </w:tc>
        <w:tc>
          <w:tcPr>
            <w:tcW w:w="2440" w:type="dxa"/>
            <w:shd w:val="clear" w:color="auto" w:fill="auto"/>
            <w:vAlign w:val="bottom"/>
          </w:tcPr>
          <w:p w:rsidR="00F21848" w:rsidRPr="00477DFA" w:rsidRDefault="00F21848" w:rsidP="00F21848">
            <w:pPr>
              <w:tabs>
                <w:tab w:val="left" w:pos="288"/>
                <w:tab w:val="left" w:pos="576"/>
                <w:tab w:val="left" w:pos="864"/>
                <w:tab w:val="left" w:pos="1152"/>
              </w:tabs>
              <w:spacing w:before="40" w:after="40" w:line="210" w:lineRule="exact"/>
              <w:ind w:right="40"/>
              <w:jc w:val="right"/>
              <w:rPr>
                <w:color w:val="000000"/>
                <w:kern w:val="0"/>
                <w:sz w:val="17"/>
              </w:rPr>
            </w:pPr>
            <w:r w:rsidRPr="00477DFA">
              <w:rPr>
                <w:color w:val="000000"/>
                <w:kern w:val="0"/>
                <w:sz w:val="17"/>
              </w:rPr>
              <w:t>16,7</w:t>
            </w:r>
          </w:p>
        </w:tc>
        <w:tc>
          <w:tcPr>
            <w:tcW w:w="2440" w:type="dxa"/>
            <w:gridSpan w:val="2"/>
            <w:shd w:val="clear" w:color="auto" w:fill="auto"/>
            <w:vAlign w:val="bottom"/>
          </w:tcPr>
          <w:p w:rsidR="00F21848" w:rsidRPr="00477DFA" w:rsidRDefault="00F21848" w:rsidP="00F21848">
            <w:pPr>
              <w:tabs>
                <w:tab w:val="left" w:pos="288"/>
                <w:tab w:val="left" w:pos="576"/>
                <w:tab w:val="left" w:pos="864"/>
                <w:tab w:val="left" w:pos="1152"/>
              </w:tabs>
              <w:spacing w:before="40" w:after="40" w:line="210" w:lineRule="exact"/>
              <w:ind w:right="40"/>
              <w:jc w:val="right"/>
              <w:rPr>
                <w:color w:val="000000"/>
                <w:kern w:val="0"/>
                <w:sz w:val="17"/>
              </w:rPr>
            </w:pPr>
            <w:r w:rsidRPr="00477DFA">
              <w:rPr>
                <w:color w:val="000000"/>
                <w:kern w:val="0"/>
                <w:sz w:val="17"/>
              </w:rPr>
              <w:t>5,9</w:t>
            </w:r>
          </w:p>
        </w:tc>
      </w:tr>
      <w:tr w:rsidR="00F21848" w:rsidRPr="00477DFA" w:rsidTr="00F21848">
        <w:tblPrEx>
          <w:tblCellMar>
            <w:top w:w="0" w:type="dxa"/>
            <w:bottom w:w="0" w:type="dxa"/>
          </w:tblCellMar>
        </w:tblPrEx>
        <w:tc>
          <w:tcPr>
            <w:tcW w:w="2440" w:type="dxa"/>
            <w:shd w:val="clear" w:color="auto" w:fill="auto"/>
            <w:vAlign w:val="bottom"/>
          </w:tcPr>
          <w:p w:rsidR="00F21848" w:rsidRPr="00477DFA" w:rsidRDefault="00F21848" w:rsidP="00F21848">
            <w:pPr>
              <w:tabs>
                <w:tab w:val="left" w:pos="288"/>
                <w:tab w:val="left" w:pos="576"/>
                <w:tab w:val="left" w:pos="864"/>
                <w:tab w:val="left" w:pos="1152"/>
              </w:tabs>
              <w:spacing w:before="40" w:after="40" w:line="210" w:lineRule="exact"/>
              <w:ind w:right="40"/>
              <w:rPr>
                <w:color w:val="000000"/>
                <w:kern w:val="0"/>
                <w:sz w:val="17"/>
              </w:rPr>
            </w:pPr>
            <w:r w:rsidRPr="00477DFA">
              <w:rPr>
                <w:color w:val="000000"/>
                <w:kern w:val="0"/>
                <w:sz w:val="17"/>
              </w:rPr>
              <w:t>2003</w:t>
            </w:r>
          </w:p>
        </w:tc>
        <w:tc>
          <w:tcPr>
            <w:tcW w:w="2440" w:type="dxa"/>
            <w:shd w:val="clear" w:color="auto" w:fill="auto"/>
            <w:vAlign w:val="bottom"/>
          </w:tcPr>
          <w:p w:rsidR="00F21848" w:rsidRPr="00477DFA" w:rsidRDefault="00F21848" w:rsidP="00F21848">
            <w:pPr>
              <w:tabs>
                <w:tab w:val="left" w:pos="288"/>
                <w:tab w:val="left" w:pos="576"/>
                <w:tab w:val="left" w:pos="864"/>
                <w:tab w:val="left" w:pos="1152"/>
              </w:tabs>
              <w:spacing w:before="40" w:after="40" w:line="210" w:lineRule="exact"/>
              <w:ind w:right="40"/>
              <w:jc w:val="right"/>
              <w:rPr>
                <w:color w:val="000000"/>
                <w:kern w:val="0"/>
                <w:sz w:val="17"/>
              </w:rPr>
            </w:pPr>
            <w:r w:rsidRPr="00477DFA">
              <w:rPr>
                <w:color w:val="000000"/>
                <w:kern w:val="0"/>
                <w:sz w:val="17"/>
              </w:rPr>
              <w:t>17,2</w:t>
            </w:r>
          </w:p>
        </w:tc>
        <w:tc>
          <w:tcPr>
            <w:tcW w:w="2440" w:type="dxa"/>
            <w:gridSpan w:val="2"/>
            <w:shd w:val="clear" w:color="auto" w:fill="auto"/>
            <w:vAlign w:val="bottom"/>
          </w:tcPr>
          <w:p w:rsidR="00F21848" w:rsidRPr="00477DFA" w:rsidRDefault="00F21848" w:rsidP="00F21848">
            <w:pPr>
              <w:tabs>
                <w:tab w:val="left" w:pos="288"/>
                <w:tab w:val="left" w:pos="576"/>
                <w:tab w:val="left" w:pos="864"/>
                <w:tab w:val="left" w:pos="1152"/>
              </w:tabs>
              <w:spacing w:before="40" w:after="40" w:line="210" w:lineRule="exact"/>
              <w:ind w:right="40"/>
              <w:jc w:val="right"/>
              <w:rPr>
                <w:color w:val="000000"/>
                <w:kern w:val="0"/>
                <w:sz w:val="17"/>
              </w:rPr>
            </w:pPr>
            <w:r w:rsidRPr="00477DFA">
              <w:rPr>
                <w:color w:val="000000"/>
                <w:kern w:val="0"/>
                <w:sz w:val="17"/>
              </w:rPr>
              <w:t>5,3</w:t>
            </w:r>
          </w:p>
        </w:tc>
      </w:tr>
      <w:tr w:rsidR="00F21848" w:rsidRPr="00477DFA" w:rsidTr="00F21848">
        <w:tblPrEx>
          <w:tblCellMar>
            <w:top w:w="0" w:type="dxa"/>
            <w:bottom w:w="0" w:type="dxa"/>
          </w:tblCellMar>
        </w:tblPrEx>
        <w:tc>
          <w:tcPr>
            <w:tcW w:w="2440" w:type="dxa"/>
            <w:shd w:val="clear" w:color="auto" w:fill="auto"/>
            <w:vAlign w:val="bottom"/>
          </w:tcPr>
          <w:p w:rsidR="00F21848" w:rsidRPr="00477DFA" w:rsidRDefault="00F21848" w:rsidP="00F21848">
            <w:pPr>
              <w:tabs>
                <w:tab w:val="left" w:pos="288"/>
                <w:tab w:val="left" w:pos="576"/>
                <w:tab w:val="left" w:pos="864"/>
                <w:tab w:val="left" w:pos="1152"/>
              </w:tabs>
              <w:spacing w:before="40" w:after="40" w:line="210" w:lineRule="exact"/>
              <w:ind w:right="40"/>
              <w:rPr>
                <w:color w:val="000000"/>
                <w:kern w:val="0"/>
                <w:sz w:val="17"/>
              </w:rPr>
            </w:pPr>
            <w:r w:rsidRPr="00477DFA">
              <w:rPr>
                <w:color w:val="000000"/>
                <w:kern w:val="0"/>
                <w:sz w:val="17"/>
              </w:rPr>
              <w:t>2004</w:t>
            </w:r>
          </w:p>
        </w:tc>
        <w:tc>
          <w:tcPr>
            <w:tcW w:w="2440" w:type="dxa"/>
            <w:shd w:val="clear" w:color="auto" w:fill="auto"/>
            <w:vAlign w:val="bottom"/>
          </w:tcPr>
          <w:p w:rsidR="00F21848" w:rsidRPr="00477DFA" w:rsidRDefault="00F21848" w:rsidP="00F21848">
            <w:pPr>
              <w:tabs>
                <w:tab w:val="left" w:pos="288"/>
                <w:tab w:val="left" w:pos="576"/>
                <w:tab w:val="left" w:pos="864"/>
                <w:tab w:val="left" w:pos="1152"/>
              </w:tabs>
              <w:spacing w:before="40" w:after="40" w:line="210" w:lineRule="exact"/>
              <w:ind w:right="40"/>
              <w:jc w:val="right"/>
              <w:rPr>
                <w:color w:val="000000"/>
                <w:kern w:val="0"/>
                <w:sz w:val="17"/>
              </w:rPr>
            </w:pPr>
            <w:r w:rsidRPr="00477DFA">
              <w:rPr>
                <w:color w:val="000000"/>
                <w:kern w:val="0"/>
                <w:sz w:val="17"/>
              </w:rPr>
              <w:t>17,3</w:t>
            </w:r>
          </w:p>
        </w:tc>
        <w:tc>
          <w:tcPr>
            <w:tcW w:w="2440" w:type="dxa"/>
            <w:gridSpan w:val="2"/>
            <w:shd w:val="clear" w:color="auto" w:fill="auto"/>
            <w:vAlign w:val="bottom"/>
          </w:tcPr>
          <w:p w:rsidR="00F21848" w:rsidRPr="00477DFA" w:rsidRDefault="00F21848" w:rsidP="00F21848">
            <w:pPr>
              <w:tabs>
                <w:tab w:val="left" w:pos="288"/>
                <w:tab w:val="left" w:pos="576"/>
                <w:tab w:val="left" w:pos="864"/>
                <w:tab w:val="left" w:pos="1152"/>
              </w:tabs>
              <w:spacing w:before="40" w:after="40" w:line="210" w:lineRule="exact"/>
              <w:ind w:right="40"/>
              <w:jc w:val="right"/>
              <w:rPr>
                <w:color w:val="000000"/>
                <w:kern w:val="0"/>
                <w:sz w:val="17"/>
              </w:rPr>
            </w:pPr>
            <w:r w:rsidRPr="00477DFA">
              <w:rPr>
                <w:color w:val="000000"/>
                <w:kern w:val="0"/>
                <w:sz w:val="17"/>
              </w:rPr>
              <w:t>5,4</w:t>
            </w:r>
          </w:p>
        </w:tc>
      </w:tr>
      <w:tr w:rsidR="00F21848" w:rsidRPr="00477DFA" w:rsidTr="00F21848">
        <w:tblPrEx>
          <w:tblCellMar>
            <w:top w:w="0" w:type="dxa"/>
            <w:bottom w:w="0" w:type="dxa"/>
          </w:tblCellMar>
        </w:tblPrEx>
        <w:tc>
          <w:tcPr>
            <w:tcW w:w="2440" w:type="dxa"/>
            <w:shd w:val="clear" w:color="auto" w:fill="auto"/>
            <w:vAlign w:val="bottom"/>
          </w:tcPr>
          <w:p w:rsidR="00F21848" w:rsidRPr="00477DFA" w:rsidRDefault="00F21848" w:rsidP="00F21848">
            <w:pPr>
              <w:tabs>
                <w:tab w:val="left" w:pos="288"/>
                <w:tab w:val="left" w:pos="576"/>
                <w:tab w:val="left" w:pos="864"/>
                <w:tab w:val="left" w:pos="1152"/>
              </w:tabs>
              <w:spacing w:before="40" w:after="40" w:line="210" w:lineRule="exact"/>
              <w:ind w:right="40"/>
              <w:rPr>
                <w:color w:val="000000"/>
                <w:kern w:val="0"/>
                <w:sz w:val="17"/>
              </w:rPr>
            </w:pPr>
            <w:r w:rsidRPr="00477DFA">
              <w:rPr>
                <w:color w:val="000000"/>
                <w:kern w:val="0"/>
                <w:sz w:val="17"/>
              </w:rPr>
              <w:t>2005</w:t>
            </w:r>
          </w:p>
        </w:tc>
        <w:tc>
          <w:tcPr>
            <w:tcW w:w="2440" w:type="dxa"/>
            <w:shd w:val="clear" w:color="auto" w:fill="auto"/>
            <w:vAlign w:val="bottom"/>
          </w:tcPr>
          <w:p w:rsidR="00F21848" w:rsidRPr="00477DFA" w:rsidRDefault="00F21848" w:rsidP="00F21848">
            <w:pPr>
              <w:tabs>
                <w:tab w:val="left" w:pos="288"/>
                <w:tab w:val="left" w:pos="576"/>
                <w:tab w:val="left" w:pos="864"/>
                <w:tab w:val="left" w:pos="1152"/>
              </w:tabs>
              <w:spacing w:before="40" w:after="40" w:line="210" w:lineRule="exact"/>
              <w:ind w:right="40"/>
              <w:jc w:val="right"/>
              <w:rPr>
                <w:color w:val="000000"/>
                <w:kern w:val="0"/>
                <w:sz w:val="17"/>
              </w:rPr>
            </w:pPr>
            <w:r w:rsidRPr="00477DFA">
              <w:rPr>
                <w:color w:val="000000"/>
                <w:kern w:val="0"/>
                <w:sz w:val="17"/>
              </w:rPr>
              <w:t>19,6</w:t>
            </w:r>
          </w:p>
        </w:tc>
        <w:tc>
          <w:tcPr>
            <w:tcW w:w="2440" w:type="dxa"/>
            <w:gridSpan w:val="2"/>
            <w:shd w:val="clear" w:color="auto" w:fill="auto"/>
            <w:vAlign w:val="bottom"/>
          </w:tcPr>
          <w:p w:rsidR="00F21848" w:rsidRPr="00477DFA" w:rsidRDefault="00F21848" w:rsidP="00F21848">
            <w:pPr>
              <w:tabs>
                <w:tab w:val="left" w:pos="288"/>
                <w:tab w:val="left" w:pos="576"/>
                <w:tab w:val="left" w:pos="864"/>
                <w:tab w:val="left" w:pos="1152"/>
              </w:tabs>
              <w:spacing w:before="40" w:after="40" w:line="210" w:lineRule="exact"/>
              <w:ind w:right="40"/>
              <w:jc w:val="right"/>
              <w:rPr>
                <w:color w:val="000000"/>
                <w:kern w:val="0"/>
                <w:sz w:val="17"/>
              </w:rPr>
            </w:pPr>
            <w:r w:rsidRPr="00477DFA">
              <w:rPr>
                <w:color w:val="000000"/>
                <w:kern w:val="0"/>
                <w:sz w:val="17"/>
              </w:rPr>
              <w:t>5,6</w:t>
            </w:r>
          </w:p>
        </w:tc>
      </w:tr>
      <w:tr w:rsidR="00F21848" w:rsidRPr="00477DFA" w:rsidTr="00F21848">
        <w:tblPrEx>
          <w:tblCellMar>
            <w:top w:w="0" w:type="dxa"/>
            <w:bottom w:w="0" w:type="dxa"/>
          </w:tblCellMar>
        </w:tblPrEx>
        <w:tc>
          <w:tcPr>
            <w:tcW w:w="2440" w:type="dxa"/>
            <w:shd w:val="clear" w:color="auto" w:fill="auto"/>
            <w:vAlign w:val="bottom"/>
          </w:tcPr>
          <w:p w:rsidR="00F21848" w:rsidRPr="00477DFA" w:rsidRDefault="00F21848" w:rsidP="00F21848">
            <w:pPr>
              <w:tabs>
                <w:tab w:val="left" w:pos="288"/>
                <w:tab w:val="left" w:pos="576"/>
                <w:tab w:val="left" w:pos="864"/>
                <w:tab w:val="left" w:pos="1152"/>
              </w:tabs>
              <w:spacing w:before="40" w:after="40" w:line="210" w:lineRule="exact"/>
              <w:ind w:right="40"/>
              <w:rPr>
                <w:color w:val="000000"/>
                <w:kern w:val="0"/>
                <w:sz w:val="17"/>
              </w:rPr>
            </w:pPr>
            <w:r w:rsidRPr="00477DFA">
              <w:rPr>
                <w:color w:val="000000"/>
                <w:kern w:val="0"/>
                <w:sz w:val="17"/>
              </w:rPr>
              <w:t>2006</w:t>
            </w:r>
          </w:p>
        </w:tc>
        <w:tc>
          <w:tcPr>
            <w:tcW w:w="2440" w:type="dxa"/>
            <w:shd w:val="clear" w:color="auto" w:fill="auto"/>
            <w:vAlign w:val="bottom"/>
          </w:tcPr>
          <w:p w:rsidR="00F21848" w:rsidRPr="00477DFA" w:rsidRDefault="00F21848" w:rsidP="00F21848">
            <w:pPr>
              <w:tabs>
                <w:tab w:val="left" w:pos="288"/>
                <w:tab w:val="left" w:pos="576"/>
                <w:tab w:val="left" w:pos="864"/>
                <w:tab w:val="left" w:pos="1152"/>
              </w:tabs>
              <w:spacing w:before="40" w:after="40" w:line="210" w:lineRule="exact"/>
              <w:ind w:right="40"/>
              <w:jc w:val="right"/>
              <w:rPr>
                <w:color w:val="000000"/>
                <w:kern w:val="0"/>
                <w:sz w:val="17"/>
              </w:rPr>
            </w:pPr>
            <w:r w:rsidRPr="00477DFA">
              <w:rPr>
                <w:color w:val="000000"/>
                <w:kern w:val="0"/>
                <w:sz w:val="17"/>
              </w:rPr>
              <w:t>18,1</w:t>
            </w:r>
          </w:p>
        </w:tc>
        <w:tc>
          <w:tcPr>
            <w:tcW w:w="2440" w:type="dxa"/>
            <w:gridSpan w:val="2"/>
            <w:shd w:val="clear" w:color="auto" w:fill="auto"/>
            <w:vAlign w:val="bottom"/>
          </w:tcPr>
          <w:p w:rsidR="00F21848" w:rsidRPr="00477DFA" w:rsidRDefault="00F21848" w:rsidP="00F21848">
            <w:pPr>
              <w:tabs>
                <w:tab w:val="left" w:pos="288"/>
                <w:tab w:val="left" w:pos="576"/>
                <w:tab w:val="left" w:pos="864"/>
                <w:tab w:val="left" w:pos="1152"/>
              </w:tabs>
              <w:spacing w:before="40" w:after="40" w:line="210" w:lineRule="exact"/>
              <w:ind w:right="40"/>
              <w:jc w:val="right"/>
              <w:rPr>
                <w:color w:val="000000"/>
                <w:kern w:val="0"/>
                <w:sz w:val="17"/>
              </w:rPr>
            </w:pPr>
            <w:r w:rsidRPr="00477DFA">
              <w:rPr>
                <w:color w:val="000000"/>
                <w:kern w:val="0"/>
                <w:sz w:val="17"/>
              </w:rPr>
              <w:t>5,2</w:t>
            </w:r>
          </w:p>
        </w:tc>
      </w:tr>
      <w:tr w:rsidR="00F21848" w:rsidRPr="00477DFA" w:rsidTr="00F21848">
        <w:tblPrEx>
          <w:tblCellMar>
            <w:top w:w="0" w:type="dxa"/>
            <w:bottom w:w="0" w:type="dxa"/>
          </w:tblCellMar>
        </w:tblPrEx>
        <w:tc>
          <w:tcPr>
            <w:tcW w:w="2440" w:type="dxa"/>
            <w:shd w:val="clear" w:color="auto" w:fill="auto"/>
            <w:vAlign w:val="bottom"/>
          </w:tcPr>
          <w:p w:rsidR="00F21848" w:rsidRPr="00477DFA" w:rsidRDefault="00F21848" w:rsidP="00F21848">
            <w:pPr>
              <w:tabs>
                <w:tab w:val="left" w:pos="288"/>
                <w:tab w:val="left" w:pos="576"/>
                <w:tab w:val="left" w:pos="864"/>
                <w:tab w:val="left" w:pos="1152"/>
              </w:tabs>
              <w:spacing w:before="40" w:after="40" w:line="210" w:lineRule="exact"/>
              <w:ind w:right="40"/>
              <w:rPr>
                <w:color w:val="000000"/>
                <w:kern w:val="0"/>
                <w:sz w:val="17"/>
              </w:rPr>
            </w:pPr>
            <w:r w:rsidRPr="00477DFA">
              <w:rPr>
                <w:color w:val="000000"/>
                <w:kern w:val="0"/>
                <w:sz w:val="17"/>
              </w:rPr>
              <w:t>2007</w:t>
            </w:r>
          </w:p>
        </w:tc>
        <w:tc>
          <w:tcPr>
            <w:tcW w:w="2440" w:type="dxa"/>
            <w:shd w:val="clear" w:color="auto" w:fill="auto"/>
            <w:vAlign w:val="bottom"/>
          </w:tcPr>
          <w:p w:rsidR="00F21848" w:rsidRPr="00477DFA" w:rsidRDefault="00F21848" w:rsidP="00F21848">
            <w:pPr>
              <w:tabs>
                <w:tab w:val="left" w:pos="288"/>
                <w:tab w:val="left" w:pos="576"/>
                <w:tab w:val="left" w:pos="864"/>
                <w:tab w:val="left" w:pos="1152"/>
              </w:tabs>
              <w:spacing w:before="40" w:after="40" w:line="210" w:lineRule="exact"/>
              <w:ind w:right="40"/>
              <w:jc w:val="right"/>
              <w:rPr>
                <w:color w:val="000000"/>
                <w:kern w:val="0"/>
                <w:sz w:val="17"/>
              </w:rPr>
            </w:pPr>
            <w:r w:rsidRPr="00477DFA">
              <w:rPr>
                <w:color w:val="000000"/>
                <w:kern w:val="0"/>
                <w:sz w:val="17"/>
              </w:rPr>
              <w:t>17,6</w:t>
            </w:r>
          </w:p>
        </w:tc>
        <w:tc>
          <w:tcPr>
            <w:tcW w:w="2440" w:type="dxa"/>
            <w:gridSpan w:val="2"/>
            <w:shd w:val="clear" w:color="auto" w:fill="auto"/>
            <w:vAlign w:val="bottom"/>
          </w:tcPr>
          <w:p w:rsidR="00F21848" w:rsidRPr="00477DFA" w:rsidRDefault="00F21848" w:rsidP="00F21848">
            <w:pPr>
              <w:tabs>
                <w:tab w:val="left" w:pos="288"/>
                <w:tab w:val="left" w:pos="576"/>
                <w:tab w:val="left" w:pos="864"/>
                <w:tab w:val="left" w:pos="1152"/>
              </w:tabs>
              <w:spacing w:before="40" w:after="40" w:line="210" w:lineRule="exact"/>
              <w:ind w:right="40"/>
              <w:jc w:val="right"/>
              <w:rPr>
                <w:color w:val="000000"/>
                <w:kern w:val="0"/>
                <w:sz w:val="17"/>
              </w:rPr>
            </w:pPr>
            <w:r w:rsidRPr="00477DFA">
              <w:rPr>
                <w:color w:val="000000"/>
                <w:kern w:val="0"/>
                <w:sz w:val="17"/>
              </w:rPr>
              <w:t>5,4</w:t>
            </w:r>
          </w:p>
        </w:tc>
      </w:tr>
      <w:tr w:rsidR="00F21848" w:rsidRPr="00477DFA" w:rsidTr="00F21848">
        <w:tblPrEx>
          <w:tblCellMar>
            <w:top w:w="0" w:type="dxa"/>
            <w:bottom w:w="0" w:type="dxa"/>
          </w:tblCellMar>
        </w:tblPrEx>
        <w:tc>
          <w:tcPr>
            <w:tcW w:w="2440" w:type="dxa"/>
            <w:shd w:val="clear" w:color="auto" w:fill="auto"/>
            <w:vAlign w:val="bottom"/>
          </w:tcPr>
          <w:p w:rsidR="00F21848" w:rsidRPr="00477DFA" w:rsidRDefault="00F21848" w:rsidP="00F21848">
            <w:pPr>
              <w:tabs>
                <w:tab w:val="left" w:pos="288"/>
                <w:tab w:val="left" w:pos="576"/>
                <w:tab w:val="left" w:pos="864"/>
                <w:tab w:val="left" w:pos="1152"/>
              </w:tabs>
              <w:spacing w:before="40" w:after="40" w:line="210" w:lineRule="exact"/>
              <w:ind w:right="40"/>
              <w:rPr>
                <w:color w:val="000000"/>
                <w:kern w:val="0"/>
                <w:sz w:val="17"/>
              </w:rPr>
            </w:pPr>
            <w:r w:rsidRPr="00477DFA">
              <w:rPr>
                <w:color w:val="000000"/>
                <w:kern w:val="0"/>
                <w:sz w:val="17"/>
              </w:rPr>
              <w:t>2008</w:t>
            </w:r>
          </w:p>
        </w:tc>
        <w:tc>
          <w:tcPr>
            <w:tcW w:w="2440" w:type="dxa"/>
            <w:shd w:val="clear" w:color="auto" w:fill="auto"/>
            <w:vAlign w:val="bottom"/>
          </w:tcPr>
          <w:p w:rsidR="00F21848" w:rsidRPr="00477DFA" w:rsidRDefault="00F21848" w:rsidP="00F21848">
            <w:pPr>
              <w:tabs>
                <w:tab w:val="left" w:pos="288"/>
                <w:tab w:val="left" w:pos="576"/>
                <w:tab w:val="left" w:pos="864"/>
                <w:tab w:val="left" w:pos="1152"/>
              </w:tabs>
              <w:spacing w:before="40" w:after="40" w:line="210" w:lineRule="exact"/>
              <w:ind w:right="40"/>
              <w:jc w:val="right"/>
              <w:rPr>
                <w:color w:val="000000"/>
                <w:kern w:val="0"/>
                <w:sz w:val="17"/>
              </w:rPr>
            </w:pPr>
            <w:r w:rsidRPr="00477DFA">
              <w:rPr>
                <w:color w:val="000000"/>
                <w:kern w:val="0"/>
                <w:sz w:val="17"/>
              </w:rPr>
              <w:t>17,9</w:t>
            </w:r>
          </w:p>
        </w:tc>
        <w:tc>
          <w:tcPr>
            <w:tcW w:w="2440" w:type="dxa"/>
            <w:gridSpan w:val="2"/>
            <w:shd w:val="clear" w:color="auto" w:fill="auto"/>
            <w:vAlign w:val="bottom"/>
          </w:tcPr>
          <w:p w:rsidR="00F21848" w:rsidRPr="00477DFA" w:rsidRDefault="00F21848" w:rsidP="00F21848">
            <w:pPr>
              <w:tabs>
                <w:tab w:val="left" w:pos="288"/>
                <w:tab w:val="left" w:pos="576"/>
                <w:tab w:val="left" w:pos="864"/>
                <w:tab w:val="left" w:pos="1152"/>
              </w:tabs>
              <w:spacing w:before="40" w:after="40" w:line="210" w:lineRule="exact"/>
              <w:ind w:right="40"/>
              <w:jc w:val="right"/>
              <w:rPr>
                <w:color w:val="000000"/>
                <w:kern w:val="0"/>
                <w:sz w:val="17"/>
              </w:rPr>
            </w:pPr>
            <w:r w:rsidRPr="00477DFA">
              <w:rPr>
                <w:color w:val="000000"/>
                <w:kern w:val="0"/>
                <w:sz w:val="17"/>
              </w:rPr>
              <w:t>5,5</w:t>
            </w:r>
          </w:p>
        </w:tc>
      </w:tr>
      <w:tr w:rsidR="00F21848" w:rsidRPr="00477DFA" w:rsidTr="00F21848">
        <w:tblPrEx>
          <w:tblCellMar>
            <w:top w:w="0" w:type="dxa"/>
            <w:bottom w:w="0" w:type="dxa"/>
          </w:tblCellMar>
        </w:tblPrEx>
        <w:tc>
          <w:tcPr>
            <w:tcW w:w="2440" w:type="dxa"/>
            <w:shd w:val="clear" w:color="auto" w:fill="auto"/>
            <w:vAlign w:val="bottom"/>
          </w:tcPr>
          <w:p w:rsidR="00F21848" w:rsidRPr="00477DFA" w:rsidRDefault="00F21848" w:rsidP="00F21848">
            <w:pPr>
              <w:tabs>
                <w:tab w:val="left" w:pos="288"/>
                <w:tab w:val="left" w:pos="576"/>
                <w:tab w:val="left" w:pos="864"/>
                <w:tab w:val="left" w:pos="1152"/>
              </w:tabs>
              <w:spacing w:before="40" w:after="40" w:line="210" w:lineRule="exact"/>
              <w:ind w:right="40"/>
              <w:rPr>
                <w:color w:val="000000"/>
                <w:kern w:val="0"/>
                <w:sz w:val="17"/>
              </w:rPr>
            </w:pPr>
            <w:r w:rsidRPr="00477DFA">
              <w:rPr>
                <w:color w:val="000000"/>
                <w:kern w:val="0"/>
                <w:sz w:val="17"/>
              </w:rPr>
              <w:t>2009</w:t>
            </w:r>
          </w:p>
        </w:tc>
        <w:tc>
          <w:tcPr>
            <w:tcW w:w="2440" w:type="dxa"/>
            <w:shd w:val="clear" w:color="auto" w:fill="auto"/>
            <w:vAlign w:val="bottom"/>
          </w:tcPr>
          <w:p w:rsidR="00F21848" w:rsidRPr="00477DFA" w:rsidRDefault="00F21848" w:rsidP="00F21848">
            <w:pPr>
              <w:tabs>
                <w:tab w:val="left" w:pos="288"/>
                <w:tab w:val="left" w:pos="576"/>
                <w:tab w:val="left" w:pos="864"/>
                <w:tab w:val="left" w:pos="1152"/>
              </w:tabs>
              <w:spacing w:before="40" w:after="40" w:line="210" w:lineRule="exact"/>
              <w:ind w:right="40"/>
              <w:jc w:val="right"/>
              <w:rPr>
                <w:color w:val="000000"/>
                <w:kern w:val="0"/>
                <w:sz w:val="17"/>
              </w:rPr>
            </w:pPr>
            <w:r w:rsidRPr="00477DFA">
              <w:rPr>
                <w:color w:val="000000"/>
                <w:kern w:val="0"/>
                <w:sz w:val="17"/>
              </w:rPr>
              <w:t>21,1</w:t>
            </w:r>
          </w:p>
        </w:tc>
        <w:tc>
          <w:tcPr>
            <w:tcW w:w="2440" w:type="dxa"/>
            <w:gridSpan w:val="2"/>
            <w:shd w:val="clear" w:color="auto" w:fill="auto"/>
            <w:vAlign w:val="bottom"/>
          </w:tcPr>
          <w:p w:rsidR="00F21848" w:rsidRPr="00477DFA" w:rsidRDefault="00F21848" w:rsidP="00F21848">
            <w:pPr>
              <w:tabs>
                <w:tab w:val="left" w:pos="288"/>
                <w:tab w:val="left" w:pos="576"/>
                <w:tab w:val="left" w:pos="864"/>
                <w:tab w:val="left" w:pos="1152"/>
              </w:tabs>
              <w:spacing w:before="40" w:after="40" w:line="210" w:lineRule="exact"/>
              <w:ind w:right="40"/>
              <w:jc w:val="right"/>
              <w:rPr>
                <w:color w:val="000000"/>
                <w:kern w:val="0"/>
                <w:sz w:val="17"/>
              </w:rPr>
            </w:pPr>
            <w:r>
              <w:rPr>
                <w:color w:val="000000"/>
                <w:kern w:val="0"/>
                <w:sz w:val="17"/>
              </w:rPr>
              <w:t>–</w:t>
            </w:r>
          </w:p>
        </w:tc>
      </w:tr>
      <w:tr w:rsidR="00F21848" w:rsidRPr="00477DFA" w:rsidTr="00F21848">
        <w:tblPrEx>
          <w:tblCellMar>
            <w:top w:w="0" w:type="dxa"/>
            <w:bottom w:w="0" w:type="dxa"/>
          </w:tblCellMar>
        </w:tblPrEx>
        <w:trPr>
          <w:gridAfter w:val="1"/>
          <w:wAfter w:w="11" w:type="dxa"/>
        </w:trPr>
        <w:tc>
          <w:tcPr>
            <w:tcW w:w="2440" w:type="dxa"/>
            <w:tcBorders>
              <w:bottom w:val="single" w:sz="12" w:space="0" w:color="auto"/>
            </w:tcBorders>
            <w:shd w:val="clear" w:color="auto" w:fill="auto"/>
            <w:vAlign w:val="bottom"/>
          </w:tcPr>
          <w:p w:rsidR="00F21848" w:rsidRPr="00477DFA" w:rsidRDefault="00F21848" w:rsidP="00F21848">
            <w:pPr>
              <w:tabs>
                <w:tab w:val="left" w:pos="288"/>
                <w:tab w:val="left" w:pos="576"/>
                <w:tab w:val="left" w:pos="864"/>
                <w:tab w:val="left" w:pos="1152"/>
              </w:tabs>
              <w:spacing w:before="40" w:after="80" w:line="210" w:lineRule="exact"/>
              <w:ind w:right="43"/>
              <w:rPr>
                <w:color w:val="000000"/>
                <w:kern w:val="0"/>
                <w:sz w:val="17"/>
              </w:rPr>
            </w:pPr>
            <w:r w:rsidRPr="00477DFA">
              <w:rPr>
                <w:color w:val="000000"/>
                <w:kern w:val="0"/>
                <w:sz w:val="17"/>
              </w:rPr>
              <w:t>2010</w:t>
            </w:r>
          </w:p>
        </w:tc>
        <w:tc>
          <w:tcPr>
            <w:tcW w:w="2440" w:type="dxa"/>
            <w:tcBorders>
              <w:bottom w:val="single" w:sz="12" w:space="0" w:color="auto"/>
            </w:tcBorders>
            <w:shd w:val="clear" w:color="auto" w:fill="auto"/>
            <w:vAlign w:val="bottom"/>
          </w:tcPr>
          <w:p w:rsidR="00F21848" w:rsidRPr="00477DFA" w:rsidRDefault="00F21848" w:rsidP="00F21848">
            <w:pPr>
              <w:tabs>
                <w:tab w:val="left" w:pos="288"/>
                <w:tab w:val="left" w:pos="576"/>
                <w:tab w:val="left" w:pos="864"/>
                <w:tab w:val="left" w:pos="1152"/>
              </w:tabs>
              <w:spacing w:before="40" w:after="80" w:line="210" w:lineRule="exact"/>
              <w:ind w:right="43"/>
              <w:jc w:val="right"/>
              <w:rPr>
                <w:color w:val="000000"/>
                <w:kern w:val="0"/>
                <w:sz w:val="17"/>
              </w:rPr>
            </w:pPr>
            <w:r w:rsidRPr="00477DFA">
              <w:rPr>
                <w:color w:val="000000"/>
                <w:kern w:val="0"/>
                <w:sz w:val="17"/>
              </w:rPr>
              <w:t>20,0</w:t>
            </w:r>
          </w:p>
        </w:tc>
        <w:tc>
          <w:tcPr>
            <w:tcW w:w="2429" w:type="dxa"/>
            <w:tcBorders>
              <w:bottom w:val="single" w:sz="12" w:space="0" w:color="auto"/>
            </w:tcBorders>
            <w:shd w:val="clear" w:color="auto" w:fill="auto"/>
            <w:vAlign w:val="bottom"/>
          </w:tcPr>
          <w:p w:rsidR="00F21848" w:rsidRPr="00477DFA" w:rsidRDefault="00F21848" w:rsidP="00F21848">
            <w:pPr>
              <w:tabs>
                <w:tab w:val="left" w:pos="288"/>
                <w:tab w:val="left" w:pos="576"/>
                <w:tab w:val="left" w:pos="864"/>
                <w:tab w:val="left" w:pos="1152"/>
              </w:tabs>
              <w:spacing w:before="40" w:after="80" w:line="210" w:lineRule="exact"/>
              <w:ind w:right="43"/>
              <w:jc w:val="right"/>
              <w:rPr>
                <w:color w:val="000000"/>
                <w:kern w:val="0"/>
                <w:sz w:val="17"/>
              </w:rPr>
            </w:pPr>
            <w:r>
              <w:rPr>
                <w:color w:val="000000"/>
                <w:kern w:val="0"/>
                <w:sz w:val="17"/>
              </w:rPr>
              <w:t>–</w:t>
            </w:r>
          </w:p>
        </w:tc>
      </w:tr>
    </w:tbl>
    <w:p w:rsidR="00F21848" w:rsidRPr="00F21848" w:rsidRDefault="00F21848" w:rsidP="00F21848">
      <w:pPr>
        <w:pStyle w:val="SingleTxt"/>
        <w:spacing w:after="0" w:line="120" w:lineRule="exact"/>
        <w:rPr>
          <w:sz w:val="10"/>
        </w:rPr>
      </w:pPr>
    </w:p>
    <w:p w:rsidR="00F21848" w:rsidRPr="00477DFA" w:rsidRDefault="00F21848" w:rsidP="00F21848">
      <w:pPr>
        <w:pStyle w:val="FootnoteText"/>
        <w:tabs>
          <w:tab w:val="clear" w:pos="418"/>
          <w:tab w:val="right" w:pos="1476"/>
          <w:tab w:val="left" w:pos="1548"/>
          <w:tab w:val="right" w:pos="1836"/>
          <w:tab w:val="left" w:pos="1908"/>
        </w:tabs>
        <w:ind w:left="1548" w:right="1267" w:hanging="288"/>
      </w:pPr>
      <w:r w:rsidRPr="00477DFA">
        <w:rPr>
          <w:i/>
        </w:rPr>
        <w:t>Fuentes</w:t>
      </w:r>
      <w:r w:rsidRPr="00477DFA">
        <w:t>: Dependencia de información e investigación sobre la salud,</w:t>
      </w:r>
      <w:r>
        <w:t xml:space="preserve"> Ministerio de Salud y </w:t>
      </w:r>
      <w:r w:rsidRPr="00477DFA">
        <w:t xml:space="preserve">Departamento de Estadística. </w:t>
      </w:r>
    </w:p>
    <w:p w:rsidR="00F21848" w:rsidRPr="00F21848" w:rsidRDefault="00F21848" w:rsidP="00F21848">
      <w:pPr>
        <w:pStyle w:val="SingleTxt"/>
        <w:spacing w:after="0" w:line="120" w:lineRule="exact"/>
        <w:rPr>
          <w:sz w:val="10"/>
        </w:rPr>
      </w:pPr>
    </w:p>
    <w:p w:rsidR="00F21848" w:rsidRPr="00F21848" w:rsidRDefault="00F21848" w:rsidP="00F21848">
      <w:pPr>
        <w:pStyle w:val="SingleTxt"/>
        <w:spacing w:after="0" w:line="120" w:lineRule="exact"/>
        <w:rPr>
          <w:sz w:val="10"/>
        </w:rPr>
      </w:pPr>
    </w:p>
    <w:p w:rsidR="00F21848" w:rsidRPr="00477DFA" w:rsidRDefault="00F21848" w:rsidP="00F21848">
      <w:pPr>
        <w:pStyle w:val="SingleTxt"/>
        <w:numPr>
          <w:ilvl w:val="0"/>
          <w:numId w:val="25"/>
        </w:numPr>
        <w:tabs>
          <w:tab w:val="clear" w:pos="475"/>
          <w:tab w:val="num" w:pos="1742"/>
        </w:tabs>
        <w:suppressAutoHyphens/>
        <w:ind w:left="1267"/>
        <w:rPr>
          <w:w w:val="104"/>
        </w:rPr>
      </w:pPr>
      <w:r w:rsidRPr="00477DFA">
        <w:rPr>
          <w:w w:val="104"/>
        </w:rPr>
        <w:t xml:space="preserve">La tasa de mortalidad en la niñez se refiere a las defunciones de niños menores de </w:t>
      </w:r>
      <w:r>
        <w:rPr>
          <w:w w:val="104"/>
        </w:rPr>
        <w:t>5</w:t>
      </w:r>
      <w:r w:rsidRPr="00477DFA">
        <w:rPr>
          <w:w w:val="104"/>
        </w:rPr>
        <w:t xml:space="preserve"> años (entre 0 y 4) y es más baja en niñas que en niños. En 2008, el año más reciente del que se dispone de datos, la tasa de mortalidad en la niñez por cada </w:t>
      </w:r>
      <w:r>
        <w:rPr>
          <w:w w:val="104"/>
        </w:rPr>
        <w:t>1.000</w:t>
      </w:r>
      <w:r w:rsidRPr="00477DFA">
        <w:rPr>
          <w:w w:val="104"/>
        </w:rPr>
        <w:t xml:space="preserve"> nacidos vivos fue de 12,4 en el caso de las niñas y de 26,3 en el caso de los niños.</w:t>
      </w:r>
    </w:p>
    <w:p w:rsidR="00F21848" w:rsidRPr="00F21848" w:rsidRDefault="00F21848" w:rsidP="00F21848">
      <w:pPr>
        <w:pStyle w:val="SingleTxt"/>
        <w:spacing w:after="0" w:line="120" w:lineRule="exact"/>
        <w:rPr>
          <w:w w:val="104"/>
          <w:sz w:val="10"/>
        </w:rPr>
      </w:pPr>
    </w:p>
    <w:p w:rsidR="00F21848" w:rsidRPr="00477DFA" w:rsidRDefault="00F21848" w:rsidP="00F218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w w:val="104"/>
        </w:rPr>
      </w:pPr>
      <w:r>
        <w:rPr>
          <w:w w:val="104"/>
        </w:rPr>
        <w:tab/>
      </w:r>
      <w:r>
        <w:rPr>
          <w:w w:val="104"/>
        </w:rPr>
        <w:tab/>
      </w:r>
      <w:r w:rsidRPr="00477DFA">
        <w:rPr>
          <w:w w:val="104"/>
        </w:rPr>
        <w:t>Esperanza de vida de las mujeres</w:t>
      </w:r>
    </w:p>
    <w:p w:rsidR="00F21848" w:rsidRPr="00F21848" w:rsidRDefault="00F21848" w:rsidP="00F21848">
      <w:pPr>
        <w:pStyle w:val="SingleTxt"/>
        <w:spacing w:after="0" w:line="120" w:lineRule="exact"/>
        <w:rPr>
          <w:w w:val="104"/>
          <w:sz w:val="10"/>
        </w:rPr>
      </w:pPr>
    </w:p>
    <w:p w:rsidR="00F21848" w:rsidRPr="00253191" w:rsidRDefault="00F21848" w:rsidP="00F21848">
      <w:pPr>
        <w:pStyle w:val="SingleTxt"/>
        <w:numPr>
          <w:ilvl w:val="0"/>
          <w:numId w:val="25"/>
        </w:numPr>
        <w:tabs>
          <w:tab w:val="clear" w:pos="475"/>
          <w:tab w:val="num" w:pos="1742"/>
        </w:tabs>
        <w:suppressAutoHyphens/>
        <w:ind w:left="1267"/>
        <w:rPr>
          <w:w w:val="104"/>
        </w:rPr>
      </w:pPr>
      <w:r w:rsidRPr="00477DFA">
        <w:rPr>
          <w:w w:val="104"/>
        </w:rPr>
        <w:t xml:space="preserve">En las Bahamas las mujeres viven más tiempo que los hombres. </w:t>
      </w:r>
      <w:r>
        <w:rPr>
          <w:w w:val="104"/>
        </w:rPr>
        <w:t>En el período comprendido e</w:t>
      </w:r>
      <w:r w:rsidRPr="00477DFA">
        <w:rPr>
          <w:w w:val="104"/>
        </w:rPr>
        <w:t>ntre 2000 y 2005, la esperanza de vida al nacer era de 69,5 años. En 2005</w:t>
      </w:r>
      <w:r>
        <w:rPr>
          <w:w w:val="104"/>
        </w:rPr>
        <w:t>,</w:t>
      </w:r>
      <w:r w:rsidRPr="00477DFA">
        <w:rPr>
          <w:w w:val="104"/>
        </w:rPr>
        <w:t xml:space="preserve"> era de 74,5 años para las mujeres y de 67,9 años para los hombres. La diferencia entre las mujeres y los hombres fue de 6,3 años para el período comprendido entre 2005 y 2010. En 2000</w:t>
      </w:r>
      <w:r>
        <w:rPr>
          <w:w w:val="104"/>
        </w:rPr>
        <w:t>,</w:t>
      </w:r>
      <w:r w:rsidRPr="00477DFA">
        <w:rPr>
          <w:w w:val="104"/>
        </w:rPr>
        <w:t xml:space="preserve"> era de 77,3 años para las mujeres y 70,7 años para los hombres.</w:t>
      </w:r>
    </w:p>
    <w:p w:rsidR="00C6312B" w:rsidRDefault="00C6312B" w:rsidP="00C631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5C520D">
        <w:t>Tasas brutas de natalidad y mortalidad de los varones y las mujeres</w:t>
      </w:r>
    </w:p>
    <w:p w:rsidR="00C6312B" w:rsidRPr="00C6312B" w:rsidRDefault="00C6312B" w:rsidP="00C6312B">
      <w:pPr>
        <w:pStyle w:val="SingleTxt"/>
        <w:spacing w:after="0" w:line="120" w:lineRule="exact"/>
        <w:rPr>
          <w:sz w:val="10"/>
        </w:rPr>
      </w:pPr>
    </w:p>
    <w:p w:rsidR="00C6312B" w:rsidRDefault="00C6312B" w:rsidP="00C6312B">
      <w:pPr>
        <w:pStyle w:val="SingleTxt"/>
        <w:numPr>
          <w:ilvl w:val="0"/>
          <w:numId w:val="25"/>
        </w:numPr>
        <w:tabs>
          <w:tab w:val="clear" w:pos="475"/>
          <w:tab w:val="num" w:pos="1742"/>
        </w:tabs>
        <w:ind w:left="1267"/>
      </w:pPr>
      <w:r w:rsidRPr="005C520D">
        <w:t xml:space="preserve">La tasa bruta de mortalidad por cada </w:t>
      </w:r>
      <w:r>
        <w:t>1.000</w:t>
      </w:r>
      <w:r w:rsidRPr="005C520D">
        <w:t xml:space="preserve"> habitantes era mayor para los hombres que para las mujeres: 4,8 para las mujeres y 6,2 para los hombres en 2008. En las Bahamas, las tasas de mortalidad se han mantenido relativamente estables en torno a 5 o 6 defunciones por cada </w:t>
      </w:r>
      <w:r>
        <w:t>1.000</w:t>
      </w:r>
      <w:r w:rsidRPr="005C520D">
        <w:t xml:space="preserve"> habitantes entre los años 2002 y 2008. Entre 2005 y 2007, las tasas brutas de mortalidad </w:t>
      </w:r>
      <w:r>
        <w:t xml:space="preserve">de las </w:t>
      </w:r>
      <w:r w:rsidRPr="005C520D">
        <w:t xml:space="preserve">mujeres, por cada </w:t>
      </w:r>
      <w:r>
        <w:t xml:space="preserve">1.000 </w:t>
      </w:r>
      <w:r w:rsidRPr="005C520D">
        <w:t>habitantes, fueron de 4,9</w:t>
      </w:r>
      <w:r>
        <w:t>,</w:t>
      </w:r>
      <w:r w:rsidRPr="005C520D">
        <w:t xml:space="preserve"> 4,7 y 4,6</w:t>
      </w:r>
      <w:r>
        <w:t>,</w:t>
      </w:r>
      <w:r w:rsidRPr="005C520D">
        <w:t xml:space="preserve"> respectivamente, mientras que en el caso de los varones fueron de 6,4</w:t>
      </w:r>
      <w:r>
        <w:t>,</w:t>
      </w:r>
      <w:r w:rsidRPr="005C520D">
        <w:t xml:space="preserve"> 5,9 y 6,2, respectivamente. </w:t>
      </w:r>
    </w:p>
    <w:p w:rsidR="00C6312B" w:rsidRPr="00C6312B" w:rsidRDefault="00C6312B" w:rsidP="00C6312B">
      <w:pPr>
        <w:pStyle w:val="SingleTxt"/>
        <w:spacing w:after="0" w:line="120" w:lineRule="exact"/>
        <w:rPr>
          <w:sz w:val="10"/>
        </w:rPr>
      </w:pPr>
    </w:p>
    <w:p w:rsidR="00C6312B" w:rsidRDefault="00C6312B" w:rsidP="00C631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5C520D">
        <w:t>Número medio de nacidos vivos por mujer</w:t>
      </w:r>
    </w:p>
    <w:p w:rsidR="00C6312B" w:rsidRPr="00C6312B" w:rsidRDefault="00C6312B" w:rsidP="00C6312B">
      <w:pPr>
        <w:pStyle w:val="SingleTxt"/>
        <w:spacing w:after="0" w:line="120" w:lineRule="exact"/>
        <w:rPr>
          <w:sz w:val="10"/>
        </w:rPr>
      </w:pPr>
    </w:p>
    <w:p w:rsidR="00C6312B" w:rsidRDefault="00C6312B" w:rsidP="00C6312B">
      <w:pPr>
        <w:pStyle w:val="SingleTxt"/>
        <w:numPr>
          <w:ilvl w:val="0"/>
          <w:numId w:val="25"/>
        </w:numPr>
        <w:tabs>
          <w:tab w:val="clear" w:pos="475"/>
          <w:tab w:val="num" w:pos="1742"/>
        </w:tabs>
        <w:ind w:left="1267"/>
      </w:pPr>
      <w:r w:rsidRPr="005C520D">
        <w:t xml:space="preserve">La tasa de fecundidad total fue de 2,3 en 2007. </w:t>
      </w:r>
    </w:p>
    <w:p w:rsidR="00C6312B" w:rsidRPr="00C6312B" w:rsidRDefault="00C6312B" w:rsidP="00C6312B">
      <w:pPr>
        <w:pStyle w:val="SingleTxt"/>
        <w:spacing w:after="0" w:line="120" w:lineRule="exact"/>
        <w:rPr>
          <w:sz w:val="10"/>
        </w:rPr>
      </w:pPr>
    </w:p>
    <w:p w:rsidR="00C6312B" w:rsidRDefault="00C6312B" w:rsidP="00C631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5C520D">
        <w:t>Necesidades no atendidas de anticonceptivos</w:t>
      </w:r>
    </w:p>
    <w:p w:rsidR="00C6312B" w:rsidRPr="00C6312B" w:rsidRDefault="00C6312B" w:rsidP="00C6312B">
      <w:pPr>
        <w:pStyle w:val="SingleTxt"/>
        <w:spacing w:after="0" w:line="120" w:lineRule="exact"/>
        <w:rPr>
          <w:sz w:val="10"/>
        </w:rPr>
      </w:pPr>
    </w:p>
    <w:p w:rsidR="00C6312B" w:rsidRDefault="00C6312B" w:rsidP="00C6312B">
      <w:pPr>
        <w:pStyle w:val="SingleTxt"/>
        <w:numPr>
          <w:ilvl w:val="0"/>
          <w:numId w:val="25"/>
        </w:numPr>
        <w:tabs>
          <w:tab w:val="clear" w:pos="475"/>
          <w:tab w:val="num" w:pos="1742"/>
        </w:tabs>
        <w:ind w:left="1267"/>
      </w:pPr>
      <w:r w:rsidRPr="005C520D">
        <w:t>No se dispone de datos actualizados.</w:t>
      </w:r>
    </w:p>
    <w:p w:rsidR="00C6312B" w:rsidRPr="00C6312B" w:rsidRDefault="00C6312B" w:rsidP="00C6312B">
      <w:pPr>
        <w:pStyle w:val="SingleTxt"/>
        <w:spacing w:after="0" w:line="120" w:lineRule="exact"/>
        <w:rPr>
          <w:sz w:val="10"/>
        </w:rPr>
      </w:pPr>
    </w:p>
    <w:p w:rsidR="00C6312B" w:rsidRDefault="00C6312B" w:rsidP="00C631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5C520D">
        <w:t>Prevalencia de los anticonceptivos</w:t>
      </w:r>
    </w:p>
    <w:p w:rsidR="00C6312B" w:rsidRPr="00C6312B" w:rsidRDefault="00C6312B" w:rsidP="00C6312B">
      <w:pPr>
        <w:pStyle w:val="SingleTxt"/>
        <w:spacing w:after="0" w:line="120" w:lineRule="exact"/>
        <w:rPr>
          <w:sz w:val="10"/>
        </w:rPr>
      </w:pPr>
    </w:p>
    <w:p w:rsidR="00C6312B" w:rsidRDefault="00C6312B" w:rsidP="00C6312B">
      <w:pPr>
        <w:pStyle w:val="SingleTxt"/>
        <w:numPr>
          <w:ilvl w:val="0"/>
          <w:numId w:val="25"/>
        </w:numPr>
        <w:tabs>
          <w:tab w:val="clear" w:pos="475"/>
          <w:tab w:val="num" w:pos="1742"/>
        </w:tabs>
        <w:ind w:left="1267"/>
      </w:pPr>
      <w:r w:rsidRPr="005C520D">
        <w:t xml:space="preserve">Los resultados del Estudio sobre las condiciones de vida en las Bahamas (2001) mostraron que la prevalencia de los anticonceptivos en las mujeres de 15 </w:t>
      </w:r>
      <w:r>
        <w:t xml:space="preserve">a </w:t>
      </w:r>
      <w:r w:rsidRPr="005C520D">
        <w:t>49 años se situaba en el 44,6%. Además, es necesario realizar investigaciones sobre la prevalencia y las necesidades no atendidas de anticonceptivos.</w:t>
      </w:r>
    </w:p>
    <w:p w:rsidR="00C6312B" w:rsidRPr="00C6312B" w:rsidRDefault="00C6312B" w:rsidP="00C6312B">
      <w:pPr>
        <w:pStyle w:val="SingleTxt"/>
        <w:spacing w:after="0" w:line="120" w:lineRule="exact"/>
        <w:rPr>
          <w:sz w:val="10"/>
        </w:rPr>
      </w:pPr>
    </w:p>
    <w:p w:rsidR="00C6312B" w:rsidRDefault="00C6312B" w:rsidP="00C631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5C520D">
        <w:t>Servicios de salud reproductiva</w:t>
      </w:r>
    </w:p>
    <w:p w:rsidR="00C6312B" w:rsidRPr="00C6312B" w:rsidRDefault="00C6312B" w:rsidP="00C6312B">
      <w:pPr>
        <w:pStyle w:val="SingleTxt"/>
        <w:spacing w:after="0" w:line="120" w:lineRule="exact"/>
        <w:rPr>
          <w:sz w:val="10"/>
        </w:rPr>
      </w:pPr>
    </w:p>
    <w:p w:rsidR="00C6312B" w:rsidRDefault="00C6312B" w:rsidP="00C6312B">
      <w:pPr>
        <w:pStyle w:val="SingleTxt"/>
        <w:numPr>
          <w:ilvl w:val="0"/>
          <w:numId w:val="25"/>
        </w:numPr>
        <w:tabs>
          <w:tab w:val="clear" w:pos="475"/>
          <w:tab w:val="num" w:pos="1742"/>
        </w:tabs>
        <w:ind w:left="1267"/>
      </w:pPr>
      <w:r w:rsidRPr="005C520D">
        <w:t xml:space="preserve">No existen obstáculos jurídicos o culturales para que las mujeres accedan a los servicios de salud reproductiva. Hay un programa </w:t>
      </w:r>
      <w:r>
        <w:t>estatal</w:t>
      </w:r>
      <w:r w:rsidRPr="005C520D">
        <w:t xml:space="preserve"> totalmente </w:t>
      </w:r>
      <w:r>
        <w:t xml:space="preserve">subvencionado </w:t>
      </w:r>
      <w:r w:rsidRPr="005C520D">
        <w:t xml:space="preserve">que </w:t>
      </w:r>
      <w:r>
        <w:t xml:space="preserve">ofrece </w:t>
      </w:r>
      <w:r w:rsidRPr="005C520D">
        <w:t xml:space="preserve">una amplia selección de anticonceptivos: anticonceptivos orales, condones, anticonceptivos inyectables y dispositivos intrauterinos. Se </w:t>
      </w:r>
      <w:r>
        <w:t>prestan</w:t>
      </w:r>
      <w:r w:rsidRPr="005C520D">
        <w:t xml:space="preserve"> a las mujeres servicios de </w:t>
      </w:r>
      <w:r>
        <w:t xml:space="preserve">detección </w:t>
      </w:r>
      <w:r w:rsidRPr="005C520D">
        <w:t>de</w:t>
      </w:r>
      <w:r>
        <w:t>l</w:t>
      </w:r>
      <w:r w:rsidRPr="005C520D">
        <w:t xml:space="preserve"> cáncer de mama y </w:t>
      </w:r>
      <w:r>
        <w:t xml:space="preserve">del </w:t>
      </w:r>
      <w:r w:rsidRPr="005C520D">
        <w:t>cuello de útero y enfermedades de transmisión sexual, así como inmunización contra el tétanos, la rubéola y la hepatitis B. Todas las mujeres, independientemente de su estado civil, tienen acceso a los servicios de planificación familiar sin tener que pedir ningún tipo de autorización. Sin embargo, en la práctica se pide la autorización del cónyuge antes de que la mujer pueda hacerse una ligadura de trompas o someterse a un procedimiento de esterilización. Los anticonceptivos se ofrecen después del parto sin que se requiera el consentimiento del cónyuge.</w:t>
      </w:r>
    </w:p>
    <w:p w:rsidR="00C6312B" w:rsidRPr="00C6312B" w:rsidRDefault="00C6312B" w:rsidP="00C6312B">
      <w:pPr>
        <w:pStyle w:val="SingleTxt"/>
        <w:spacing w:after="0" w:line="120" w:lineRule="exact"/>
        <w:rPr>
          <w:sz w:val="10"/>
        </w:rPr>
      </w:pPr>
    </w:p>
    <w:p w:rsidR="00C6312B" w:rsidRDefault="00C6312B" w:rsidP="00C631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5C520D">
        <w:t>Servicios perinatales</w:t>
      </w:r>
    </w:p>
    <w:p w:rsidR="00C6312B" w:rsidRPr="00C6312B" w:rsidRDefault="00C6312B" w:rsidP="00C6312B">
      <w:pPr>
        <w:pStyle w:val="SingleTxt"/>
        <w:spacing w:after="0" w:line="120" w:lineRule="exact"/>
        <w:rPr>
          <w:sz w:val="10"/>
        </w:rPr>
      </w:pPr>
    </w:p>
    <w:p w:rsidR="00C6312B" w:rsidRDefault="00C6312B" w:rsidP="00C6312B">
      <w:pPr>
        <w:pStyle w:val="SingleTxt"/>
        <w:numPr>
          <w:ilvl w:val="0"/>
          <w:numId w:val="25"/>
        </w:numPr>
        <w:tabs>
          <w:tab w:val="clear" w:pos="475"/>
          <w:tab w:val="num" w:pos="1742"/>
        </w:tabs>
        <w:ind w:left="1267"/>
      </w:pPr>
      <w:r w:rsidRPr="005C520D">
        <w:t>Se prestan servicios perinatales integrales de forma gratuita a las pacientes de las islas</w:t>
      </w:r>
      <w:r>
        <w:t>,</w:t>
      </w:r>
      <w:r w:rsidRPr="005C520D">
        <w:t xml:space="preserve"> como la administración sistemática de hierro, ácido fólico y suplementos vitamínicos</w:t>
      </w:r>
      <w:r>
        <w:t>,</w:t>
      </w:r>
      <w:r w:rsidRPr="005C520D">
        <w:t xml:space="preserve"> a través de los servicios de salud públicos y también de los privados, aunque estos últimos son de pago. Todas las mujeres que acceden a los servicios son examinadas por parteras capacitadas, médicos generalistas y, cuando es necesario, por obstetras. El 99% de los partos se realiza a nivel terciario. Hay un programa integral de educación parental antes y después del parto, tanto para las mujeres como para sus parejas. Es fácil realizarse exámenes avanzados de diagnóstico por imágenes y exámenes hematológicos y</w:t>
      </w:r>
      <w:r>
        <w:t>,</w:t>
      </w:r>
      <w:r w:rsidRPr="005C520D">
        <w:t xml:space="preserve"> cuando es necesario</w:t>
      </w:r>
      <w:r>
        <w:t>,</w:t>
      </w:r>
      <w:r w:rsidRPr="005C520D">
        <w:t xml:space="preserve"> se practican intervenciones quirúrgicas. </w:t>
      </w:r>
    </w:p>
    <w:p w:rsidR="00C6312B" w:rsidRDefault="00C6312B" w:rsidP="00C631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5C520D">
        <w:t>Programa de manejo de la lactancia</w:t>
      </w:r>
    </w:p>
    <w:p w:rsidR="00C6312B" w:rsidRPr="00C6312B" w:rsidRDefault="00C6312B" w:rsidP="00C6312B">
      <w:pPr>
        <w:pStyle w:val="SingleTxt"/>
        <w:spacing w:after="0" w:line="120" w:lineRule="exact"/>
        <w:rPr>
          <w:sz w:val="10"/>
        </w:rPr>
      </w:pPr>
    </w:p>
    <w:p w:rsidR="00C6312B" w:rsidRDefault="00C6312B" w:rsidP="00C6312B">
      <w:pPr>
        <w:pStyle w:val="SingleTxt"/>
        <w:numPr>
          <w:ilvl w:val="0"/>
          <w:numId w:val="25"/>
        </w:numPr>
        <w:tabs>
          <w:tab w:val="clear" w:pos="475"/>
          <w:tab w:val="num" w:pos="1742"/>
        </w:tabs>
        <w:ind w:left="1267"/>
      </w:pPr>
      <w:r w:rsidRPr="005C520D">
        <w:t xml:space="preserve">Mediante este programa se promueve la creación de </w:t>
      </w:r>
      <w:r>
        <w:t xml:space="preserve">entornos </w:t>
      </w:r>
      <w:r w:rsidRPr="005C520D">
        <w:t xml:space="preserve">que favorezcan la lactancia en todas las Bahamas. Se alienta a las mujeres a alimentar a sus hijos exclusivamente mediante el amamantamiento durante por lo menos los primeros seis meses de vida. En 2002 se aprobaron leyes que aumentaron el tiempo de las licencias de maternidad y se estableció una licencia de maternidad pagada de </w:t>
      </w:r>
      <w:r>
        <w:t>12</w:t>
      </w:r>
      <w:r w:rsidRPr="005C520D">
        <w:t xml:space="preserve"> semanas cada tres años, con el fin de facilitar a la mujer la creación de vínculos con su hijo. Se presta sistemáticamente un servicio de asistencia a domicilio a las madres y sus bebés en los diez días posteriores al parto y hay asesores de lactancia para ayudar a las madres lactantes.</w:t>
      </w:r>
    </w:p>
    <w:p w:rsidR="00C6312B" w:rsidRPr="00C6312B" w:rsidRDefault="00C6312B" w:rsidP="00C6312B">
      <w:pPr>
        <w:pStyle w:val="SingleTxt"/>
        <w:spacing w:after="0" w:line="120" w:lineRule="exact"/>
        <w:rPr>
          <w:sz w:val="10"/>
        </w:rPr>
      </w:pPr>
    </w:p>
    <w:p w:rsidR="00C6312B" w:rsidRDefault="00C6312B" w:rsidP="00C631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5C520D">
        <w:t>Servicios de salud escolar</w:t>
      </w:r>
    </w:p>
    <w:p w:rsidR="00C6312B" w:rsidRPr="00C6312B" w:rsidRDefault="00C6312B" w:rsidP="00C6312B">
      <w:pPr>
        <w:pStyle w:val="SingleTxt"/>
        <w:spacing w:after="0" w:line="120" w:lineRule="exact"/>
        <w:rPr>
          <w:sz w:val="10"/>
        </w:rPr>
      </w:pPr>
    </w:p>
    <w:p w:rsidR="00C6312B" w:rsidRDefault="00C6312B" w:rsidP="00C6312B">
      <w:pPr>
        <w:pStyle w:val="SingleTxt"/>
        <w:numPr>
          <w:ilvl w:val="0"/>
          <w:numId w:val="25"/>
        </w:numPr>
        <w:tabs>
          <w:tab w:val="clear" w:pos="475"/>
          <w:tab w:val="num" w:pos="1742"/>
        </w:tabs>
        <w:ind w:left="1267"/>
      </w:pPr>
      <w:r w:rsidRPr="005C520D">
        <w:t>Todas las escuelas públicas cuentan con este programa</w:t>
      </w:r>
      <w:r>
        <w:t>,</w:t>
      </w:r>
      <w:r w:rsidRPr="005C520D">
        <w:t xml:space="preserve"> cuyo objeto es mejorar el estado de salud de los niños (desde la escuela primaria hasta la secundaria). Se realizan exámenes médicos anuales a los estudiantes matriculados en </w:t>
      </w:r>
      <w:r>
        <w:t xml:space="preserve">los grados </w:t>
      </w:r>
      <w:r w:rsidRPr="005C520D">
        <w:t>primero, sexto y décimo</w:t>
      </w:r>
      <w:r>
        <w:t>,</w:t>
      </w:r>
      <w:r w:rsidRPr="005C520D">
        <w:t xml:space="preserve"> </w:t>
      </w:r>
      <w:r>
        <w:t xml:space="preserve">lo que </w:t>
      </w:r>
      <w:r w:rsidRPr="005C520D">
        <w:t>reduce al mínimo la necesidad de perder horas de clase para someterse a exámenes médicos y vacunarse. Se prestan servicios de formación, fomento y mantenimiento de la salud y se hace un seguimiento para las enfermedades crónicas no transmisibles. Cuando es necesario</w:t>
      </w:r>
      <w:r>
        <w:t>,</w:t>
      </w:r>
      <w:r w:rsidRPr="005C520D">
        <w:t xml:space="preserve"> se remite a los</w:t>
      </w:r>
      <w:r>
        <w:t xml:space="preserve"> pacientes al</w:t>
      </w:r>
      <w:r w:rsidRPr="005C520D">
        <w:t xml:space="preserve"> </w:t>
      </w:r>
      <w:r>
        <w:t xml:space="preserve">organismo </w:t>
      </w:r>
      <w:r w:rsidRPr="005C520D">
        <w:t xml:space="preserve">pertinente </w:t>
      </w:r>
      <w:r>
        <w:t xml:space="preserve">a efectos de atención curativa y </w:t>
      </w:r>
      <w:r w:rsidRPr="005C520D">
        <w:t>orientación personal.</w:t>
      </w:r>
    </w:p>
    <w:p w:rsidR="00C6312B" w:rsidRPr="00C6312B" w:rsidRDefault="00C6312B" w:rsidP="00C6312B">
      <w:pPr>
        <w:pStyle w:val="SingleTxt"/>
        <w:spacing w:after="0" w:line="120" w:lineRule="exact"/>
        <w:rPr>
          <w:sz w:val="10"/>
        </w:rPr>
      </w:pPr>
    </w:p>
    <w:p w:rsidR="00C6312B" w:rsidRDefault="00C6312B" w:rsidP="00C631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5C520D">
        <w:t xml:space="preserve">Servicio de atención de </w:t>
      </w:r>
      <w:r>
        <w:t xml:space="preserve">la </w:t>
      </w:r>
      <w:r w:rsidRPr="005C520D">
        <w:t>salud para los adolescentes</w:t>
      </w:r>
    </w:p>
    <w:p w:rsidR="00C6312B" w:rsidRPr="00C6312B" w:rsidRDefault="00C6312B" w:rsidP="00C6312B">
      <w:pPr>
        <w:pStyle w:val="SingleTxt"/>
        <w:spacing w:after="0" w:line="120" w:lineRule="exact"/>
        <w:rPr>
          <w:sz w:val="10"/>
        </w:rPr>
      </w:pPr>
    </w:p>
    <w:p w:rsidR="00C6312B" w:rsidRDefault="00C6312B" w:rsidP="00C6312B">
      <w:pPr>
        <w:pStyle w:val="SingleTxt"/>
        <w:numPr>
          <w:ilvl w:val="0"/>
          <w:numId w:val="25"/>
        </w:numPr>
        <w:tabs>
          <w:tab w:val="clear" w:pos="475"/>
          <w:tab w:val="num" w:pos="1742"/>
        </w:tabs>
        <w:ind w:left="1267"/>
      </w:pPr>
      <w:r w:rsidRPr="005C520D">
        <w:t xml:space="preserve">El programa de salud para adolescentes ofrece servicios prenatales y de salud reproductiva. Aunque se </w:t>
      </w:r>
      <w:r>
        <w:t xml:space="preserve">alienta la asistencia </w:t>
      </w:r>
      <w:r w:rsidRPr="005C520D">
        <w:t>tanto a las mujeres como a los varones, la mayoría de los pacientes son de sexo femenino. Los pacientes menores de 18 años precisan la autorización de sus padres para recibir servicios de control de la natalidad. Sin embargo, hay condones a disposición de todas las personas. A un determinado número de niñas adolescentes en situación de riesgo se les realizan implantes anticonceptivos sin costo alguno para ellas. El Departamento de Salud Pública trabaja en estrecho contacto con el Ministerio de Educación y los grupos comunitarios y religiosos a fin de prestar servicios holísticos.</w:t>
      </w:r>
    </w:p>
    <w:p w:rsidR="00C6312B" w:rsidRPr="00C6312B" w:rsidRDefault="00C6312B" w:rsidP="00C6312B">
      <w:pPr>
        <w:pStyle w:val="SingleTxt"/>
        <w:spacing w:after="0" w:line="120" w:lineRule="exact"/>
        <w:rPr>
          <w:sz w:val="10"/>
        </w:rPr>
      </w:pPr>
    </w:p>
    <w:p w:rsidR="00C6312B" w:rsidRPr="005C520D" w:rsidRDefault="00C6312B" w:rsidP="00C631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5C520D">
        <w:t>Servicios para casos de violación</w:t>
      </w:r>
    </w:p>
    <w:p w:rsidR="00C6312B" w:rsidRPr="00C6312B" w:rsidRDefault="00C6312B" w:rsidP="00C6312B">
      <w:pPr>
        <w:pStyle w:val="SingleTxt"/>
        <w:spacing w:after="0" w:line="120" w:lineRule="exact"/>
        <w:rPr>
          <w:sz w:val="10"/>
        </w:rPr>
      </w:pPr>
    </w:p>
    <w:p w:rsidR="00C6312B" w:rsidRDefault="00C6312B" w:rsidP="00C6312B">
      <w:pPr>
        <w:pStyle w:val="SingleTxt"/>
        <w:numPr>
          <w:ilvl w:val="0"/>
          <w:numId w:val="25"/>
        </w:numPr>
        <w:tabs>
          <w:tab w:val="clear" w:pos="475"/>
          <w:tab w:val="num" w:pos="1742"/>
        </w:tabs>
        <w:ind w:left="1267"/>
      </w:pPr>
      <w:r w:rsidRPr="005C520D">
        <w:t>Aunque estos servicios también se ofrecen a los varones, la mayoría de las personas atendidas son mujeres. El servicio trabaja en dos niveles: niños y adultos. También se ha creado una dependencia especial para abordar el problema de las violaciones en todos sus aspectos. La Dependencia de Casos Sospechosos de Abuso y Descuido se ocupa de los niños, mientras que las mujeres son derivadas a través del Departamento de Emergencias y la organización no gubernamental Crisis Centre para que reciban orientación. Al atender a las víctimas, se tiene en cuenta la importancia de la privacidad, por eso se les ofrece siempre la posibilidad de realizar las consultas en una habitación privada, recibir orientación, realizarse pruebas de infecciones de transmisión sexual (incluso de VIH) y recibir terapias antirretrovirales y anticonceptivos de emergencia.</w:t>
      </w:r>
    </w:p>
    <w:p w:rsidR="00C6312B" w:rsidRPr="00C6312B" w:rsidRDefault="00C6312B" w:rsidP="00C6312B">
      <w:pPr>
        <w:pStyle w:val="SingleTxt"/>
        <w:spacing w:after="0" w:line="120" w:lineRule="exact"/>
        <w:rPr>
          <w:sz w:val="10"/>
        </w:rPr>
      </w:pPr>
    </w:p>
    <w:p w:rsidR="00C6312B" w:rsidRPr="005C520D" w:rsidRDefault="00C6312B" w:rsidP="00C631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br w:type="page"/>
      </w:r>
      <w:r>
        <w:tab/>
      </w:r>
      <w:r>
        <w:tab/>
      </w:r>
      <w:r w:rsidRPr="005C520D">
        <w:t>Las trabajadoras del sector de la salud</w:t>
      </w:r>
    </w:p>
    <w:p w:rsidR="00C6312B" w:rsidRPr="00C6312B" w:rsidRDefault="00C6312B" w:rsidP="00C6312B">
      <w:pPr>
        <w:pStyle w:val="SingleTxt"/>
        <w:spacing w:after="0" w:line="120" w:lineRule="exact"/>
        <w:rPr>
          <w:sz w:val="10"/>
        </w:rPr>
      </w:pPr>
    </w:p>
    <w:p w:rsidR="00C6312B" w:rsidRDefault="00C6312B" w:rsidP="00C6312B">
      <w:pPr>
        <w:pStyle w:val="SingleTxt"/>
        <w:numPr>
          <w:ilvl w:val="0"/>
          <w:numId w:val="25"/>
        </w:numPr>
        <w:tabs>
          <w:tab w:val="clear" w:pos="475"/>
          <w:tab w:val="num" w:pos="1742"/>
        </w:tabs>
        <w:ind w:left="1267"/>
      </w:pPr>
      <w:r w:rsidRPr="005C520D">
        <w:t xml:space="preserve">La mayoría de los trabajadores del sector de la salud son mujeres y trabajan principalmente como enfermeras, técnicas y médicas. No se dispone de datos desglosados por sexo de la fuerza de trabajo del sector de la salud. Además, no solo el Gobierno de las Bahamas </w:t>
      </w:r>
      <w:r>
        <w:t>presta</w:t>
      </w:r>
      <w:r w:rsidRPr="005C520D">
        <w:t xml:space="preserve"> servicios de atención secundaria y terciaria y de rehabilitación; existe una amplia red global de atención sanitaria privada integrada por médicos particulares (generalistas y especialistas) y odontólogos, así como clínicas y hospitales privados.</w:t>
      </w:r>
    </w:p>
    <w:p w:rsidR="00C6312B" w:rsidRPr="00C6312B" w:rsidRDefault="00C6312B" w:rsidP="00C6312B">
      <w:pPr>
        <w:pStyle w:val="SingleTxt"/>
        <w:spacing w:after="0" w:line="120" w:lineRule="exact"/>
        <w:rPr>
          <w:sz w:val="10"/>
        </w:rPr>
      </w:pPr>
    </w:p>
    <w:p w:rsidR="00C6312B" w:rsidRPr="005C520D" w:rsidRDefault="00C6312B" w:rsidP="00C631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5C520D">
        <w:t xml:space="preserve">Los trabajadores de </w:t>
      </w:r>
      <w:r>
        <w:t xml:space="preserve">la </w:t>
      </w:r>
      <w:r w:rsidRPr="005C520D">
        <w:t>salud tradicionales</w:t>
      </w:r>
    </w:p>
    <w:p w:rsidR="00C6312B" w:rsidRPr="00C6312B" w:rsidRDefault="00C6312B" w:rsidP="00C6312B">
      <w:pPr>
        <w:pStyle w:val="SingleTxt"/>
        <w:spacing w:after="0" w:line="120" w:lineRule="exact"/>
        <w:rPr>
          <w:sz w:val="10"/>
        </w:rPr>
      </w:pPr>
    </w:p>
    <w:p w:rsidR="00C6312B" w:rsidRDefault="00C6312B" w:rsidP="00C6312B">
      <w:pPr>
        <w:pStyle w:val="SingleTxt"/>
        <w:numPr>
          <w:ilvl w:val="0"/>
          <w:numId w:val="25"/>
        </w:numPr>
        <w:tabs>
          <w:tab w:val="clear" w:pos="475"/>
          <w:tab w:val="num" w:pos="1742"/>
        </w:tabs>
        <w:ind w:left="1267"/>
      </w:pPr>
      <w:r w:rsidRPr="005C520D">
        <w:t>No había datos disponibles.</w:t>
      </w:r>
    </w:p>
    <w:p w:rsidR="00C6312B" w:rsidRPr="00C6312B" w:rsidRDefault="00C6312B" w:rsidP="00C6312B">
      <w:pPr>
        <w:pStyle w:val="SingleTxt"/>
        <w:spacing w:after="0" w:line="120" w:lineRule="exact"/>
        <w:rPr>
          <w:sz w:val="10"/>
        </w:rPr>
      </w:pPr>
    </w:p>
    <w:p w:rsidR="00C6312B" w:rsidRPr="00C44CDB" w:rsidRDefault="00C6312B" w:rsidP="00C631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Planificación familiar obligatoria</w:t>
      </w:r>
    </w:p>
    <w:p w:rsidR="00C6312B" w:rsidRPr="00C6312B" w:rsidRDefault="00C6312B" w:rsidP="00C6312B">
      <w:pPr>
        <w:pStyle w:val="SingleTxt"/>
        <w:spacing w:after="0" w:line="120" w:lineRule="exact"/>
        <w:rPr>
          <w:sz w:val="10"/>
        </w:rPr>
      </w:pPr>
    </w:p>
    <w:p w:rsidR="00C6312B" w:rsidRDefault="00C6312B" w:rsidP="00C6312B">
      <w:pPr>
        <w:pStyle w:val="SingleTxt"/>
        <w:numPr>
          <w:ilvl w:val="0"/>
          <w:numId w:val="25"/>
        </w:numPr>
        <w:tabs>
          <w:tab w:val="clear" w:pos="475"/>
          <w:tab w:val="num" w:pos="1742"/>
        </w:tabs>
        <w:ind w:left="1267"/>
      </w:pPr>
      <w:r w:rsidRPr="005C520D">
        <w:t>No existen leyes o políticas que exijan el empleo obligatorio de medidas de planificación familiar. No obstante, el Programa de Salud Maternoinfantil y la Asociación de Planificación Familiar de las Bahamas fomentan el uso de esas medidas.</w:t>
      </w:r>
    </w:p>
    <w:p w:rsidR="00C6312B" w:rsidRPr="00C6312B" w:rsidRDefault="00C6312B" w:rsidP="00C6312B">
      <w:pPr>
        <w:pStyle w:val="SingleTxt"/>
        <w:spacing w:after="0" w:line="120" w:lineRule="exact"/>
        <w:rPr>
          <w:sz w:val="10"/>
        </w:rPr>
      </w:pPr>
    </w:p>
    <w:p w:rsidR="00C6312B" w:rsidRDefault="00C6312B" w:rsidP="00C631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5C520D">
        <w:t>Aborto</w:t>
      </w:r>
    </w:p>
    <w:p w:rsidR="00C6312B" w:rsidRPr="00C6312B" w:rsidRDefault="00C6312B" w:rsidP="00C6312B">
      <w:pPr>
        <w:pStyle w:val="SingleTxt"/>
        <w:spacing w:after="0" w:line="120" w:lineRule="exact"/>
        <w:rPr>
          <w:sz w:val="10"/>
        </w:rPr>
      </w:pPr>
    </w:p>
    <w:p w:rsidR="00C6312B" w:rsidRDefault="00C6312B" w:rsidP="00C6312B">
      <w:pPr>
        <w:pStyle w:val="SingleTxt"/>
        <w:numPr>
          <w:ilvl w:val="0"/>
          <w:numId w:val="25"/>
        </w:numPr>
        <w:tabs>
          <w:tab w:val="clear" w:pos="475"/>
          <w:tab w:val="num" w:pos="1742"/>
        </w:tabs>
        <w:ind w:left="1267"/>
      </w:pPr>
      <w:r w:rsidRPr="005C520D">
        <w:t>Actualmente el aborto es ilegal en las Bahamas.</w:t>
      </w:r>
    </w:p>
    <w:p w:rsidR="00C6312B" w:rsidRDefault="00C6312B" w:rsidP="00C6312B">
      <w:pPr>
        <w:pStyle w:val="SingleTxt"/>
        <w:numPr>
          <w:ilvl w:val="0"/>
          <w:numId w:val="25"/>
        </w:numPr>
        <w:tabs>
          <w:tab w:val="clear" w:pos="475"/>
          <w:tab w:val="num" w:pos="1742"/>
        </w:tabs>
        <w:ind w:left="1267"/>
      </w:pPr>
      <w:r w:rsidRPr="005C520D">
        <w:t xml:space="preserve">El Gobierno de las Bahamas sigue usando el Código Penal de 1924 como </w:t>
      </w:r>
      <w:r w:rsidRPr="005C520D">
        <w:rPr>
          <w:i/>
        </w:rPr>
        <w:t>locus standi</w:t>
      </w:r>
      <w:r w:rsidRPr="005C520D">
        <w:t xml:space="preserve"> para todas las cuestiones relativas al aborto. El Código contiene muy pocas referencias al aborto y permite que se practiquen abortos legalmente en determinadas condiciones, relacionadas explícitamente con la preservación de la salud mental y física de la mujer y para salvarle la vida. El Código no prohíbe el aborto en casos de violación, incesto u otras situaciones excepcionales. </w:t>
      </w:r>
    </w:p>
    <w:p w:rsidR="00C6312B" w:rsidRDefault="00C6312B" w:rsidP="00C6312B">
      <w:pPr>
        <w:pStyle w:val="SingleTxt"/>
        <w:numPr>
          <w:ilvl w:val="0"/>
          <w:numId w:val="25"/>
        </w:numPr>
        <w:tabs>
          <w:tab w:val="clear" w:pos="475"/>
          <w:tab w:val="num" w:pos="1742"/>
        </w:tabs>
        <w:ind w:left="1267"/>
      </w:pPr>
      <w:r w:rsidRPr="005C520D">
        <w:t xml:space="preserve">El Código Penal de las Bahamas de 1924, en su forma enmendada (artículos 316, 330 y 334), dispone que todo acto realizado de buena fe y sin negligencia con el propósito de efectuar un tratamiento médico o quirúrgico a una embarazada está justificado, aunque provoque o tenga el propósito de provocar el aborto, intencional o no, el parto prematuro o la muerte del niño. Si bien el Código no define qué se entiende por tratamiento médico o quirúrgico, en la práctica la ley se interpreta con gran amplitud. </w:t>
      </w:r>
      <w:r>
        <w:t xml:space="preserve">Al parecer, se practican </w:t>
      </w:r>
      <w:r w:rsidRPr="005C520D">
        <w:t>abortos por motivos de deformidad del feto, violación o incesto</w:t>
      </w:r>
      <w:r>
        <w:t>,</w:t>
      </w:r>
      <w:r w:rsidRPr="005C520D">
        <w:t xml:space="preserve"> y también por motivos de salud. </w:t>
      </w:r>
    </w:p>
    <w:p w:rsidR="00C6312B" w:rsidRDefault="00C6312B" w:rsidP="00C6312B">
      <w:pPr>
        <w:pStyle w:val="SingleTxt"/>
        <w:numPr>
          <w:ilvl w:val="0"/>
          <w:numId w:val="25"/>
        </w:numPr>
        <w:tabs>
          <w:tab w:val="clear" w:pos="475"/>
          <w:tab w:val="num" w:pos="1742"/>
        </w:tabs>
        <w:ind w:left="1267"/>
      </w:pPr>
      <w:r w:rsidRPr="005C520D">
        <w:t xml:space="preserve">Por lo general, los abortos se practican durante el primer trimestre de embarazo, aunque muchas veces se permite efectuarlos hasta las 20 semanas de gestación. El aborto debe ser realizado en un establecimiento hospitalario por un médico titulado. </w:t>
      </w:r>
      <w:r>
        <w:t xml:space="preserve">Los hospitales estatales </w:t>
      </w:r>
      <w:r w:rsidRPr="005C520D">
        <w:t>se hace</w:t>
      </w:r>
      <w:r>
        <w:t>n</w:t>
      </w:r>
      <w:r w:rsidRPr="005C520D">
        <w:t xml:space="preserve"> cargo de los gastos si la paciente no puede pagarlos. El incumplimiento de la ley se castiga con diez años de reclusión (Código Penal, artículo 316).</w:t>
      </w:r>
    </w:p>
    <w:p w:rsidR="00C6312B" w:rsidRPr="00C6312B" w:rsidRDefault="00C6312B" w:rsidP="00C6312B">
      <w:pPr>
        <w:pStyle w:val="SingleTxt"/>
        <w:spacing w:after="0" w:line="120" w:lineRule="exact"/>
        <w:rPr>
          <w:sz w:val="10"/>
        </w:rPr>
      </w:pPr>
    </w:p>
    <w:p w:rsidR="00C6312B" w:rsidRPr="005C520D" w:rsidRDefault="00C6312B" w:rsidP="00C631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5C520D">
        <w:t>VIH/SIDA y enfermedades de transmisión sexual</w:t>
      </w:r>
    </w:p>
    <w:p w:rsidR="00C6312B" w:rsidRPr="00C6312B" w:rsidRDefault="00C6312B" w:rsidP="00C6312B">
      <w:pPr>
        <w:pStyle w:val="SingleTxt"/>
        <w:spacing w:after="0" w:line="120" w:lineRule="exact"/>
        <w:rPr>
          <w:sz w:val="10"/>
        </w:rPr>
      </w:pPr>
    </w:p>
    <w:p w:rsidR="00C6312B" w:rsidRDefault="00C6312B" w:rsidP="00C6312B">
      <w:pPr>
        <w:pStyle w:val="SingleTxt"/>
        <w:numPr>
          <w:ilvl w:val="0"/>
          <w:numId w:val="25"/>
        </w:numPr>
        <w:tabs>
          <w:tab w:val="clear" w:pos="475"/>
          <w:tab w:val="num" w:pos="1742"/>
        </w:tabs>
        <w:ind w:left="1267"/>
      </w:pPr>
      <w:r w:rsidRPr="005C520D">
        <w:t>El VIH y el SIDA siguen siendo un problema en las Bahamas. El número de casos descendió a 242 en 2010 y las mujeres constituyeron el 50,6% de los nuevos casos diagnosticados. En 2008 el SIDA ocupó el cuarto puesto entre las causas de mortalidad de la</w:t>
      </w:r>
      <w:r>
        <w:t>s</w:t>
      </w:r>
      <w:r w:rsidRPr="005C520D">
        <w:t xml:space="preserve"> mujer</w:t>
      </w:r>
      <w:r>
        <w:t>es</w:t>
      </w:r>
      <w:r w:rsidRPr="005C520D">
        <w:t xml:space="preserve"> y el segundo en el caso de los hombres. Según los datos disponibles de las personas que viven con el VIH/SIDA, la prevalencia del VIH/SIDA es del 2,2%. La incidencia del VIH mantiene una tendencia descendiente desde 1994 y este descenso ha sido especialmente llamativo en la franja de edades comprendidas entre los 25 y los 44 años, tanto mujeres como varones. Además, no se ha producido ninguna transmisión maternoinfantil del VIH de las embarazadas en tratamiento desde 2003. Estos son algunos de los avances logrados por el programa nacional sobre el SIDA y también para las mujeres.</w:t>
      </w:r>
    </w:p>
    <w:p w:rsidR="00C6312B" w:rsidRDefault="00C6312B" w:rsidP="00C6312B">
      <w:pPr>
        <w:pStyle w:val="SingleTxt"/>
        <w:numPr>
          <w:ilvl w:val="0"/>
          <w:numId w:val="25"/>
        </w:numPr>
        <w:tabs>
          <w:tab w:val="clear" w:pos="475"/>
          <w:tab w:val="num" w:pos="1742"/>
        </w:tabs>
        <w:ind w:left="1267"/>
      </w:pPr>
      <w:r w:rsidRPr="005C520D">
        <w:t xml:space="preserve">El programa del VIH/SIDA se encarga de atender a todos los residentes de las Bahamas con un planteamiento basado en las necesidades, </w:t>
      </w:r>
      <w:r>
        <w:t>ya</w:t>
      </w:r>
      <w:r w:rsidRPr="005C520D">
        <w:t xml:space="preserve"> sean </w:t>
      </w:r>
      <w:r>
        <w:t xml:space="preserve">grupales </w:t>
      </w:r>
      <w:r w:rsidRPr="005C520D">
        <w:t xml:space="preserve">o personales. Entre las intervenciones para las mujeres destacan el énfasis en las embarazadas VIH-positivas, el tratamiento durante el embarazo para evitar la transmisión maternoinfantil y reducir la mortalidad infantil, y también la realización de la prueba del VIH a las embarazadas con el consentimiento de la paciente.   </w:t>
      </w:r>
    </w:p>
    <w:p w:rsidR="00C6312B" w:rsidRDefault="00C6312B" w:rsidP="00C6312B">
      <w:pPr>
        <w:pStyle w:val="SingleTxt"/>
        <w:numPr>
          <w:ilvl w:val="0"/>
          <w:numId w:val="25"/>
        </w:numPr>
        <w:tabs>
          <w:tab w:val="clear" w:pos="475"/>
          <w:tab w:val="num" w:pos="1742"/>
        </w:tabs>
        <w:ind w:left="1267"/>
      </w:pPr>
      <w:r w:rsidRPr="005C520D">
        <w:t xml:space="preserve">Los centros de salud </w:t>
      </w:r>
      <w:r>
        <w:t xml:space="preserve">comunitarios </w:t>
      </w:r>
      <w:r w:rsidRPr="005C520D">
        <w:t xml:space="preserve">que cuentan con servicios de salud reproductiva y planificación familiar ofrecen servicios de planificación familiar y atención durante el embarazo de manera gratuita. Los servicios de salud </w:t>
      </w:r>
      <w:r>
        <w:t xml:space="preserve">comunitarios </w:t>
      </w:r>
      <w:r w:rsidRPr="005C520D">
        <w:t>siempre han estado dirigidos a las mujeres y los niños y la oferta es muy variada.</w:t>
      </w:r>
    </w:p>
    <w:p w:rsidR="00C6312B" w:rsidRDefault="00C6312B" w:rsidP="00C6312B">
      <w:pPr>
        <w:pStyle w:val="SingleTxt"/>
        <w:numPr>
          <w:ilvl w:val="0"/>
          <w:numId w:val="25"/>
        </w:numPr>
        <w:tabs>
          <w:tab w:val="clear" w:pos="475"/>
          <w:tab w:val="num" w:pos="1742"/>
        </w:tabs>
        <w:ind w:left="1267"/>
      </w:pPr>
      <w:r w:rsidRPr="005C520D">
        <w:t>El programa del VIH de las Bahamas presta tratamiento preventivo, atención y apoyo a todas las personas infectadas con el VIH del país; las embarazadas y los niños pequeños siempre han sido considerados grupos prioritarios. Cuando se empezó a recetar medicación antirretroviral en octubre de 2001, las embarazadas VIH-positivas y las madres de niños pequeños fueron las primeras en recibir el tratamiento. Anteriormente, en 1995, las embarazadas VIH-positivas fueron las primeras en recibir AZT oral e intravenoso</w:t>
      </w:r>
      <w:r>
        <w:t>.</w:t>
      </w:r>
    </w:p>
    <w:p w:rsidR="00C6312B" w:rsidRDefault="00C6312B" w:rsidP="00C6312B">
      <w:pPr>
        <w:pStyle w:val="SingleTxt"/>
        <w:numPr>
          <w:ilvl w:val="0"/>
          <w:numId w:val="25"/>
        </w:numPr>
        <w:tabs>
          <w:tab w:val="clear" w:pos="475"/>
          <w:tab w:val="num" w:pos="1742"/>
        </w:tabs>
        <w:ind w:left="1267"/>
      </w:pPr>
      <w:r w:rsidRPr="005C520D">
        <w:t xml:space="preserve">El programa Providing Access to Continuing Education </w:t>
      </w:r>
      <w:r>
        <w:t xml:space="preserve">(PACE) </w:t>
      </w:r>
      <w:r w:rsidRPr="005C520D">
        <w:t>se creó para dar apoyo a las adolescentes embarazadas. Aborda las necesidades de salud de este grupo y, a través del programa de salud para adolescentes, ofrece asesoramiento a las VIH-positivas. El Centro de VIH presta servicios de tratamiento y atención; de los demás servicios especiales se encarga</w:t>
      </w:r>
      <w:r>
        <w:t xml:space="preserve"> el Centro de Salud Adolescente de PACE.</w:t>
      </w:r>
    </w:p>
    <w:p w:rsidR="00C6312B" w:rsidRDefault="00C6312B" w:rsidP="00C6312B">
      <w:pPr>
        <w:pStyle w:val="SingleTxt"/>
        <w:numPr>
          <w:ilvl w:val="0"/>
          <w:numId w:val="25"/>
        </w:numPr>
        <w:tabs>
          <w:tab w:val="clear" w:pos="475"/>
          <w:tab w:val="num" w:pos="1742"/>
        </w:tabs>
        <w:ind w:left="1267"/>
      </w:pPr>
      <w:r w:rsidRPr="005C520D">
        <w:t xml:space="preserve">Las proyecciones sobre la amplitud de la epidemia de VIH/SIDA para las mujeres bahamesas </w:t>
      </w:r>
      <w:r>
        <w:t xml:space="preserve">sugieren </w:t>
      </w:r>
      <w:r w:rsidRPr="005C520D">
        <w:t xml:space="preserve">que es imposible prever </w:t>
      </w:r>
      <w:r>
        <w:t xml:space="preserve">con precisión </w:t>
      </w:r>
      <w:r w:rsidRPr="005C520D">
        <w:t xml:space="preserve">su evolución. En última instancia, los resultados futuros dependen de que los órganos normativos y otros interesados directos den una respuesta multisectorial más enérgica. </w:t>
      </w:r>
    </w:p>
    <w:p w:rsidR="00C6312B" w:rsidRDefault="00C6312B" w:rsidP="00C6312B">
      <w:pPr>
        <w:pStyle w:val="SingleTxt"/>
        <w:numPr>
          <w:ilvl w:val="0"/>
          <w:numId w:val="25"/>
        </w:numPr>
        <w:tabs>
          <w:tab w:val="clear" w:pos="475"/>
          <w:tab w:val="num" w:pos="1742"/>
        </w:tabs>
        <w:ind w:left="1267"/>
      </w:pPr>
      <w:r w:rsidRPr="005C520D">
        <w:t>Entre las medidas adoptadas para sensi</w:t>
      </w:r>
      <w:r>
        <w:t xml:space="preserve">bilizar al público sobre el VIH y el </w:t>
      </w:r>
      <w:r w:rsidRPr="005C520D">
        <w:t xml:space="preserve">SIDA cabe mencionar: las terapias antirretrovirales para las mujeres y los hombres VIH-positivos; la prevención de la transmisión maternoinfantil; el tratamiento de las embarazadas antes del parto; las políticas de información, educación, comunicación y prevención dirigidas a los grupos de mayor riesgo; las políticas para ampliar el acceso a las comunidades vulnerables; el porcentaje de mujeres y hombres VIH-positivos que reciben terapia antirretroviral y el porcentaje de </w:t>
      </w:r>
      <w:r>
        <w:t xml:space="preserve">los grupos de población </w:t>
      </w:r>
      <w:r w:rsidRPr="005C520D">
        <w:t xml:space="preserve">de mayor riesgo alcanzado por los programas de prevención. Los grupos a los que se pretende llegar son los hombres que tienen relaciones sexuales con hombres, los trabajadores sexuales y los consumidores de drogas inyectables. </w:t>
      </w:r>
    </w:p>
    <w:p w:rsidR="00C6312B" w:rsidRDefault="00C6312B" w:rsidP="00C6312B">
      <w:pPr>
        <w:pStyle w:val="SingleTxt"/>
        <w:numPr>
          <w:ilvl w:val="0"/>
          <w:numId w:val="25"/>
        </w:numPr>
        <w:tabs>
          <w:tab w:val="clear" w:pos="475"/>
          <w:tab w:val="num" w:pos="1742"/>
        </w:tabs>
        <w:ind w:left="1267"/>
      </w:pPr>
      <w:r w:rsidRPr="005C520D">
        <w:t xml:space="preserve">Cuando las mujeres asisten a los dispensarios prenatales reciben orientación, se les realizan pruebas de detección del VIH y se les brinda información para que comprendan mejor los riesgos de infección. El Gobierno también financia totalmente el tratamiento con AZT de las embarazadas infectadas por el VIH, lo que reduce las tasas de mortalidad infantil causada por la infección. Las mujeres también reciben capacitación especializada sobre la infección con el VIH, pero no existen otros programas que aborden específicamente los problemas relacionados con el género y el VIH. La ley tipifica como delito que una persona infecte a otra intencionadamente. </w:t>
      </w:r>
    </w:p>
    <w:p w:rsidR="00C6312B" w:rsidRPr="00C6312B" w:rsidRDefault="00C6312B" w:rsidP="00C6312B">
      <w:pPr>
        <w:pStyle w:val="SingleTxt"/>
        <w:spacing w:after="0" w:line="120" w:lineRule="exact"/>
        <w:rPr>
          <w:sz w:val="10"/>
        </w:rPr>
      </w:pPr>
    </w:p>
    <w:p w:rsidR="00C6312B" w:rsidRPr="005C520D" w:rsidRDefault="00C6312B" w:rsidP="00C631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5C520D">
        <w:t>Planificación familiar y participación del varón</w:t>
      </w:r>
    </w:p>
    <w:p w:rsidR="00C6312B" w:rsidRPr="00C6312B" w:rsidRDefault="00C6312B" w:rsidP="00C6312B">
      <w:pPr>
        <w:pStyle w:val="SingleTxt"/>
        <w:spacing w:after="0" w:line="120" w:lineRule="exact"/>
        <w:rPr>
          <w:sz w:val="10"/>
        </w:rPr>
      </w:pPr>
    </w:p>
    <w:p w:rsidR="00C6312B" w:rsidRDefault="00C6312B" w:rsidP="00C6312B">
      <w:pPr>
        <w:pStyle w:val="SingleTxt"/>
        <w:numPr>
          <w:ilvl w:val="0"/>
          <w:numId w:val="25"/>
        </w:numPr>
        <w:tabs>
          <w:tab w:val="clear" w:pos="475"/>
          <w:tab w:val="num" w:pos="1742"/>
        </w:tabs>
        <w:ind w:left="1267"/>
      </w:pPr>
      <w:r w:rsidRPr="005C520D">
        <w:t xml:space="preserve">Las Bahamas tienen el mayor gasto en salud </w:t>
      </w:r>
      <w:r>
        <w:rPr>
          <w:i/>
        </w:rPr>
        <w:t>per ca</w:t>
      </w:r>
      <w:r w:rsidRPr="00A566D8">
        <w:rPr>
          <w:i/>
        </w:rPr>
        <w:t>pita</w:t>
      </w:r>
      <w:r w:rsidRPr="005C520D">
        <w:t xml:space="preserve"> de la región de América Latina y el Caribe (lo ha mantenido por encima de 567 dólares per cápita desde 1998). Desde 1997 todos los dispensarios del Estado han prestado servicios de planificación familiar, incluido el de la Asociación de Planificación Familiar de las Bahamas. Los servicios que se ofrecen abarcan toda la gama de métodos anticonceptivos, </w:t>
      </w:r>
      <w:r>
        <w:t xml:space="preserve">así como </w:t>
      </w:r>
      <w:r w:rsidRPr="005C520D">
        <w:t xml:space="preserve">orientación, educación, información y exámenes físicos. En 1997 el Gobierno también estableció un programa para mejorar la calidad de la atención de la salud prenatal y neonatal. Actualmente tanto la educación sexual como la educación para la vida en familia son obligatorias en los planes de estudio escolares. El Gobierno ha modificado las normas relativas a los embarazos adolescentes. Ahora las niñas pueden continuar su educación académica a través del programa Providing Access to Continuing Education y hay un proceso en marcha para facilitarles la vuelta a la escuela secundaria o a un centro de formación profesional después del parto. </w:t>
      </w:r>
    </w:p>
    <w:p w:rsidR="00C6312B" w:rsidRDefault="00C6312B" w:rsidP="00C6312B">
      <w:pPr>
        <w:pStyle w:val="SingleTxt"/>
        <w:numPr>
          <w:ilvl w:val="0"/>
          <w:numId w:val="25"/>
        </w:numPr>
        <w:tabs>
          <w:tab w:val="clear" w:pos="475"/>
          <w:tab w:val="num" w:pos="1742"/>
        </w:tabs>
        <w:ind w:left="1267"/>
      </w:pPr>
      <w:r w:rsidRPr="005C520D">
        <w:t xml:space="preserve">El Gobierno de las Bahamas colabora con la Asociación de Planificación Familiar, por lo que ahora se celebran sesiones sobre planificación familiar en los dispensarios públicos. El plan de estudios de todas las escuelas incluye un programa de educación sexual adaptado a la edad de los estudiantes. </w:t>
      </w:r>
    </w:p>
    <w:p w:rsidR="00C6312B" w:rsidRDefault="00C6312B" w:rsidP="00C6312B">
      <w:pPr>
        <w:pStyle w:val="SingleTxt"/>
        <w:numPr>
          <w:ilvl w:val="0"/>
          <w:numId w:val="25"/>
        </w:numPr>
        <w:tabs>
          <w:tab w:val="clear" w:pos="475"/>
          <w:tab w:val="num" w:pos="1742"/>
        </w:tabs>
        <w:ind w:left="1267"/>
      </w:pPr>
      <w:r w:rsidRPr="005C520D">
        <w:t xml:space="preserve">El Gobierno de las Bahamas ha instituido varios programas dirigidos a promover modos de vida sanos, como una buena nutrición, mediante el establecimiento de un programa comunitario de hábitos saludables. Se ha emprendido una evaluación de las causas de morbilidad y mortalidad de las bahamesas y se están examinando las recomendaciones, que </w:t>
      </w:r>
      <w:r>
        <w:t xml:space="preserve">representan </w:t>
      </w:r>
      <w:r w:rsidRPr="005C520D">
        <w:t xml:space="preserve">iniciativas </w:t>
      </w:r>
      <w:r>
        <w:t xml:space="preserve">progresivas </w:t>
      </w:r>
      <w:r w:rsidRPr="005C520D">
        <w:t>para mejorar la salud de las mujeres. Una de esas iniciativas es el Healthy Dozen Club, parte del programa para la promoción de unos hábitos saludables. El programa trata de fomentar unos cambios positivos de estilo de vida entre los miembros de distintos grupos (escuelas, centros de trabajo, iglesias, etc.)</w:t>
      </w:r>
      <w:r>
        <w:t>,</w:t>
      </w:r>
      <w:r w:rsidRPr="005C520D">
        <w:t xml:space="preserve"> haciendo especial hincapié en que hagan más ejercicio físico y mejoren sus capacidades para elegir una alimentación saludable. Se trata de un programa afianzado y está dirigido por mujeres. </w:t>
      </w:r>
    </w:p>
    <w:p w:rsidR="00C6312B" w:rsidRPr="005C520D" w:rsidRDefault="00C6312B" w:rsidP="00C6312B">
      <w:pPr>
        <w:pStyle w:val="SingleTxt"/>
        <w:numPr>
          <w:ilvl w:val="0"/>
          <w:numId w:val="25"/>
        </w:numPr>
        <w:tabs>
          <w:tab w:val="clear" w:pos="475"/>
          <w:tab w:val="num" w:pos="1742"/>
        </w:tabs>
        <w:ind w:left="1267"/>
      </w:pPr>
      <w:r w:rsidRPr="005C520D">
        <w:t xml:space="preserve">También es preciso resolver otros problemas sanitarios como: las disparidades en materia de nutrición entre los niños y las niñas; la prestación de servicios de atención sanitaria especiales para los hombres y las mujeres y la necesidad de </w:t>
      </w:r>
      <w:r>
        <w:t xml:space="preserve">aumentar los </w:t>
      </w:r>
      <w:r w:rsidRPr="005C520D">
        <w:t>recursos para mejorar la salud de las mujeres durante su ciclo de vida. Las necesidades de atención sanitaria de las mujeres de más edad no se cubren debidamente y es urgente hacerlo teniendo en cuenta la prolongación de la esperanza de vida en general, pero especialmente la de las mujeres.</w:t>
      </w:r>
    </w:p>
    <w:p w:rsidR="00CE4ACA" w:rsidRPr="00CE4ACA" w:rsidRDefault="00CE4ACA" w:rsidP="00CE4ACA">
      <w:pPr>
        <w:pStyle w:val="SingleTxt"/>
        <w:suppressAutoHyphens/>
        <w:spacing w:after="0" w:line="120" w:lineRule="exact"/>
        <w:rPr>
          <w:sz w:val="10"/>
        </w:rPr>
      </w:pPr>
    </w:p>
    <w:p w:rsidR="00CE4ACA" w:rsidRPr="00CE4ACA" w:rsidRDefault="00CE4ACA" w:rsidP="00CE4ACA">
      <w:pPr>
        <w:pStyle w:val="SingleTxt"/>
        <w:suppressAutoHyphens/>
        <w:spacing w:after="0" w:line="120" w:lineRule="exact"/>
        <w:rPr>
          <w:sz w:val="10"/>
        </w:rPr>
      </w:pPr>
    </w:p>
    <w:p w:rsidR="00CE4ACA" w:rsidRDefault="00CE4ACA" w:rsidP="00CE4A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60" w:hanging="1267"/>
      </w:pPr>
      <w:r>
        <w:tab/>
      </w:r>
      <w:r>
        <w:tab/>
        <w:t>Artículo 13: Medidas adoptadas para asegurar la participación de las mujeres en la vida económica y social de las Bahamas en condiciones de igualdad</w:t>
      </w:r>
    </w:p>
    <w:p w:rsidR="00CE4ACA" w:rsidRPr="00CE4ACA" w:rsidRDefault="00CE4ACA" w:rsidP="00CE4ACA">
      <w:pPr>
        <w:pStyle w:val="SingleTxt"/>
        <w:spacing w:after="0" w:line="120" w:lineRule="exact"/>
        <w:rPr>
          <w:sz w:val="10"/>
        </w:rPr>
      </w:pPr>
    </w:p>
    <w:p w:rsidR="00CE4ACA" w:rsidRPr="00CE4ACA" w:rsidRDefault="00CE4ACA" w:rsidP="00CE4ACA">
      <w:pPr>
        <w:pStyle w:val="SingleTxt"/>
        <w:spacing w:after="0" w:line="120" w:lineRule="exact"/>
        <w:rPr>
          <w:sz w:val="10"/>
        </w:rPr>
      </w:pPr>
    </w:p>
    <w:p w:rsidR="00CE4ACA" w:rsidRDefault="00CE4ACA" w:rsidP="00CE4ACA">
      <w:pPr>
        <w:pStyle w:val="SingleTxt"/>
        <w:numPr>
          <w:ilvl w:val="0"/>
          <w:numId w:val="25"/>
        </w:numPr>
        <w:tabs>
          <w:tab w:val="clear" w:pos="475"/>
          <w:tab w:val="num" w:pos="1742"/>
        </w:tabs>
        <w:ind w:left="1267"/>
      </w:pPr>
      <w:r>
        <w:t>La Ley nacional de seguros de 1972 (capítulo 350) establece la sustitución de ingresos parcial para los trabajadores a quienes les corresponda, tanto hombres como mujeres (y en algunos casos para los familiares supérstites que estaban a cargo de los trabajadores), en eventualidades específicas. Los pagos a tal efecto incluyen nueve prestaciones y cuatro pagos de asistencia. Solo se conceden dos prestaciones y un pago de asistencia que hagan referencia específica a cuestiones de género: la prestación por maternidad y la prestación y el pago de asistencia por supervivencia. La prestación por maternidad solo es pagadera a mujeres; en el caso de la prestación por supervivencia y la asistencia por supervivencia, una mujer viuda y embarazada de su marido difunto puede tener derecho a los pagos mensuales.</w:t>
      </w:r>
    </w:p>
    <w:p w:rsidR="00CE4ACA" w:rsidRDefault="00CE4ACA" w:rsidP="00CE4ACA">
      <w:pPr>
        <w:pStyle w:val="SingleTxt"/>
        <w:numPr>
          <w:ilvl w:val="0"/>
          <w:numId w:val="25"/>
        </w:numPr>
        <w:tabs>
          <w:tab w:val="clear" w:pos="475"/>
          <w:tab w:val="num" w:pos="1742"/>
        </w:tabs>
        <w:ind w:left="1267"/>
      </w:pPr>
      <w:r>
        <w:t xml:space="preserve">Aparte de estas medidas, la leyes aplicables en materia de prestaciones y asistencia de la seguridad social son las mismas para hombres y mujeres. </w:t>
      </w:r>
    </w:p>
    <w:p w:rsidR="00CE4ACA" w:rsidRDefault="00CE4ACA" w:rsidP="00CE4ACA">
      <w:pPr>
        <w:pStyle w:val="SingleTxt"/>
        <w:numPr>
          <w:ilvl w:val="0"/>
          <w:numId w:val="25"/>
        </w:numPr>
        <w:tabs>
          <w:tab w:val="clear" w:pos="475"/>
          <w:tab w:val="num" w:pos="1742"/>
        </w:tabs>
        <w:ind w:left="1267"/>
      </w:pPr>
      <w:r>
        <w:t>Como ya se ha mencionado, se conceden nueve prestaciones y cuatro pagos de asistencia. Las mujeres que hayan realizado las contribuciones necesarias y cumplan con el resto de requisitos tendrán el mismo derecho a percibirlos que los hombres, y el montante será igualmente el mismo. Las nueves prestaciones son prestaciones por discapacidad, entierros, invalidez y lesión (y asistencia médica gratuita), prestación y subsidio por maternidad, prestación y subsidio por jubilación y enfermedad, prestación y subsidio por supervivencia y prestación por desempleo.</w:t>
      </w:r>
    </w:p>
    <w:p w:rsidR="00CE4ACA" w:rsidRDefault="00CE4ACA" w:rsidP="00CE4ACA">
      <w:pPr>
        <w:pStyle w:val="SingleTxt"/>
        <w:numPr>
          <w:ilvl w:val="0"/>
          <w:numId w:val="25"/>
        </w:numPr>
        <w:tabs>
          <w:tab w:val="clear" w:pos="475"/>
          <w:tab w:val="num" w:pos="1742"/>
        </w:tabs>
        <w:ind w:left="1267"/>
      </w:pPr>
      <w:r>
        <w:t>Las cuatro prestaciones que contempla la Ley nacional de seguros son: pensión no contributiva por vejez, prestación por invalidez, prestación por enfermedad y asistencia por supervivencia.</w:t>
      </w:r>
    </w:p>
    <w:p w:rsidR="00CE4ACA" w:rsidRPr="00CE4ACA" w:rsidRDefault="00CE4ACA" w:rsidP="00CE4ACA">
      <w:pPr>
        <w:pStyle w:val="SingleTxt"/>
        <w:spacing w:after="0" w:line="120" w:lineRule="exact"/>
        <w:rPr>
          <w:sz w:val="10"/>
        </w:rPr>
      </w:pPr>
    </w:p>
    <w:p w:rsidR="00CE4ACA" w:rsidRDefault="00CE4ACA" w:rsidP="00CE4A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524"/>
        </w:tabs>
        <w:ind w:left="1267" w:right="2893" w:hanging="1267"/>
      </w:pPr>
      <w:r>
        <w:tab/>
      </w:r>
      <w:r>
        <w:tab/>
        <w:t xml:space="preserve">Acceso a los préstamos bancarios, las hipotecas y otras formas de crédito de financiación </w:t>
      </w:r>
    </w:p>
    <w:p w:rsidR="00CE4ACA" w:rsidRPr="00CE4ACA" w:rsidRDefault="00CE4ACA" w:rsidP="00CE4ACA">
      <w:pPr>
        <w:pStyle w:val="SingleTxt"/>
        <w:spacing w:after="0" w:line="120" w:lineRule="exact"/>
        <w:rPr>
          <w:sz w:val="10"/>
        </w:rPr>
      </w:pPr>
    </w:p>
    <w:p w:rsidR="00CE4ACA" w:rsidRDefault="00CE4ACA" w:rsidP="00CE4ACA">
      <w:pPr>
        <w:pStyle w:val="SingleTxt"/>
        <w:numPr>
          <w:ilvl w:val="0"/>
          <w:numId w:val="25"/>
        </w:numPr>
        <w:tabs>
          <w:tab w:val="clear" w:pos="475"/>
          <w:tab w:val="num" w:pos="1742"/>
        </w:tabs>
        <w:ind w:left="1267"/>
      </w:pPr>
      <w:r>
        <w:t xml:space="preserve">En las Bahamas no existen restricciones respecto al acceso de la mujer al crédito. Las salvaguardias financieras garantizan que todas las personas tengan acceso al crédito. El acceso al crédito depende de la capacidad financiera de cada persona para proporcionar garantías, si fueran necesarias, así como de su capacidad para devolver el préstamo. Asimismo, las mujeres no necesitan la autorización de su cónyuge o tutor varón para obtener acceso al crédito. </w:t>
      </w:r>
    </w:p>
    <w:p w:rsidR="00CE4ACA" w:rsidRDefault="00CE4ACA" w:rsidP="00CE4ACA">
      <w:pPr>
        <w:pStyle w:val="SingleTxt"/>
        <w:numPr>
          <w:ilvl w:val="0"/>
          <w:numId w:val="25"/>
        </w:numPr>
        <w:tabs>
          <w:tab w:val="clear" w:pos="475"/>
          <w:tab w:val="num" w:pos="1742"/>
        </w:tabs>
        <w:ind w:left="1267"/>
      </w:pPr>
      <w:r>
        <w:t xml:space="preserve">Además, como actualmente hay más mujeres empleadas en la administración pública de las Bahamas, el Gobierno, conjuntamente con las instituciones financieras de todo el país, ha acordado dar a los funcionarios públicos acceso preferencial al crédito mediante deducciones salariales que están garantizadas por el empleo de la persona en la administración pública de las Bahamas. </w:t>
      </w:r>
    </w:p>
    <w:p w:rsidR="00CE4ACA" w:rsidRPr="00CE4ACA" w:rsidRDefault="00CE4ACA" w:rsidP="00CE4ACA">
      <w:pPr>
        <w:pStyle w:val="SingleTxt"/>
        <w:spacing w:after="0" w:line="120" w:lineRule="exact"/>
        <w:rPr>
          <w:sz w:val="10"/>
        </w:rPr>
      </w:pPr>
    </w:p>
    <w:p w:rsidR="00CE4ACA" w:rsidRDefault="00CE4ACA" w:rsidP="00CE4A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05" w:hanging="1267"/>
      </w:pPr>
      <w:r>
        <w:tab/>
      </w:r>
      <w:r>
        <w:tab/>
        <w:t xml:space="preserve">Derecho a participar en las actividades de recreación, los deportesy la vida cultural </w:t>
      </w:r>
    </w:p>
    <w:p w:rsidR="00CE4ACA" w:rsidRPr="00CE4ACA" w:rsidRDefault="00CE4ACA" w:rsidP="00CE4ACA">
      <w:pPr>
        <w:pStyle w:val="SingleTxt"/>
        <w:spacing w:after="0" w:line="120" w:lineRule="exact"/>
        <w:rPr>
          <w:sz w:val="10"/>
        </w:rPr>
      </w:pPr>
    </w:p>
    <w:p w:rsidR="00CE4ACA" w:rsidRDefault="00CE4ACA" w:rsidP="00CE4ACA">
      <w:pPr>
        <w:pStyle w:val="SingleTxt"/>
        <w:numPr>
          <w:ilvl w:val="0"/>
          <w:numId w:val="25"/>
        </w:numPr>
        <w:tabs>
          <w:tab w:val="clear" w:pos="475"/>
          <w:tab w:val="num" w:pos="1742"/>
        </w:tabs>
        <w:ind w:left="1267"/>
      </w:pPr>
      <w:r>
        <w:t>No hay restricciones jurídicas ni impedimentos culturales conocidos que prohíban a las bahamesas participar en cualquier tipo de actividad recreativa o deporte o intervenir en el desarrollo de la cultura. Entre las bahamesas se cuentan atletas de categoría mundial que han destacado en las pruebas de atletismo, donde han cosechado, entre otras, medallas olímpicas de oro, plata y bronce en las categorías femeninas de 4x100 metros, 200 metros y 400 metros.</w:t>
      </w:r>
    </w:p>
    <w:p w:rsidR="00CE4ACA" w:rsidRDefault="00CE4ACA" w:rsidP="00CE4ACA">
      <w:pPr>
        <w:pStyle w:val="SingleTxt"/>
        <w:numPr>
          <w:ilvl w:val="0"/>
          <w:numId w:val="25"/>
        </w:numPr>
        <w:tabs>
          <w:tab w:val="clear" w:pos="475"/>
          <w:tab w:val="num" w:pos="1742"/>
        </w:tabs>
        <w:ind w:left="1267"/>
      </w:pPr>
      <w:r>
        <w:t xml:space="preserve">Una mujer ocupa el cargo más alto de la función pública, la Secretaría Permanente del Ministerio de Juventud, Deportes y Cultura. Además, la Dirección de Cultura también recae en una mujer. En cuanto a las actividades culturales, las mujeres tienen derecho a participar en aquellas que les interesen. Igualmente, las mujeres también son libres de participar en el sector del entretenimiento. Sin embargo, su participación en esa industria es menor que la de los hombres. </w:t>
      </w:r>
    </w:p>
    <w:p w:rsidR="00CE4ACA" w:rsidRPr="00CE4ACA" w:rsidRDefault="00CE4ACA" w:rsidP="00CE4ACA">
      <w:pPr>
        <w:pStyle w:val="SingleTxt"/>
        <w:spacing w:after="0" w:line="120" w:lineRule="exact"/>
        <w:rPr>
          <w:sz w:val="10"/>
        </w:rPr>
      </w:pPr>
    </w:p>
    <w:p w:rsidR="00CE4ACA" w:rsidRPr="00CE4ACA" w:rsidRDefault="00CE4ACA" w:rsidP="00CE4ACA">
      <w:pPr>
        <w:pStyle w:val="SingleTxt"/>
        <w:spacing w:after="0" w:line="120" w:lineRule="exact"/>
        <w:rPr>
          <w:sz w:val="10"/>
        </w:rPr>
      </w:pPr>
    </w:p>
    <w:p w:rsidR="00CE4ACA" w:rsidRDefault="00CE4ACA" w:rsidP="00CE4A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Artículo 14: La mujer rural</w:t>
      </w:r>
    </w:p>
    <w:p w:rsidR="00CE4ACA" w:rsidRPr="00CE4ACA" w:rsidRDefault="00CE4ACA" w:rsidP="00CE4ACA">
      <w:pPr>
        <w:pStyle w:val="SingleTxt"/>
        <w:spacing w:after="0" w:line="120" w:lineRule="exact"/>
        <w:rPr>
          <w:sz w:val="10"/>
        </w:rPr>
      </w:pPr>
    </w:p>
    <w:p w:rsidR="00CE4ACA" w:rsidRPr="00CE4ACA" w:rsidRDefault="00CE4ACA" w:rsidP="00CE4ACA">
      <w:pPr>
        <w:pStyle w:val="SingleTxt"/>
        <w:spacing w:after="0" w:line="120" w:lineRule="exact"/>
        <w:rPr>
          <w:sz w:val="10"/>
        </w:rPr>
      </w:pPr>
    </w:p>
    <w:p w:rsidR="00CE4ACA" w:rsidRDefault="00CE4ACA" w:rsidP="00CE4ACA">
      <w:pPr>
        <w:pStyle w:val="SingleTxt"/>
        <w:numPr>
          <w:ilvl w:val="0"/>
          <w:numId w:val="25"/>
        </w:numPr>
        <w:tabs>
          <w:tab w:val="clear" w:pos="475"/>
          <w:tab w:val="num" w:pos="1742"/>
        </w:tabs>
        <w:ind w:left="1267"/>
      </w:pPr>
      <w:r>
        <w:t xml:space="preserve">Como se indicaba en el informe anterior, la población de las zonas rurales de las Bahamas es muy pequeña. La mayoría de los 353.658 habitantes de las Bahamas se concentra en la isla de New Providence (246.948) y en Grand Bahama (51.756). Las mujeres de las zonas rurales disfrutan de los mismos derechos que las mujeres de las zonas urbanas, de conformidad con la Constitución de las Bahamas. Sus derechos son los mismos con independencia del lugar en que residan. </w:t>
      </w:r>
    </w:p>
    <w:p w:rsidR="00CE4ACA" w:rsidRPr="00CE4ACA" w:rsidRDefault="00CE4ACA" w:rsidP="00CE4ACA">
      <w:pPr>
        <w:pStyle w:val="SingleTxt"/>
        <w:spacing w:after="0" w:line="120" w:lineRule="exact"/>
        <w:rPr>
          <w:sz w:val="10"/>
        </w:rPr>
      </w:pPr>
    </w:p>
    <w:p w:rsidR="00CE4ACA" w:rsidRDefault="00CE4ACA" w:rsidP="00CE4A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Participación de la mujer rural en la planificación del desarrollo</w:t>
      </w:r>
    </w:p>
    <w:p w:rsidR="00CE4ACA" w:rsidRPr="00CE4ACA" w:rsidRDefault="00CE4ACA" w:rsidP="00CE4ACA">
      <w:pPr>
        <w:pStyle w:val="SingleTxt"/>
        <w:spacing w:after="0" w:line="120" w:lineRule="exact"/>
        <w:rPr>
          <w:sz w:val="10"/>
        </w:rPr>
      </w:pPr>
    </w:p>
    <w:p w:rsidR="00CE4ACA" w:rsidRDefault="00CE4ACA" w:rsidP="00CE4ACA">
      <w:pPr>
        <w:pStyle w:val="SingleTxt"/>
        <w:numPr>
          <w:ilvl w:val="0"/>
          <w:numId w:val="25"/>
        </w:numPr>
        <w:tabs>
          <w:tab w:val="clear" w:pos="475"/>
          <w:tab w:val="num" w:pos="1742"/>
        </w:tabs>
        <w:ind w:left="1267"/>
      </w:pPr>
      <w:r>
        <w:t xml:space="preserve">A pesar de la escasa población de la mayoría de las islas de la familia de las Bahamas, sus residentes pueden participar en la elaboración y ejecución de planes de desarrollo en las administraciones locales, las comunidades religiosas, las asociaciones de padres y docentes de las escuelas, los clubes rotarios y otras organizaciones comunitarias locales. A pesar de que en esas islas no existen centros de crisis, el Centro de Crisis de las Bahamas ha impartido conferencias en dichas islas durante varios años para formar a especialistas, como agentes de policía, médicos, docentes, enfermeras y otros profesionales, que sean los principales responsables de la atención a personas que hayan sido víctimas de violencia sexual o doméstica. Este es un programa en curso. </w:t>
      </w:r>
    </w:p>
    <w:p w:rsidR="00CE4ACA" w:rsidRPr="00CE4ACA" w:rsidRDefault="00CE4ACA" w:rsidP="00CE4ACA">
      <w:pPr>
        <w:pStyle w:val="SingleTxt"/>
        <w:spacing w:after="0" w:line="120" w:lineRule="exact"/>
        <w:rPr>
          <w:sz w:val="10"/>
        </w:rPr>
      </w:pPr>
    </w:p>
    <w:p w:rsidR="00CE4ACA" w:rsidRDefault="00CE4ACA" w:rsidP="00CE4A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 xml:space="preserve">Acceso de la mujer rural a servicios de atención de salud adecuados </w:t>
      </w:r>
    </w:p>
    <w:p w:rsidR="00CE4ACA" w:rsidRPr="00CE4ACA" w:rsidRDefault="00CE4ACA" w:rsidP="00CE4ACA">
      <w:pPr>
        <w:pStyle w:val="SingleTxt"/>
        <w:spacing w:after="0" w:line="120" w:lineRule="exact"/>
        <w:rPr>
          <w:sz w:val="10"/>
        </w:rPr>
      </w:pPr>
    </w:p>
    <w:p w:rsidR="00CE4ACA" w:rsidRDefault="00CE4ACA" w:rsidP="00CE4ACA">
      <w:pPr>
        <w:pStyle w:val="SingleTxt"/>
        <w:numPr>
          <w:ilvl w:val="0"/>
          <w:numId w:val="25"/>
        </w:numPr>
        <w:tabs>
          <w:tab w:val="clear" w:pos="475"/>
          <w:tab w:val="num" w:pos="1742"/>
        </w:tabs>
        <w:ind w:left="1267"/>
      </w:pPr>
      <w:r>
        <w:t>La condición archipelágica de las Bahamas supone ciertas dificultades para el país, puesto que el Gobierno ha de duplicar infraestructuras en las diferentes islas. A pesar de ello, el Gobierno ha construido clínicas y destinado personal médico a cada una de las islas de la familia de las Bahamas para asegurar que todo natural y residente de cada una de esas islas tengan acceso adecuado a instalaciones sanitarias modernas y a médicos y enfermeras titulados. Si, como suele ocurrir, los residentes de las comunidades rurales precisan de cuidados especializados, existen protocolos para que los médicos de esas islas puedan remitir a sus pacientes a los hospitales públicos de New Providence o Grand Bahama, o a un hospital privado, si estos así lo prefieren. Para los casos de traumatismos que requieren atención especializada urgente, existen helicópteros sanitarios que pueden trasladar a los pacientes a la unidad de traumatología más cercana, sea en Grand Bahama, New Providence o, en algunos casos, en Miami (Florida).</w:t>
      </w:r>
    </w:p>
    <w:p w:rsidR="00CE4ACA" w:rsidRPr="00CE4ACA" w:rsidRDefault="00CE4ACA" w:rsidP="00CE4ACA">
      <w:pPr>
        <w:pStyle w:val="SingleTxt"/>
        <w:spacing w:after="0" w:line="120" w:lineRule="exact"/>
        <w:rPr>
          <w:sz w:val="10"/>
        </w:rPr>
      </w:pPr>
    </w:p>
    <w:p w:rsidR="00CE4ACA" w:rsidRDefault="00CE4ACA" w:rsidP="00CE4A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 xml:space="preserve">Posibilidades de la mujer rural de recibir educación y capacitación </w:t>
      </w:r>
    </w:p>
    <w:p w:rsidR="00CE4ACA" w:rsidRPr="00CE4ACA" w:rsidRDefault="00CE4ACA" w:rsidP="00CE4ACA">
      <w:pPr>
        <w:pStyle w:val="SingleTxt"/>
        <w:spacing w:after="0" w:line="120" w:lineRule="exact"/>
        <w:rPr>
          <w:sz w:val="10"/>
        </w:rPr>
      </w:pPr>
    </w:p>
    <w:p w:rsidR="00CE4ACA" w:rsidRDefault="00CE4ACA" w:rsidP="00CE4ACA">
      <w:pPr>
        <w:pStyle w:val="SingleTxt"/>
        <w:numPr>
          <w:ilvl w:val="0"/>
          <w:numId w:val="25"/>
        </w:numPr>
        <w:tabs>
          <w:tab w:val="clear" w:pos="475"/>
          <w:tab w:val="num" w:pos="1742"/>
        </w:tabs>
        <w:ind w:left="1267"/>
      </w:pPr>
      <w:r>
        <w:t xml:space="preserve">Al igual que en el acceso a la salud, los estudiantes de ambos sexos también disfrutan de acceso a la educación, con miras a lograr que todos los estudiantes, con independencia de su cantidad, puedan seguir los mismos planes de estudios que los estudiantes de New Providence o Grand Bahama. Sin embargo, las jóvenes de las islas </w:t>
      </w:r>
      <w:r w:rsidR="008340B8">
        <w:t xml:space="preserve">que constituyen </w:t>
      </w:r>
      <w:r>
        <w:t>la familia de las Bahamas tienen dificultades para matricularse y obtener títulos de los niveles superiores de educación en sus zonas respectivas, dado que la mayor parte de las instituciones de enseñanza superior se hallan en New Providence y Grand Bahama. La Corporación Agropecuaria e Industrial de las Bahamas ofrece capacitación a fin de ayudar a desarrollar o mejorar las aptitudes de las mujeres de estas zonas para confeccionar objetos artesanales y otros productos de las Bahamas.</w:t>
      </w:r>
    </w:p>
    <w:p w:rsidR="00CE4ACA" w:rsidRDefault="00CE4ACA" w:rsidP="00CE4ACA">
      <w:pPr>
        <w:pStyle w:val="SingleTxt"/>
        <w:numPr>
          <w:ilvl w:val="0"/>
          <w:numId w:val="25"/>
        </w:numPr>
        <w:tabs>
          <w:tab w:val="clear" w:pos="475"/>
          <w:tab w:val="num" w:pos="1742"/>
        </w:tabs>
        <w:ind w:left="1267"/>
      </w:pPr>
      <w:r>
        <w:t>Muchas de las zonas rurales logran sustentarse a sí mismas mediante la agricultura, gracias a la producción de alimentos para el autoconsumo, así como mediante la venta de sus productos agrícolas, tras su transporte en barco, en mercados más grandes de New Providence y Grand Bahama. Los residentes pueden planificar el transporte de sus productos gracias a la existencia de horarios establecidos para los barcos que visitan las islas. Los isleños pueden confeccionar productos de paja local como bolsos y sombreros, así como diversos productos de madera tallada, y enviarlos para su venta a New Providence o Grand Bahama, donde su demanda es mayor. Muchos residentes también trabajan en el sector pesquero y venden pescado fresco en estas dos islas. Cada vez hay más bahameses que vuelven a sus islas natales ya que, en su opinión, la calidad de vida en ellas supera en mucho a la de las zonas urbanas de las Bahamas. Todos los bahameses y residentes tienen el mismo acceso a unas condiciones de vida adecuadas; todas las islas de la familia de las Bahamas, por muy lejos que se hallen, cuentan con electricidad, saneamiento, transporte y comunicaciones modernas.</w:t>
      </w:r>
    </w:p>
    <w:p w:rsidR="00CE4ACA" w:rsidRPr="00CE4ACA" w:rsidRDefault="00CE4ACA" w:rsidP="00CE4ACA">
      <w:pPr>
        <w:pStyle w:val="SingleTxt"/>
        <w:spacing w:after="0" w:line="120" w:lineRule="exact"/>
        <w:rPr>
          <w:sz w:val="10"/>
        </w:rPr>
      </w:pPr>
    </w:p>
    <w:p w:rsidR="00CE4ACA" w:rsidRPr="00CE4ACA" w:rsidRDefault="00CE4ACA" w:rsidP="00CE4ACA">
      <w:pPr>
        <w:pStyle w:val="SingleTxt"/>
        <w:spacing w:after="0" w:line="120" w:lineRule="exact"/>
        <w:rPr>
          <w:sz w:val="10"/>
        </w:rPr>
      </w:pPr>
    </w:p>
    <w:p w:rsidR="00CE4ACA" w:rsidRDefault="00CE4ACA" w:rsidP="00CE4A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Artículo 15: Igualdad ante la ley e igualdad jurídica civil</w:t>
      </w:r>
    </w:p>
    <w:p w:rsidR="00CE4ACA" w:rsidRPr="00CE4ACA" w:rsidRDefault="00CE4ACA" w:rsidP="00CE4ACA">
      <w:pPr>
        <w:pStyle w:val="SingleTxt"/>
        <w:spacing w:after="0" w:line="120" w:lineRule="exact"/>
        <w:rPr>
          <w:sz w:val="10"/>
        </w:rPr>
      </w:pPr>
    </w:p>
    <w:p w:rsidR="00CE4ACA" w:rsidRPr="00CE4ACA" w:rsidRDefault="00CE4ACA" w:rsidP="00CE4ACA">
      <w:pPr>
        <w:pStyle w:val="SingleTxt"/>
        <w:spacing w:after="0" w:line="120" w:lineRule="exact"/>
        <w:rPr>
          <w:sz w:val="10"/>
        </w:rPr>
      </w:pPr>
    </w:p>
    <w:p w:rsidR="00CE4ACA" w:rsidRDefault="00CE4ACA" w:rsidP="00CE4A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Igualdad en el trato</w:t>
      </w:r>
    </w:p>
    <w:p w:rsidR="00CE4ACA" w:rsidRPr="00CE4ACA" w:rsidRDefault="00CE4ACA" w:rsidP="00CE4ACA">
      <w:pPr>
        <w:pStyle w:val="SingleTxt"/>
        <w:spacing w:after="0" w:line="120" w:lineRule="exact"/>
        <w:rPr>
          <w:sz w:val="10"/>
        </w:rPr>
      </w:pPr>
    </w:p>
    <w:p w:rsidR="00CE4ACA" w:rsidRDefault="00CE4ACA" w:rsidP="00CE4ACA">
      <w:pPr>
        <w:pStyle w:val="SingleTxt"/>
        <w:numPr>
          <w:ilvl w:val="0"/>
          <w:numId w:val="25"/>
        </w:numPr>
        <w:tabs>
          <w:tab w:val="clear" w:pos="475"/>
          <w:tab w:val="num" w:pos="1742"/>
        </w:tabs>
        <w:ind w:left="1267"/>
      </w:pPr>
      <w:r>
        <w:t>De conformidad con la ley, las mujeres gozan de los mismos derechos que los hombres en lo que se refiere a su capacidad legal para celebrar contratos y administrar bienes, en virtud del artículo 15 de la Constitución, en el que se estipulan los derechos y las libertades fundamentales de las personas y se establece que esos derechos están asegurados independientemente de su raza, lugar de origen, opiniones políticas, color, credo y sexo. Además, en el artículo de la Ley sobre los bienes de la mujer casada (capítulo 129) se estipula que los contratos celebrados por las mujeres casadas las comprometen a título personal. En ese artículo se establece que:</w:t>
      </w:r>
    </w:p>
    <w:p w:rsidR="00CE4ACA" w:rsidRDefault="00CE4ACA" w:rsidP="00CE4ACA">
      <w:pPr>
        <w:pStyle w:val="SingleTxt"/>
      </w:pPr>
      <w:r>
        <w:tab/>
      </w:r>
      <w:r>
        <w:tab/>
        <w:t xml:space="preserve">Todo contrato que a partir de ahora sea celebrado por una mujer casada, a </w:t>
      </w:r>
      <w:r>
        <w:tab/>
        <w:t xml:space="preserve">menos que lo haga como apoderada: </w:t>
      </w:r>
    </w:p>
    <w:p w:rsidR="00CE4ACA" w:rsidRDefault="00CE4ACA" w:rsidP="00CE4ACA">
      <w:pPr>
        <w:pStyle w:val="SingleTxt"/>
        <w:ind w:left="1742" w:hanging="475"/>
      </w:pPr>
      <w:r>
        <w:tab/>
      </w:r>
      <w:r>
        <w:tab/>
        <w:t>a)</w:t>
      </w:r>
      <w:r>
        <w:tab/>
        <w:t>Será considerado un contrato celebrado por ella en relación con sus bienes propios y vinculará a estos, sin importar que al momento de la celebración haya estado en posesión de estos o haya tenido derecho a ellos;</w:t>
      </w:r>
    </w:p>
    <w:p w:rsidR="00CE4ACA" w:rsidRDefault="00CE4ACA" w:rsidP="00CE4ACA">
      <w:pPr>
        <w:pStyle w:val="SingleTxt"/>
        <w:ind w:left="1742" w:hanging="475"/>
      </w:pPr>
      <w:r>
        <w:tab/>
      </w:r>
      <w:r>
        <w:tab/>
        <w:t>b)</w:t>
      </w:r>
      <w:r>
        <w:tab/>
        <w:t>Afectará a todos los bienes propios que, en ese momento o posteriormente, tenga en su posesión o a los que tenga derecho;</w:t>
      </w:r>
    </w:p>
    <w:p w:rsidR="00CE4ACA" w:rsidRDefault="00CE4ACA" w:rsidP="00CE4ACA">
      <w:pPr>
        <w:pStyle w:val="SingleTxt"/>
        <w:ind w:left="1742" w:hanging="475"/>
      </w:pPr>
      <w:r>
        <w:tab/>
      </w:r>
      <w:r>
        <w:tab/>
        <w:t>c)</w:t>
      </w:r>
      <w:r>
        <w:tab/>
        <w:t>Se podrá ejecutar, siguiendo los procedimientos establecidos por ley, contra todos los bienes que posteriormente, con arreglo a la información obtenida en la etapa probatoria, tenga en su posesión o a los que tenga derecho.</w:t>
      </w:r>
    </w:p>
    <w:p w:rsidR="00CE4ACA" w:rsidRDefault="00CE4ACA" w:rsidP="00CE4ACA">
      <w:pPr>
        <w:pStyle w:val="SingleTxt"/>
        <w:ind w:left="1742" w:hanging="475"/>
      </w:pPr>
      <w:r>
        <w:tab/>
      </w:r>
      <w:r>
        <w:tab/>
        <w:t>Con la salvedad de que nada de lo establecido en el presente artículo autoriza a que, para satisfacer cualquier obligación dimanada de ese contrato, se puedan ejecutar los bienes propios que, al momento de la celebración o posteriormente, le haya estado prohibido anticipar.</w:t>
      </w:r>
    </w:p>
    <w:p w:rsidR="00CE4ACA" w:rsidRPr="00CE4ACA" w:rsidRDefault="00CE4ACA" w:rsidP="00CE4ACA">
      <w:pPr>
        <w:pStyle w:val="SingleTxt"/>
        <w:spacing w:after="0" w:line="120" w:lineRule="exact"/>
        <w:rPr>
          <w:sz w:val="10"/>
        </w:rPr>
      </w:pPr>
    </w:p>
    <w:p w:rsidR="00CE4ACA" w:rsidRDefault="00CE4ACA" w:rsidP="00CE4A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La administración de bienes por parte de la mujer</w:t>
      </w:r>
    </w:p>
    <w:p w:rsidR="00CE4ACA" w:rsidRPr="00CE4ACA" w:rsidRDefault="00CE4ACA" w:rsidP="00CE4ACA">
      <w:pPr>
        <w:pStyle w:val="SingleTxt"/>
        <w:spacing w:after="0" w:line="120" w:lineRule="exact"/>
        <w:rPr>
          <w:sz w:val="10"/>
        </w:rPr>
      </w:pPr>
    </w:p>
    <w:p w:rsidR="00CE4ACA" w:rsidRDefault="00CE4ACA" w:rsidP="00CE4ACA">
      <w:pPr>
        <w:pStyle w:val="SingleTxt"/>
        <w:numPr>
          <w:ilvl w:val="0"/>
          <w:numId w:val="25"/>
        </w:numPr>
        <w:tabs>
          <w:tab w:val="clear" w:pos="475"/>
          <w:tab w:val="num" w:pos="1742"/>
        </w:tabs>
        <w:ind w:left="1267"/>
      </w:pPr>
      <w:r>
        <w:t>Las mujeres y los hombres gozan de los mismos derechos respecto de la administración de bienes. El artículo 6 1) de la Ley de interpretación y cláusulas generales (capítulo 2) establece que “las palabras y expresiones correspondientes al género masculino incluyen al femenino”. La Ley de administración de sucesiones (capítulo 108), que contiene cláusulas relativas a la administración de los bienes de una persona fallecida, define los términos “administrador” y “representante personal” haciendo referencia al género masculino. Por lo tanto, si se tiene en cuenta el artículo 6 1) de la Ley de interpretación y cláusulas generales, en el que se dice que las palabras y expresiones correspondientes al género masculino incluyen al femenino, lo que antecede significa que las mujeres tienen el mismo derecho que los hombres a administrar bienes y pueden ser albaceas o administradoras de una sucesión. Además, en virtud de la Ley de albaceas (capítulo 119), que establece disposiciones para la asignación de los remanentes no asignados de los testadores, los actos de una mujer no están restringidos.</w:t>
      </w:r>
    </w:p>
    <w:p w:rsidR="00CE4ACA" w:rsidRPr="00CE4ACA" w:rsidRDefault="00CE4ACA" w:rsidP="00CE4ACA">
      <w:pPr>
        <w:pStyle w:val="SingleTxt"/>
        <w:spacing w:after="0" w:line="120" w:lineRule="exact"/>
        <w:rPr>
          <w:sz w:val="10"/>
        </w:rPr>
      </w:pPr>
    </w:p>
    <w:p w:rsidR="00CE4ACA" w:rsidRDefault="00CE4ACA" w:rsidP="00CE4A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 xml:space="preserve">Igualdad de la mujer en relación con la enajenación de bienes </w:t>
      </w:r>
    </w:p>
    <w:p w:rsidR="00CE4ACA" w:rsidRPr="00CE4ACA" w:rsidRDefault="00CE4ACA" w:rsidP="00CE4ACA">
      <w:pPr>
        <w:pStyle w:val="SingleTxt"/>
        <w:spacing w:after="0" w:line="120" w:lineRule="exact"/>
        <w:rPr>
          <w:sz w:val="10"/>
        </w:rPr>
      </w:pPr>
    </w:p>
    <w:p w:rsidR="00CE4ACA" w:rsidRDefault="00CE4ACA" w:rsidP="00CE4ACA">
      <w:pPr>
        <w:pStyle w:val="SingleTxt"/>
        <w:numPr>
          <w:ilvl w:val="0"/>
          <w:numId w:val="25"/>
        </w:numPr>
        <w:tabs>
          <w:tab w:val="clear" w:pos="475"/>
          <w:tab w:val="num" w:pos="1742"/>
        </w:tabs>
        <w:ind w:left="1267"/>
      </w:pPr>
      <w:r>
        <w:t xml:space="preserve">En virtud de la Ley sobre los bienes de la mujer casada (capítulo 129) las mujeres tienen derecho a administrar bienes sin la interferencia o el consentimiento de un hombre, independientemente de que los haya adquirido durante el matrimonio o los haya aportado al mismo. </w:t>
      </w:r>
    </w:p>
    <w:p w:rsidR="00CE4ACA" w:rsidRDefault="00CE4ACA" w:rsidP="00CE4ACA">
      <w:pPr>
        <w:pStyle w:val="SingleTxt"/>
        <w:numPr>
          <w:ilvl w:val="0"/>
          <w:numId w:val="25"/>
        </w:numPr>
        <w:tabs>
          <w:tab w:val="clear" w:pos="475"/>
          <w:tab w:val="num" w:pos="1742"/>
        </w:tabs>
        <w:ind w:left="1267"/>
      </w:pPr>
      <w:r>
        <w:t>Toda mujer que contraiga matrimonio después de la entrada en vigencia de esta Ley tendrá derecho a poseer y mantener bienes propios y enajenar de la manera antedicha todo bien real o efecto personal que le haya pertenecido al momento de contraer matrimonio o haya sido adquirido o le correspondiera después del matrimonio, como salarios, utilidades, dinero o bienes ganados o adquiridos por ella en cualquier empleo, oficio u ocupación a los que se haya dedicado o que lleve a cabo en forma separada de su cónyuge o mediante el ejercicio de cualquier aptitud literaria, artística o científica.</w:t>
      </w:r>
    </w:p>
    <w:p w:rsidR="00CE4ACA" w:rsidRPr="00CE4ACA" w:rsidRDefault="00CE4ACA" w:rsidP="00CE4ACA">
      <w:pPr>
        <w:pStyle w:val="SingleTxt"/>
        <w:spacing w:after="0" w:line="120" w:lineRule="exact"/>
        <w:rPr>
          <w:sz w:val="10"/>
        </w:rPr>
      </w:pPr>
    </w:p>
    <w:p w:rsidR="00CE4ACA" w:rsidRDefault="00CE4ACA" w:rsidP="00CE4A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Acceso de las mujeres a la justicia</w:t>
      </w:r>
    </w:p>
    <w:p w:rsidR="00CE4ACA" w:rsidRPr="00CE4ACA" w:rsidRDefault="00CE4ACA" w:rsidP="00CE4ACA">
      <w:pPr>
        <w:pStyle w:val="SingleTxt"/>
        <w:spacing w:after="0" w:line="120" w:lineRule="exact"/>
        <w:rPr>
          <w:sz w:val="10"/>
        </w:rPr>
      </w:pPr>
    </w:p>
    <w:p w:rsidR="00CE4ACA" w:rsidRDefault="00CE4ACA" w:rsidP="00CE4ACA">
      <w:pPr>
        <w:pStyle w:val="SingleTxt"/>
        <w:numPr>
          <w:ilvl w:val="0"/>
          <w:numId w:val="25"/>
        </w:numPr>
        <w:tabs>
          <w:tab w:val="clear" w:pos="475"/>
          <w:tab w:val="num" w:pos="1742"/>
        </w:tabs>
        <w:ind w:left="1267"/>
      </w:pPr>
      <w:r>
        <w:t xml:space="preserve">La legislación nacional contempla el acceso de todas las mujeres a la justicia, incluidas las mujeres de las zonas rurales. En las zonas rurales, los administradores/jueces de paz pueden conocer de los casos civiles y penales de sus jurisdicciones respectivas. </w:t>
      </w:r>
    </w:p>
    <w:p w:rsidR="00CE4ACA" w:rsidRDefault="00CE4ACA" w:rsidP="00CE4ACA">
      <w:pPr>
        <w:pStyle w:val="SingleTxt"/>
        <w:numPr>
          <w:ilvl w:val="0"/>
          <w:numId w:val="25"/>
        </w:numPr>
        <w:tabs>
          <w:tab w:val="clear" w:pos="475"/>
          <w:tab w:val="num" w:pos="1742"/>
        </w:tabs>
        <w:ind w:left="1267"/>
      </w:pPr>
      <w:r>
        <w:t>Con arreglo al artículo 8 de la Ley sobre los bienes de la mujer casada (capítulo 129), las mujeres pueden entablar demandas y también ser objeto de ellas conforme a las leyes de las Bahamas:</w:t>
      </w:r>
    </w:p>
    <w:p w:rsidR="00CE4ACA" w:rsidRDefault="00CE4ACA" w:rsidP="00CE4ACA">
      <w:pPr>
        <w:pStyle w:val="SingleTxt"/>
        <w:ind w:left="1742" w:hanging="475"/>
      </w:pPr>
      <w:r>
        <w:tab/>
      </w:r>
      <w:r>
        <w:tab/>
        <w:t>Toda mujer casada antes o después de la promulgación de esta Ley tendrá para sí derecho a los mismos recursos civiles para accionar contra cualquier persona, incluido su cónyuge, y también (con sujeción, en lo que respecta a su cónyuge, a la condición establecida en la sección 95 del Código Penal) derecho a los mismos recursos y reparaciones por vía de las acciones penales, para la protección y seguridad de los bienes que le pertenezcan como mujer sola, con excepción de que, según queda dicho, ningún esposo o esposa puede iniciar contra el otro una demanda por daños y perjuicios. En toda querella o actuación de otro tipo que se lleve a cabo en virtud del presente artículo será suficiente que una mujer alegue que un bien es suyo y, en cualquier actuación llevada a cabo en virtud de este artículo, un esposo o esposa podrán prestar testimonio en contra del otro por más que otra ley o norma jurídica establezcan lo contrario.</w:t>
      </w:r>
    </w:p>
    <w:p w:rsidR="00CE4ACA" w:rsidRDefault="00CE4ACA" w:rsidP="00CE4ACA">
      <w:pPr>
        <w:pStyle w:val="SingleTxt"/>
        <w:numPr>
          <w:ilvl w:val="0"/>
          <w:numId w:val="25"/>
        </w:numPr>
        <w:tabs>
          <w:tab w:val="clear" w:pos="475"/>
          <w:tab w:val="num" w:pos="1742"/>
        </w:tabs>
        <w:ind w:left="1267"/>
      </w:pPr>
      <w:r>
        <w:t>Las abogadas tienen derecho a representar a sus clientes ante los tribunales de conformidad con lo establecido en la Ley de ejercicio de la profesión jurídica (capítulo 64) en la que se regula la práctica del derecho por las personas en las Bahamas, la admisión de esas personas a la práctica del derecho, la designación de asociados registrados y de asesores jurídicos, la conducta y la disciplina de los asociados registrados, los asesores jurídicos y las personas habilitadas para ejercer la abogacía y las cuestiones inherentes o vinculadas con lo antedicho y otorga a las mujeres los mismos privilegios de que gozan los hombres.</w:t>
      </w:r>
    </w:p>
    <w:p w:rsidR="00CE4ACA" w:rsidRDefault="00CE4ACA" w:rsidP="00CE4ACA">
      <w:pPr>
        <w:pStyle w:val="SingleTxt"/>
        <w:numPr>
          <w:ilvl w:val="0"/>
          <w:numId w:val="25"/>
        </w:numPr>
        <w:tabs>
          <w:tab w:val="clear" w:pos="475"/>
          <w:tab w:val="num" w:pos="1742"/>
        </w:tabs>
        <w:ind w:left="1267"/>
      </w:pPr>
      <w:r>
        <w:t xml:space="preserve">Las mujeres pueden ocupar cargos tanto en el Tribunal Supremo como en el Tribunal de Apelaciones de las Bahamas. Actualmente hay cinco juezas en el Tribunal Supremo y una mujer ocupa la presidencia del Tribunal de Apelaciones. </w:t>
      </w:r>
    </w:p>
    <w:p w:rsidR="00CE4ACA" w:rsidRPr="00CE4ACA" w:rsidRDefault="00CE4ACA" w:rsidP="00CE4ACA">
      <w:pPr>
        <w:pStyle w:val="SingleTxt"/>
        <w:spacing w:after="0" w:line="120" w:lineRule="exact"/>
        <w:rPr>
          <w:sz w:val="10"/>
        </w:rPr>
      </w:pPr>
    </w:p>
    <w:p w:rsidR="00CE4ACA" w:rsidRDefault="00CE4ACA" w:rsidP="00CE4A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Asistencia letrada</w:t>
      </w:r>
    </w:p>
    <w:p w:rsidR="00CE4ACA" w:rsidRPr="00CE4ACA" w:rsidRDefault="00CE4ACA" w:rsidP="00CE4ACA">
      <w:pPr>
        <w:pStyle w:val="SingleTxt"/>
        <w:spacing w:after="0" w:line="120" w:lineRule="exact"/>
        <w:rPr>
          <w:sz w:val="10"/>
        </w:rPr>
      </w:pPr>
    </w:p>
    <w:p w:rsidR="00CE4ACA" w:rsidRDefault="00CE4ACA" w:rsidP="00CE4ACA">
      <w:pPr>
        <w:pStyle w:val="SingleTxt"/>
        <w:numPr>
          <w:ilvl w:val="0"/>
          <w:numId w:val="25"/>
        </w:numPr>
        <w:tabs>
          <w:tab w:val="clear" w:pos="475"/>
          <w:tab w:val="num" w:pos="1742"/>
        </w:tabs>
        <w:ind w:left="1267"/>
      </w:pPr>
      <w:r>
        <w:t xml:space="preserve">En las Bahamas las mujeres tienen acceso en igualdad de condiciones a la asistencia letrada, tanto la privada como la pública costeada por el erario público, de conformidad con el artículo 20 de la Constitución de las Bahamas, conforme al cual: </w:t>
      </w:r>
    </w:p>
    <w:p w:rsidR="00CE4ACA" w:rsidRDefault="00CE4ACA" w:rsidP="00CE4ACA">
      <w:pPr>
        <w:pStyle w:val="SingleTxt"/>
      </w:pPr>
      <w:r>
        <w:tab/>
      </w:r>
      <w:r>
        <w:tab/>
        <w:t>2)</w:t>
      </w:r>
      <w:r>
        <w:tab/>
        <w:t xml:space="preserve">A toda persona acusada de un delito penal: </w:t>
      </w:r>
    </w:p>
    <w:p w:rsidR="00CE4ACA" w:rsidRDefault="00CE4ACA" w:rsidP="00CE4ACA">
      <w:pPr>
        <w:pStyle w:val="SingleTxt"/>
        <w:ind w:left="1742" w:hanging="475"/>
      </w:pPr>
      <w:r>
        <w:tab/>
      </w:r>
      <w:r>
        <w:tab/>
        <w:t>d)</w:t>
      </w:r>
      <w:r>
        <w:tab/>
        <w:t>Se le permitirá defenderse a ella misma ante el tribunal o, corriendo ella con los gastos, ser defendida por un representante legal de su elección o, cuando así lo establezca una ley en vigor en las Bahamas, por un representante legal costeado por el erario público.</w:t>
      </w:r>
    </w:p>
    <w:p w:rsidR="00CE4ACA" w:rsidRDefault="00CE4ACA" w:rsidP="00CE4ACA">
      <w:pPr>
        <w:pStyle w:val="SingleTxt"/>
        <w:numPr>
          <w:ilvl w:val="0"/>
          <w:numId w:val="25"/>
        </w:numPr>
        <w:tabs>
          <w:tab w:val="clear" w:pos="475"/>
          <w:tab w:val="num" w:pos="1742"/>
        </w:tabs>
        <w:ind w:left="1267"/>
      </w:pPr>
      <w:r>
        <w:t>Además, en lo relativo a los servicios jurídicos, el Centro de asistencia letrada Eugene Dupuch, el Colegio de Abogados de las Bahamas y el Centro de Crisis de las Bahamas proporcionan servicios jurídicos gratuitos para víctimas de actos de violencia.</w:t>
      </w:r>
    </w:p>
    <w:p w:rsidR="00CE4ACA" w:rsidRPr="00CE4ACA" w:rsidRDefault="00CE4ACA" w:rsidP="00CE4ACA">
      <w:pPr>
        <w:pStyle w:val="SingleTxt"/>
        <w:spacing w:after="0" w:line="120" w:lineRule="exact"/>
        <w:rPr>
          <w:sz w:val="10"/>
        </w:rPr>
      </w:pPr>
    </w:p>
    <w:p w:rsidR="00CE4ACA" w:rsidRDefault="00CE4ACA" w:rsidP="00CE4A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Libertad de circulación de la mujer</w:t>
      </w:r>
    </w:p>
    <w:p w:rsidR="00CE4ACA" w:rsidRPr="00CE4ACA" w:rsidRDefault="00CE4ACA" w:rsidP="00CE4ACA">
      <w:pPr>
        <w:pStyle w:val="SingleTxt"/>
        <w:spacing w:after="0" w:line="120" w:lineRule="exact"/>
        <w:rPr>
          <w:sz w:val="10"/>
        </w:rPr>
      </w:pPr>
    </w:p>
    <w:p w:rsidR="00CE4ACA" w:rsidRDefault="00CE4ACA" w:rsidP="00CE4ACA">
      <w:pPr>
        <w:pStyle w:val="SingleTxt"/>
        <w:numPr>
          <w:ilvl w:val="0"/>
          <w:numId w:val="25"/>
        </w:numPr>
        <w:tabs>
          <w:tab w:val="clear" w:pos="475"/>
          <w:tab w:val="num" w:pos="1742"/>
        </w:tabs>
        <w:ind w:left="1267"/>
      </w:pPr>
      <w:r>
        <w:t>Las mujeres disfrutan de la misma libertad de circulación que los hombres y tienen derecho a escoger su residencia y domicilio. No existen costumbres o tradiciones que limiten a la mujer el ejercicio de sus derechos de libre circulación en las Bahamas consagrados en el artículo 6 de la Constitución.</w:t>
      </w:r>
    </w:p>
    <w:p w:rsidR="008F0560" w:rsidRPr="008F0560" w:rsidRDefault="008F0560" w:rsidP="008F0560">
      <w:pPr>
        <w:pStyle w:val="SingleTxt"/>
        <w:tabs>
          <w:tab w:val="clear" w:pos="1742"/>
        </w:tabs>
        <w:suppressAutoHyphens/>
        <w:spacing w:after="0" w:line="120" w:lineRule="exact"/>
        <w:rPr>
          <w:sz w:val="10"/>
        </w:rPr>
      </w:pPr>
    </w:p>
    <w:p w:rsidR="008F0560" w:rsidRPr="008F0560" w:rsidRDefault="008F0560" w:rsidP="008F0560">
      <w:pPr>
        <w:pStyle w:val="SingleTxt"/>
        <w:tabs>
          <w:tab w:val="clear" w:pos="1742"/>
        </w:tabs>
        <w:suppressAutoHyphens/>
        <w:spacing w:after="0" w:line="120" w:lineRule="exact"/>
        <w:rPr>
          <w:sz w:val="10"/>
        </w:rPr>
      </w:pPr>
    </w:p>
    <w:p w:rsidR="008F0560" w:rsidRDefault="008F0560" w:rsidP="008F05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1" w:hanging="1267"/>
      </w:pPr>
      <w:r>
        <w:br w:type="page"/>
      </w:r>
      <w:r>
        <w:tab/>
      </w:r>
      <w:r>
        <w:tab/>
      </w:r>
      <w:r w:rsidRPr="003217C2">
        <w:t>Artículo 16: Medidas adoptadas para asegurar la igualdad de la mujer en el matrimonio y en la vida familiar</w:t>
      </w:r>
    </w:p>
    <w:p w:rsidR="008F0560" w:rsidRPr="008F0560" w:rsidRDefault="008F0560" w:rsidP="008F0560">
      <w:pPr>
        <w:pStyle w:val="SingleTxt"/>
        <w:spacing w:after="0" w:line="120" w:lineRule="exact"/>
        <w:rPr>
          <w:sz w:val="10"/>
        </w:rPr>
      </w:pPr>
    </w:p>
    <w:p w:rsidR="008F0560" w:rsidRPr="008F0560" w:rsidRDefault="008F0560" w:rsidP="008F0560">
      <w:pPr>
        <w:pStyle w:val="SingleTxt"/>
        <w:spacing w:after="0" w:line="120" w:lineRule="exact"/>
        <w:rPr>
          <w:sz w:val="10"/>
        </w:rPr>
      </w:pPr>
    </w:p>
    <w:p w:rsidR="008F0560" w:rsidRDefault="008F0560" w:rsidP="008F05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3217C2">
        <w:tab/>
      </w:r>
      <w:r w:rsidRPr="003217C2">
        <w:tab/>
        <w:t>Derecho de las mujeres a contraer matrimonio</w:t>
      </w:r>
    </w:p>
    <w:p w:rsidR="008F0560" w:rsidRPr="008F0560" w:rsidRDefault="008F0560" w:rsidP="008F0560">
      <w:pPr>
        <w:pStyle w:val="SingleTxt"/>
        <w:spacing w:after="0" w:line="120" w:lineRule="exact"/>
        <w:rPr>
          <w:sz w:val="10"/>
        </w:rPr>
      </w:pPr>
    </w:p>
    <w:p w:rsidR="008F0560" w:rsidRPr="003217C2" w:rsidRDefault="008F0560" w:rsidP="008F0560">
      <w:pPr>
        <w:pStyle w:val="SingleTxt"/>
        <w:numPr>
          <w:ilvl w:val="0"/>
          <w:numId w:val="25"/>
        </w:numPr>
        <w:tabs>
          <w:tab w:val="clear" w:pos="475"/>
          <w:tab w:val="num" w:pos="1742"/>
        </w:tabs>
        <w:ind w:left="1267"/>
      </w:pPr>
      <w:r w:rsidRPr="003217C2">
        <w:t xml:space="preserve">De conformidad con la Convención, las mujeres </w:t>
      </w:r>
      <w:r>
        <w:t xml:space="preserve">de </w:t>
      </w:r>
      <w:r w:rsidRPr="003217C2">
        <w:t xml:space="preserve">las Bahamas gozan del mismo derecho que los hombres a contraer matrimonio. Las mujeres también tienen el mismo derecho </w:t>
      </w:r>
      <w:r>
        <w:t>que los hombres a</w:t>
      </w:r>
      <w:r w:rsidRPr="003217C2">
        <w:t xml:space="preserve"> elegir libremente cónyuge y </w:t>
      </w:r>
      <w:r>
        <w:t xml:space="preserve">a </w:t>
      </w:r>
      <w:r w:rsidRPr="003217C2">
        <w:t>contraer matrimonio solo por su libre albedrío y su pleno consentimiento.</w:t>
      </w:r>
    </w:p>
    <w:p w:rsidR="008F0560" w:rsidRDefault="008F0560" w:rsidP="008F0560">
      <w:pPr>
        <w:pStyle w:val="SingleTxt"/>
        <w:numPr>
          <w:ilvl w:val="0"/>
          <w:numId w:val="25"/>
        </w:numPr>
        <w:tabs>
          <w:tab w:val="clear" w:pos="475"/>
          <w:tab w:val="num" w:pos="1742"/>
        </w:tabs>
        <w:ind w:left="1267"/>
      </w:pPr>
      <w:r w:rsidRPr="003217C2">
        <w:t xml:space="preserve">Las relaciones familiares se rigen por el derecho legislado y el common law. La Constitución de las Bahamas no aplica la igualdad de género en los casos en que las mujeres bahamesas contraen matrimonio con no nacionales, ya que no pueden transmitir su nacionalidad de manera inmediata a sus cónyuges, ni tampoco a </w:t>
      </w:r>
      <w:r>
        <w:t>lo</w:t>
      </w:r>
      <w:r w:rsidRPr="003217C2">
        <w:t xml:space="preserve">s hijos </w:t>
      </w:r>
      <w:r>
        <w:t>nacidos</w:t>
      </w:r>
      <w:r w:rsidRPr="003217C2">
        <w:t xml:space="preserve"> fuera del territorio de las Bahamas. Sin embargo, el Gobierno de las Bahamas ha promulgado leyes importantes para mitigar cualquier restricción de orden constitucional con respecto a la igualdad de la mujer en su derecho a contraer matrimo</w:t>
      </w:r>
      <w:r>
        <w:t>nio y transmitir la ciudadanía.</w:t>
      </w:r>
    </w:p>
    <w:p w:rsidR="008F0560" w:rsidRPr="008F0560" w:rsidRDefault="008F0560" w:rsidP="008F0560">
      <w:pPr>
        <w:pStyle w:val="SingleTxt"/>
        <w:spacing w:after="0" w:line="120" w:lineRule="exact"/>
        <w:rPr>
          <w:sz w:val="10"/>
        </w:rPr>
      </w:pPr>
    </w:p>
    <w:p w:rsidR="008F0560" w:rsidRDefault="008F0560" w:rsidP="008F05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3217C2">
        <w:tab/>
      </w:r>
      <w:r w:rsidRPr="003217C2">
        <w:tab/>
        <w:t>Parejas de hecho</w:t>
      </w:r>
    </w:p>
    <w:p w:rsidR="008F0560" w:rsidRPr="008F0560" w:rsidRDefault="008F0560" w:rsidP="008F0560">
      <w:pPr>
        <w:pStyle w:val="SingleTxt"/>
        <w:spacing w:after="0" w:line="120" w:lineRule="exact"/>
        <w:rPr>
          <w:sz w:val="10"/>
        </w:rPr>
      </w:pPr>
    </w:p>
    <w:p w:rsidR="008F0560" w:rsidRDefault="008F0560" w:rsidP="008F0560">
      <w:pPr>
        <w:pStyle w:val="SingleTxt"/>
        <w:numPr>
          <w:ilvl w:val="0"/>
          <w:numId w:val="25"/>
        </w:numPr>
        <w:tabs>
          <w:tab w:val="clear" w:pos="475"/>
          <w:tab w:val="num" w:pos="1742"/>
        </w:tabs>
        <w:ind w:left="1267"/>
      </w:pPr>
      <w:r w:rsidRPr="003217C2">
        <w:t>Los dos tipos de familias que existen en las Bahamas son los matrimonios leg</w:t>
      </w:r>
      <w:r>
        <w:t>ítimos</w:t>
      </w:r>
      <w:r w:rsidRPr="003217C2">
        <w:t xml:space="preserve"> y las uniones consensuales. Los matrimonios son reconocidos por el Estado. </w:t>
      </w:r>
    </w:p>
    <w:p w:rsidR="008F0560" w:rsidRPr="008F0560" w:rsidRDefault="008F0560" w:rsidP="008F0560">
      <w:pPr>
        <w:pStyle w:val="SingleTxt"/>
        <w:spacing w:after="0" w:line="120" w:lineRule="exact"/>
        <w:rPr>
          <w:sz w:val="10"/>
        </w:rPr>
      </w:pPr>
    </w:p>
    <w:p w:rsidR="008F0560" w:rsidRDefault="008F0560" w:rsidP="008F05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Protección en el matrimonio</w:t>
      </w:r>
    </w:p>
    <w:p w:rsidR="008F0560" w:rsidRPr="008F0560" w:rsidRDefault="008F0560" w:rsidP="008F0560">
      <w:pPr>
        <w:pStyle w:val="SingleTxt"/>
        <w:spacing w:after="0" w:line="120" w:lineRule="exact"/>
        <w:rPr>
          <w:sz w:val="10"/>
        </w:rPr>
      </w:pPr>
    </w:p>
    <w:p w:rsidR="008F0560" w:rsidRPr="003217C2" w:rsidRDefault="008F0560" w:rsidP="008F0560">
      <w:pPr>
        <w:pStyle w:val="SingleTxt"/>
        <w:numPr>
          <w:ilvl w:val="0"/>
          <w:numId w:val="25"/>
        </w:numPr>
        <w:tabs>
          <w:tab w:val="clear" w:pos="475"/>
          <w:tab w:val="num" w:pos="1742"/>
        </w:tabs>
        <w:ind w:left="1267"/>
      </w:pPr>
      <w:r w:rsidRPr="003217C2">
        <w:t xml:space="preserve">Cuando se han producido abusos, los derechos reconocidos por la ley a las personas que conviven como si fueran marido y mujer </w:t>
      </w:r>
      <w:r>
        <w:t xml:space="preserve">abarcan </w:t>
      </w:r>
      <w:r w:rsidRPr="003217C2">
        <w:t xml:space="preserve">la obtención de órdenes de protección de conformidad con la Ley sobre violencia doméstica (órdenes de protección) de 2007. </w:t>
      </w:r>
    </w:p>
    <w:p w:rsidR="008F0560" w:rsidRDefault="008F0560" w:rsidP="008F0560">
      <w:pPr>
        <w:pStyle w:val="SingleTxt"/>
        <w:numPr>
          <w:ilvl w:val="0"/>
          <w:numId w:val="25"/>
        </w:numPr>
        <w:tabs>
          <w:tab w:val="clear" w:pos="475"/>
          <w:tab w:val="num" w:pos="1742"/>
        </w:tabs>
        <w:ind w:left="1267"/>
      </w:pPr>
      <w:r w:rsidRPr="003217C2">
        <w:t>Además, en virtud de la Ley sobre la situación de los niños (capítulo 130), se considera que los niños nacidos fuera del matrimonio gozan del mismo estatuto jurídico que los nacidos de un matrimonio</w:t>
      </w:r>
      <w:r>
        <w:t>.</w:t>
      </w:r>
    </w:p>
    <w:p w:rsidR="008F0560" w:rsidRPr="008F0560" w:rsidRDefault="008F0560" w:rsidP="008F0560">
      <w:pPr>
        <w:pStyle w:val="SingleTxt"/>
        <w:spacing w:after="0" w:line="120" w:lineRule="exact"/>
        <w:rPr>
          <w:sz w:val="10"/>
        </w:rPr>
      </w:pPr>
    </w:p>
    <w:p w:rsidR="008F0560" w:rsidRDefault="008F0560" w:rsidP="008F05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3217C2">
        <w:tab/>
      </w:r>
      <w:r w:rsidRPr="003217C2">
        <w:tab/>
        <w:t>Derechos y responsabilidades de la mujer en el matrimonio</w:t>
      </w:r>
    </w:p>
    <w:p w:rsidR="008F0560" w:rsidRPr="008F0560" w:rsidRDefault="008F0560" w:rsidP="008F0560">
      <w:pPr>
        <w:pStyle w:val="SingleTxt"/>
        <w:spacing w:after="0" w:line="120" w:lineRule="exact"/>
        <w:rPr>
          <w:sz w:val="10"/>
        </w:rPr>
      </w:pPr>
    </w:p>
    <w:p w:rsidR="008F0560" w:rsidRDefault="008F0560" w:rsidP="008F0560">
      <w:pPr>
        <w:pStyle w:val="SingleTxt"/>
        <w:numPr>
          <w:ilvl w:val="0"/>
          <w:numId w:val="25"/>
        </w:numPr>
        <w:tabs>
          <w:tab w:val="clear" w:pos="475"/>
          <w:tab w:val="num" w:pos="1742"/>
        </w:tabs>
        <w:ind w:left="1267"/>
      </w:pPr>
      <w:r>
        <w:t>L</w:t>
      </w:r>
      <w:r w:rsidRPr="003217C2">
        <w:t>os hombres y las mujeres tienen las mismas obligaciones</w:t>
      </w:r>
      <w:r>
        <w:t xml:space="preserve"> durante el matrimonio</w:t>
      </w:r>
      <w:r w:rsidRPr="003217C2">
        <w:t>.</w:t>
      </w:r>
    </w:p>
    <w:p w:rsidR="008F0560" w:rsidRPr="008F0560" w:rsidRDefault="008F0560" w:rsidP="008F0560">
      <w:pPr>
        <w:pStyle w:val="SingleTxt"/>
        <w:spacing w:after="0" w:line="120" w:lineRule="exact"/>
        <w:rPr>
          <w:sz w:val="10"/>
        </w:rPr>
      </w:pPr>
    </w:p>
    <w:p w:rsidR="008F0560" w:rsidRDefault="008F0560" w:rsidP="008F05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3217C2">
        <w:tab/>
      </w:r>
      <w:r w:rsidRPr="003217C2">
        <w:tab/>
        <w:t>Derecho de la mujer a elegir una profesión</w:t>
      </w:r>
    </w:p>
    <w:p w:rsidR="008F0560" w:rsidRPr="008F0560" w:rsidRDefault="008F0560" w:rsidP="008F0560">
      <w:pPr>
        <w:pStyle w:val="SingleTxt"/>
        <w:spacing w:after="0" w:line="120" w:lineRule="exact"/>
        <w:rPr>
          <w:sz w:val="10"/>
        </w:rPr>
      </w:pPr>
    </w:p>
    <w:p w:rsidR="008F0560" w:rsidRDefault="008F0560" w:rsidP="008F0560">
      <w:pPr>
        <w:pStyle w:val="SingleTxt"/>
        <w:numPr>
          <w:ilvl w:val="0"/>
          <w:numId w:val="25"/>
        </w:numPr>
        <w:tabs>
          <w:tab w:val="clear" w:pos="475"/>
          <w:tab w:val="num" w:pos="1742"/>
        </w:tabs>
        <w:ind w:left="1267"/>
      </w:pPr>
      <w:r w:rsidRPr="003217C2">
        <w:t>Los hombres y las mujeres gozan de los mismos derechos en cuanto a la elección de su profesión y las mujeres los ejercitan. Estos derechos no se ven afectados por el matrimonio</w:t>
      </w:r>
      <w:r>
        <w:t>.</w:t>
      </w:r>
    </w:p>
    <w:p w:rsidR="008F0560" w:rsidRPr="008F0560" w:rsidRDefault="008F0560" w:rsidP="008F0560">
      <w:pPr>
        <w:pStyle w:val="SingleTxt"/>
        <w:spacing w:after="0" w:line="120" w:lineRule="exact"/>
        <w:rPr>
          <w:sz w:val="10"/>
        </w:rPr>
      </w:pPr>
    </w:p>
    <w:p w:rsidR="008F0560" w:rsidRDefault="008F0560" w:rsidP="008F05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3217C2">
        <w:tab/>
      </w:r>
      <w:r w:rsidRPr="003217C2">
        <w:tab/>
        <w:t>Igualdad de derechos a poseer bienes</w:t>
      </w:r>
    </w:p>
    <w:p w:rsidR="008F0560" w:rsidRPr="008F0560" w:rsidRDefault="008F0560" w:rsidP="008F0560">
      <w:pPr>
        <w:pStyle w:val="SingleTxt"/>
        <w:spacing w:after="0" w:line="120" w:lineRule="exact"/>
        <w:rPr>
          <w:sz w:val="10"/>
        </w:rPr>
      </w:pPr>
    </w:p>
    <w:p w:rsidR="008F0560" w:rsidRDefault="008F0560" w:rsidP="008F0560">
      <w:pPr>
        <w:pStyle w:val="SingleTxt"/>
        <w:numPr>
          <w:ilvl w:val="0"/>
          <w:numId w:val="25"/>
        </w:numPr>
        <w:tabs>
          <w:tab w:val="clear" w:pos="475"/>
          <w:tab w:val="num" w:pos="1742"/>
        </w:tabs>
        <w:ind w:left="1267"/>
      </w:pPr>
      <w:r w:rsidRPr="003217C2">
        <w:t>Las mujeres casadas tienen la misma voz que sus cónyuges en cuanto al mantenimiento y la enajenación de bienes, de conformidad con el artículo 2 de la Ley sobre los bienes de la mujer casada, citado en el artículo 15 del presente informe.</w:t>
      </w:r>
    </w:p>
    <w:p w:rsidR="008F0560" w:rsidRPr="008F0560" w:rsidRDefault="008F0560" w:rsidP="008F0560">
      <w:pPr>
        <w:pStyle w:val="SingleTxt"/>
        <w:spacing w:after="0" w:line="120" w:lineRule="exact"/>
        <w:rPr>
          <w:sz w:val="10"/>
        </w:rPr>
      </w:pPr>
    </w:p>
    <w:p w:rsidR="008F0560" w:rsidRDefault="008F0560" w:rsidP="00B77B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30" w:lineRule="exact"/>
        <w:ind w:left="1267" w:right="1267" w:hanging="1267"/>
      </w:pPr>
      <w:r w:rsidRPr="003217C2">
        <w:tab/>
      </w:r>
      <w:r w:rsidRPr="003217C2">
        <w:tab/>
        <w:t>Igualdad de la mujer en el divorcio</w:t>
      </w:r>
    </w:p>
    <w:p w:rsidR="008F0560" w:rsidRPr="008F0560" w:rsidRDefault="008F0560" w:rsidP="00B77B52">
      <w:pPr>
        <w:pStyle w:val="SingleTxt"/>
        <w:spacing w:after="0" w:line="230" w:lineRule="exact"/>
        <w:rPr>
          <w:sz w:val="10"/>
        </w:rPr>
      </w:pPr>
    </w:p>
    <w:p w:rsidR="008F0560" w:rsidRPr="003217C2" w:rsidRDefault="008F0560" w:rsidP="00B77B52">
      <w:pPr>
        <w:pStyle w:val="SingleTxt"/>
        <w:numPr>
          <w:ilvl w:val="0"/>
          <w:numId w:val="25"/>
        </w:numPr>
        <w:tabs>
          <w:tab w:val="clear" w:pos="475"/>
          <w:tab w:val="num" w:pos="1742"/>
        </w:tabs>
        <w:spacing w:line="230" w:lineRule="exact"/>
        <w:ind w:left="1267"/>
      </w:pPr>
      <w:r w:rsidRPr="003217C2">
        <w:t xml:space="preserve">Los hombres y las mujeres gozan de los mismos derechos en cuanto a la disolución del matrimonio. Tanto el esposo como la esposa pueden presentar a un tribunal una demanda de divorcio fundándola en los mismos motivos, </w:t>
      </w:r>
      <w:r>
        <w:t xml:space="preserve">por ejemplo, </w:t>
      </w:r>
      <w:r w:rsidRPr="003217C2">
        <w:t>el adulterio, la crueldad, el abandono, el haber vivido separados durante un período ininterrumpido de cinco años inmediatamente anterior a la demanda o el haber sido declarado culpable de prácticas homosexuales, de sodomía o de haber tenido relaciones sexuales con un animal, con la salvedad de que la esposa también puede solicitar el divorcio con el argumento de que después de celebrado el matrimonio el marido haya sido declarado culpable de violación.</w:t>
      </w:r>
    </w:p>
    <w:p w:rsidR="008F0560" w:rsidRPr="003217C2" w:rsidRDefault="008F0560" w:rsidP="00B77B52">
      <w:pPr>
        <w:pStyle w:val="SingleTxt"/>
        <w:numPr>
          <w:ilvl w:val="0"/>
          <w:numId w:val="25"/>
        </w:numPr>
        <w:tabs>
          <w:tab w:val="clear" w:pos="475"/>
          <w:tab w:val="num" w:pos="1742"/>
        </w:tabs>
        <w:spacing w:line="230" w:lineRule="exact"/>
        <w:ind w:left="1267"/>
      </w:pPr>
      <w:r w:rsidRPr="003217C2">
        <w:t>En las Bahamas los divorcios se asientan en el Registro del Tribunal Supremo.</w:t>
      </w:r>
    </w:p>
    <w:p w:rsidR="008F0560" w:rsidRPr="003217C2" w:rsidRDefault="008F0560" w:rsidP="00B77B52">
      <w:pPr>
        <w:pStyle w:val="SingleTxt"/>
        <w:numPr>
          <w:ilvl w:val="0"/>
          <w:numId w:val="25"/>
        </w:numPr>
        <w:tabs>
          <w:tab w:val="clear" w:pos="475"/>
          <w:tab w:val="num" w:pos="1742"/>
        </w:tabs>
        <w:spacing w:line="230" w:lineRule="exact"/>
        <w:ind w:left="1267"/>
      </w:pPr>
      <w:r w:rsidRPr="003217C2">
        <w:t>En caso de divorcio o en espera de que se sustancie la demanda, las mujeres tienen el mismo derecho a manutención. En virtud del artículo 26 de la Ley de causas matrimoniales (capítulo 125):</w:t>
      </w:r>
    </w:p>
    <w:p w:rsidR="008F0560" w:rsidRPr="003217C2" w:rsidRDefault="008F0560" w:rsidP="00B77B52">
      <w:pPr>
        <w:pStyle w:val="SingleTxt"/>
        <w:spacing w:line="230" w:lineRule="exact"/>
        <w:ind w:left="1742" w:hanging="475"/>
      </w:pPr>
      <w:r>
        <w:tab/>
      </w:r>
      <w:r w:rsidRPr="003217C2">
        <w:t>26.</w:t>
      </w:r>
      <w:r>
        <w:tab/>
      </w:r>
      <w:r w:rsidRPr="003217C2">
        <w:t>En una demanda de divorcio, nulidad del matrimonio o separación judicial</w:t>
      </w:r>
      <w:r>
        <w:t>,</w:t>
      </w:r>
      <w:r w:rsidRPr="003217C2">
        <w:t xml:space="preserve"> el tribunal puede ordenar el pago de una pensión de alimentos mientras se sustancia el juicio, es decir, una orden por la que se exige a una u otra parte que realice a la otra pagos periódicos para su man</w:t>
      </w:r>
      <w:r>
        <w:t>u</w:t>
      </w:r>
      <w:r w:rsidRPr="003217C2">
        <w:t>ten</w:t>
      </w:r>
      <w:r>
        <w:t>c</w:t>
      </w:r>
      <w:r w:rsidRPr="003217C2">
        <w:t>i</w:t>
      </w:r>
      <w:r>
        <w:t>ón</w:t>
      </w:r>
      <w:r w:rsidRPr="003217C2">
        <w:t xml:space="preserve"> y por un período que comience en una fecha no anterior a la presentación de la demanda y finalice en la fecha en que concluya el juicio, según lo que el tribunal considere razonable. </w:t>
      </w:r>
    </w:p>
    <w:p w:rsidR="008F0560" w:rsidRPr="003217C2" w:rsidRDefault="008F0560" w:rsidP="00B77B52">
      <w:pPr>
        <w:pStyle w:val="SingleTxt"/>
        <w:numPr>
          <w:ilvl w:val="0"/>
          <w:numId w:val="25"/>
        </w:numPr>
        <w:tabs>
          <w:tab w:val="clear" w:pos="475"/>
          <w:tab w:val="num" w:pos="1742"/>
        </w:tabs>
        <w:spacing w:line="230" w:lineRule="exact"/>
        <w:ind w:left="1267"/>
      </w:pPr>
      <w:r w:rsidRPr="003217C2">
        <w:t>Asimismo, en el artículo 27 sobre el otorgamiento del divorcio, la nulidad del matrimonio o la separación judicial, el tribunal puede otorgar una orden o una combinación de órdenes. Por ejemplo, la realización de pagos periódicos durante un período de tiempo determinado o pagos de una suma fija a favor de la otra parte en el matrimonio o a favor de un hijo.</w:t>
      </w:r>
    </w:p>
    <w:p w:rsidR="008F0560" w:rsidRPr="003217C2" w:rsidRDefault="008F0560" w:rsidP="00B77B52">
      <w:pPr>
        <w:pStyle w:val="SingleTxt"/>
        <w:numPr>
          <w:ilvl w:val="0"/>
          <w:numId w:val="25"/>
        </w:numPr>
        <w:tabs>
          <w:tab w:val="clear" w:pos="475"/>
          <w:tab w:val="num" w:pos="1742"/>
        </w:tabs>
        <w:spacing w:line="230" w:lineRule="exact"/>
        <w:ind w:left="1267"/>
      </w:pPr>
      <w:r w:rsidRPr="003217C2">
        <w:t>El tribunal puede dictar órdenes de ajuste patrimonial, es decir, órdenes para que se realice una transferencia de bienes u órdenes para lograr acuerdos sobre los bienes o para que se modifique un acuerdo. De conformidad con el artículo 29 1) g) de la Ley de causas matrimoniales (capítulo 125), al determinar las disposiciones financieras o los ajustes patrimoniales el tribunal tiene la obligación de tener en cuenta varios aspectos, como la contribución realizada por cada una de las partes al bienestar de la familia, inclu</w:t>
      </w:r>
      <w:r>
        <w:t xml:space="preserve">ida </w:t>
      </w:r>
      <w:r w:rsidRPr="003217C2">
        <w:t>toda contribución al cuidado del hogar y la atención de la familia.</w:t>
      </w:r>
    </w:p>
    <w:p w:rsidR="008F0560" w:rsidRDefault="008F0560" w:rsidP="00B77B52">
      <w:pPr>
        <w:pStyle w:val="SingleTxt"/>
        <w:numPr>
          <w:ilvl w:val="0"/>
          <w:numId w:val="25"/>
        </w:numPr>
        <w:tabs>
          <w:tab w:val="clear" w:pos="475"/>
          <w:tab w:val="num" w:pos="1742"/>
        </w:tabs>
        <w:spacing w:line="230" w:lineRule="exact"/>
        <w:ind w:left="1267"/>
      </w:pPr>
      <w:r w:rsidRPr="003217C2">
        <w:t xml:space="preserve">En el caso de las parejas que viven juntas como marido y mujer sin </w:t>
      </w:r>
      <w:r>
        <w:t xml:space="preserve">haber contraído </w:t>
      </w:r>
      <w:r w:rsidRPr="003217C2">
        <w:t>matrimonio leg</w:t>
      </w:r>
      <w:r>
        <w:t>ítimo</w:t>
      </w:r>
      <w:r w:rsidRPr="003217C2">
        <w:t xml:space="preserve">, los tribunales reconocen los derechos </w:t>
      </w:r>
      <w:r>
        <w:t xml:space="preserve">sobre </w:t>
      </w:r>
      <w:r w:rsidRPr="003217C2">
        <w:t>los bienes mientras dure la relación y en el momento de su disolución, pero no existen disposiciones jurídicas que regulen ese reconocimiento.</w:t>
      </w:r>
    </w:p>
    <w:p w:rsidR="008F0560" w:rsidRPr="008F0560" w:rsidRDefault="008F0560" w:rsidP="00B77B52">
      <w:pPr>
        <w:pStyle w:val="SingleTxt"/>
        <w:spacing w:after="0" w:line="230" w:lineRule="exact"/>
        <w:rPr>
          <w:sz w:val="10"/>
        </w:rPr>
      </w:pPr>
    </w:p>
    <w:p w:rsidR="008F0560" w:rsidRDefault="008F0560" w:rsidP="00B77B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30" w:lineRule="exact"/>
        <w:ind w:left="1267" w:right="1267" w:hanging="1267"/>
      </w:pPr>
      <w:r w:rsidRPr="003217C2">
        <w:tab/>
      </w:r>
      <w:r w:rsidRPr="003217C2">
        <w:tab/>
        <w:t>Protección de las mujeres contra la violencia doméstica</w:t>
      </w:r>
    </w:p>
    <w:p w:rsidR="008F0560" w:rsidRPr="008F0560" w:rsidRDefault="008F0560" w:rsidP="00B77B52">
      <w:pPr>
        <w:pStyle w:val="SingleTxt"/>
        <w:spacing w:after="0" w:line="230" w:lineRule="exact"/>
        <w:rPr>
          <w:sz w:val="10"/>
        </w:rPr>
      </w:pPr>
    </w:p>
    <w:p w:rsidR="008F0560" w:rsidRPr="003D4CA9" w:rsidRDefault="008F0560" w:rsidP="00B77B52">
      <w:pPr>
        <w:pStyle w:val="SingleTxt"/>
        <w:numPr>
          <w:ilvl w:val="0"/>
          <w:numId w:val="25"/>
        </w:numPr>
        <w:tabs>
          <w:tab w:val="clear" w:pos="475"/>
          <w:tab w:val="num" w:pos="1742"/>
        </w:tabs>
        <w:spacing w:line="230" w:lineRule="exact"/>
        <w:ind w:left="1267"/>
      </w:pPr>
      <w:r w:rsidRPr="003217C2">
        <w:t xml:space="preserve">Anteriormente, las disposiciones que regían en los casos de abuso de las esposas formaban parte de la Ley de delitos sexuales y violencia doméstica (capítulo 99). En 2007 se promulgó una nueva ley, denominada Ley sobre violencia doméstica (órdenes de protección), que deroga y reemplaza las disposiciones de la Ley de delitos sexuales y violencia doméstica y aborda el tema de los abusos de modo que no solo las </w:t>
      </w:r>
      <w:r>
        <w:t xml:space="preserve">esposas legítimas </w:t>
      </w:r>
      <w:r w:rsidRPr="003217C2">
        <w:t>sino también las esposas de hecho puedan solicitar órdenes de protección contra quienes perpetren abusos</w:t>
      </w:r>
      <w:r w:rsidRPr="003217C2">
        <w:rPr>
          <w:vertAlign w:val="subscript"/>
        </w:rPr>
        <w:t>.</w:t>
      </w:r>
    </w:p>
    <w:p w:rsidR="008F0560" w:rsidRDefault="008F0560" w:rsidP="00B77B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3217C2">
        <w:tab/>
      </w:r>
      <w:r w:rsidRPr="003217C2">
        <w:tab/>
        <w:t>Custodia de los hijos</w:t>
      </w:r>
    </w:p>
    <w:p w:rsidR="008F0560" w:rsidRPr="008F0560" w:rsidRDefault="008F0560" w:rsidP="00B77B52">
      <w:pPr>
        <w:pStyle w:val="SingleTxt"/>
        <w:spacing w:after="0"/>
        <w:rPr>
          <w:sz w:val="10"/>
        </w:rPr>
      </w:pPr>
    </w:p>
    <w:p w:rsidR="008F0560" w:rsidRPr="003217C2" w:rsidRDefault="008F0560" w:rsidP="00B77B52">
      <w:pPr>
        <w:pStyle w:val="SingleTxt"/>
        <w:numPr>
          <w:ilvl w:val="0"/>
          <w:numId w:val="25"/>
        </w:numPr>
        <w:tabs>
          <w:tab w:val="clear" w:pos="475"/>
          <w:tab w:val="num" w:pos="1742"/>
        </w:tabs>
        <w:ind w:left="1267"/>
      </w:pPr>
      <w:r w:rsidRPr="003217C2">
        <w:t xml:space="preserve">Con respecto a la custodia de los hijos, las mujeres y los hombres gozan de los mismos derechos, independientemente del estado civil. El artículo 7 de la Ley de tutela y custodia de los hijos (capítulo 132) dice que: </w:t>
      </w:r>
    </w:p>
    <w:p w:rsidR="008F0560" w:rsidRPr="003217C2" w:rsidRDefault="008F0560" w:rsidP="00B77B52">
      <w:pPr>
        <w:pStyle w:val="SingleTxt"/>
        <w:ind w:left="1742" w:hanging="475"/>
      </w:pPr>
      <w:r>
        <w:tab/>
      </w:r>
      <w:r>
        <w:tab/>
      </w:r>
      <w:r w:rsidRPr="003217C2">
        <w:t>7. 1)</w:t>
      </w:r>
      <w:r>
        <w:tab/>
      </w:r>
      <w:r w:rsidRPr="003217C2">
        <w:t>El tribunal, a petición del padre o la madre de un niño, puede emitir la orden que considere apropiada con respecto a la custodia del niño y el derecho de visita de cualquiera de los padres con respecto a ese niño</w:t>
      </w:r>
      <w:r>
        <w:t xml:space="preserve"> </w:t>
      </w:r>
      <w:r w:rsidRPr="003217C2">
        <w:t>...</w:t>
      </w:r>
      <w:r>
        <w:t xml:space="preserve"> .</w:t>
      </w:r>
      <w:r w:rsidRPr="003217C2">
        <w:t xml:space="preserve"> </w:t>
      </w:r>
    </w:p>
    <w:p w:rsidR="008F0560" w:rsidRPr="003217C2" w:rsidRDefault="008F0560" w:rsidP="00B77B52">
      <w:pPr>
        <w:pStyle w:val="SingleTxt"/>
        <w:numPr>
          <w:ilvl w:val="0"/>
          <w:numId w:val="25"/>
        </w:numPr>
        <w:tabs>
          <w:tab w:val="clear" w:pos="475"/>
          <w:tab w:val="num" w:pos="1742"/>
        </w:tabs>
        <w:ind w:left="1267"/>
      </w:pPr>
      <w:r w:rsidRPr="003217C2">
        <w:t>Sin embargo, la custodia del niño se ve afectada si el tribunal determina que alguna de las partes en el matrimonio ha faltado voluntariamente al mantenimiento de un hijo nacido de ese matrimonio.</w:t>
      </w:r>
    </w:p>
    <w:p w:rsidR="008F0560" w:rsidRDefault="008F0560" w:rsidP="00B77B52">
      <w:pPr>
        <w:pStyle w:val="SingleTxt"/>
        <w:numPr>
          <w:ilvl w:val="0"/>
          <w:numId w:val="25"/>
        </w:numPr>
        <w:tabs>
          <w:tab w:val="clear" w:pos="475"/>
          <w:tab w:val="num" w:pos="1742"/>
        </w:tabs>
        <w:ind w:left="1267"/>
      </w:pPr>
      <w:r w:rsidRPr="003217C2">
        <w:t xml:space="preserve">Con arreglo a la Ley de tutela y custodia de los hijos (capítulo 132), las mujeres tienen los mismos derechos que los hombres a la tutela o custodia de los hijos. Si el padre de un niño fallece, la madre, si todavía vive, será la tutora del niño (conforme a las disposiciones de la Ley), ya sea sola o conjuntamente con un tutor que pueda haber designado el padre. Del mismo modo, si la madre de un niño fallece, el padre, si todavía vive, será el tutor del niño (conforme a las disposiciones de la Ley), ya sea solo o conjuntamente con un tutor que pueda haber designado la madre. Además, en el artículo 6 de la Ley de tutela y custodia de los hijos se establece que “la madre de un niño tendrá los mismos derechos que el padre de recurrir a un tribunal con respecto a cualquier tema que afecte al niño”. </w:t>
      </w:r>
    </w:p>
    <w:p w:rsidR="008F0560" w:rsidRPr="008F0560" w:rsidRDefault="008F0560" w:rsidP="00B77B52">
      <w:pPr>
        <w:pStyle w:val="SingleTxt"/>
        <w:spacing w:after="0"/>
        <w:rPr>
          <w:sz w:val="10"/>
        </w:rPr>
      </w:pPr>
    </w:p>
    <w:p w:rsidR="008F0560" w:rsidRDefault="008F0560" w:rsidP="00B77B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3217C2">
        <w:tab/>
      </w:r>
      <w:r w:rsidRPr="003217C2">
        <w:tab/>
        <w:t>Adopción de niños</w:t>
      </w:r>
    </w:p>
    <w:p w:rsidR="008F0560" w:rsidRPr="008F0560" w:rsidRDefault="008F0560" w:rsidP="00B77B52">
      <w:pPr>
        <w:pStyle w:val="SingleTxt"/>
        <w:spacing w:after="0"/>
        <w:rPr>
          <w:sz w:val="10"/>
        </w:rPr>
      </w:pPr>
    </w:p>
    <w:p w:rsidR="008F0560" w:rsidRPr="003217C2" w:rsidRDefault="008F0560" w:rsidP="00B77B52">
      <w:pPr>
        <w:pStyle w:val="SingleTxt"/>
        <w:numPr>
          <w:ilvl w:val="0"/>
          <w:numId w:val="25"/>
        </w:numPr>
        <w:tabs>
          <w:tab w:val="clear" w:pos="475"/>
          <w:tab w:val="num" w:pos="1742"/>
        </w:tabs>
        <w:ind w:left="1267"/>
      </w:pPr>
      <w:r w:rsidRPr="003217C2">
        <w:t>Con respecto a la adopción de niños, los hombres y las mujeres gozan de derechos similares con la salvedad de que en el artículo 6 2) de la Ley de adopción de niños (capítulo 131) se establece que:</w:t>
      </w:r>
    </w:p>
    <w:p w:rsidR="008F0560" w:rsidRPr="003217C2" w:rsidRDefault="008F0560" w:rsidP="00B77B52">
      <w:pPr>
        <w:pStyle w:val="SingleTxt"/>
        <w:ind w:left="1742" w:hanging="475"/>
      </w:pPr>
      <w:r>
        <w:tab/>
      </w:r>
      <w:r>
        <w:tab/>
      </w:r>
      <w:r w:rsidRPr="003217C2">
        <w:t>2)</w:t>
      </w:r>
      <w:r w:rsidRPr="003217C2">
        <w:tab/>
        <w:t>No se emitirá una orden de adopción si el único solicitante es varón y el menor respecto del cual se realiza la solicitud es una mujer, a menos que el tribunal esté convencido de que se dan circunstancias especiales que justifiquen como una medida excepcional la emisión de la orden de adopción.</w:t>
      </w:r>
    </w:p>
    <w:p w:rsidR="008F0560" w:rsidRDefault="008F0560" w:rsidP="00B77B52">
      <w:pPr>
        <w:pStyle w:val="SingleTxt"/>
        <w:numPr>
          <w:ilvl w:val="0"/>
          <w:numId w:val="25"/>
        </w:numPr>
        <w:tabs>
          <w:tab w:val="clear" w:pos="475"/>
          <w:tab w:val="num" w:pos="1742"/>
        </w:tabs>
        <w:ind w:left="1267"/>
      </w:pPr>
      <w:r w:rsidRPr="003217C2">
        <w:t>De conformidad con el artículo 74 de la Ley de causas matrimoniales (capítulo 125), el tribunal puede emitir las órdenes que considere apropiadas para la custodia y la educación de cualquiera de los hijos de la familia que tenga menos de 18 años de edad, pero en la práctica lo más común es que la mujer obtenga la custodia</w:t>
      </w:r>
      <w:r>
        <w:t>.</w:t>
      </w:r>
    </w:p>
    <w:p w:rsidR="008F0560" w:rsidRPr="008F0560" w:rsidRDefault="008F0560" w:rsidP="00B77B52">
      <w:pPr>
        <w:pStyle w:val="SingleTxt"/>
        <w:spacing w:after="0"/>
        <w:rPr>
          <w:sz w:val="10"/>
        </w:rPr>
      </w:pPr>
    </w:p>
    <w:p w:rsidR="008F0560" w:rsidRDefault="008F0560" w:rsidP="00B77B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3217C2">
        <w:tab/>
      </w:r>
      <w:r w:rsidRPr="003217C2">
        <w:tab/>
        <w:t>Man</w:t>
      </w:r>
      <w:r>
        <w:t xml:space="preserve">utención </w:t>
      </w:r>
      <w:r w:rsidRPr="003217C2">
        <w:t xml:space="preserve">de los </w:t>
      </w:r>
      <w:r>
        <w:t>h</w:t>
      </w:r>
      <w:r w:rsidRPr="003217C2">
        <w:t>i</w:t>
      </w:r>
      <w:r>
        <w:t>j</w:t>
      </w:r>
      <w:r w:rsidRPr="003217C2">
        <w:t>os</w:t>
      </w:r>
    </w:p>
    <w:p w:rsidR="008F0560" w:rsidRPr="008F0560" w:rsidRDefault="008F0560" w:rsidP="00B77B52">
      <w:pPr>
        <w:pStyle w:val="SingleTxt"/>
        <w:spacing w:after="0"/>
        <w:rPr>
          <w:sz w:val="10"/>
        </w:rPr>
      </w:pPr>
    </w:p>
    <w:p w:rsidR="008F0560" w:rsidRPr="003217C2" w:rsidRDefault="008F0560" w:rsidP="00B77B52">
      <w:pPr>
        <w:pStyle w:val="SingleTxt"/>
        <w:numPr>
          <w:ilvl w:val="0"/>
          <w:numId w:val="25"/>
        </w:numPr>
        <w:tabs>
          <w:tab w:val="clear" w:pos="475"/>
          <w:tab w:val="num" w:pos="1742"/>
        </w:tabs>
        <w:ind w:left="1267"/>
      </w:pPr>
      <w:r w:rsidRPr="003217C2">
        <w:t xml:space="preserve">Con arreglo al artículo 33 de la Ley de protección de los niños de 2007, todo varón tiene la obligación de mantener a sus hijos. De conformidad con el artículo 4 de la Ley de causas matrimoniales (primera instancia) (capítulo 126) el tribunal puede emitir órdenes matrimoniales en las que figure, entre otras cosas: </w:t>
      </w:r>
    </w:p>
    <w:p w:rsidR="008F0560" w:rsidRPr="003217C2" w:rsidRDefault="008F0560" w:rsidP="00B77B52">
      <w:pPr>
        <w:pStyle w:val="SingleTxt"/>
        <w:ind w:left="1742" w:hanging="475"/>
      </w:pPr>
      <w:r>
        <w:tab/>
      </w:r>
      <w:r>
        <w:tab/>
      </w:r>
      <w:r w:rsidRPr="003217C2">
        <w:t>g)</w:t>
      </w:r>
      <w:r>
        <w:tab/>
      </w:r>
      <w:r w:rsidRPr="003217C2">
        <w:t>una disposición para que el demandado, el solicitante o ambos realicen los pagos semanales y de sumas fijas periódicas que pueda disponer el tribunal para l</w:t>
      </w:r>
      <w:r>
        <w:t>a</w:t>
      </w:r>
      <w:r w:rsidRPr="003217C2">
        <w:t xml:space="preserve"> man</w:t>
      </w:r>
      <w:r>
        <w:t>u</w:t>
      </w:r>
      <w:r w:rsidRPr="003217C2">
        <w:t>t</w:t>
      </w:r>
      <w:r>
        <w:t>ención</w:t>
      </w:r>
      <w:r w:rsidRPr="003217C2">
        <w:t xml:space="preserve"> y la educación de cualesquiera de los hijos de la familia</w:t>
      </w:r>
      <w:r>
        <w:t xml:space="preserve"> </w:t>
      </w:r>
      <w:r w:rsidRPr="003217C2">
        <w:t>..</w:t>
      </w:r>
      <w:r>
        <w:t>.</w:t>
      </w:r>
    </w:p>
    <w:p w:rsidR="008F0560" w:rsidRPr="003217C2" w:rsidRDefault="008F0560" w:rsidP="00B77B52">
      <w:pPr>
        <w:pStyle w:val="SingleTxt"/>
        <w:numPr>
          <w:ilvl w:val="0"/>
          <w:numId w:val="25"/>
        </w:numPr>
        <w:tabs>
          <w:tab w:val="clear" w:pos="475"/>
          <w:tab w:val="num" w:pos="1742"/>
        </w:tabs>
        <w:spacing w:line="220" w:lineRule="exact"/>
        <w:ind w:left="1267"/>
      </w:pPr>
      <w:r w:rsidRPr="003217C2">
        <w:t xml:space="preserve">Las madres solteras tienen derecho a recibir asistencia adecuada del padre putativo de un niño en virtud de la Ley de protección de los niños. Con arreglo al artículo 7 de dicha Ley, una madre puede solicitar a un tribunal de primera instancia una orden de filiación o de mantenimiento: </w:t>
      </w:r>
    </w:p>
    <w:p w:rsidR="008F0560" w:rsidRPr="003217C2" w:rsidRDefault="008F0560" w:rsidP="00B77B52">
      <w:pPr>
        <w:pStyle w:val="SingleTxt"/>
        <w:spacing w:line="220" w:lineRule="exact"/>
        <w:ind w:left="1742" w:hanging="475"/>
      </w:pPr>
      <w:r>
        <w:tab/>
      </w:r>
      <w:r w:rsidRPr="003217C2">
        <w:t>2)</w:t>
      </w:r>
      <w:r>
        <w:tab/>
      </w:r>
      <w:r w:rsidRPr="003217C2">
        <w:t xml:space="preserve">Si el tribunal ha considerado que el demandado es el padre putativo del niño, puede también, si lo considera apropiado teniendo en cuenta todas las circunstancias del caso, emitir una orden en su contra (que en esta Ley se denomina </w:t>
      </w:r>
      <w:r>
        <w:t>“</w:t>
      </w:r>
      <w:r w:rsidRPr="003217C2">
        <w:t>orden de filiación</w:t>
      </w:r>
      <w:r>
        <w:t>”</w:t>
      </w:r>
      <w:r w:rsidRPr="003217C2">
        <w:t>) para que pague:</w:t>
      </w:r>
    </w:p>
    <w:p w:rsidR="008F0560" w:rsidRPr="003217C2" w:rsidRDefault="008F0560" w:rsidP="00B77B52">
      <w:pPr>
        <w:pStyle w:val="SingleTxt"/>
        <w:spacing w:line="220" w:lineRule="exact"/>
        <w:ind w:left="1742" w:hanging="475"/>
      </w:pPr>
      <w:r>
        <w:tab/>
      </w:r>
      <w:r w:rsidRPr="003217C2">
        <w:t>a)</w:t>
      </w:r>
      <w:r w:rsidRPr="003217C2">
        <w:tab/>
      </w:r>
      <w:r w:rsidR="007053AF">
        <w:t>U</w:t>
      </w:r>
      <w:r w:rsidRPr="003217C2">
        <w:t>na suma de dinero semanal y, además, si el tribunal lo considera apropiado, una suma fija pagadera en las fechas que el tribunal pueda determinar, para l</w:t>
      </w:r>
      <w:r>
        <w:t>a</w:t>
      </w:r>
      <w:r w:rsidRPr="003217C2">
        <w:t xml:space="preserve"> man</w:t>
      </w:r>
      <w:r>
        <w:t>u</w:t>
      </w:r>
      <w:r w:rsidRPr="003217C2">
        <w:t>ten</w:t>
      </w:r>
      <w:r>
        <w:t>c</w:t>
      </w:r>
      <w:r w:rsidRPr="003217C2">
        <w:t>i</w:t>
      </w:r>
      <w:r>
        <w:t>ón</w:t>
      </w:r>
      <w:r w:rsidRPr="003217C2">
        <w:t xml:space="preserve"> y la educación del niño.</w:t>
      </w:r>
    </w:p>
    <w:p w:rsidR="008F0560" w:rsidRDefault="008F0560" w:rsidP="00B77B52">
      <w:pPr>
        <w:pStyle w:val="SingleTxt"/>
        <w:numPr>
          <w:ilvl w:val="0"/>
          <w:numId w:val="25"/>
        </w:numPr>
        <w:tabs>
          <w:tab w:val="clear" w:pos="475"/>
          <w:tab w:val="num" w:pos="1742"/>
        </w:tabs>
        <w:spacing w:line="220" w:lineRule="exact"/>
        <w:ind w:left="1267"/>
      </w:pPr>
      <w:r w:rsidRPr="003217C2">
        <w:t xml:space="preserve">Si se produjera una falta de pago la madre puede presentar una demanda al tribunal de primera instancia y el deudor moroso puede ser recluido. </w:t>
      </w:r>
    </w:p>
    <w:p w:rsidR="008F0560" w:rsidRPr="008F0560" w:rsidRDefault="008F0560" w:rsidP="00B77B52">
      <w:pPr>
        <w:pStyle w:val="SingleTxt"/>
        <w:spacing w:after="0" w:line="220" w:lineRule="exact"/>
        <w:rPr>
          <w:sz w:val="10"/>
        </w:rPr>
      </w:pPr>
    </w:p>
    <w:p w:rsidR="008F0560" w:rsidRDefault="008F0560" w:rsidP="00B77B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20" w:lineRule="exact"/>
        <w:ind w:left="1267" w:right="1267" w:hanging="1267"/>
      </w:pPr>
      <w:r w:rsidRPr="003217C2">
        <w:tab/>
      </w:r>
      <w:r w:rsidRPr="003217C2">
        <w:tab/>
        <w:t xml:space="preserve">Edad de consentimiento sexual </w:t>
      </w:r>
    </w:p>
    <w:p w:rsidR="008F0560" w:rsidRPr="008F0560" w:rsidRDefault="008F0560" w:rsidP="00B77B52">
      <w:pPr>
        <w:pStyle w:val="SingleTxt"/>
        <w:spacing w:after="0" w:line="220" w:lineRule="exact"/>
        <w:rPr>
          <w:sz w:val="10"/>
        </w:rPr>
      </w:pPr>
    </w:p>
    <w:p w:rsidR="008F0560" w:rsidRPr="003217C2" w:rsidRDefault="008F0560" w:rsidP="00B77B52">
      <w:pPr>
        <w:pStyle w:val="SingleTxt"/>
        <w:numPr>
          <w:ilvl w:val="0"/>
          <w:numId w:val="25"/>
        </w:numPr>
        <w:tabs>
          <w:tab w:val="clear" w:pos="475"/>
          <w:tab w:val="num" w:pos="1742"/>
        </w:tabs>
        <w:spacing w:line="220" w:lineRule="exact"/>
        <w:ind w:left="1267"/>
      </w:pPr>
      <w:r w:rsidRPr="003217C2">
        <w:t xml:space="preserve">Con arreglo a la Ley de delitos sexuales (capítulo 99), la edad mínima legal de consentimiento para mantener relaciones sexuales, tanto para el hombre como para la mujer, es de 16 años, y en consecuencia toda persona que mantenga relaciones sexuales ilícitas con otra de menos de esa edad es culpable de un delito. De conformidad con el artículo 20 de la Ley de matrimonio (capítulo 120), la edad mínima para contraer matrimonio sin consentimiento es de 18 años. </w:t>
      </w:r>
      <w:r>
        <w:t>U</w:t>
      </w:r>
      <w:r w:rsidRPr="003217C2">
        <w:t xml:space="preserve">na persona menor de 18 años que desee contraer matrimonio deberá </w:t>
      </w:r>
      <w:r>
        <w:t xml:space="preserve">tener </w:t>
      </w:r>
      <w:r w:rsidRPr="003217C2">
        <w:t xml:space="preserve">el consentimiento </w:t>
      </w:r>
      <w:r>
        <w:t xml:space="preserve">de los padres o tutores </w:t>
      </w:r>
      <w:r w:rsidRPr="003217C2">
        <w:t>a menos que el Tribunal Supremo certifique que el matrimonio propuesto parece ser apropiado.</w:t>
      </w:r>
    </w:p>
    <w:p w:rsidR="008F0560" w:rsidRPr="003217C2" w:rsidRDefault="008F0560" w:rsidP="00B77B52">
      <w:pPr>
        <w:pStyle w:val="SingleTxt"/>
        <w:numPr>
          <w:ilvl w:val="0"/>
          <w:numId w:val="25"/>
        </w:numPr>
        <w:tabs>
          <w:tab w:val="clear" w:pos="475"/>
          <w:tab w:val="num" w:pos="1742"/>
        </w:tabs>
        <w:spacing w:line="220" w:lineRule="exact"/>
        <w:ind w:left="1267"/>
      </w:pPr>
      <w:r w:rsidRPr="003217C2">
        <w:t xml:space="preserve">Con arreglo a las disposiciones de la Ley de registro de los expedientes (capítulo 187) y la Ley de matrimonio, los matrimonios deben registrarse. El procedimiento para realizar dicho registro es obligatorio y está estipulado en la Ley de matrimonio de la siguiente manera: </w:t>
      </w:r>
    </w:p>
    <w:p w:rsidR="008F0560" w:rsidRPr="003217C2" w:rsidRDefault="008F0560" w:rsidP="00B77B52">
      <w:pPr>
        <w:pStyle w:val="SingleTxt"/>
        <w:spacing w:line="220" w:lineRule="exact"/>
        <w:ind w:left="1742" w:hanging="475"/>
      </w:pPr>
      <w:r>
        <w:tab/>
      </w:r>
      <w:r w:rsidRPr="003217C2">
        <w:t>27.</w:t>
      </w:r>
      <w:r w:rsidRPr="003217C2">
        <w:tab/>
        <w:t xml:space="preserve">Inmediatamente después de la celebración del matrimonio, el funcionario oficiante ante el cual se haya celebrado deberá registrarlo por duplicado, en primer lugar en un libro que deberá conservar a tal efecto, denominado registro de matrimonios, y en segundo lugar en un formulario distinto </w:t>
      </w:r>
      <w:r>
        <w:t xml:space="preserve">que </w:t>
      </w:r>
      <w:r w:rsidRPr="003217C2">
        <w:t>será firmado por las partes en el matrimonio, dos testigos y el funcionario oficiante.</w:t>
      </w:r>
    </w:p>
    <w:p w:rsidR="008F0560" w:rsidRPr="003217C2" w:rsidRDefault="008F0560" w:rsidP="00B77B52">
      <w:pPr>
        <w:pStyle w:val="SingleTxt"/>
        <w:spacing w:line="220" w:lineRule="exact"/>
        <w:ind w:left="1742" w:hanging="475"/>
      </w:pPr>
      <w:r>
        <w:tab/>
      </w:r>
      <w:r w:rsidRPr="003217C2">
        <w:t>28.</w:t>
      </w:r>
      <w:r w:rsidRPr="003217C2">
        <w:tab/>
        <w:t xml:space="preserve">Luego de realizado el registro en la manera indicada, el funcionario oficiante enviará el duplicado del acta al Director General del Registro Civil y entregará sin mediar pago alguno a cada una de las partes en el matrimonio una copia del registro de matrimonio original certificada por su propia mano como copia fehaciente. </w:t>
      </w:r>
    </w:p>
    <w:p w:rsidR="008F0560" w:rsidRPr="003217C2" w:rsidRDefault="008F0560" w:rsidP="00B77B52">
      <w:pPr>
        <w:pStyle w:val="SingleTxt"/>
        <w:spacing w:line="220" w:lineRule="exact"/>
        <w:ind w:left="1742" w:hanging="475"/>
      </w:pPr>
      <w:r>
        <w:tab/>
      </w:r>
      <w:r w:rsidRPr="003217C2">
        <w:t>29.</w:t>
      </w:r>
      <w:r w:rsidRPr="003217C2">
        <w:tab/>
        <w:t xml:space="preserve">El duplicado del registro enviado por el funcionario oficiante al Director General del Registro </w:t>
      </w:r>
      <w:r>
        <w:t xml:space="preserve">Civil </w:t>
      </w:r>
      <w:r w:rsidRPr="003217C2">
        <w:t xml:space="preserve">será archivado y preservado cuidadosamente en la oficina de registro general. </w:t>
      </w:r>
    </w:p>
    <w:p w:rsidR="008F0560" w:rsidRDefault="008F0560" w:rsidP="00B77B52">
      <w:pPr>
        <w:pStyle w:val="SingleTxt"/>
        <w:numPr>
          <w:ilvl w:val="0"/>
          <w:numId w:val="25"/>
        </w:numPr>
        <w:tabs>
          <w:tab w:val="clear" w:pos="475"/>
          <w:tab w:val="num" w:pos="1742"/>
        </w:tabs>
        <w:spacing w:line="220" w:lineRule="exact"/>
        <w:ind w:left="1267"/>
      </w:pPr>
      <w:r w:rsidRPr="003217C2">
        <w:t xml:space="preserve">En la Ley de matrimonio (capítulo 120) figura la información relativa a la edad mínima para el matrimonio, el consentimiento matrimonial y el registro del matrimonio. </w:t>
      </w:r>
    </w:p>
    <w:p w:rsidR="008F0560" w:rsidRPr="008F0560" w:rsidRDefault="008F0560" w:rsidP="00B77B52">
      <w:pPr>
        <w:pStyle w:val="SingleTxt"/>
        <w:spacing w:after="0" w:line="220" w:lineRule="exact"/>
        <w:rPr>
          <w:sz w:val="10"/>
        </w:rPr>
      </w:pPr>
    </w:p>
    <w:p w:rsidR="008F0560" w:rsidRDefault="008F0560" w:rsidP="008F05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3217C2">
        <w:tab/>
      </w:r>
      <w:r w:rsidRPr="003217C2">
        <w:tab/>
        <w:t xml:space="preserve">Sucesión </w:t>
      </w:r>
    </w:p>
    <w:p w:rsidR="008F0560" w:rsidRPr="008F0560" w:rsidRDefault="008F0560" w:rsidP="008F0560">
      <w:pPr>
        <w:pStyle w:val="SingleTxt"/>
        <w:spacing w:after="0" w:line="120" w:lineRule="exact"/>
        <w:rPr>
          <w:sz w:val="10"/>
        </w:rPr>
      </w:pPr>
    </w:p>
    <w:p w:rsidR="008F0560" w:rsidRPr="003217C2" w:rsidRDefault="008F0560" w:rsidP="008F0560">
      <w:pPr>
        <w:pStyle w:val="SingleTxt"/>
        <w:numPr>
          <w:ilvl w:val="0"/>
          <w:numId w:val="25"/>
        </w:numPr>
        <w:tabs>
          <w:tab w:val="clear" w:pos="475"/>
          <w:tab w:val="num" w:pos="1742"/>
        </w:tabs>
        <w:ind w:left="1267"/>
      </w:pPr>
      <w:r w:rsidRPr="003217C2">
        <w:t xml:space="preserve">En las Bahamas, las sucesiones se rigen por la Ley sobre testamentos </w:t>
      </w:r>
      <w:r>
        <w:t xml:space="preserve">de 2002 </w:t>
      </w:r>
      <w:r w:rsidRPr="003217C2">
        <w:t xml:space="preserve">(capítulo 115) y la Ley de herencia </w:t>
      </w:r>
      <w:r>
        <w:t xml:space="preserve">de 2002 </w:t>
      </w:r>
      <w:r w:rsidRPr="003217C2">
        <w:t>(capítulo 116). La Ley sobre testamentos establece las disposiciones que regirán en caso de que haya testamento, mientras que la Ley de herencia rige la sucesi</w:t>
      </w:r>
      <w:r>
        <w:t>ó</w:t>
      </w:r>
      <w:r w:rsidRPr="003217C2">
        <w:t xml:space="preserve">n </w:t>
      </w:r>
      <w:r>
        <w:t xml:space="preserve">cuando </w:t>
      </w:r>
      <w:r w:rsidRPr="003217C2">
        <w:t>una persona ha fallecido intestada. Conforme a la Ley sobre testamentos</w:t>
      </w:r>
      <w:r>
        <w:t>,</w:t>
      </w:r>
      <w:r w:rsidRPr="003217C2">
        <w:t xml:space="preserve"> los derechos de un beneficiario se fijan con arreglo a las disposiciones del testamento, mientras que la Ley de herencia establece el orden en que se distribuirán los bienes del intestado. Por ejemplo: </w:t>
      </w:r>
    </w:p>
    <w:p w:rsidR="008F0560" w:rsidRPr="003217C2" w:rsidRDefault="008F0560" w:rsidP="007053AF">
      <w:pPr>
        <w:pStyle w:val="SingleTxt"/>
        <w:ind w:left="1742" w:hanging="475"/>
      </w:pPr>
      <w:r>
        <w:tab/>
      </w:r>
      <w:r>
        <w:tab/>
      </w:r>
      <w:r w:rsidRPr="003217C2">
        <w:t>4.</w:t>
      </w:r>
      <w:r>
        <w:t xml:space="preserve"> </w:t>
      </w:r>
      <w:r w:rsidRPr="003217C2">
        <w:t>1)</w:t>
      </w:r>
      <w:r w:rsidRPr="003217C2">
        <w:tab/>
        <w:t xml:space="preserve">El </w:t>
      </w:r>
      <w:r>
        <w:t xml:space="preserve">patrimonio </w:t>
      </w:r>
      <w:r w:rsidRPr="003217C2">
        <w:t>residual de un intestado se distribuirá de la manera que se indica en este artículo, a saber:</w:t>
      </w:r>
    </w:p>
    <w:p w:rsidR="008F0560" w:rsidRPr="003217C2" w:rsidRDefault="008F0560" w:rsidP="007053AF">
      <w:pPr>
        <w:pStyle w:val="SingleTxt"/>
        <w:ind w:left="1742" w:hanging="475"/>
      </w:pPr>
      <w:r>
        <w:tab/>
      </w:r>
      <w:r>
        <w:tab/>
      </w:r>
      <w:r w:rsidRPr="003217C2">
        <w:t>a)</w:t>
      </w:r>
      <w:r w:rsidRPr="003217C2">
        <w:tab/>
      </w:r>
      <w:r>
        <w:t>S</w:t>
      </w:r>
      <w:r w:rsidRPr="003217C2">
        <w:t xml:space="preserve">i el intestado deja </w:t>
      </w:r>
      <w:r>
        <w:t xml:space="preserve">cónyuge </w:t>
      </w:r>
      <w:r w:rsidRPr="003217C2">
        <w:t xml:space="preserve">pero no hijos, el cónyuge </w:t>
      </w:r>
      <w:r>
        <w:t>supérstite</w:t>
      </w:r>
      <w:r w:rsidRPr="003217C2">
        <w:t xml:space="preserve"> recibirá todo el </w:t>
      </w:r>
      <w:r>
        <w:t xml:space="preserve">patrimonio </w:t>
      </w:r>
      <w:r w:rsidRPr="003217C2">
        <w:t>residual;</w:t>
      </w:r>
    </w:p>
    <w:p w:rsidR="008F0560" w:rsidRPr="003217C2" w:rsidRDefault="008F0560" w:rsidP="007053AF">
      <w:pPr>
        <w:pStyle w:val="SingleTxt"/>
      </w:pPr>
      <w:r>
        <w:tab/>
      </w:r>
      <w:r>
        <w:tab/>
      </w:r>
      <w:r w:rsidRPr="003217C2">
        <w:t>b)</w:t>
      </w:r>
      <w:r w:rsidRPr="003217C2">
        <w:tab/>
      </w:r>
      <w:r>
        <w:t>S</w:t>
      </w:r>
      <w:r w:rsidRPr="003217C2">
        <w:t xml:space="preserve">i el intestado: </w:t>
      </w:r>
    </w:p>
    <w:p w:rsidR="008F0560" w:rsidRPr="003217C2" w:rsidRDefault="008F0560" w:rsidP="007053AF">
      <w:pPr>
        <w:pStyle w:val="SingleTxt"/>
      </w:pPr>
      <w:r>
        <w:tab/>
      </w:r>
      <w:r>
        <w:tab/>
      </w:r>
      <w:r w:rsidRPr="003217C2">
        <w:t>i)</w:t>
      </w:r>
      <w:r w:rsidRPr="003217C2">
        <w:tab/>
      </w:r>
      <w:r>
        <w:t>D</w:t>
      </w:r>
      <w:r w:rsidRPr="003217C2">
        <w:t>eja cónyuge y</w:t>
      </w:r>
    </w:p>
    <w:p w:rsidR="008F0560" w:rsidRPr="003217C2" w:rsidRDefault="008F0560" w:rsidP="007053AF">
      <w:pPr>
        <w:pStyle w:val="SingleTxt"/>
        <w:ind w:left="1742" w:hanging="475"/>
      </w:pPr>
      <w:r>
        <w:tab/>
      </w:r>
      <w:r>
        <w:tab/>
      </w:r>
      <w:r w:rsidRPr="003217C2">
        <w:t>A)</w:t>
      </w:r>
      <w:r w:rsidRPr="003217C2">
        <w:tab/>
      </w:r>
      <w:r>
        <w:t>U</w:t>
      </w:r>
      <w:r w:rsidRPr="003217C2">
        <w:t xml:space="preserve">n hijo, el cónyuge </w:t>
      </w:r>
      <w:r>
        <w:t xml:space="preserve">supérstite </w:t>
      </w:r>
      <w:r w:rsidRPr="003217C2">
        <w:t xml:space="preserve">obtendrá la mitad del </w:t>
      </w:r>
      <w:r>
        <w:t xml:space="preserve">patrimonio </w:t>
      </w:r>
      <w:r w:rsidRPr="003217C2">
        <w:t>residual y el resto corresponderá al hijo;</w:t>
      </w:r>
    </w:p>
    <w:p w:rsidR="008F0560" w:rsidRPr="003217C2" w:rsidRDefault="008F0560" w:rsidP="007053AF">
      <w:pPr>
        <w:pStyle w:val="SingleTxt"/>
        <w:ind w:left="1742" w:hanging="475"/>
      </w:pPr>
      <w:r>
        <w:tab/>
      </w:r>
      <w:r>
        <w:tab/>
      </w:r>
      <w:r w:rsidRPr="003217C2">
        <w:t>B)</w:t>
      </w:r>
      <w:r w:rsidRPr="003217C2">
        <w:tab/>
      </w:r>
      <w:r>
        <w:t>Más de un h</w:t>
      </w:r>
      <w:r w:rsidRPr="003217C2">
        <w:t xml:space="preserve">ijo, el cónyuge </w:t>
      </w:r>
      <w:r>
        <w:t xml:space="preserve">supérstite </w:t>
      </w:r>
      <w:r w:rsidRPr="003217C2">
        <w:t xml:space="preserve">obtendrá la mitad del </w:t>
      </w:r>
      <w:r>
        <w:t xml:space="preserve">patrimonio residual </w:t>
      </w:r>
      <w:r w:rsidRPr="003217C2">
        <w:t>y el resto se distribuirá en partes iguales entre los hijos;</w:t>
      </w:r>
    </w:p>
    <w:p w:rsidR="008F0560" w:rsidRPr="003217C2" w:rsidRDefault="008F0560" w:rsidP="007053AF">
      <w:pPr>
        <w:pStyle w:val="SingleTxt"/>
        <w:ind w:left="2218" w:hanging="951"/>
      </w:pPr>
      <w:r>
        <w:tab/>
      </w:r>
      <w:r>
        <w:tab/>
      </w:r>
      <w:r w:rsidRPr="003217C2">
        <w:t>ii)</w:t>
      </w:r>
      <w:r w:rsidRPr="003217C2">
        <w:tab/>
      </w:r>
      <w:r>
        <w:t>D</w:t>
      </w:r>
      <w:r w:rsidRPr="003217C2">
        <w:t xml:space="preserve">eja hijos pero no cónyuge, el </w:t>
      </w:r>
      <w:r>
        <w:t xml:space="preserve">patrimonio </w:t>
      </w:r>
      <w:r w:rsidRPr="003217C2">
        <w:t xml:space="preserve">residual se distribuirá en partes iguales entre los hijos y si solo hay un hijo, este obtendrá todo el </w:t>
      </w:r>
      <w:r>
        <w:t xml:space="preserve">patrimonio </w:t>
      </w:r>
      <w:r w:rsidRPr="003217C2">
        <w:t>residual</w:t>
      </w:r>
      <w:r>
        <w:t>; ..</w:t>
      </w:r>
      <w:r w:rsidRPr="003217C2">
        <w:t xml:space="preserve">. </w:t>
      </w:r>
    </w:p>
    <w:p w:rsidR="008F0560" w:rsidRPr="003217C2" w:rsidRDefault="008F0560" w:rsidP="008F0560">
      <w:pPr>
        <w:pStyle w:val="SingleTxt"/>
        <w:numPr>
          <w:ilvl w:val="0"/>
          <w:numId w:val="25"/>
        </w:numPr>
        <w:tabs>
          <w:tab w:val="clear" w:pos="475"/>
          <w:tab w:val="num" w:pos="1742"/>
        </w:tabs>
        <w:ind w:left="1267"/>
      </w:pPr>
      <w:r w:rsidRPr="003217C2">
        <w:t xml:space="preserve">Asimismo, las mujeres tienen derecho a recibir </w:t>
      </w:r>
      <w:r>
        <w:t xml:space="preserve">la vivienda </w:t>
      </w:r>
      <w:r w:rsidRPr="003217C2">
        <w:t xml:space="preserve">matrimonial en </w:t>
      </w:r>
      <w:r>
        <w:t>la</w:t>
      </w:r>
      <w:r w:rsidRPr="003217C2">
        <w:t xml:space="preserve"> que residen, independientemente de que el cónyuge haya fallecido testado o intestado. Este beneficio también corresponde a los hombres. </w:t>
      </w:r>
    </w:p>
    <w:p w:rsidR="008F0560" w:rsidRPr="003217C2" w:rsidRDefault="008F0560" w:rsidP="008F0560">
      <w:pPr>
        <w:pStyle w:val="SingleTxt"/>
        <w:numPr>
          <w:ilvl w:val="0"/>
          <w:numId w:val="25"/>
        </w:numPr>
        <w:tabs>
          <w:tab w:val="clear" w:pos="475"/>
          <w:tab w:val="num" w:pos="1742"/>
        </w:tabs>
        <w:ind w:left="1267"/>
      </w:pPr>
      <w:r w:rsidRPr="003217C2">
        <w:t xml:space="preserve">Además, todo cónyuge tiene derecho a solicitar a los tribunales que, en virtud del artículo 13 de la Ley de herencia, emitan una orden para que se le conceda una asignación razonable cuando el </w:t>
      </w:r>
      <w:r>
        <w:t xml:space="preserve">patrimonio </w:t>
      </w:r>
      <w:r w:rsidRPr="003217C2">
        <w:t xml:space="preserve">que </w:t>
      </w:r>
      <w:r>
        <w:t xml:space="preserve">la persona fallecida </w:t>
      </w:r>
      <w:r w:rsidRPr="003217C2">
        <w:t xml:space="preserve">haya dispuesto en su testamento para el </w:t>
      </w:r>
      <w:r>
        <w:t xml:space="preserve">cónyuge supérstite </w:t>
      </w:r>
      <w:r w:rsidRPr="003217C2">
        <w:t xml:space="preserve">sea insuficiente. </w:t>
      </w:r>
    </w:p>
    <w:p w:rsidR="008F0560" w:rsidRPr="003217C2" w:rsidRDefault="008F0560" w:rsidP="008F0560">
      <w:pPr>
        <w:pStyle w:val="SingleTxt"/>
        <w:numPr>
          <w:ilvl w:val="0"/>
          <w:numId w:val="25"/>
        </w:numPr>
        <w:tabs>
          <w:tab w:val="clear" w:pos="475"/>
          <w:tab w:val="num" w:pos="1742"/>
        </w:tabs>
        <w:ind w:left="1267"/>
      </w:pPr>
      <w:r w:rsidRPr="003217C2">
        <w:t xml:space="preserve">En virtud de la </w:t>
      </w:r>
      <w:r>
        <w:t>L</w:t>
      </w:r>
      <w:r w:rsidRPr="003217C2">
        <w:t xml:space="preserve">ey de pensiones </w:t>
      </w:r>
      <w:r>
        <w:t xml:space="preserve">y la Ley nacional sobre el seguro médico </w:t>
      </w:r>
      <w:r w:rsidRPr="003217C2">
        <w:t>(capítulos 43 y 350, respectivamente)</w:t>
      </w:r>
      <w:r>
        <w:t>,</w:t>
      </w:r>
      <w:r w:rsidRPr="003217C2">
        <w:t xml:space="preserve"> las viudas y los viudos tienen dere</w:t>
      </w:r>
      <w:r w:rsidR="009139E3">
        <w:t>chos y obligaciones especiales.</w:t>
      </w:r>
    </w:p>
    <w:p w:rsidR="008F0560" w:rsidRPr="003217C2" w:rsidRDefault="008F0560" w:rsidP="008F0560">
      <w:pPr>
        <w:pStyle w:val="SingleTxt"/>
        <w:numPr>
          <w:ilvl w:val="0"/>
          <w:numId w:val="25"/>
        </w:numPr>
        <w:tabs>
          <w:tab w:val="clear" w:pos="475"/>
          <w:tab w:val="num" w:pos="1742"/>
        </w:tabs>
        <w:ind w:left="1267"/>
      </w:pPr>
      <w:r w:rsidRPr="003217C2">
        <w:t xml:space="preserve">Las viudas y las hijas pueden recibir bienes de conformidad con las disposiciones de un testamento ya que un testador goza de libertad para testar. </w:t>
      </w:r>
    </w:p>
    <w:p w:rsidR="008F0560" w:rsidRPr="003217C2" w:rsidRDefault="008F0560" w:rsidP="008F0560">
      <w:pPr>
        <w:pStyle w:val="SingleTxt"/>
        <w:numPr>
          <w:ilvl w:val="0"/>
          <w:numId w:val="25"/>
        </w:numPr>
        <w:tabs>
          <w:tab w:val="clear" w:pos="475"/>
          <w:tab w:val="num" w:pos="1742"/>
        </w:tabs>
        <w:ind w:left="1267"/>
      </w:pPr>
      <w:r w:rsidRPr="003217C2">
        <w:t xml:space="preserve">No existen restricciones jurídicas o consuetudinarias para que un testador legue la misma proporción de sus bienes a su viuda y sus hijas o a su viuda y sus hijos. Los testadores gozan de libertad para testar. </w:t>
      </w:r>
    </w:p>
    <w:p w:rsidR="008F0560" w:rsidRDefault="008F0560" w:rsidP="008F0560">
      <w:pPr>
        <w:pStyle w:val="SingleTxt"/>
        <w:numPr>
          <w:ilvl w:val="0"/>
          <w:numId w:val="25"/>
        </w:numPr>
        <w:tabs>
          <w:tab w:val="clear" w:pos="475"/>
          <w:tab w:val="num" w:pos="1742"/>
        </w:tabs>
        <w:ind w:left="1267"/>
      </w:pPr>
      <w:r w:rsidRPr="003217C2">
        <w:t>No hay leyes que regulen el matrimonio de una viuda con el hermano de su cónyuge fallecido. Sin embargo, existe una Ley del matrimonio con la hermana de la cónyuge fallecida (capítulo 122) que establece que si, antes o después de la aprobación de esta Ley, y ya sea en las Bahamas o en otro sitio, un hombre ha desposado a la hermana de su cónyuge fallecida, el matrimonio, si ha sido legal en todos los demás aspectos, se considerará legal y siempre se considerará que lo ha sido a todos los efectos a menos que cualquiera de las dos partes en el matrimonio haya contraído posteriormente y durante la vida de la otra parte, pero antes de la aprobación de esta Ley, matrimonio legal con otra persona.</w:t>
      </w:r>
    </w:p>
    <w:p w:rsidR="00CE4ACA" w:rsidRDefault="008F0560" w:rsidP="007053AF">
      <w:pPr>
        <w:pStyle w:val="SingleTxt"/>
        <w:suppressAutoHyphens/>
      </w:pPr>
      <w:r>
        <w:rPr>
          <w:noProof/>
          <w:w w:val="100"/>
          <w:lang w:val="en-US"/>
        </w:rPr>
        <w:pict>
          <v:line id="_x0000_s1422" style="position:absolute;left:0;text-align:left;z-index:6" from="210.2pt,20.5pt" to="282.2pt,20.5pt" strokeweight=".25pt"/>
        </w:pict>
      </w:r>
    </w:p>
    <w:sectPr w:rsidR="00CE4ACA" w:rsidSect="000105F0">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1-11-17T17:07:00Z" w:initials="Start">
    <w:p w:rsidR="009F08D6" w:rsidRPr="001C4E6E" w:rsidRDefault="009F08D6">
      <w:pPr>
        <w:pStyle w:val="CommentText"/>
        <w:rPr>
          <w:lang w:val="en-US"/>
        </w:rPr>
      </w:pPr>
      <w:r>
        <w:fldChar w:fldCharType="begin"/>
      </w:r>
      <w:r w:rsidRPr="001C4E6E">
        <w:rPr>
          <w:rStyle w:val="CommentReference"/>
          <w:lang w:val="en-US"/>
        </w:rPr>
        <w:instrText xml:space="preserve"> </w:instrText>
      </w:r>
      <w:r w:rsidRPr="001C4E6E">
        <w:rPr>
          <w:lang w:val="en-US"/>
        </w:rPr>
        <w:instrText>PAGE \# "'Page: '#'</w:instrText>
      </w:r>
      <w:r w:rsidRPr="001C4E6E">
        <w:rPr>
          <w:lang w:val="en-US"/>
        </w:rPr>
        <w:br/>
        <w:instrText>'"</w:instrText>
      </w:r>
      <w:r w:rsidRPr="001C4E6E">
        <w:rPr>
          <w:rStyle w:val="CommentReference"/>
          <w:lang w:val="en-US"/>
        </w:rPr>
        <w:instrText xml:space="preserve"> </w:instrText>
      </w:r>
      <w:r>
        <w:fldChar w:fldCharType="end"/>
      </w:r>
      <w:r>
        <w:rPr>
          <w:rStyle w:val="CommentReference"/>
        </w:rPr>
        <w:annotationRef/>
      </w:r>
      <w:r w:rsidRPr="001C4E6E">
        <w:rPr>
          <w:lang w:val="en-US"/>
        </w:rPr>
        <w:t>&lt;&lt;ODS JOB NO&gt;&gt;N1155354S&lt;&lt;ODS JOB NO&gt;&gt;</w:t>
      </w:r>
    </w:p>
    <w:p w:rsidR="009F08D6" w:rsidRPr="001C4E6E" w:rsidRDefault="009F08D6">
      <w:pPr>
        <w:pStyle w:val="CommentText"/>
        <w:rPr>
          <w:lang w:val="en-US"/>
        </w:rPr>
      </w:pPr>
      <w:r w:rsidRPr="001C4E6E">
        <w:rPr>
          <w:lang w:val="en-US"/>
        </w:rPr>
        <w:t>&lt;&lt;ODS DOC SYMBOL1&gt;&gt;CEDAW/C/BHS/5&lt;&lt;ODS DOC SYMBOL1&gt;&gt;</w:t>
      </w:r>
    </w:p>
    <w:p w:rsidR="009F08D6" w:rsidRPr="001C4E6E" w:rsidRDefault="009F08D6">
      <w:pPr>
        <w:pStyle w:val="CommentText"/>
        <w:rPr>
          <w:lang w:val="en-US"/>
        </w:rPr>
      </w:pPr>
      <w:r w:rsidRPr="001C4E6E">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3F0E" w:rsidRDefault="00223F0E" w:rsidP="00746FD1">
      <w:pPr>
        <w:pStyle w:val="Footer"/>
      </w:pPr>
      <w:r>
        <w:separator/>
      </w:r>
    </w:p>
  </w:endnote>
  <w:endnote w:type="continuationSeparator" w:id="0">
    <w:p w:rsidR="00223F0E" w:rsidRDefault="00223F0E" w:rsidP="00746FD1">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F08D6">
      <w:tblPrEx>
        <w:tblCellMar>
          <w:top w:w="0" w:type="dxa"/>
          <w:bottom w:w="0" w:type="dxa"/>
        </w:tblCellMar>
      </w:tblPrEx>
      <w:tc>
        <w:tcPr>
          <w:tcW w:w="5033" w:type="dxa"/>
          <w:shd w:val="clear" w:color="auto" w:fill="auto"/>
        </w:tcPr>
        <w:p w:rsidR="009F08D6" w:rsidRPr="00746FD1" w:rsidRDefault="009F08D6" w:rsidP="00746FD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11-55354</w:t>
          </w:r>
          <w:r>
            <w:rPr>
              <w:b w:val="0"/>
              <w:w w:val="103"/>
              <w:sz w:val="14"/>
            </w:rPr>
            <w:fldChar w:fldCharType="end"/>
          </w:r>
        </w:p>
      </w:tc>
      <w:tc>
        <w:tcPr>
          <w:tcW w:w="5033" w:type="dxa"/>
          <w:shd w:val="clear" w:color="auto" w:fill="auto"/>
        </w:tcPr>
        <w:p w:rsidR="009F08D6" w:rsidRPr="00746FD1" w:rsidRDefault="009F08D6" w:rsidP="00746FD1">
          <w:pPr>
            <w:pStyle w:val="Footer"/>
            <w:rPr>
              <w:w w:val="103"/>
            </w:rPr>
          </w:pPr>
          <w:r>
            <w:rPr>
              <w:w w:val="103"/>
            </w:rPr>
            <w:fldChar w:fldCharType="begin"/>
          </w:r>
          <w:r>
            <w:rPr>
              <w:w w:val="103"/>
            </w:rPr>
            <w:instrText xml:space="preserve"> PAGE  \* MERGEFORMAT </w:instrText>
          </w:r>
          <w:r>
            <w:rPr>
              <w:w w:val="103"/>
            </w:rPr>
            <w:fldChar w:fldCharType="separate"/>
          </w:r>
          <w:r w:rsidR="00042259">
            <w:rPr>
              <w:w w:val="103"/>
            </w:rPr>
            <w:t>2</w:t>
          </w:r>
          <w:r>
            <w:rPr>
              <w:w w:val="103"/>
            </w:rPr>
            <w:fldChar w:fldCharType="end"/>
          </w:r>
        </w:p>
      </w:tc>
    </w:tr>
  </w:tbl>
  <w:p w:rsidR="009F08D6" w:rsidRPr="00746FD1" w:rsidRDefault="009F08D6" w:rsidP="00746FD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F08D6">
      <w:tblPrEx>
        <w:tblCellMar>
          <w:top w:w="0" w:type="dxa"/>
          <w:bottom w:w="0" w:type="dxa"/>
        </w:tblCellMar>
      </w:tblPrEx>
      <w:tc>
        <w:tcPr>
          <w:tcW w:w="5033" w:type="dxa"/>
          <w:shd w:val="clear" w:color="auto" w:fill="auto"/>
        </w:tcPr>
        <w:p w:rsidR="009F08D6" w:rsidRPr="00746FD1" w:rsidRDefault="009F08D6" w:rsidP="00746FD1">
          <w:pPr>
            <w:pStyle w:val="Footer"/>
            <w:jc w:val="right"/>
            <w:rPr>
              <w:w w:val="103"/>
            </w:rPr>
          </w:pPr>
          <w:r>
            <w:rPr>
              <w:w w:val="103"/>
            </w:rPr>
            <w:fldChar w:fldCharType="begin"/>
          </w:r>
          <w:r>
            <w:rPr>
              <w:w w:val="103"/>
            </w:rPr>
            <w:instrText xml:space="preserve"> PAGE  \* MERGEFORMAT </w:instrText>
          </w:r>
          <w:r>
            <w:rPr>
              <w:w w:val="103"/>
            </w:rPr>
            <w:fldChar w:fldCharType="separate"/>
          </w:r>
          <w:r w:rsidR="00042259">
            <w:rPr>
              <w:w w:val="103"/>
            </w:rPr>
            <w:t>3</w:t>
          </w:r>
          <w:r>
            <w:rPr>
              <w:w w:val="103"/>
            </w:rPr>
            <w:fldChar w:fldCharType="end"/>
          </w:r>
        </w:p>
      </w:tc>
      <w:tc>
        <w:tcPr>
          <w:tcW w:w="5033" w:type="dxa"/>
          <w:shd w:val="clear" w:color="auto" w:fill="auto"/>
        </w:tcPr>
        <w:p w:rsidR="009F08D6" w:rsidRPr="00746FD1" w:rsidRDefault="009F08D6" w:rsidP="00746FD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11-55354</w:t>
          </w:r>
          <w:r>
            <w:rPr>
              <w:b w:val="0"/>
              <w:w w:val="103"/>
              <w:sz w:val="14"/>
            </w:rPr>
            <w:fldChar w:fldCharType="end"/>
          </w:r>
        </w:p>
      </w:tc>
    </w:tr>
  </w:tbl>
  <w:p w:rsidR="009F08D6" w:rsidRPr="00746FD1" w:rsidRDefault="009F08D6" w:rsidP="00746FD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9F08D6">
      <w:tblPrEx>
        <w:tblCellMar>
          <w:top w:w="0" w:type="dxa"/>
          <w:bottom w:w="0" w:type="dxa"/>
        </w:tblCellMar>
      </w:tblPrEx>
      <w:tc>
        <w:tcPr>
          <w:tcW w:w="5033" w:type="dxa"/>
        </w:tcPr>
        <w:p w:rsidR="009F08D6" w:rsidRDefault="009F08D6" w:rsidP="00746FD1">
          <w:pPr>
            <w:pStyle w:val="Footer"/>
            <w:rPr>
              <w:b w:val="0"/>
              <w:sz w:val="20"/>
            </w:rPr>
          </w:pPr>
          <w:r>
            <w:rPr>
              <w:b w:val="0"/>
              <w:sz w:val="20"/>
            </w:rPr>
            <w:t>11-55354 (S)    161111    221111</w:t>
          </w:r>
        </w:p>
        <w:p w:rsidR="009F08D6" w:rsidRPr="00746FD1" w:rsidRDefault="009F08D6" w:rsidP="00746FD1">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*1155354*</w:t>
          </w:r>
          <w:r>
            <w:rPr>
              <w:rFonts w:ascii="Barcode 3 of 9 by request" w:hAnsi="Barcode 3 of 9 by request"/>
              <w:b w:val="0"/>
              <w:sz w:val="24"/>
            </w:rPr>
            <w:fldChar w:fldCharType="end"/>
          </w:r>
        </w:p>
      </w:tc>
      <w:tc>
        <w:tcPr>
          <w:tcW w:w="5033" w:type="dxa"/>
        </w:tcPr>
        <w:p w:rsidR="009F08D6" w:rsidRDefault="009F08D6" w:rsidP="00746FD1">
          <w:pPr>
            <w:pStyle w:val="Footer"/>
            <w:jc w:val="right"/>
            <w:rPr>
              <w:b w:val="0"/>
              <w:sz w:val="20"/>
            </w:rPr>
          </w:pPr>
          <w:r w:rsidRPr="00746FD1">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9F08D6" w:rsidRPr="00746FD1" w:rsidRDefault="009F08D6" w:rsidP="00746FD1">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3F0E" w:rsidRDefault="00223F0E" w:rsidP="00746FD1">
      <w:pPr>
        <w:pStyle w:val="Footer"/>
      </w:pPr>
      <w:r>
        <w:separator/>
      </w:r>
    </w:p>
  </w:footnote>
  <w:footnote w:type="continuationSeparator" w:id="0">
    <w:p w:rsidR="00223F0E" w:rsidRDefault="00223F0E" w:rsidP="00746FD1">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F08D6">
      <w:tblPrEx>
        <w:tblCellMar>
          <w:top w:w="0" w:type="dxa"/>
          <w:bottom w:w="0" w:type="dxa"/>
        </w:tblCellMar>
      </w:tblPrEx>
      <w:trPr>
        <w:trHeight w:hRule="exact" w:val="864"/>
      </w:trPr>
      <w:tc>
        <w:tcPr>
          <w:tcW w:w="4838" w:type="dxa"/>
          <w:shd w:val="clear" w:color="auto" w:fill="auto"/>
          <w:vAlign w:val="bottom"/>
        </w:tcPr>
        <w:p w:rsidR="009F08D6" w:rsidRPr="00746FD1" w:rsidRDefault="009F08D6" w:rsidP="00746FD1">
          <w:pPr>
            <w:pStyle w:val="Header"/>
            <w:spacing w:after="80"/>
            <w:rPr>
              <w:b/>
            </w:rPr>
          </w:pPr>
          <w:r>
            <w:rPr>
              <w:b/>
            </w:rPr>
            <w:fldChar w:fldCharType="begin"/>
          </w:r>
          <w:r>
            <w:rPr>
              <w:b/>
            </w:rPr>
            <w:instrText xml:space="preserve"> DOCVARIABLE "sss1" \* MERGEFORMAT </w:instrText>
          </w:r>
          <w:r>
            <w:rPr>
              <w:b/>
            </w:rPr>
            <w:fldChar w:fldCharType="separate"/>
          </w:r>
          <w:r>
            <w:rPr>
              <w:b/>
            </w:rPr>
            <w:t>CEDAW/C/BHS/5</w:t>
          </w:r>
          <w:r>
            <w:rPr>
              <w:b/>
            </w:rPr>
            <w:fldChar w:fldCharType="end"/>
          </w:r>
        </w:p>
      </w:tc>
      <w:tc>
        <w:tcPr>
          <w:tcW w:w="5033" w:type="dxa"/>
          <w:shd w:val="clear" w:color="auto" w:fill="auto"/>
          <w:vAlign w:val="bottom"/>
        </w:tcPr>
        <w:p w:rsidR="009F08D6" w:rsidRDefault="009F08D6" w:rsidP="00746FD1">
          <w:pPr>
            <w:pStyle w:val="Header"/>
          </w:pPr>
        </w:p>
      </w:tc>
    </w:tr>
  </w:tbl>
  <w:p w:rsidR="009F08D6" w:rsidRPr="00746FD1" w:rsidRDefault="009F08D6" w:rsidP="00746FD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F08D6">
      <w:tblPrEx>
        <w:tblCellMar>
          <w:top w:w="0" w:type="dxa"/>
          <w:bottom w:w="0" w:type="dxa"/>
        </w:tblCellMar>
      </w:tblPrEx>
      <w:trPr>
        <w:trHeight w:hRule="exact" w:val="864"/>
      </w:trPr>
      <w:tc>
        <w:tcPr>
          <w:tcW w:w="4838" w:type="dxa"/>
          <w:shd w:val="clear" w:color="auto" w:fill="auto"/>
          <w:vAlign w:val="bottom"/>
        </w:tcPr>
        <w:p w:rsidR="009F08D6" w:rsidRDefault="009F08D6" w:rsidP="00746FD1">
          <w:pPr>
            <w:pStyle w:val="Header"/>
          </w:pPr>
        </w:p>
      </w:tc>
      <w:tc>
        <w:tcPr>
          <w:tcW w:w="5033" w:type="dxa"/>
          <w:shd w:val="clear" w:color="auto" w:fill="auto"/>
          <w:vAlign w:val="bottom"/>
        </w:tcPr>
        <w:p w:rsidR="009F08D6" w:rsidRPr="00746FD1" w:rsidRDefault="009F08D6" w:rsidP="00746FD1">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CEDAW/C/BHS/5</w:t>
          </w:r>
          <w:r>
            <w:rPr>
              <w:b/>
            </w:rPr>
            <w:fldChar w:fldCharType="end"/>
          </w:r>
        </w:p>
      </w:tc>
    </w:tr>
  </w:tbl>
  <w:p w:rsidR="009F08D6" w:rsidRPr="00746FD1" w:rsidRDefault="009F08D6" w:rsidP="00746FD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9F08D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F08D6" w:rsidRDefault="009F08D6" w:rsidP="00746FD1">
          <w:pPr>
            <w:pStyle w:val="Header"/>
            <w:spacing w:after="120"/>
          </w:pPr>
        </w:p>
      </w:tc>
      <w:tc>
        <w:tcPr>
          <w:tcW w:w="2059" w:type="dxa"/>
          <w:tcBorders>
            <w:bottom w:val="single" w:sz="4" w:space="0" w:color="auto"/>
          </w:tcBorders>
          <w:shd w:val="clear" w:color="auto" w:fill="auto"/>
          <w:vAlign w:val="bottom"/>
        </w:tcPr>
        <w:p w:rsidR="009F08D6" w:rsidRPr="00746FD1" w:rsidRDefault="009F08D6" w:rsidP="00746FD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9F08D6" w:rsidRDefault="009F08D6" w:rsidP="00746FD1">
          <w:pPr>
            <w:pStyle w:val="Header"/>
            <w:spacing w:after="120"/>
          </w:pPr>
        </w:p>
      </w:tc>
      <w:tc>
        <w:tcPr>
          <w:tcW w:w="6523" w:type="dxa"/>
          <w:gridSpan w:val="3"/>
          <w:tcBorders>
            <w:bottom w:val="single" w:sz="4" w:space="0" w:color="auto"/>
          </w:tcBorders>
          <w:shd w:val="clear" w:color="auto" w:fill="auto"/>
          <w:vAlign w:val="bottom"/>
        </w:tcPr>
        <w:p w:rsidR="009F08D6" w:rsidRPr="00746FD1" w:rsidRDefault="009F08D6" w:rsidP="00746FD1">
          <w:pPr>
            <w:spacing w:after="80" w:line="240" w:lineRule="auto"/>
            <w:jc w:val="right"/>
            <w:rPr>
              <w:position w:val="-4"/>
            </w:rPr>
          </w:pPr>
          <w:r>
            <w:rPr>
              <w:position w:val="-4"/>
              <w:sz w:val="40"/>
            </w:rPr>
            <w:t>CEDAW</w:t>
          </w:r>
          <w:r>
            <w:rPr>
              <w:position w:val="-4"/>
            </w:rPr>
            <w:t>/C/BHS/5</w:t>
          </w:r>
        </w:p>
      </w:tc>
    </w:tr>
    <w:tr w:rsidR="009F08D6" w:rsidRPr="00746FD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F08D6" w:rsidRDefault="009F08D6" w:rsidP="00746FD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9F08D6" w:rsidRPr="00746FD1" w:rsidRDefault="009F08D6" w:rsidP="00746FD1">
          <w:pPr>
            <w:pStyle w:val="Header"/>
            <w:spacing w:before="109"/>
          </w:pPr>
        </w:p>
      </w:tc>
      <w:tc>
        <w:tcPr>
          <w:tcW w:w="5227" w:type="dxa"/>
          <w:gridSpan w:val="3"/>
          <w:tcBorders>
            <w:top w:val="single" w:sz="4" w:space="0" w:color="auto"/>
            <w:bottom w:val="single" w:sz="12" w:space="0" w:color="auto"/>
          </w:tcBorders>
          <w:shd w:val="clear" w:color="auto" w:fill="auto"/>
        </w:tcPr>
        <w:p w:rsidR="009F08D6" w:rsidRPr="00746FD1" w:rsidRDefault="009F08D6" w:rsidP="00746FD1">
          <w:pPr>
            <w:pStyle w:val="XLarge"/>
            <w:spacing w:before="109" w:line="33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9F08D6" w:rsidRPr="001C4E6E" w:rsidRDefault="009F08D6" w:rsidP="00746FD1">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9F08D6" w:rsidRDefault="009F08D6" w:rsidP="00746FD1">
          <w:pPr>
            <w:spacing w:before="240"/>
          </w:pPr>
          <w:r>
            <w:t>Distr. general</w:t>
          </w:r>
        </w:p>
        <w:p w:rsidR="009F08D6" w:rsidRDefault="009F08D6" w:rsidP="00746FD1">
          <w:r>
            <w:t>18 de octubre de 2011</w:t>
          </w:r>
        </w:p>
        <w:p w:rsidR="009F08D6" w:rsidRDefault="009F08D6" w:rsidP="00746FD1">
          <w:r>
            <w:t>Español</w:t>
          </w:r>
        </w:p>
        <w:p w:rsidR="009F08D6" w:rsidRPr="00746FD1" w:rsidRDefault="009F08D6" w:rsidP="00746FD1">
          <w:r>
            <w:t>Original: inglés</w:t>
          </w:r>
        </w:p>
      </w:tc>
    </w:tr>
  </w:tbl>
  <w:p w:rsidR="009F08D6" w:rsidRPr="00746FD1" w:rsidRDefault="009F08D6" w:rsidP="00746FD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D3F9E"/>
    <w:multiLevelType w:val="multilevel"/>
    <w:tmpl w:val="3CB8C0C8"/>
    <w:name w:val="TOC"/>
    <w:lvl w:ilvl="0">
      <w:start w:val="1"/>
      <w:numFmt w:val="upperRoman"/>
      <w:lvlRestart w:val="0"/>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1">
    <w:nsid w:val="0AD1161C"/>
    <w:multiLevelType w:val="singleLevel"/>
    <w:tmpl w:val="FB3E0CD2"/>
    <w:lvl w:ilvl="0">
      <w:start w:val="144"/>
      <w:numFmt w:val="decimal"/>
      <w:lvlRestart w:val="0"/>
      <w:lvlText w:val="%1."/>
      <w:lvlJc w:val="left"/>
      <w:pPr>
        <w:tabs>
          <w:tab w:val="num" w:pos="475"/>
        </w:tabs>
        <w:ind w:left="0" w:firstLine="0"/>
      </w:pPr>
      <w:rPr>
        <w:spacing w:val="0"/>
        <w:w w:val="100"/>
      </w:rPr>
    </w:lvl>
  </w:abstractNum>
  <w:abstractNum w:abstractNumId="2">
    <w:nsid w:val="10582225"/>
    <w:multiLevelType w:val="singleLevel"/>
    <w:tmpl w:val="93965624"/>
    <w:lvl w:ilvl="0">
      <w:start w:val="13"/>
      <w:numFmt w:val="decimal"/>
      <w:lvlRestart w:val="0"/>
      <w:lvlText w:val="%1."/>
      <w:lvlJc w:val="left"/>
      <w:pPr>
        <w:tabs>
          <w:tab w:val="num" w:pos="475"/>
        </w:tabs>
        <w:ind w:left="0" w:firstLine="0"/>
      </w:pPr>
      <w:rPr>
        <w:spacing w:val="0"/>
        <w:w w:val="100"/>
      </w:rPr>
    </w:lvl>
  </w:abstractNum>
  <w:abstractNum w:abstractNumId="3">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5">
    <w:nsid w:val="1A003780"/>
    <w:multiLevelType w:val="singleLevel"/>
    <w:tmpl w:val="C0AE5B04"/>
    <w:lvl w:ilvl="0">
      <w:start w:val="50"/>
      <w:numFmt w:val="decimal"/>
      <w:lvlRestart w:val="0"/>
      <w:lvlText w:val="%1."/>
      <w:lvlJc w:val="left"/>
      <w:pPr>
        <w:tabs>
          <w:tab w:val="num" w:pos="475"/>
        </w:tabs>
        <w:ind w:left="0" w:firstLine="0"/>
      </w:pPr>
      <w:rPr>
        <w:spacing w:val="0"/>
        <w:w w:val="100"/>
      </w:rPr>
    </w:lvl>
  </w:abstractNum>
  <w:abstractNum w:abstractNumId="6">
    <w:nsid w:val="1D063005"/>
    <w:multiLevelType w:val="singleLevel"/>
    <w:tmpl w:val="6ED66A84"/>
    <w:lvl w:ilvl="0">
      <w:start w:val="125"/>
      <w:numFmt w:val="decimal"/>
      <w:lvlRestart w:val="0"/>
      <w:lvlText w:val="%1."/>
      <w:lvlJc w:val="left"/>
      <w:pPr>
        <w:tabs>
          <w:tab w:val="num" w:pos="475"/>
        </w:tabs>
        <w:ind w:left="0" w:firstLine="0"/>
      </w:pPr>
      <w:rPr>
        <w:spacing w:val="0"/>
        <w:w w:val="100"/>
      </w:rPr>
    </w:lvl>
  </w:abstractNum>
  <w:abstractNum w:abstractNumId="7">
    <w:nsid w:val="1F5B2709"/>
    <w:multiLevelType w:val="singleLevel"/>
    <w:tmpl w:val="51826D5A"/>
    <w:lvl w:ilvl="0">
      <w:start w:val="1"/>
      <w:numFmt w:val="decimal"/>
      <w:lvlRestart w:val="0"/>
      <w:lvlText w:val="%1."/>
      <w:lvlJc w:val="left"/>
      <w:pPr>
        <w:tabs>
          <w:tab w:val="num" w:pos="475"/>
        </w:tabs>
        <w:ind w:left="0" w:firstLine="0"/>
      </w:pPr>
      <w:rPr>
        <w:spacing w:val="0"/>
        <w:w w:val="100"/>
      </w:rPr>
    </w:lvl>
  </w:abstractNum>
  <w:abstractNum w:abstractNumId="8">
    <w:nsid w:val="319D1AE6"/>
    <w:multiLevelType w:val="singleLevel"/>
    <w:tmpl w:val="0A86F54E"/>
    <w:lvl w:ilvl="0">
      <w:start w:val="98"/>
      <w:numFmt w:val="decimal"/>
      <w:lvlRestart w:val="0"/>
      <w:lvlText w:val="%1."/>
      <w:lvlJc w:val="left"/>
      <w:pPr>
        <w:tabs>
          <w:tab w:val="num" w:pos="475"/>
        </w:tabs>
        <w:ind w:left="0" w:firstLine="0"/>
      </w:pPr>
      <w:rPr>
        <w:spacing w:val="0"/>
        <w:w w:val="100"/>
      </w:rPr>
    </w:lvl>
  </w:abstractNum>
  <w:abstractNum w:abstractNumId="9">
    <w:nsid w:val="410F2938"/>
    <w:multiLevelType w:val="singleLevel"/>
    <w:tmpl w:val="71727AFC"/>
    <w:lvl w:ilvl="0">
      <w:start w:val="173"/>
      <w:numFmt w:val="decimal"/>
      <w:lvlRestart w:val="0"/>
      <w:lvlText w:val="%1."/>
      <w:lvlJc w:val="left"/>
      <w:pPr>
        <w:tabs>
          <w:tab w:val="num" w:pos="475"/>
        </w:tabs>
        <w:ind w:left="0" w:firstLine="0"/>
      </w:pPr>
      <w:rPr>
        <w:rFonts w:hint="default"/>
        <w:b w:val="0"/>
        <w:i w:val="0"/>
        <w:spacing w:val="0"/>
        <w:w w:val="100"/>
      </w:rPr>
    </w:lvl>
  </w:abstractNum>
  <w:abstractNum w:abstractNumId="10">
    <w:nsid w:val="412B425E"/>
    <w:multiLevelType w:val="singleLevel"/>
    <w:tmpl w:val="024C7B16"/>
    <w:lvl w:ilvl="0">
      <w:start w:val="25"/>
      <w:numFmt w:val="decimal"/>
      <w:lvlRestart w:val="0"/>
      <w:lvlText w:val="%1."/>
      <w:lvlJc w:val="left"/>
      <w:pPr>
        <w:tabs>
          <w:tab w:val="num" w:pos="475"/>
        </w:tabs>
        <w:ind w:left="0" w:firstLine="0"/>
      </w:pPr>
      <w:rPr>
        <w:spacing w:val="0"/>
        <w:w w:val="100"/>
      </w:rPr>
    </w:lvl>
  </w:abstractNum>
  <w:abstractNum w:abstractNumId="11">
    <w:nsid w:val="43264083"/>
    <w:multiLevelType w:val="singleLevel"/>
    <w:tmpl w:val="C79E91A8"/>
    <w:lvl w:ilvl="0">
      <w:start w:val="126"/>
      <w:numFmt w:val="decimal"/>
      <w:lvlRestart w:val="0"/>
      <w:lvlText w:val="%1."/>
      <w:lvlJc w:val="left"/>
      <w:pPr>
        <w:tabs>
          <w:tab w:val="num" w:pos="475"/>
        </w:tabs>
        <w:ind w:left="0" w:firstLine="0"/>
      </w:pPr>
      <w:rPr>
        <w:spacing w:val="0"/>
        <w:w w:val="100"/>
      </w:rPr>
    </w:lvl>
  </w:abstractNum>
  <w:abstractNum w:abstractNumId="12">
    <w:nsid w:val="433C1D3E"/>
    <w:multiLevelType w:val="hybridMultilevel"/>
    <w:tmpl w:val="9706569E"/>
    <w:lvl w:ilvl="0" w:tplc="105E3D56">
      <w:start w:val="1"/>
      <w:numFmt w:val="upperRoman"/>
      <w:lvlText w:val="%1."/>
      <w:lvlJc w:val="left"/>
      <w:pPr>
        <w:tabs>
          <w:tab w:val="num" w:pos="1987"/>
        </w:tabs>
        <w:ind w:left="1987" w:hanging="72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3">
    <w:nsid w:val="44761BFE"/>
    <w:multiLevelType w:val="singleLevel"/>
    <w:tmpl w:val="48BCC282"/>
    <w:lvl w:ilvl="0">
      <w:start w:val="125"/>
      <w:numFmt w:val="decimal"/>
      <w:lvlRestart w:val="0"/>
      <w:lvlText w:val="%1."/>
      <w:lvlJc w:val="left"/>
      <w:pPr>
        <w:tabs>
          <w:tab w:val="num" w:pos="475"/>
        </w:tabs>
        <w:ind w:left="0" w:firstLine="0"/>
      </w:pPr>
      <w:rPr>
        <w:spacing w:val="0"/>
        <w:w w:val="100"/>
      </w:rPr>
    </w:lvl>
  </w:abstractNum>
  <w:abstractNum w:abstractNumId="14">
    <w:nsid w:val="4A4467A5"/>
    <w:multiLevelType w:val="singleLevel"/>
    <w:tmpl w:val="12B0711C"/>
    <w:lvl w:ilvl="0">
      <w:start w:val="1"/>
      <w:numFmt w:val="decimal"/>
      <w:lvlRestart w:val="0"/>
      <w:lvlText w:val="%1."/>
      <w:lvlJc w:val="left"/>
      <w:pPr>
        <w:tabs>
          <w:tab w:val="num" w:pos="475"/>
        </w:tabs>
        <w:ind w:left="0" w:firstLine="0"/>
      </w:pPr>
      <w:rPr>
        <w:spacing w:val="0"/>
        <w:w w:val="100"/>
      </w:rPr>
    </w:lvl>
  </w:abstractNum>
  <w:abstractNum w:abstractNumId="1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6">
    <w:nsid w:val="5176523C"/>
    <w:multiLevelType w:val="singleLevel"/>
    <w:tmpl w:val="6ED66A84"/>
    <w:lvl w:ilvl="0">
      <w:start w:val="125"/>
      <w:numFmt w:val="decimal"/>
      <w:lvlRestart w:val="0"/>
      <w:lvlText w:val="%1."/>
      <w:lvlJc w:val="left"/>
      <w:pPr>
        <w:tabs>
          <w:tab w:val="num" w:pos="475"/>
        </w:tabs>
        <w:ind w:left="0" w:firstLine="0"/>
      </w:pPr>
      <w:rPr>
        <w:spacing w:val="0"/>
        <w:w w:val="100"/>
      </w:rPr>
    </w:lvl>
  </w:abstractNum>
  <w:abstractNum w:abstractNumId="17">
    <w:nsid w:val="51A44C22"/>
    <w:multiLevelType w:val="singleLevel"/>
    <w:tmpl w:val="888AAFD8"/>
    <w:lvl w:ilvl="0">
      <w:start w:val="89"/>
      <w:numFmt w:val="decimal"/>
      <w:lvlRestart w:val="0"/>
      <w:lvlText w:val="%1."/>
      <w:lvlJc w:val="left"/>
      <w:pPr>
        <w:tabs>
          <w:tab w:val="num" w:pos="475"/>
        </w:tabs>
        <w:ind w:left="0" w:firstLine="0"/>
      </w:pPr>
      <w:rPr>
        <w:spacing w:val="0"/>
        <w:w w:val="100"/>
      </w:rPr>
    </w:lvl>
  </w:abstractNum>
  <w:abstractNum w:abstractNumId="18">
    <w:nsid w:val="51D643E9"/>
    <w:multiLevelType w:val="singleLevel"/>
    <w:tmpl w:val="CDCCBCDA"/>
    <w:lvl w:ilvl="0">
      <w:start w:val="10"/>
      <w:numFmt w:val="decimal"/>
      <w:lvlRestart w:val="0"/>
      <w:lvlText w:val="%1."/>
      <w:lvlJc w:val="left"/>
      <w:pPr>
        <w:tabs>
          <w:tab w:val="num" w:pos="475"/>
        </w:tabs>
        <w:ind w:left="0" w:firstLine="0"/>
      </w:pPr>
      <w:rPr>
        <w:spacing w:val="0"/>
        <w:w w:val="100"/>
      </w:rPr>
    </w:lvl>
  </w:abstractNum>
  <w:abstractNum w:abstractNumId="19">
    <w:nsid w:val="521B21BA"/>
    <w:multiLevelType w:val="singleLevel"/>
    <w:tmpl w:val="3C2A7DAC"/>
    <w:lvl w:ilvl="0">
      <w:start w:val="74"/>
      <w:numFmt w:val="decimal"/>
      <w:lvlRestart w:val="0"/>
      <w:lvlText w:val="%1."/>
      <w:lvlJc w:val="left"/>
      <w:pPr>
        <w:tabs>
          <w:tab w:val="num" w:pos="475"/>
        </w:tabs>
        <w:ind w:left="0" w:firstLine="0"/>
      </w:pPr>
      <w:rPr>
        <w:spacing w:val="0"/>
        <w:w w:val="100"/>
      </w:rPr>
    </w:lvl>
  </w:abstractNum>
  <w:abstractNum w:abstractNumId="20">
    <w:nsid w:val="535B0F54"/>
    <w:multiLevelType w:val="singleLevel"/>
    <w:tmpl w:val="53A8E3FA"/>
    <w:lvl w:ilvl="0">
      <w:start w:val="298"/>
      <w:numFmt w:val="decimal"/>
      <w:lvlRestart w:val="0"/>
      <w:lvlText w:val="%1."/>
      <w:lvlJc w:val="left"/>
      <w:pPr>
        <w:tabs>
          <w:tab w:val="num" w:pos="475"/>
        </w:tabs>
        <w:ind w:left="0" w:firstLine="0"/>
      </w:pPr>
      <w:rPr>
        <w:spacing w:val="0"/>
        <w:w w:val="100"/>
      </w:rPr>
    </w:lvl>
  </w:abstractNum>
  <w:abstractNum w:abstractNumId="21">
    <w:nsid w:val="59B114E5"/>
    <w:multiLevelType w:val="singleLevel"/>
    <w:tmpl w:val="53A8E3FA"/>
    <w:lvl w:ilvl="0">
      <w:start w:val="298"/>
      <w:numFmt w:val="decimal"/>
      <w:lvlRestart w:val="0"/>
      <w:lvlText w:val="%1."/>
      <w:lvlJc w:val="left"/>
      <w:pPr>
        <w:tabs>
          <w:tab w:val="num" w:pos="475"/>
        </w:tabs>
        <w:ind w:left="0" w:firstLine="0"/>
      </w:pPr>
      <w:rPr>
        <w:spacing w:val="0"/>
        <w:w w:val="100"/>
      </w:rPr>
    </w:lvl>
  </w:abstractNum>
  <w:abstractNum w:abstractNumId="22">
    <w:nsid w:val="61AF4C70"/>
    <w:multiLevelType w:val="singleLevel"/>
    <w:tmpl w:val="DD361988"/>
    <w:lvl w:ilvl="0">
      <w:start w:val="73"/>
      <w:numFmt w:val="decimal"/>
      <w:lvlRestart w:val="0"/>
      <w:lvlText w:val="%1."/>
      <w:lvlJc w:val="left"/>
      <w:pPr>
        <w:tabs>
          <w:tab w:val="num" w:pos="475"/>
        </w:tabs>
        <w:ind w:left="0" w:firstLine="0"/>
      </w:pPr>
      <w:rPr>
        <w:spacing w:val="0"/>
        <w:w w:val="100"/>
      </w:rPr>
    </w:lvl>
  </w:abstractNum>
  <w:abstractNum w:abstractNumId="23">
    <w:nsid w:val="645A0AEA"/>
    <w:multiLevelType w:val="singleLevel"/>
    <w:tmpl w:val="6ED66A84"/>
    <w:lvl w:ilvl="0">
      <w:start w:val="125"/>
      <w:numFmt w:val="decimal"/>
      <w:lvlRestart w:val="0"/>
      <w:lvlText w:val="%1."/>
      <w:lvlJc w:val="left"/>
      <w:pPr>
        <w:tabs>
          <w:tab w:val="num" w:pos="475"/>
        </w:tabs>
        <w:ind w:left="0" w:firstLine="0"/>
      </w:pPr>
      <w:rPr>
        <w:spacing w:val="0"/>
        <w:w w:val="100"/>
      </w:rPr>
    </w:lvl>
  </w:abstractNum>
  <w:abstractNum w:abstractNumId="24">
    <w:nsid w:val="69842CB1"/>
    <w:multiLevelType w:val="singleLevel"/>
    <w:tmpl w:val="B35A1E48"/>
    <w:lvl w:ilvl="0">
      <w:start w:val="10"/>
      <w:numFmt w:val="decimal"/>
      <w:lvlRestart w:val="0"/>
      <w:lvlText w:val="%1."/>
      <w:lvlJc w:val="left"/>
      <w:pPr>
        <w:tabs>
          <w:tab w:val="num" w:pos="475"/>
        </w:tabs>
        <w:ind w:left="0" w:firstLine="0"/>
      </w:pPr>
      <w:rPr>
        <w:spacing w:val="0"/>
        <w:w w:val="100"/>
      </w:rPr>
    </w:lvl>
  </w:abstractNum>
  <w:abstractNum w:abstractNumId="25">
    <w:nsid w:val="6DA77E2C"/>
    <w:multiLevelType w:val="singleLevel"/>
    <w:tmpl w:val="3FCCE0BA"/>
    <w:lvl w:ilvl="0">
      <w:start w:val="197"/>
      <w:numFmt w:val="decimal"/>
      <w:lvlRestart w:val="0"/>
      <w:lvlText w:val="%1."/>
      <w:lvlJc w:val="left"/>
      <w:pPr>
        <w:tabs>
          <w:tab w:val="num" w:pos="475"/>
        </w:tabs>
        <w:ind w:left="0" w:firstLine="0"/>
      </w:pPr>
      <w:rPr>
        <w:spacing w:val="0"/>
        <w:w w:val="100"/>
      </w:rPr>
    </w:lvl>
  </w:abstractNum>
  <w:abstractNum w:abstractNumId="26">
    <w:nsid w:val="77780008"/>
    <w:multiLevelType w:val="hybridMultilevel"/>
    <w:tmpl w:val="3918A3E2"/>
    <w:lvl w:ilvl="0" w:tplc="FE48A21A">
      <w:start w:val="1"/>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3"/>
  </w:num>
  <w:num w:numId="2">
    <w:abstractNumId w:val="4"/>
  </w:num>
  <w:num w:numId="3">
    <w:abstractNumId w:val="15"/>
  </w:num>
  <w:num w:numId="4">
    <w:abstractNumId w:val="26"/>
  </w:num>
  <w:num w:numId="5">
    <w:abstractNumId w:val="7"/>
  </w:num>
  <w:num w:numId="6">
    <w:abstractNumId w:val="12"/>
  </w:num>
  <w:num w:numId="7">
    <w:abstractNumId w:val="0"/>
  </w:num>
  <w:num w:numId="8">
    <w:abstractNumId w:val="24"/>
  </w:num>
  <w:num w:numId="9">
    <w:abstractNumId w:val="2"/>
  </w:num>
  <w:num w:numId="10">
    <w:abstractNumId w:val="14"/>
  </w:num>
  <w:num w:numId="11">
    <w:abstractNumId w:val="18"/>
  </w:num>
  <w:num w:numId="12">
    <w:abstractNumId w:val="10"/>
  </w:num>
  <w:num w:numId="13">
    <w:abstractNumId w:val="5"/>
  </w:num>
  <w:num w:numId="14">
    <w:abstractNumId w:val="22"/>
    <w:lvlOverride w:ilvl="0">
      <w:lvl w:ilvl="0">
        <w:start w:val="73"/>
        <w:numFmt w:val="decimal"/>
        <w:lvlRestart w:val="0"/>
        <w:lvlText w:val="%1."/>
        <w:lvlJc w:val="left"/>
        <w:pPr>
          <w:tabs>
            <w:tab w:val="num" w:pos="475"/>
          </w:tabs>
          <w:ind w:left="0" w:firstLine="0"/>
        </w:pPr>
        <w:rPr>
          <w:spacing w:val="0"/>
          <w:w w:val="100"/>
        </w:rPr>
      </w:lvl>
    </w:lvlOverride>
  </w:num>
  <w:num w:numId="15">
    <w:abstractNumId w:val="19"/>
  </w:num>
  <w:num w:numId="16">
    <w:abstractNumId w:val="17"/>
  </w:num>
  <w:num w:numId="17">
    <w:abstractNumId w:val="8"/>
  </w:num>
  <w:num w:numId="18">
    <w:abstractNumId w:val="13"/>
  </w:num>
  <w:num w:numId="19">
    <w:abstractNumId w:val="21"/>
  </w:num>
  <w:num w:numId="20">
    <w:abstractNumId w:val="21"/>
    <w:lvlOverride w:ilvl="0">
      <w:lvl w:ilvl="0">
        <w:start w:val="298"/>
        <w:numFmt w:val="decimal"/>
        <w:lvlRestart w:val="0"/>
        <w:lvlText w:val="%1."/>
        <w:lvlJc w:val="left"/>
        <w:pPr>
          <w:tabs>
            <w:tab w:val="num" w:pos="475"/>
          </w:tabs>
          <w:ind w:left="0" w:firstLine="0"/>
        </w:pPr>
        <w:rPr>
          <w:spacing w:val="0"/>
          <w:w w:val="100"/>
        </w:rPr>
      </w:lvl>
    </w:lvlOverride>
  </w:num>
  <w:num w:numId="21">
    <w:abstractNumId w:val="20"/>
  </w:num>
  <w:num w:numId="22">
    <w:abstractNumId w:val="21"/>
    <w:lvlOverride w:ilvl="0">
      <w:lvl w:ilvl="0">
        <w:start w:val="125"/>
        <w:numFmt w:val="decimal"/>
        <w:lvlRestart w:val="0"/>
        <w:lvlText w:val="%1."/>
        <w:lvlJc w:val="left"/>
        <w:pPr>
          <w:tabs>
            <w:tab w:val="num" w:pos="475"/>
          </w:tabs>
          <w:ind w:left="0" w:firstLine="0"/>
        </w:pPr>
        <w:rPr>
          <w:spacing w:val="0"/>
          <w:w w:val="100"/>
        </w:rPr>
      </w:lvl>
    </w:lvlOverride>
  </w:num>
  <w:num w:numId="23">
    <w:abstractNumId w:val="6"/>
  </w:num>
  <w:num w:numId="24">
    <w:abstractNumId w:val="23"/>
  </w:num>
  <w:num w:numId="25">
    <w:abstractNumId w:val="11"/>
  </w:num>
  <w:num w:numId="26">
    <w:abstractNumId w:val="23"/>
    <w:lvlOverride w:ilvl="0">
      <w:lvl w:ilvl="0">
        <w:start w:val="126"/>
        <w:numFmt w:val="decimal"/>
        <w:lvlRestart w:val="0"/>
        <w:lvlText w:val="%1."/>
        <w:lvlJc w:val="left"/>
        <w:pPr>
          <w:tabs>
            <w:tab w:val="num" w:pos="475"/>
          </w:tabs>
          <w:ind w:left="0" w:firstLine="0"/>
        </w:pPr>
        <w:rPr>
          <w:spacing w:val="0"/>
          <w:w w:val="100"/>
        </w:rPr>
      </w:lvl>
    </w:lvlOverride>
  </w:num>
  <w:num w:numId="27">
    <w:abstractNumId w:val="23"/>
    <w:lvlOverride w:ilvl="0">
      <w:lvl w:ilvl="0">
        <w:start w:val="126"/>
        <w:numFmt w:val="decimal"/>
        <w:lvlRestart w:val="0"/>
        <w:lvlText w:val="%1."/>
        <w:lvlJc w:val="left"/>
        <w:pPr>
          <w:tabs>
            <w:tab w:val="num" w:pos="475"/>
          </w:tabs>
          <w:ind w:left="0" w:firstLine="0"/>
        </w:pPr>
        <w:rPr>
          <w:spacing w:val="0"/>
          <w:w w:val="100"/>
        </w:rPr>
      </w:lvl>
    </w:lvlOverride>
  </w:num>
  <w:num w:numId="28">
    <w:abstractNumId w:val="23"/>
    <w:lvlOverride w:ilvl="0">
      <w:lvl w:ilvl="0">
        <w:start w:val="126"/>
        <w:numFmt w:val="decimal"/>
        <w:lvlRestart w:val="0"/>
        <w:lvlText w:val="%1."/>
        <w:lvlJc w:val="left"/>
        <w:pPr>
          <w:tabs>
            <w:tab w:val="num" w:pos="475"/>
          </w:tabs>
          <w:ind w:left="0" w:firstLine="0"/>
        </w:pPr>
        <w:rPr>
          <w:spacing w:val="0"/>
          <w:w w:val="100"/>
        </w:rPr>
      </w:lvl>
    </w:lvlOverride>
  </w:num>
  <w:num w:numId="29">
    <w:abstractNumId w:val="23"/>
    <w:lvlOverride w:ilvl="0">
      <w:lvl w:ilvl="0">
        <w:start w:val="126"/>
        <w:numFmt w:val="decimal"/>
        <w:lvlRestart w:val="0"/>
        <w:lvlText w:val="%1."/>
        <w:lvlJc w:val="left"/>
        <w:pPr>
          <w:tabs>
            <w:tab w:val="num" w:pos="475"/>
          </w:tabs>
          <w:ind w:left="0" w:firstLine="0"/>
        </w:pPr>
        <w:rPr>
          <w:spacing w:val="0"/>
          <w:w w:val="100"/>
        </w:rPr>
      </w:lvl>
    </w:lvlOverride>
  </w:num>
  <w:num w:numId="30">
    <w:abstractNumId w:val="23"/>
    <w:lvlOverride w:ilvl="0">
      <w:lvl w:ilvl="0">
        <w:start w:val="126"/>
        <w:numFmt w:val="decimal"/>
        <w:lvlRestart w:val="0"/>
        <w:lvlText w:val="%1."/>
        <w:lvlJc w:val="left"/>
        <w:pPr>
          <w:tabs>
            <w:tab w:val="num" w:pos="475"/>
          </w:tabs>
          <w:ind w:left="0" w:firstLine="0"/>
        </w:pPr>
        <w:rPr>
          <w:spacing w:val="0"/>
          <w:w w:val="100"/>
        </w:rPr>
      </w:lvl>
    </w:lvlOverride>
  </w:num>
  <w:num w:numId="31">
    <w:abstractNumId w:val="23"/>
    <w:lvlOverride w:ilvl="0">
      <w:lvl w:ilvl="0">
        <w:start w:val="126"/>
        <w:numFmt w:val="decimal"/>
        <w:lvlRestart w:val="0"/>
        <w:lvlText w:val="%1."/>
        <w:lvlJc w:val="left"/>
        <w:pPr>
          <w:tabs>
            <w:tab w:val="num" w:pos="475"/>
          </w:tabs>
          <w:ind w:left="0" w:firstLine="0"/>
        </w:pPr>
        <w:rPr>
          <w:spacing w:val="0"/>
          <w:w w:val="100"/>
        </w:rPr>
      </w:lvl>
    </w:lvlOverride>
  </w:num>
  <w:num w:numId="32">
    <w:abstractNumId w:val="23"/>
    <w:lvlOverride w:ilvl="0">
      <w:lvl w:ilvl="0">
        <w:start w:val="126"/>
        <w:numFmt w:val="decimal"/>
        <w:lvlRestart w:val="0"/>
        <w:lvlText w:val="%1."/>
        <w:lvlJc w:val="left"/>
        <w:pPr>
          <w:tabs>
            <w:tab w:val="num" w:pos="475"/>
          </w:tabs>
          <w:ind w:left="0" w:firstLine="0"/>
        </w:pPr>
        <w:rPr>
          <w:spacing w:val="0"/>
          <w:w w:val="100"/>
        </w:rPr>
      </w:lvl>
    </w:lvlOverride>
  </w:num>
  <w:num w:numId="33">
    <w:abstractNumId w:val="23"/>
    <w:lvlOverride w:ilvl="0">
      <w:lvl w:ilvl="0">
        <w:start w:val="126"/>
        <w:numFmt w:val="decimal"/>
        <w:lvlRestart w:val="0"/>
        <w:lvlText w:val="%1."/>
        <w:lvlJc w:val="left"/>
        <w:pPr>
          <w:tabs>
            <w:tab w:val="num" w:pos="475"/>
          </w:tabs>
          <w:ind w:left="0" w:firstLine="0"/>
        </w:pPr>
        <w:rPr>
          <w:spacing w:val="0"/>
          <w:w w:val="100"/>
        </w:rPr>
      </w:lvl>
    </w:lvlOverride>
  </w:num>
  <w:num w:numId="34">
    <w:abstractNumId w:val="23"/>
    <w:lvlOverride w:ilvl="0">
      <w:lvl w:ilvl="0">
        <w:start w:val="126"/>
        <w:numFmt w:val="decimal"/>
        <w:lvlRestart w:val="0"/>
        <w:lvlText w:val="%1."/>
        <w:lvlJc w:val="left"/>
        <w:pPr>
          <w:tabs>
            <w:tab w:val="num" w:pos="475"/>
          </w:tabs>
          <w:ind w:left="0" w:firstLine="0"/>
        </w:pPr>
        <w:rPr>
          <w:spacing w:val="0"/>
          <w:w w:val="100"/>
        </w:rPr>
      </w:lvl>
    </w:lvlOverride>
  </w:num>
  <w:num w:numId="35">
    <w:abstractNumId w:val="23"/>
    <w:lvlOverride w:ilvl="0">
      <w:lvl w:ilvl="0">
        <w:start w:val="126"/>
        <w:numFmt w:val="decimal"/>
        <w:lvlRestart w:val="0"/>
        <w:lvlText w:val="%1."/>
        <w:lvlJc w:val="left"/>
        <w:pPr>
          <w:tabs>
            <w:tab w:val="num" w:pos="475"/>
          </w:tabs>
          <w:ind w:left="0" w:firstLine="0"/>
        </w:pPr>
        <w:rPr>
          <w:spacing w:val="0"/>
          <w:w w:val="100"/>
        </w:rPr>
      </w:lvl>
    </w:lvlOverride>
  </w:num>
  <w:num w:numId="36">
    <w:abstractNumId w:val="23"/>
    <w:lvlOverride w:ilvl="0">
      <w:lvl w:ilvl="0">
        <w:start w:val="126"/>
        <w:numFmt w:val="decimal"/>
        <w:lvlRestart w:val="0"/>
        <w:lvlText w:val="%1."/>
        <w:lvlJc w:val="left"/>
        <w:pPr>
          <w:tabs>
            <w:tab w:val="num" w:pos="475"/>
          </w:tabs>
          <w:ind w:left="0" w:firstLine="0"/>
        </w:pPr>
        <w:rPr>
          <w:spacing w:val="0"/>
          <w:w w:val="100"/>
        </w:rPr>
      </w:lvl>
    </w:lvlOverride>
  </w:num>
  <w:num w:numId="37">
    <w:abstractNumId w:val="23"/>
    <w:lvlOverride w:ilvl="0">
      <w:lvl w:ilvl="0">
        <w:start w:val="126"/>
        <w:numFmt w:val="decimal"/>
        <w:lvlRestart w:val="0"/>
        <w:lvlText w:val="%1."/>
        <w:lvlJc w:val="left"/>
        <w:pPr>
          <w:tabs>
            <w:tab w:val="num" w:pos="475"/>
          </w:tabs>
          <w:ind w:left="0" w:firstLine="0"/>
        </w:pPr>
        <w:rPr>
          <w:spacing w:val="0"/>
          <w:w w:val="100"/>
        </w:rPr>
      </w:lvl>
    </w:lvlOverride>
  </w:num>
  <w:num w:numId="38">
    <w:abstractNumId w:val="23"/>
    <w:lvlOverride w:ilvl="0">
      <w:lvl w:ilvl="0">
        <w:start w:val="126"/>
        <w:numFmt w:val="decimal"/>
        <w:lvlRestart w:val="0"/>
        <w:lvlText w:val="%1."/>
        <w:lvlJc w:val="left"/>
        <w:pPr>
          <w:tabs>
            <w:tab w:val="num" w:pos="475"/>
          </w:tabs>
          <w:ind w:left="0" w:firstLine="0"/>
        </w:pPr>
        <w:rPr>
          <w:spacing w:val="0"/>
          <w:w w:val="100"/>
        </w:rPr>
      </w:lvl>
    </w:lvlOverride>
  </w:num>
  <w:num w:numId="39">
    <w:abstractNumId w:val="23"/>
    <w:lvlOverride w:ilvl="0">
      <w:lvl w:ilvl="0">
        <w:start w:val="126"/>
        <w:numFmt w:val="decimal"/>
        <w:lvlRestart w:val="0"/>
        <w:lvlText w:val="%1."/>
        <w:lvlJc w:val="left"/>
        <w:pPr>
          <w:tabs>
            <w:tab w:val="num" w:pos="475"/>
          </w:tabs>
          <w:ind w:left="0" w:firstLine="0"/>
        </w:pPr>
        <w:rPr>
          <w:spacing w:val="0"/>
          <w:w w:val="100"/>
        </w:rPr>
      </w:lvl>
    </w:lvlOverride>
  </w:num>
  <w:num w:numId="40">
    <w:abstractNumId w:val="23"/>
    <w:lvlOverride w:ilvl="0">
      <w:lvl w:ilvl="0">
        <w:start w:val="126"/>
        <w:numFmt w:val="decimal"/>
        <w:lvlRestart w:val="0"/>
        <w:lvlText w:val="%1."/>
        <w:lvlJc w:val="left"/>
        <w:pPr>
          <w:tabs>
            <w:tab w:val="num" w:pos="475"/>
          </w:tabs>
          <w:ind w:left="0" w:firstLine="0"/>
        </w:pPr>
        <w:rPr>
          <w:spacing w:val="0"/>
          <w:w w:val="100"/>
        </w:rPr>
      </w:lvl>
    </w:lvlOverride>
  </w:num>
  <w:num w:numId="41">
    <w:abstractNumId w:val="23"/>
    <w:lvlOverride w:ilvl="0">
      <w:lvl w:ilvl="0">
        <w:start w:val="126"/>
        <w:numFmt w:val="decimal"/>
        <w:lvlRestart w:val="0"/>
        <w:lvlText w:val="%1."/>
        <w:lvlJc w:val="left"/>
        <w:pPr>
          <w:tabs>
            <w:tab w:val="num" w:pos="475"/>
          </w:tabs>
          <w:ind w:left="0" w:firstLine="0"/>
        </w:pPr>
        <w:rPr>
          <w:spacing w:val="0"/>
          <w:w w:val="100"/>
        </w:rPr>
      </w:lvl>
    </w:lvlOverride>
  </w:num>
  <w:num w:numId="42">
    <w:abstractNumId w:val="23"/>
    <w:lvlOverride w:ilvl="0">
      <w:lvl w:ilvl="0">
        <w:start w:val="126"/>
        <w:numFmt w:val="decimal"/>
        <w:lvlRestart w:val="0"/>
        <w:lvlText w:val="%1."/>
        <w:lvlJc w:val="left"/>
        <w:pPr>
          <w:tabs>
            <w:tab w:val="num" w:pos="475"/>
          </w:tabs>
          <w:ind w:left="0" w:firstLine="0"/>
        </w:pPr>
        <w:rPr>
          <w:spacing w:val="0"/>
          <w:w w:val="100"/>
        </w:rPr>
      </w:lvl>
    </w:lvlOverride>
  </w:num>
  <w:num w:numId="43">
    <w:abstractNumId w:val="1"/>
  </w:num>
  <w:num w:numId="44">
    <w:abstractNumId w:val="9"/>
  </w:num>
  <w:num w:numId="45">
    <w:abstractNumId w:val="9"/>
    <w:lvlOverride w:ilvl="0">
      <w:lvl w:ilvl="0">
        <w:start w:val="173"/>
        <w:numFmt w:val="decimal"/>
        <w:lvlRestart w:val="0"/>
        <w:lvlText w:val="%1."/>
        <w:lvlJc w:val="left"/>
        <w:pPr>
          <w:tabs>
            <w:tab w:val="num" w:pos="475"/>
          </w:tabs>
          <w:ind w:left="0" w:firstLine="0"/>
        </w:pPr>
        <w:rPr>
          <w:rFonts w:hint="default"/>
          <w:b w:val="0"/>
          <w:i w:val="0"/>
          <w:spacing w:val="0"/>
          <w:w w:val="100"/>
        </w:rPr>
      </w:lvl>
    </w:lvlOverride>
  </w:num>
  <w:num w:numId="4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55354*"/>
    <w:docVar w:name="CreationDt" w:val="17/11/2011 17:07:55"/>
    <w:docVar w:name="DocCategory" w:val="Doc"/>
    <w:docVar w:name="DocType" w:val="Final"/>
    <w:docVar w:name="FooterJN" w:val="11-55354"/>
    <w:docVar w:name="jobn" w:val="11-55354 (S)"/>
    <w:docVar w:name="jobnDT" w:val="11-55354 (S)   171111"/>
    <w:docVar w:name="jobnDTDT" w:val="11-55354 (S)   171111   171111"/>
    <w:docVar w:name="JobNo" w:val="1155354S"/>
    <w:docVar w:name="OandT" w:val="mic"/>
    <w:docVar w:name="sss1" w:val="CEDAW/C/BHS/5"/>
    <w:docVar w:name="sss2" w:val="-"/>
    <w:docVar w:name="Symbol1" w:val="CEDAW/C/BHS/5"/>
    <w:docVar w:name="Symbol2" w:val="-"/>
  </w:docVars>
  <w:rsids>
    <w:rsidRoot w:val="00BA3EE2"/>
    <w:rsid w:val="0000430F"/>
    <w:rsid w:val="000105F0"/>
    <w:rsid w:val="0001453A"/>
    <w:rsid w:val="000271D6"/>
    <w:rsid w:val="00030FE1"/>
    <w:rsid w:val="000336E0"/>
    <w:rsid w:val="00042259"/>
    <w:rsid w:val="00044517"/>
    <w:rsid w:val="000534EB"/>
    <w:rsid w:val="000602F6"/>
    <w:rsid w:val="00061177"/>
    <w:rsid w:val="00067D9C"/>
    <w:rsid w:val="00076127"/>
    <w:rsid w:val="000806AC"/>
    <w:rsid w:val="000871C1"/>
    <w:rsid w:val="000A0C7C"/>
    <w:rsid w:val="000A1971"/>
    <w:rsid w:val="000A2C8E"/>
    <w:rsid w:val="000B2A4E"/>
    <w:rsid w:val="000C1009"/>
    <w:rsid w:val="000C4DCC"/>
    <w:rsid w:val="000D21E6"/>
    <w:rsid w:val="000D64ED"/>
    <w:rsid w:val="000E01CF"/>
    <w:rsid w:val="00102135"/>
    <w:rsid w:val="001109AD"/>
    <w:rsid w:val="001259AF"/>
    <w:rsid w:val="001278FA"/>
    <w:rsid w:val="0013687B"/>
    <w:rsid w:val="00143B7C"/>
    <w:rsid w:val="00152E53"/>
    <w:rsid w:val="00153EA2"/>
    <w:rsid w:val="00161925"/>
    <w:rsid w:val="001701FE"/>
    <w:rsid w:val="00170784"/>
    <w:rsid w:val="00175C74"/>
    <w:rsid w:val="001A2E38"/>
    <w:rsid w:val="001A2FAC"/>
    <w:rsid w:val="001A72EA"/>
    <w:rsid w:val="001B2FC3"/>
    <w:rsid w:val="001C4E6E"/>
    <w:rsid w:val="001D3C52"/>
    <w:rsid w:val="001F74B0"/>
    <w:rsid w:val="00200A61"/>
    <w:rsid w:val="0021370B"/>
    <w:rsid w:val="0022060C"/>
    <w:rsid w:val="00223F0E"/>
    <w:rsid w:val="00224C57"/>
    <w:rsid w:val="00225B17"/>
    <w:rsid w:val="0025615B"/>
    <w:rsid w:val="00266F6B"/>
    <w:rsid w:val="00271F2A"/>
    <w:rsid w:val="002841B4"/>
    <w:rsid w:val="00292644"/>
    <w:rsid w:val="00297ED1"/>
    <w:rsid w:val="002A49B8"/>
    <w:rsid w:val="002B7407"/>
    <w:rsid w:val="002B79F6"/>
    <w:rsid w:val="002C345B"/>
    <w:rsid w:val="002C3E79"/>
    <w:rsid w:val="002D0217"/>
    <w:rsid w:val="002D06CA"/>
    <w:rsid w:val="002E1262"/>
    <w:rsid w:val="002F0A5D"/>
    <w:rsid w:val="002F1F66"/>
    <w:rsid w:val="00303766"/>
    <w:rsid w:val="003359DE"/>
    <w:rsid w:val="003452B8"/>
    <w:rsid w:val="00355AF8"/>
    <w:rsid w:val="00355FB7"/>
    <w:rsid w:val="00367A76"/>
    <w:rsid w:val="0037429E"/>
    <w:rsid w:val="00375801"/>
    <w:rsid w:val="00395C79"/>
    <w:rsid w:val="00397636"/>
    <w:rsid w:val="003A4D16"/>
    <w:rsid w:val="003A5CE7"/>
    <w:rsid w:val="003B613E"/>
    <w:rsid w:val="003C12C7"/>
    <w:rsid w:val="003C473B"/>
    <w:rsid w:val="003C5008"/>
    <w:rsid w:val="003C67B3"/>
    <w:rsid w:val="003D0BC0"/>
    <w:rsid w:val="003D2D4A"/>
    <w:rsid w:val="003D5589"/>
    <w:rsid w:val="003E44BD"/>
    <w:rsid w:val="003F3C3C"/>
    <w:rsid w:val="00400307"/>
    <w:rsid w:val="00406EC1"/>
    <w:rsid w:val="004135BC"/>
    <w:rsid w:val="00431501"/>
    <w:rsid w:val="004452B0"/>
    <w:rsid w:val="00460EF2"/>
    <w:rsid w:val="0047033B"/>
    <w:rsid w:val="004713D8"/>
    <w:rsid w:val="00481C84"/>
    <w:rsid w:val="004843EE"/>
    <w:rsid w:val="0049207E"/>
    <w:rsid w:val="004A7C6C"/>
    <w:rsid w:val="004B0E02"/>
    <w:rsid w:val="004B7319"/>
    <w:rsid w:val="004C1BCD"/>
    <w:rsid w:val="004D6407"/>
    <w:rsid w:val="004D779E"/>
    <w:rsid w:val="004E757B"/>
    <w:rsid w:val="004F105B"/>
    <w:rsid w:val="004F14EE"/>
    <w:rsid w:val="00507265"/>
    <w:rsid w:val="005130D6"/>
    <w:rsid w:val="00514694"/>
    <w:rsid w:val="00524C14"/>
    <w:rsid w:val="00534D37"/>
    <w:rsid w:val="00542A52"/>
    <w:rsid w:val="005434BC"/>
    <w:rsid w:val="00546B8D"/>
    <w:rsid w:val="00547BE0"/>
    <w:rsid w:val="00550243"/>
    <w:rsid w:val="00587E23"/>
    <w:rsid w:val="00595DE1"/>
    <w:rsid w:val="005D3721"/>
    <w:rsid w:val="00605D4C"/>
    <w:rsid w:val="00612DA1"/>
    <w:rsid w:val="00615F41"/>
    <w:rsid w:val="00616088"/>
    <w:rsid w:val="006169F5"/>
    <w:rsid w:val="00620218"/>
    <w:rsid w:val="00620953"/>
    <w:rsid w:val="006259BC"/>
    <w:rsid w:val="00630CE1"/>
    <w:rsid w:val="00632052"/>
    <w:rsid w:val="00636DA1"/>
    <w:rsid w:val="00637AB0"/>
    <w:rsid w:val="00641130"/>
    <w:rsid w:val="00645DF2"/>
    <w:rsid w:val="006463C7"/>
    <w:rsid w:val="00664183"/>
    <w:rsid w:val="00677487"/>
    <w:rsid w:val="00696921"/>
    <w:rsid w:val="006C057C"/>
    <w:rsid w:val="006C6173"/>
    <w:rsid w:val="006D3321"/>
    <w:rsid w:val="006E0E95"/>
    <w:rsid w:val="006E4312"/>
    <w:rsid w:val="006F36E2"/>
    <w:rsid w:val="006F5BC2"/>
    <w:rsid w:val="00701035"/>
    <w:rsid w:val="007053AF"/>
    <w:rsid w:val="0070602F"/>
    <w:rsid w:val="0070653E"/>
    <w:rsid w:val="007147C4"/>
    <w:rsid w:val="00720903"/>
    <w:rsid w:val="0074000F"/>
    <w:rsid w:val="00746FD1"/>
    <w:rsid w:val="007730CF"/>
    <w:rsid w:val="00781DFE"/>
    <w:rsid w:val="00796006"/>
    <w:rsid w:val="007A46F6"/>
    <w:rsid w:val="007B04E8"/>
    <w:rsid w:val="007B2E44"/>
    <w:rsid w:val="007C566A"/>
    <w:rsid w:val="007C78C3"/>
    <w:rsid w:val="007D0893"/>
    <w:rsid w:val="007D59F4"/>
    <w:rsid w:val="007E322D"/>
    <w:rsid w:val="007F5AF9"/>
    <w:rsid w:val="00807C58"/>
    <w:rsid w:val="00813690"/>
    <w:rsid w:val="00813C40"/>
    <w:rsid w:val="00815EA8"/>
    <w:rsid w:val="00821E34"/>
    <w:rsid w:val="00823BE3"/>
    <w:rsid w:val="00827A10"/>
    <w:rsid w:val="008316B0"/>
    <w:rsid w:val="008340B8"/>
    <w:rsid w:val="00834163"/>
    <w:rsid w:val="0083457C"/>
    <w:rsid w:val="00843080"/>
    <w:rsid w:val="008466A7"/>
    <w:rsid w:val="00855C66"/>
    <w:rsid w:val="00871837"/>
    <w:rsid w:val="008943C9"/>
    <w:rsid w:val="008B5FC3"/>
    <w:rsid w:val="008C08BB"/>
    <w:rsid w:val="008D17EE"/>
    <w:rsid w:val="008D53A0"/>
    <w:rsid w:val="008E2B2E"/>
    <w:rsid w:val="008F0560"/>
    <w:rsid w:val="008F3E8E"/>
    <w:rsid w:val="00913197"/>
    <w:rsid w:val="009139E3"/>
    <w:rsid w:val="0091591F"/>
    <w:rsid w:val="0093190E"/>
    <w:rsid w:val="00934B5B"/>
    <w:rsid w:val="00935AD9"/>
    <w:rsid w:val="00936752"/>
    <w:rsid w:val="0095142B"/>
    <w:rsid w:val="009540A8"/>
    <w:rsid w:val="009660AF"/>
    <w:rsid w:val="00984E6C"/>
    <w:rsid w:val="00995BD2"/>
    <w:rsid w:val="009B1C06"/>
    <w:rsid w:val="009B26B8"/>
    <w:rsid w:val="009B6140"/>
    <w:rsid w:val="009C3279"/>
    <w:rsid w:val="009C3306"/>
    <w:rsid w:val="009D32AC"/>
    <w:rsid w:val="009D361F"/>
    <w:rsid w:val="009E5765"/>
    <w:rsid w:val="009E6D58"/>
    <w:rsid w:val="009F08D6"/>
    <w:rsid w:val="009F6D65"/>
    <w:rsid w:val="009F701F"/>
    <w:rsid w:val="00A01177"/>
    <w:rsid w:val="00A0166A"/>
    <w:rsid w:val="00A02FF4"/>
    <w:rsid w:val="00A058FF"/>
    <w:rsid w:val="00A10FDF"/>
    <w:rsid w:val="00A319A4"/>
    <w:rsid w:val="00A32491"/>
    <w:rsid w:val="00A5090B"/>
    <w:rsid w:val="00A5353F"/>
    <w:rsid w:val="00A6080F"/>
    <w:rsid w:val="00A627D6"/>
    <w:rsid w:val="00A6761C"/>
    <w:rsid w:val="00A86FEA"/>
    <w:rsid w:val="00AA3804"/>
    <w:rsid w:val="00AB7836"/>
    <w:rsid w:val="00AD54F1"/>
    <w:rsid w:val="00AD5D6A"/>
    <w:rsid w:val="00AE290A"/>
    <w:rsid w:val="00AF37ED"/>
    <w:rsid w:val="00AF69B1"/>
    <w:rsid w:val="00B07B44"/>
    <w:rsid w:val="00B151F5"/>
    <w:rsid w:val="00B34BCE"/>
    <w:rsid w:val="00B77B52"/>
    <w:rsid w:val="00BA3EE2"/>
    <w:rsid w:val="00BC041D"/>
    <w:rsid w:val="00BC3E0D"/>
    <w:rsid w:val="00BC4F92"/>
    <w:rsid w:val="00BC7B5B"/>
    <w:rsid w:val="00BE2BF9"/>
    <w:rsid w:val="00C02367"/>
    <w:rsid w:val="00C13D38"/>
    <w:rsid w:val="00C43A06"/>
    <w:rsid w:val="00C6312B"/>
    <w:rsid w:val="00C72AD9"/>
    <w:rsid w:val="00C8131F"/>
    <w:rsid w:val="00C847F0"/>
    <w:rsid w:val="00C859E1"/>
    <w:rsid w:val="00C91CE9"/>
    <w:rsid w:val="00C96E4F"/>
    <w:rsid w:val="00CA7680"/>
    <w:rsid w:val="00CB4C62"/>
    <w:rsid w:val="00CB5C47"/>
    <w:rsid w:val="00CC32FB"/>
    <w:rsid w:val="00CD4760"/>
    <w:rsid w:val="00CD57FF"/>
    <w:rsid w:val="00CE0045"/>
    <w:rsid w:val="00CE1381"/>
    <w:rsid w:val="00CE4ACA"/>
    <w:rsid w:val="00CE5A32"/>
    <w:rsid w:val="00CE5D7C"/>
    <w:rsid w:val="00D06088"/>
    <w:rsid w:val="00D2412C"/>
    <w:rsid w:val="00D300F4"/>
    <w:rsid w:val="00D41068"/>
    <w:rsid w:val="00D56B99"/>
    <w:rsid w:val="00D62F8D"/>
    <w:rsid w:val="00D75DCF"/>
    <w:rsid w:val="00DA7DFA"/>
    <w:rsid w:val="00DB5C37"/>
    <w:rsid w:val="00E054C0"/>
    <w:rsid w:val="00E07FDD"/>
    <w:rsid w:val="00E20B90"/>
    <w:rsid w:val="00E241A1"/>
    <w:rsid w:val="00E273FF"/>
    <w:rsid w:val="00E31D49"/>
    <w:rsid w:val="00E50390"/>
    <w:rsid w:val="00E51BC9"/>
    <w:rsid w:val="00E57A36"/>
    <w:rsid w:val="00E65BE8"/>
    <w:rsid w:val="00E84B10"/>
    <w:rsid w:val="00E85739"/>
    <w:rsid w:val="00E875CB"/>
    <w:rsid w:val="00E9260D"/>
    <w:rsid w:val="00E932A5"/>
    <w:rsid w:val="00E95728"/>
    <w:rsid w:val="00EB3BF0"/>
    <w:rsid w:val="00EC3D06"/>
    <w:rsid w:val="00ED1F10"/>
    <w:rsid w:val="00EE4605"/>
    <w:rsid w:val="00F061A0"/>
    <w:rsid w:val="00F06B9B"/>
    <w:rsid w:val="00F21848"/>
    <w:rsid w:val="00F249E4"/>
    <w:rsid w:val="00F274AF"/>
    <w:rsid w:val="00F35B3D"/>
    <w:rsid w:val="00F44608"/>
    <w:rsid w:val="00F44E91"/>
    <w:rsid w:val="00F47FCF"/>
    <w:rsid w:val="00F60C28"/>
    <w:rsid w:val="00F75C5E"/>
    <w:rsid w:val="00F920FD"/>
    <w:rsid w:val="00F92E1F"/>
    <w:rsid w:val="00FB2CE9"/>
    <w:rsid w:val="00FC4C00"/>
    <w:rsid w:val="00FD17C3"/>
    <w:rsid w:val="00FD7240"/>
    <w:rsid w:val="00FF6C8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A6080F"/>
    <w:pPr>
      <w:keepLines/>
      <w:shd w:val="pct15"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746FD1"/>
  </w:style>
  <w:style w:type="paragraph" w:styleId="CommentSubject">
    <w:name w:val="annotation subject"/>
    <w:basedOn w:val="CommentText"/>
    <w:next w:val="CommentText"/>
    <w:semiHidden/>
    <w:rsid w:val="00746FD1"/>
    <w:rPr>
      <w:b/>
      <w:bCs/>
    </w:rPr>
  </w:style>
  <w:style w:type="table" w:styleId="TableGrid">
    <w:name w:val="Table Grid"/>
    <w:basedOn w:val="TableNormal"/>
    <w:rsid w:val="000A2C8E"/>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ocumentMap">
    <w:name w:val="Document Map"/>
    <w:basedOn w:val="Normal"/>
    <w:semiHidden/>
    <w:rsid w:val="00FD7240"/>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195</TotalTime>
  <Pages>1</Pages>
  <Words>23266</Words>
  <Characters>118662</Characters>
  <Application>Microsoft Office Word</Application>
  <DocSecurity>4</DocSecurity>
  <Lines>3490</Lines>
  <Paragraphs>1650</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140278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 User</cp:lastModifiedBy>
  <cp:revision>133</cp:revision>
  <cp:lastPrinted>2011-11-22T09:52:00Z</cp:lastPrinted>
  <dcterms:created xsi:type="dcterms:W3CDTF">2011-11-17T15:07:00Z</dcterms:created>
  <dcterms:modified xsi:type="dcterms:W3CDTF">2011-11-22T09:55:00Z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1155354</vt:lpwstr>
  </property>
  <property fmtid="{D5CDD505-2E9C-101B-9397-08002B2CF9AE}" pid="3" name="Symbol1">
    <vt:lpwstr>CEDAW/C/BHS/5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pola</vt:lpwstr>
  </property>
</Properties>
</file>