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bookmarkStart w:id="0" w:name="_GoBack"/>
            <w:bookmarkEnd w:id="0"/>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43611C" w:rsidRDefault="0043611C" w:rsidP="00B614C4">
            <w:pPr>
              <w:spacing w:line="240" w:lineRule="atLeast"/>
              <w:jc w:val="right"/>
              <w:rPr>
                <w:sz w:val="20"/>
                <w:szCs w:val="21"/>
              </w:rPr>
            </w:pPr>
            <w:r w:rsidRPr="0043611C">
              <w:rPr>
                <w:sz w:val="40"/>
                <w:szCs w:val="21"/>
              </w:rPr>
              <w:t>CCPR</w:t>
            </w:r>
            <w:r>
              <w:rPr>
                <w:sz w:val="20"/>
                <w:szCs w:val="21"/>
              </w:rPr>
              <w:t>/C/VNM/CO/3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43611C" w:rsidRPr="0043611C" w:rsidRDefault="00CE1D1C" w:rsidP="0043611C">
            <w:pPr>
              <w:spacing w:before="240"/>
              <w:rPr>
                <w:sz w:val="20"/>
              </w:rPr>
            </w:pPr>
            <w:r w:rsidRPr="0043611C">
              <w:rPr>
                <w:sz w:val="20"/>
              </w:rPr>
              <w:t>Distr.:</w:t>
            </w:r>
            <w:r w:rsidR="0043611C" w:rsidRPr="0043611C">
              <w:rPr>
                <w:sz w:val="20"/>
              </w:rPr>
              <w:t xml:space="preserve"> General</w:t>
            </w:r>
          </w:p>
          <w:p w:rsidR="00CE1D1C" w:rsidRPr="0043611C" w:rsidRDefault="0043611C" w:rsidP="0043611C">
            <w:pPr>
              <w:spacing w:line="240" w:lineRule="atLeast"/>
              <w:rPr>
                <w:sz w:val="20"/>
              </w:rPr>
            </w:pPr>
            <w:r w:rsidRPr="0043611C">
              <w:rPr>
                <w:sz w:val="20"/>
              </w:rPr>
              <w:t>29 August 2019</w:t>
            </w:r>
          </w:p>
          <w:p w:rsidR="00CE1D1C" w:rsidRPr="0043611C" w:rsidRDefault="00CE1D1C" w:rsidP="00B614C4">
            <w:pPr>
              <w:spacing w:line="240" w:lineRule="atLeast"/>
              <w:rPr>
                <w:sz w:val="20"/>
              </w:rPr>
            </w:pPr>
            <w:r w:rsidRPr="0043611C">
              <w:rPr>
                <w:sz w:val="20"/>
              </w:rPr>
              <w:t>Chinese</w:t>
            </w:r>
          </w:p>
          <w:p w:rsidR="00CE1D1C" w:rsidRPr="00F124C6" w:rsidRDefault="00CE1D1C" w:rsidP="00B614C4">
            <w:pPr>
              <w:spacing w:line="240" w:lineRule="atLeast"/>
            </w:pPr>
            <w:r w:rsidRPr="0043611C">
              <w:rPr>
                <w:sz w:val="20"/>
              </w:rPr>
              <w:t>Original: English</w:t>
            </w:r>
          </w:p>
        </w:tc>
      </w:tr>
    </w:tbl>
    <w:p w:rsidR="00E55D50" w:rsidRPr="00631513" w:rsidRDefault="00E55D50" w:rsidP="00E55D50">
      <w:pPr>
        <w:spacing w:before="120" w:line="340" w:lineRule="exact"/>
        <w:rPr>
          <w:rFonts w:eastAsia="黑体"/>
          <w:sz w:val="24"/>
          <w:szCs w:val="24"/>
        </w:rPr>
      </w:pPr>
      <w:r w:rsidRPr="00631513">
        <w:rPr>
          <w:rFonts w:asciiTheme="minorEastAsia" w:eastAsia="黑体" w:hAnsiTheme="minorEastAsia" w:hint="eastAsia"/>
          <w:sz w:val="24"/>
          <w:szCs w:val="24"/>
        </w:rPr>
        <w:t>人权事务委员会</w:t>
      </w:r>
    </w:p>
    <w:p w:rsidR="00E55D50" w:rsidRPr="00631513" w:rsidRDefault="00E55D50" w:rsidP="00E55D50">
      <w:pPr>
        <w:pStyle w:val="HChGC"/>
        <w:rPr>
          <w:color w:val="0000CC"/>
        </w:rPr>
      </w:pPr>
      <w:r w:rsidRPr="00631513">
        <w:tab/>
      </w:r>
      <w:r w:rsidRPr="00631513">
        <w:tab/>
      </w:r>
      <w:r w:rsidRPr="00631513">
        <w:rPr>
          <w:rFonts w:hint="eastAsia"/>
        </w:rPr>
        <w:t>关于</w:t>
      </w:r>
      <w:r>
        <w:rPr>
          <w:rFonts w:hint="eastAsia"/>
        </w:rPr>
        <w:t>越南</w:t>
      </w:r>
      <w:r w:rsidRPr="00631513">
        <w:rPr>
          <w:rFonts w:hint="eastAsia"/>
        </w:rPr>
        <w:t>第</w:t>
      </w:r>
      <w:r>
        <w:rPr>
          <w:rFonts w:hint="eastAsia"/>
        </w:rPr>
        <w:t>三</w:t>
      </w:r>
      <w:r w:rsidRPr="00631513">
        <w:rPr>
          <w:rFonts w:hint="eastAsia"/>
        </w:rPr>
        <w:t>次定期报告的结论性意见</w:t>
      </w:r>
      <w:r w:rsidRPr="00631513">
        <w:rPr>
          <w:color w:val="0000CC"/>
        </w:rPr>
        <w:footnoteReference w:customMarkFollows="1" w:id="2"/>
        <w:t>*</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1.</w:t>
      </w:r>
      <w:r>
        <w:tab/>
      </w:r>
      <w:r w:rsidRPr="00E55D50">
        <w:rPr>
          <w:rFonts w:hint="eastAsia"/>
        </w:rPr>
        <w:t>委员会在</w:t>
      </w:r>
      <w:r w:rsidRPr="00E55D50">
        <w:rPr>
          <w:rFonts w:hint="eastAsia"/>
        </w:rPr>
        <w:t>201</w:t>
      </w:r>
      <w:r w:rsidRPr="00E55D50">
        <w:t>9</w:t>
      </w:r>
      <w:r w:rsidRPr="00E55D50">
        <w:rPr>
          <w:rFonts w:hint="eastAsia"/>
        </w:rPr>
        <w:t>年</w:t>
      </w:r>
      <w:r w:rsidRPr="00E55D50">
        <w:t>3</w:t>
      </w:r>
      <w:r w:rsidRPr="00E55D50">
        <w:rPr>
          <w:rFonts w:hint="eastAsia"/>
        </w:rPr>
        <w:t>月</w:t>
      </w:r>
      <w:r w:rsidRPr="00E55D50">
        <w:rPr>
          <w:rFonts w:hint="eastAsia"/>
        </w:rPr>
        <w:t>1</w:t>
      </w:r>
      <w:r w:rsidRPr="00E55D50">
        <w:t>1</w:t>
      </w:r>
      <w:r w:rsidRPr="00E55D50">
        <w:rPr>
          <w:rFonts w:hint="eastAsia"/>
        </w:rPr>
        <w:t>日和</w:t>
      </w:r>
      <w:r w:rsidRPr="00E55D50">
        <w:rPr>
          <w:rFonts w:hint="eastAsia"/>
        </w:rPr>
        <w:t>1</w:t>
      </w:r>
      <w:r w:rsidRPr="00E55D50">
        <w:t>2</w:t>
      </w:r>
      <w:r w:rsidRPr="00E55D50">
        <w:rPr>
          <w:rFonts w:hint="eastAsia"/>
        </w:rPr>
        <w:t>日举行的第</w:t>
      </w:r>
      <w:r w:rsidRPr="00E55D50">
        <w:rPr>
          <w:rFonts w:hint="eastAsia"/>
        </w:rPr>
        <w:t>35</w:t>
      </w:r>
      <w:r w:rsidRPr="00E55D50">
        <w:t>80</w:t>
      </w:r>
      <w:r w:rsidRPr="00E55D50">
        <w:rPr>
          <w:rFonts w:hint="eastAsia"/>
        </w:rPr>
        <w:t>次和第</w:t>
      </w:r>
      <w:r w:rsidRPr="00E55D50">
        <w:rPr>
          <w:rFonts w:hint="eastAsia"/>
        </w:rPr>
        <w:t>35</w:t>
      </w:r>
      <w:r w:rsidRPr="00E55D50">
        <w:t>81</w:t>
      </w:r>
      <w:r w:rsidRPr="00E55D50">
        <w:rPr>
          <w:rFonts w:hint="eastAsia"/>
        </w:rPr>
        <w:t>次会议</w:t>
      </w:r>
      <w:r w:rsidRPr="00E55D50">
        <w:rPr>
          <w:rFonts w:hint="eastAsia"/>
        </w:rPr>
        <w:t>(</w:t>
      </w:r>
      <w:r w:rsidRPr="00E55D50">
        <w:rPr>
          <w:rFonts w:hint="eastAsia"/>
        </w:rPr>
        <w:t>见</w:t>
      </w:r>
      <w:r w:rsidRPr="00E55D50">
        <w:t>CCPR/C/SR.3580</w:t>
      </w:r>
      <w:r w:rsidRPr="00E55D50">
        <w:rPr>
          <w:rFonts w:hint="eastAsia"/>
        </w:rPr>
        <w:t>和</w:t>
      </w:r>
      <w:r w:rsidRPr="00E55D50">
        <w:t>CCPR/C/SR.3581</w:t>
      </w:r>
      <w:r w:rsidRPr="00E55D50">
        <w:rPr>
          <w:rFonts w:hint="eastAsia"/>
        </w:rPr>
        <w:t>)</w:t>
      </w:r>
      <w:r w:rsidRPr="00E55D50">
        <w:rPr>
          <w:rFonts w:hint="eastAsia"/>
        </w:rPr>
        <w:t>上审议了越南的第三次定期报告</w:t>
      </w:r>
      <w:r w:rsidRPr="00E55D50">
        <w:rPr>
          <w:rFonts w:hint="eastAsia"/>
        </w:rPr>
        <w:t>(</w:t>
      </w:r>
      <w:r w:rsidRPr="00E55D50">
        <w:t>CCPR/C/VNM/3</w:t>
      </w:r>
      <w:r w:rsidRPr="00E55D50">
        <w:rPr>
          <w:rFonts w:hint="eastAsia"/>
        </w:rPr>
        <w:t>)</w:t>
      </w:r>
      <w:r w:rsidRPr="00E55D50">
        <w:rPr>
          <w:rFonts w:hint="eastAsia"/>
        </w:rPr>
        <w:t>，并在</w:t>
      </w:r>
      <w:r w:rsidRPr="00E55D50">
        <w:rPr>
          <w:rFonts w:hint="eastAsia"/>
        </w:rPr>
        <w:t>201</w:t>
      </w:r>
      <w:r w:rsidRPr="00E55D50">
        <w:t>9</w:t>
      </w:r>
      <w:r w:rsidRPr="00E55D50">
        <w:rPr>
          <w:rFonts w:hint="eastAsia"/>
        </w:rPr>
        <w:t>年</w:t>
      </w:r>
      <w:r w:rsidRPr="00E55D50">
        <w:rPr>
          <w:rFonts w:hint="eastAsia"/>
        </w:rPr>
        <w:t>3</w:t>
      </w:r>
      <w:r w:rsidRPr="00E55D50">
        <w:rPr>
          <w:rFonts w:hint="eastAsia"/>
        </w:rPr>
        <w:t>月</w:t>
      </w:r>
      <w:r w:rsidRPr="00E55D50">
        <w:rPr>
          <w:rFonts w:hint="eastAsia"/>
        </w:rPr>
        <w:t>2</w:t>
      </w:r>
      <w:r w:rsidRPr="00E55D50">
        <w:t>5</w:t>
      </w:r>
      <w:r w:rsidRPr="00E55D50">
        <w:rPr>
          <w:rFonts w:hint="eastAsia"/>
        </w:rPr>
        <w:t>日举行的第</w:t>
      </w:r>
      <w:r w:rsidRPr="00E55D50">
        <w:t>3599</w:t>
      </w:r>
      <w:r w:rsidRPr="00E55D50">
        <w:rPr>
          <w:rFonts w:hint="eastAsia"/>
        </w:rPr>
        <w:t>次和第</w:t>
      </w:r>
      <w:r w:rsidRPr="00E55D50">
        <w:rPr>
          <w:rFonts w:hint="eastAsia"/>
        </w:rPr>
        <w:t>3</w:t>
      </w:r>
      <w:r w:rsidRPr="00E55D50">
        <w:t>600</w:t>
      </w:r>
      <w:r w:rsidRPr="00E55D50">
        <w:rPr>
          <w:rFonts w:hint="eastAsia"/>
        </w:rPr>
        <w:t>次会议上通过了本结论性意见。</w:t>
      </w:r>
    </w:p>
    <w:p w:rsidR="00E55D50" w:rsidRPr="00E55D50" w:rsidRDefault="00E55D50" w:rsidP="00E55D50">
      <w:pPr>
        <w:pStyle w:val="H1GC"/>
      </w:pPr>
      <w:r w:rsidRPr="00E55D50">
        <w:tab/>
        <w:t>A.</w:t>
      </w:r>
      <w:r w:rsidRPr="00E55D50">
        <w:tab/>
      </w:r>
      <w:r w:rsidRPr="00E55D50">
        <w:rPr>
          <w:rFonts w:hint="eastAsia"/>
        </w:rPr>
        <w:t>导言</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2.</w:t>
      </w:r>
      <w:r>
        <w:tab/>
      </w:r>
      <w:r w:rsidRPr="00E55D50">
        <w:rPr>
          <w:rFonts w:hint="eastAsia"/>
        </w:rPr>
        <w:t>委员会欢迎越南提交第三次定期报告</w:t>
      </w:r>
      <w:r w:rsidRPr="00E55D50">
        <w:rPr>
          <w:rFonts w:hint="eastAsia"/>
        </w:rPr>
        <w:t>(</w:t>
      </w:r>
      <w:r w:rsidRPr="00E55D50">
        <w:rPr>
          <w:rFonts w:hint="eastAsia"/>
        </w:rPr>
        <w:t>尽管迟交了逾</w:t>
      </w:r>
      <w:r w:rsidRPr="00E55D50">
        <w:rPr>
          <w:rFonts w:hint="eastAsia"/>
        </w:rPr>
        <w:t>13</w:t>
      </w:r>
      <w:r w:rsidRPr="00E55D50">
        <w:rPr>
          <w:rFonts w:hint="eastAsia"/>
        </w:rPr>
        <w:t>年</w:t>
      </w:r>
      <w:r w:rsidRPr="00E55D50">
        <w:t>)</w:t>
      </w:r>
      <w:r w:rsidRPr="00E55D50">
        <w:rPr>
          <w:rFonts w:hint="eastAsia"/>
        </w:rPr>
        <w:t>和其中所载资料。委员会赞赏有机会再次与缔约国代表团开展建设性对话，讨论缔约国在报告所述期内为执行《公约》规定而采取的措施。委员会感谢缔约国</w:t>
      </w:r>
      <w:bookmarkStart w:id="1" w:name="_Hlk19134901"/>
      <w:r w:rsidRPr="00E55D50">
        <w:rPr>
          <w:rFonts w:hint="eastAsia"/>
        </w:rPr>
        <w:t>对问题清单</w:t>
      </w:r>
      <w:r w:rsidRPr="00E55D50">
        <w:rPr>
          <w:rFonts w:hint="eastAsia"/>
        </w:rPr>
        <w:t>(</w:t>
      </w:r>
      <w:r w:rsidRPr="00E55D50">
        <w:t>CCPR/C/VNM/Q/3)</w:t>
      </w:r>
      <w:r w:rsidRPr="00E55D50">
        <w:rPr>
          <w:rFonts w:hint="eastAsia"/>
        </w:rPr>
        <w:t>作出的书面答复</w:t>
      </w:r>
      <w:bookmarkEnd w:id="1"/>
      <w:r w:rsidRPr="00E55D50">
        <w:rPr>
          <w:rFonts w:hint="eastAsia"/>
        </w:rPr>
        <w:t>(</w:t>
      </w:r>
      <w:r w:rsidRPr="00E55D50">
        <w:t>CCPR/C/VNM/Q/3/Add.1)</w:t>
      </w:r>
      <w:r w:rsidRPr="00E55D50">
        <w:rPr>
          <w:rFonts w:hint="eastAsia"/>
        </w:rPr>
        <w:t>和代表团通过口头答复所作的补充以及提交的书面补充资料。</w:t>
      </w:r>
    </w:p>
    <w:p w:rsidR="00E55D50" w:rsidRPr="00E55D50" w:rsidRDefault="00E55D50" w:rsidP="001C56DF">
      <w:pPr>
        <w:pStyle w:val="H1GC"/>
      </w:pPr>
      <w:r w:rsidRPr="00E55D50">
        <w:tab/>
        <w:t>B.</w:t>
      </w:r>
      <w:r w:rsidRPr="00E55D50">
        <w:tab/>
      </w:r>
      <w:r w:rsidRPr="00E55D50">
        <w:rPr>
          <w:rFonts w:hint="eastAsia"/>
        </w:rPr>
        <w:t>积极方面</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3.</w:t>
      </w:r>
      <w:r w:rsidR="0002544A">
        <w:tab/>
      </w:r>
      <w:r w:rsidRPr="00E55D50">
        <w:rPr>
          <w:rFonts w:hint="eastAsia"/>
        </w:rPr>
        <w:t>委员会欢迎缔约国采取以下立法、体制和政策措施：</w:t>
      </w:r>
    </w:p>
    <w:p w:rsidR="00E55D50" w:rsidRPr="00E55D50" w:rsidRDefault="00645AAA" w:rsidP="00E55D50">
      <w:pPr>
        <w:pStyle w:val="SingleTxtGC"/>
        <w:tabs>
          <w:tab w:val="clear" w:pos="431"/>
          <w:tab w:val="clear" w:pos="1134"/>
          <w:tab w:val="clear" w:pos="1565"/>
          <w:tab w:val="clear" w:pos="1996"/>
          <w:tab w:val="clear" w:pos="2427"/>
          <w:tab w:val="left" w:pos="1701"/>
        </w:tabs>
      </w:pPr>
      <w:r>
        <w:tab/>
      </w:r>
      <w:r w:rsidR="00E55D50" w:rsidRPr="00E55D50">
        <w:rPr>
          <w:rFonts w:hint="eastAsia"/>
        </w:rPr>
        <w:t>(a)</w:t>
      </w:r>
      <w:r w:rsidR="00E55D50" w:rsidRPr="00E55D50">
        <w:rPr>
          <w:rFonts w:hint="eastAsia"/>
        </w:rPr>
        <w:tab/>
      </w:r>
      <w:r w:rsidR="00E55D50" w:rsidRPr="00E55D50">
        <w:rPr>
          <w:rFonts w:hint="eastAsia"/>
        </w:rPr>
        <w:t>在</w:t>
      </w:r>
      <w:r w:rsidR="00E55D50" w:rsidRPr="00E55D50">
        <w:rPr>
          <w:rFonts w:hint="eastAsia"/>
        </w:rPr>
        <w:t>2013</w:t>
      </w:r>
      <w:r w:rsidR="00E55D50" w:rsidRPr="00E55D50">
        <w:rPr>
          <w:rFonts w:hint="eastAsia"/>
        </w:rPr>
        <w:t>年《宪法》修正案中加入关于人权和公民基本权利的一章；</w:t>
      </w:r>
    </w:p>
    <w:p w:rsidR="00E55D50" w:rsidRPr="00E55D50" w:rsidRDefault="00645AAA" w:rsidP="00E55D50">
      <w:pPr>
        <w:pStyle w:val="SingleTxtGC"/>
        <w:tabs>
          <w:tab w:val="clear" w:pos="431"/>
          <w:tab w:val="clear" w:pos="1134"/>
          <w:tab w:val="clear" w:pos="1565"/>
          <w:tab w:val="clear" w:pos="1996"/>
          <w:tab w:val="clear" w:pos="2427"/>
          <w:tab w:val="left" w:pos="1701"/>
        </w:tabs>
      </w:pPr>
      <w:r>
        <w:tab/>
      </w:r>
      <w:r w:rsidR="00E55D50" w:rsidRPr="00E55D50">
        <w:rPr>
          <w:rFonts w:hint="eastAsia"/>
        </w:rPr>
        <w:t>(b)</w:t>
      </w:r>
      <w:r w:rsidR="00E55D50" w:rsidRPr="00E55D50">
        <w:rPr>
          <w:rFonts w:hint="eastAsia"/>
        </w:rPr>
        <w:tab/>
      </w:r>
      <w:r w:rsidR="00E55D50" w:rsidRPr="00E55D50">
        <w:rPr>
          <w:rFonts w:hint="eastAsia"/>
        </w:rPr>
        <w:t>在</w:t>
      </w:r>
      <w:r w:rsidR="00E55D50" w:rsidRPr="00E55D50">
        <w:rPr>
          <w:rFonts w:hint="eastAsia"/>
        </w:rPr>
        <w:t>2015</w:t>
      </w:r>
      <w:r w:rsidR="00E55D50" w:rsidRPr="00E55D50">
        <w:rPr>
          <w:rFonts w:hint="eastAsia"/>
        </w:rPr>
        <w:t>年《刑法》和《刑事诉讼法》修正案中，对在刑事诉讼的所有阶段获得律师帮助的权利作出规定，扩大获得免费法律咨询的资格范围，并加入对调查当局在正式场所审讯被告进行记录的要求；</w:t>
      </w:r>
    </w:p>
    <w:p w:rsidR="00E55D50" w:rsidRPr="00E55D50" w:rsidRDefault="00645AAA" w:rsidP="00E55D50">
      <w:pPr>
        <w:pStyle w:val="SingleTxtGC"/>
        <w:tabs>
          <w:tab w:val="clear" w:pos="431"/>
          <w:tab w:val="clear" w:pos="1134"/>
          <w:tab w:val="clear" w:pos="1565"/>
          <w:tab w:val="clear" w:pos="1996"/>
          <w:tab w:val="clear" w:pos="2427"/>
          <w:tab w:val="left" w:pos="1701"/>
        </w:tabs>
      </w:pPr>
      <w:r>
        <w:tab/>
      </w:r>
      <w:r w:rsidR="00E55D50" w:rsidRPr="00E55D50">
        <w:rPr>
          <w:rFonts w:hint="eastAsia"/>
        </w:rPr>
        <w:t>(c)</w:t>
      </w:r>
      <w:r w:rsidR="00E55D50" w:rsidRPr="00E55D50">
        <w:rPr>
          <w:rFonts w:hint="eastAsia"/>
        </w:rPr>
        <w:tab/>
        <w:t>2017</w:t>
      </w:r>
      <w:r w:rsidR="00E55D50" w:rsidRPr="00E55D50">
        <w:rPr>
          <w:rFonts w:hint="eastAsia"/>
        </w:rPr>
        <w:t>年《法律援助法》修正案，扩大了法律援助受益者名单；</w:t>
      </w:r>
    </w:p>
    <w:p w:rsidR="00E55D50" w:rsidRPr="00E55D50" w:rsidRDefault="00645AAA" w:rsidP="00E55D50">
      <w:pPr>
        <w:pStyle w:val="SingleTxtGC"/>
        <w:tabs>
          <w:tab w:val="clear" w:pos="431"/>
          <w:tab w:val="clear" w:pos="1134"/>
          <w:tab w:val="clear" w:pos="1565"/>
          <w:tab w:val="clear" w:pos="1996"/>
          <w:tab w:val="clear" w:pos="2427"/>
          <w:tab w:val="left" w:pos="1701"/>
        </w:tabs>
      </w:pPr>
      <w:r>
        <w:tab/>
      </w:r>
      <w:r w:rsidR="00E55D50" w:rsidRPr="00E55D50">
        <w:rPr>
          <w:rFonts w:hint="eastAsia"/>
        </w:rPr>
        <w:t>(d)</w:t>
      </w:r>
      <w:r w:rsidR="00E55D50" w:rsidRPr="00E55D50">
        <w:rPr>
          <w:rFonts w:hint="eastAsia"/>
        </w:rPr>
        <w:tab/>
        <w:t>2015</w:t>
      </w:r>
      <w:r w:rsidR="00E55D50" w:rsidRPr="00E55D50">
        <w:rPr>
          <w:rFonts w:hint="eastAsia"/>
        </w:rPr>
        <w:t>年《监禁和临时拘留执行法》修正案，其中对探亲权和法律援助权，特别是在警方调查期间的这些权利作出了规定；</w:t>
      </w:r>
    </w:p>
    <w:p w:rsidR="00E55D50" w:rsidRPr="00E55D50" w:rsidRDefault="00645AAA" w:rsidP="00E55D50">
      <w:pPr>
        <w:pStyle w:val="SingleTxtGC"/>
        <w:tabs>
          <w:tab w:val="clear" w:pos="431"/>
          <w:tab w:val="clear" w:pos="1134"/>
          <w:tab w:val="clear" w:pos="1565"/>
          <w:tab w:val="clear" w:pos="1996"/>
          <w:tab w:val="clear" w:pos="2427"/>
          <w:tab w:val="left" w:pos="1701"/>
        </w:tabs>
      </w:pPr>
      <w:r>
        <w:tab/>
      </w:r>
      <w:r w:rsidR="00E55D50" w:rsidRPr="00E55D50">
        <w:rPr>
          <w:rFonts w:hint="eastAsia"/>
        </w:rPr>
        <w:t>(e)</w:t>
      </w:r>
      <w:r w:rsidR="00E55D50" w:rsidRPr="00E55D50">
        <w:rPr>
          <w:rFonts w:hint="eastAsia"/>
        </w:rPr>
        <w:tab/>
        <w:t>2014</w:t>
      </w:r>
      <w:r w:rsidR="00E55D50" w:rsidRPr="00E55D50">
        <w:rPr>
          <w:rFonts w:hint="eastAsia"/>
        </w:rPr>
        <w:t>年《越南国籍法》修正案，为难民和无国籍人士获得越南国籍提供了便利；</w:t>
      </w:r>
    </w:p>
    <w:p w:rsidR="00E55D50" w:rsidRPr="00E55D50" w:rsidRDefault="00645AAA" w:rsidP="00E55D50">
      <w:pPr>
        <w:pStyle w:val="SingleTxtGC"/>
        <w:tabs>
          <w:tab w:val="clear" w:pos="431"/>
          <w:tab w:val="clear" w:pos="1134"/>
          <w:tab w:val="clear" w:pos="1565"/>
          <w:tab w:val="clear" w:pos="1996"/>
          <w:tab w:val="clear" w:pos="2427"/>
          <w:tab w:val="left" w:pos="1701"/>
        </w:tabs>
      </w:pPr>
      <w:r>
        <w:lastRenderedPageBreak/>
        <w:tab/>
      </w:r>
      <w:r w:rsidR="00E55D50" w:rsidRPr="00E55D50">
        <w:rPr>
          <w:rFonts w:hint="eastAsia"/>
        </w:rPr>
        <w:t>(f)</w:t>
      </w:r>
      <w:r w:rsidR="00E55D50" w:rsidRPr="00E55D50">
        <w:rPr>
          <w:rFonts w:hint="eastAsia"/>
        </w:rPr>
        <w:tab/>
        <w:t>2011</w:t>
      </w:r>
      <w:r w:rsidR="00E55D50" w:rsidRPr="00E55D50">
        <w:rPr>
          <w:rFonts w:hint="eastAsia"/>
        </w:rPr>
        <w:t>年《反人口贩运法》，禁止强迫劳动和性剥削；</w:t>
      </w:r>
    </w:p>
    <w:p w:rsidR="00E55D50" w:rsidRPr="00E55D50" w:rsidRDefault="00645AAA" w:rsidP="00E55D50">
      <w:pPr>
        <w:pStyle w:val="SingleTxtGC"/>
        <w:tabs>
          <w:tab w:val="clear" w:pos="431"/>
          <w:tab w:val="clear" w:pos="1134"/>
          <w:tab w:val="clear" w:pos="1565"/>
          <w:tab w:val="clear" w:pos="1996"/>
          <w:tab w:val="clear" w:pos="2427"/>
          <w:tab w:val="left" w:pos="1701"/>
        </w:tabs>
      </w:pPr>
      <w:r>
        <w:tab/>
      </w:r>
      <w:r w:rsidR="00E55D50" w:rsidRPr="00E55D50">
        <w:rPr>
          <w:rFonts w:hint="eastAsia"/>
        </w:rPr>
        <w:t>(</w:t>
      </w:r>
      <w:r w:rsidR="00E55D50" w:rsidRPr="00E55D50">
        <w:t>g</w:t>
      </w:r>
      <w:r w:rsidR="00E55D50" w:rsidRPr="00E55D50">
        <w:rPr>
          <w:rFonts w:hint="eastAsia"/>
        </w:rPr>
        <w:t>)</w:t>
      </w:r>
      <w:r w:rsidR="00E55D50" w:rsidRPr="00E55D50">
        <w:rPr>
          <w:rFonts w:hint="eastAsia"/>
        </w:rPr>
        <w:tab/>
        <w:t>2011-2020</w:t>
      </w:r>
      <w:r w:rsidR="00E55D50" w:rsidRPr="00E55D50">
        <w:rPr>
          <w:rFonts w:hint="eastAsia"/>
        </w:rPr>
        <w:t>年《国家性别平等战略》。</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4.</w:t>
      </w:r>
      <w:r w:rsidR="0002544A">
        <w:tab/>
      </w:r>
      <w:r w:rsidRPr="00E55D50">
        <w:rPr>
          <w:rFonts w:hint="eastAsia"/>
        </w:rPr>
        <w:t>委员会又欢迎缔约国于</w:t>
      </w:r>
      <w:r w:rsidRPr="00E55D50">
        <w:rPr>
          <w:rFonts w:hint="eastAsia"/>
        </w:rPr>
        <w:t>201</w:t>
      </w:r>
      <w:r w:rsidRPr="00E55D50">
        <w:t>5</w:t>
      </w:r>
      <w:r w:rsidRPr="00E55D50">
        <w:rPr>
          <w:rFonts w:hint="eastAsia"/>
        </w:rPr>
        <w:t>年</w:t>
      </w:r>
      <w:r w:rsidRPr="00E55D50">
        <w:t>2</w:t>
      </w:r>
      <w:r w:rsidRPr="00E55D50">
        <w:rPr>
          <w:rFonts w:hint="eastAsia"/>
        </w:rPr>
        <w:t>月</w:t>
      </w:r>
      <w:r w:rsidRPr="00E55D50">
        <w:t>5</w:t>
      </w:r>
      <w:r w:rsidRPr="00E55D50">
        <w:rPr>
          <w:rFonts w:hint="eastAsia"/>
        </w:rPr>
        <w:t>日批准或加入以下国际文书：</w:t>
      </w:r>
    </w:p>
    <w:p w:rsidR="00E55D50" w:rsidRPr="00E55D50" w:rsidRDefault="00645AAA" w:rsidP="00E55D50">
      <w:pPr>
        <w:pStyle w:val="SingleTxtGC"/>
        <w:tabs>
          <w:tab w:val="clear" w:pos="431"/>
          <w:tab w:val="clear" w:pos="1134"/>
          <w:tab w:val="clear" w:pos="1565"/>
          <w:tab w:val="clear" w:pos="1996"/>
          <w:tab w:val="clear" w:pos="2427"/>
          <w:tab w:val="left" w:pos="1701"/>
        </w:tabs>
      </w:pPr>
      <w:r>
        <w:tab/>
      </w:r>
      <w:r w:rsidR="00E55D50" w:rsidRPr="00E55D50">
        <w:rPr>
          <w:rFonts w:hint="eastAsia"/>
        </w:rPr>
        <w:t>(a)</w:t>
      </w:r>
      <w:r w:rsidR="00E55D50" w:rsidRPr="00E55D50">
        <w:rPr>
          <w:rFonts w:hint="eastAsia"/>
        </w:rPr>
        <w:tab/>
      </w:r>
      <w:r w:rsidR="00E55D50" w:rsidRPr="00E55D50">
        <w:rPr>
          <w:rFonts w:hint="eastAsia"/>
        </w:rPr>
        <w:t>《残疾人权利公约》；</w:t>
      </w:r>
    </w:p>
    <w:p w:rsidR="00E55D50" w:rsidRPr="00E55D50" w:rsidRDefault="00645AAA" w:rsidP="00E55D50">
      <w:pPr>
        <w:pStyle w:val="SingleTxtGC"/>
        <w:tabs>
          <w:tab w:val="clear" w:pos="431"/>
          <w:tab w:val="clear" w:pos="1134"/>
          <w:tab w:val="clear" w:pos="1565"/>
          <w:tab w:val="clear" w:pos="1996"/>
          <w:tab w:val="clear" w:pos="2427"/>
          <w:tab w:val="left" w:pos="1701"/>
        </w:tabs>
      </w:pPr>
      <w:r>
        <w:tab/>
      </w:r>
      <w:r w:rsidR="00E55D50" w:rsidRPr="00E55D50">
        <w:rPr>
          <w:rFonts w:hint="eastAsia"/>
        </w:rPr>
        <w:t>(b)</w:t>
      </w:r>
      <w:r w:rsidR="00E55D50" w:rsidRPr="00E55D50">
        <w:rPr>
          <w:rFonts w:hint="eastAsia"/>
        </w:rPr>
        <w:tab/>
      </w:r>
      <w:r w:rsidR="00E55D50" w:rsidRPr="00E55D50">
        <w:rPr>
          <w:rFonts w:hint="eastAsia"/>
        </w:rPr>
        <w:t>《禁止酷刑和其他残忍、不人道或有辱人格的待遇或处罚公约》。</w:t>
      </w:r>
    </w:p>
    <w:p w:rsidR="00E55D50" w:rsidRPr="00E55D50" w:rsidRDefault="00E55D50" w:rsidP="00645AAA">
      <w:pPr>
        <w:pStyle w:val="H23GC"/>
      </w:pPr>
      <w:r w:rsidRPr="00E55D50">
        <w:tab/>
        <w:t>C.</w:t>
      </w:r>
      <w:r w:rsidRPr="00E55D50">
        <w:tab/>
      </w:r>
      <w:r w:rsidRPr="00E55D50">
        <w:rPr>
          <w:rFonts w:hint="eastAsia"/>
        </w:rPr>
        <w:t>关注的主要问题及建议</w:t>
      </w:r>
    </w:p>
    <w:p w:rsidR="00E55D50" w:rsidRPr="00E55D50" w:rsidRDefault="00E55D50" w:rsidP="00025B32">
      <w:pPr>
        <w:pStyle w:val="H23GC"/>
      </w:pPr>
      <w:r w:rsidRPr="00E55D50">
        <w:tab/>
      </w:r>
      <w:r w:rsidRPr="00E55D50">
        <w:tab/>
      </w:r>
      <w:r w:rsidRPr="00E55D50">
        <w:rPr>
          <w:rFonts w:hint="eastAsia"/>
        </w:rPr>
        <w:t>《公约》在国内的执行和传播</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5.</w:t>
      </w:r>
      <w:r w:rsidRPr="00E55D50">
        <w:tab/>
      </w:r>
      <w:r w:rsidRPr="00E55D50">
        <w:rPr>
          <w:rFonts w:hint="eastAsia"/>
        </w:rPr>
        <w:t>委员会注意到缔约国努力履行《公约》义务，包括修订某些立法；然而，委员会感到关切的是，越南国内的法律框架仍然与《公约》不相符。委员会感到关切的是，《宪法》没有充分纳入《公约》所保障的权利，而且国家立法对《公约》权利的限制，包括基于国家安全的限制过于宽泛。委员会感到遗憾的是，尽管采取了提高认识举措，但缔约国内对《公约》的了解程度仍然不够，而且没有法院裁决在适用或解释国内法时提及《公约》。委员会还感到遗憾的是，缔约国仍未批准</w:t>
      </w:r>
      <w:bookmarkStart w:id="2" w:name="_Hlk19142263"/>
      <w:r w:rsidRPr="00E55D50">
        <w:rPr>
          <w:rFonts w:hint="eastAsia"/>
        </w:rPr>
        <w:t>《公约》第一项任择议定书</w:t>
      </w:r>
      <w:bookmarkEnd w:id="2"/>
      <w:r w:rsidRPr="00E55D50">
        <w:rPr>
          <w:rFonts w:hint="eastAsia"/>
        </w:rPr>
        <w:t>(</w:t>
      </w:r>
      <w:r w:rsidRPr="00E55D50">
        <w:rPr>
          <w:rFonts w:hint="eastAsia"/>
        </w:rPr>
        <w:t>第二条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6.</w:t>
      </w:r>
      <w:r w:rsidRPr="00E55D50">
        <w:rPr>
          <w:rFonts w:eastAsia="黑体"/>
        </w:rPr>
        <w:tab/>
      </w:r>
      <w:r w:rsidRPr="00E55D50">
        <w:rPr>
          <w:rFonts w:eastAsia="黑体" w:hint="eastAsia"/>
        </w:rPr>
        <w:t>缔约国应：</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审查其国内法律框架，以查明与《公约》的差距和冲突，确保在其国内法律秩序中给予所有《公约》权利充分的法律效力，并在必要时对行使《公约》权利规定必要和相称的明确和具体的限制；</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加大努力，为政府官员、警察和执法官员、检察官和法官开展有效的《公约》方面的专门培训，确保他们对《公约》进行适用和解释，并为国民议会成员开展有效培训，以便他们根据《公约》通过国内法，并在公众中开展提高认识活动；</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考虑批准《公约》第一项任择议定书，该议定书确立了个人申诉机制</w:t>
      </w:r>
      <w:r w:rsidRPr="00E55D50">
        <w:rPr>
          <w:rFonts w:eastAsia="黑体" w:hint="eastAsia"/>
        </w:rPr>
        <w:t>(</w:t>
      </w:r>
      <w:bookmarkStart w:id="3" w:name="_Hlk19142779"/>
      <w:r w:rsidRPr="00E55D50">
        <w:rPr>
          <w:rFonts w:eastAsia="黑体"/>
        </w:rPr>
        <w:t>CCPR/CO/75/VNM</w:t>
      </w:r>
      <w:bookmarkEnd w:id="3"/>
      <w:r w:rsidRPr="00E55D50">
        <w:rPr>
          <w:rFonts w:eastAsia="黑体" w:hint="eastAsia"/>
        </w:rPr>
        <w:t>，第</w:t>
      </w:r>
      <w:r w:rsidRPr="00E55D50">
        <w:rPr>
          <w:rFonts w:eastAsia="黑体" w:hint="eastAsia"/>
        </w:rPr>
        <w:t>6</w:t>
      </w:r>
      <w:r w:rsidRPr="00E55D50">
        <w:rPr>
          <w:rFonts w:eastAsia="黑体" w:hint="eastAsia"/>
        </w:rPr>
        <w:t>段</w:t>
      </w:r>
      <w:r w:rsidRPr="00E55D50">
        <w:rPr>
          <w:rFonts w:eastAsia="黑体" w:hint="eastAsia"/>
        </w:rPr>
        <w:t>)</w:t>
      </w:r>
      <w:r w:rsidRPr="00E55D50">
        <w:rPr>
          <w:rFonts w:eastAsia="黑体" w:hint="eastAsia"/>
        </w:rPr>
        <w:t>。</w:t>
      </w:r>
    </w:p>
    <w:p w:rsidR="00E55D50" w:rsidRPr="00E55D50" w:rsidRDefault="00E55D50" w:rsidP="00025B32">
      <w:pPr>
        <w:pStyle w:val="H23GC"/>
      </w:pPr>
      <w:r w:rsidRPr="00E55D50">
        <w:tab/>
      </w:r>
      <w:r w:rsidRPr="00E55D50">
        <w:tab/>
      </w:r>
      <w:r w:rsidRPr="00E55D50">
        <w:rPr>
          <w:rFonts w:hint="eastAsia"/>
        </w:rPr>
        <w:t>国家人权机构</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7.</w:t>
      </w:r>
      <w:r w:rsidRPr="00E55D50">
        <w:tab/>
      </w:r>
      <w:r w:rsidRPr="00E55D50">
        <w:rPr>
          <w:rFonts w:hint="eastAsia"/>
        </w:rPr>
        <w:t>委员会注意到缔约国存在负有人权相关任务的国家政府机构，但仍然感到关切的是，没有符合关于促进和保护人权的国家机构地位相关原则</w:t>
      </w:r>
      <w:r w:rsidRPr="00E55D50">
        <w:rPr>
          <w:rFonts w:hint="eastAsia"/>
        </w:rPr>
        <w:t>(</w:t>
      </w:r>
      <w:r w:rsidRPr="00E55D50">
        <w:rPr>
          <w:rFonts w:hint="eastAsia"/>
        </w:rPr>
        <w:t>“巴黎原则”</w:t>
      </w:r>
      <w:r w:rsidRPr="00E55D50">
        <w:rPr>
          <w:rFonts w:hint="eastAsia"/>
        </w:rPr>
        <w:t>)</w:t>
      </w:r>
      <w:r w:rsidRPr="00E55D50">
        <w:rPr>
          <w:rFonts w:hint="eastAsia"/>
        </w:rPr>
        <w:t>的独立机构。委员会感到遗憾的是，没有就建立这样的机构确定具体的行动和时间安排</w:t>
      </w:r>
      <w:r w:rsidRPr="00E55D50">
        <w:rPr>
          <w:rFonts w:hint="eastAsia"/>
        </w:rPr>
        <w:t>(</w:t>
      </w:r>
      <w:r w:rsidRPr="00E55D50">
        <w:rPr>
          <w:rFonts w:hint="eastAsia"/>
        </w:rPr>
        <w:t>第二条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8.</w:t>
      </w:r>
      <w:r w:rsidRPr="00E55D50">
        <w:rPr>
          <w:rFonts w:eastAsia="黑体"/>
        </w:rPr>
        <w:tab/>
      </w:r>
      <w:r w:rsidRPr="00E55D50">
        <w:rPr>
          <w:rFonts w:eastAsia="黑体" w:hint="eastAsia"/>
        </w:rPr>
        <w:t>委员会回顾以往的建议</w:t>
      </w:r>
      <w:r w:rsidRPr="00E55D50">
        <w:rPr>
          <w:rFonts w:eastAsia="黑体" w:hint="eastAsia"/>
        </w:rPr>
        <w:t>(</w:t>
      </w:r>
      <w:r w:rsidRPr="00E55D50">
        <w:rPr>
          <w:rFonts w:eastAsia="黑体"/>
        </w:rPr>
        <w:t>CCPR/CO/75/VNM</w:t>
      </w:r>
      <w:r w:rsidRPr="00E55D50">
        <w:rPr>
          <w:rFonts w:eastAsia="黑体" w:hint="eastAsia"/>
        </w:rPr>
        <w:t>，第</w:t>
      </w:r>
      <w:r w:rsidRPr="00E55D50">
        <w:rPr>
          <w:rFonts w:eastAsia="黑体" w:hint="eastAsia"/>
        </w:rPr>
        <w:t>1</w:t>
      </w:r>
      <w:r w:rsidRPr="00E55D50">
        <w:rPr>
          <w:rFonts w:eastAsia="黑体"/>
        </w:rPr>
        <w:t>1</w:t>
      </w:r>
      <w:r w:rsidRPr="00E55D50">
        <w:rPr>
          <w:rFonts w:eastAsia="黑体" w:hint="eastAsia"/>
        </w:rPr>
        <w:t>段</w:t>
      </w:r>
      <w:r w:rsidRPr="00E55D50">
        <w:rPr>
          <w:rFonts w:eastAsia="黑体" w:hint="eastAsia"/>
        </w:rPr>
        <w:t>)</w:t>
      </w:r>
      <w:r w:rsidRPr="00E55D50">
        <w:rPr>
          <w:rFonts w:eastAsia="黑体" w:hint="eastAsia"/>
        </w:rPr>
        <w:t>，重申缔约国应依照“巴黎原则”迅速建立一个促进和保护人权的国家人权机构。</w:t>
      </w:r>
    </w:p>
    <w:p w:rsidR="00E55D50" w:rsidRPr="00E55D50" w:rsidRDefault="00E55D50" w:rsidP="00025B32">
      <w:pPr>
        <w:pStyle w:val="H23GC"/>
      </w:pPr>
      <w:r w:rsidRPr="00E55D50">
        <w:tab/>
      </w:r>
      <w:r w:rsidRPr="00E55D50">
        <w:tab/>
      </w:r>
      <w:r w:rsidRPr="00E55D50">
        <w:rPr>
          <w:rFonts w:hint="eastAsia"/>
        </w:rPr>
        <w:t>紧急状态</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9.</w:t>
      </w:r>
      <w:r w:rsidRPr="00E55D50">
        <w:tab/>
      </w:r>
      <w:r w:rsidRPr="00E55D50">
        <w:rPr>
          <w:rFonts w:hint="eastAsia"/>
        </w:rPr>
        <w:t>委员会注意到，缔约国自</w:t>
      </w:r>
      <w:r w:rsidRPr="00E55D50">
        <w:rPr>
          <w:rFonts w:hint="eastAsia"/>
        </w:rPr>
        <w:t>2002</w:t>
      </w:r>
      <w:r w:rsidRPr="00E55D50">
        <w:rPr>
          <w:rFonts w:hint="eastAsia"/>
        </w:rPr>
        <w:t>年以来没有启动过紧急状态。但委员会感到关切的是，对紧急状态作出规定的现行立法和法规没有界定在社会紧急状态下允许的对人权的克减和限制，也没有明确禁止对《公约》不可克减条款的克减</w:t>
      </w:r>
      <w:r w:rsidRPr="00E55D50">
        <w:rPr>
          <w:rFonts w:hint="eastAsia"/>
        </w:rPr>
        <w:t>(</w:t>
      </w:r>
      <w:r w:rsidRPr="00E55D50">
        <w:rPr>
          <w:rFonts w:hint="eastAsia"/>
        </w:rPr>
        <w:t>第四条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lastRenderedPageBreak/>
        <w:t>10.</w:t>
      </w:r>
      <w:r w:rsidRPr="00E55D50">
        <w:rPr>
          <w:rFonts w:eastAsia="黑体"/>
        </w:rPr>
        <w:tab/>
      </w:r>
      <w:r w:rsidRPr="00E55D50">
        <w:rPr>
          <w:rFonts w:eastAsia="黑体" w:hint="eastAsia"/>
        </w:rPr>
        <w:t>按照委员会关于紧急状态期间克减《公约》问题的第</w:t>
      </w:r>
      <w:r w:rsidRPr="00E55D50">
        <w:rPr>
          <w:rFonts w:eastAsia="黑体" w:hint="eastAsia"/>
        </w:rPr>
        <w:t>29</w:t>
      </w:r>
      <w:r w:rsidR="00993C9E" w:rsidRPr="00993C9E">
        <w:rPr>
          <w:rFonts w:eastAsia="黑体"/>
          <w:sz w:val="10"/>
          <w:szCs w:val="10"/>
        </w:rPr>
        <w:t xml:space="preserve"> </w:t>
      </w:r>
      <w:r w:rsidRPr="00E55D50">
        <w:rPr>
          <w:rFonts w:eastAsia="黑体"/>
        </w:rPr>
        <w:t>(2001)</w:t>
      </w:r>
      <w:r w:rsidRPr="00E55D50">
        <w:rPr>
          <w:rFonts w:eastAsia="黑体" w:hint="eastAsia"/>
        </w:rPr>
        <w:t>号一般性意见的解释，缔约国应迅速使管理紧急状态的立法符合《公约》第四条，特别是关于《公约》不可克减的条款，并将任何克减限制在紧急情况严格要求的范围内。如果缔约国利用克减权，应依照《公约》第四条第三款，立即通过联合国秘书长向《公约》其他缔约国通报它在公共紧急状态下克减的权利及其理由。</w:t>
      </w:r>
    </w:p>
    <w:p w:rsidR="00E55D50" w:rsidRPr="00E55D50" w:rsidRDefault="00E55D50" w:rsidP="00123F71">
      <w:pPr>
        <w:pStyle w:val="H23GC"/>
      </w:pPr>
      <w:r w:rsidRPr="00E55D50">
        <w:tab/>
      </w:r>
      <w:r w:rsidRPr="00E55D50">
        <w:tab/>
      </w:r>
      <w:r w:rsidRPr="00E55D50">
        <w:rPr>
          <w:rFonts w:hint="eastAsia"/>
        </w:rPr>
        <w:t>反恐</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11.</w:t>
      </w:r>
      <w:r w:rsidRPr="00E55D50">
        <w:tab/>
      </w:r>
      <w:r w:rsidRPr="00E55D50">
        <w:rPr>
          <w:rFonts w:hint="eastAsia"/>
        </w:rPr>
        <w:t>委员会感到关切的是，反恐法律框架中使用的术语不明确，特别是《刑法典》第一百一十三条规定的“反对人民政府的恐怖主义”罪，这一表述十分宽泛，可能导致任意和滥用职权的实施</w:t>
      </w:r>
      <w:r w:rsidRPr="00E55D50">
        <w:rPr>
          <w:rFonts w:hint="eastAsia"/>
        </w:rPr>
        <w:t>(</w:t>
      </w:r>
      <w:r w:rsidRPr="00E55D50">
        <w:rPr>
          <w:rFonts w:hint="eastAsia"/>
        </w:rPr>
        <w:t>第二条、第九条和第十四条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12.</w:t>
      </w:r>
      <w:r w:rsidRPr="00E55D50">
        <w:rPr>
          <w:rFonts w:eastAsia="黑体"/>
        </w:rPr>
        <w:tab/>
      </w:r>
      <w:r w:rsidRPr="00E55D50">
        <w:rPr>
          <w:rFonts w:eastAsia="黑体" w:hint="eastAsia"/>
        </w:rPr>
        <w:t>缔约国应确保反恐怖主义立法完全符合国际标准，并且仅限于明确定性为恐怖主义行为的罪行，并应以精确和狭义的方式对此类行为做出界定。</w:t>
      </w:r>
    </w:p>
    <w:p w:rsidR="00E55D50" w:rsidRPr="00E55D50" w:rsidRDefault="00E55D50" w:rsidP="00123F71">
      <w:pPr>
        <w:pStyle w:val="H23GC"/>
      </w:pPr>
      <w:r w:rsidRPr="00E55D50">
        <w:tab/>
      </w:r>
      <w:r w:rsidRPr="00E55D50">
        <w:tab/>
      </w:r>
      <w:r w:rsidRPr="00E55D50">
        <w:rPr>
          <w:rFonts w:hint="eastAsia"/>
        </w:rPr>
        <w:t>不歧视框架</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13.</w:t>
      </w:r>
      <w:r w:rsidRPr="00E55D50">
        <w:tab/>
      </w:r>
      <w:r w:rsidRPr="00E55D50">
        <w:rPr>
          <w:rFonts w:hint="eastAsia"/>
        </w:rPr>
        <w:t>委员会感到关切的是，目前的法律框架没有提供全面保护，以防止《公约》所禁止的基于所有理由的歧视</w:t>
      </w:r>
      <w:r w:rsidRPr="00E55D50">
        <w:rPr>
          <w:rFonts w:hint="eastAsia"/>
        </w:rPr>
        <w:t>(</w:t>
      </w:r>
      <w:r w:rsidRPr="00E55D50">
        <w:rPr>
          <w:rFonts w:hint="eastAsia"/>
        </w:rPr>
        <w:t>第二条和第二十六条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14.</w:t>
      </w:r>
      <w:r w:rsidRPr="00E55D50">
        <w:rPr>
          <w:rFonts w:eastAsia="黑体"/>
        </w:rPr>
        <w:tab/>
      </w:r>
      <w:r w:rsidRPr="00E55D50">
        <w:rPr>
          <w:rFonts w:eastAsia="黑体" w:hint="eastAsia"/>
        </w:rPr>
        <w:t>缔约国应考虑通过一部全面的反歧视法，以确保其法律框架规定充分和有效的保护，防止所有领域一切形式的歧视，并提出一份全面的歧视理由清单，包括种族、肤色、民族或社会出身、出生、残疾、年龄、性取向和性别认同以及任何其他差异。缔约国还应确保被举报的歧视行为得到有效处理，受害者得到充分赔偿。</w:t>
      </w:r>
    </w:p>
    <w:p w:rsidR="00E55D50" w:rsidRPr="00E55D50" w:rsidRDefault="00E55D50" w:rsidP="00123F71">
      <w:pPr>
        <w:pStyle w:val="H23GC"/>
      </w:pPr>
      <w:r w:rsidRPr="00E55D50">
        <w:tab/>
      </w:r>
      <w:r w:rsidRPr="00E55D50">
        <w:tab/>
      </w:r>
      <w:r w:rsidRPr="00E55D50">
        <w:rPr>
          <w:rFonts w:hint="eastAsia"/>
        </w:rPr>
        <w:t>性取向、性别认同、双性身份和艾滋病毒携带者</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15.</w:t>
      </w:r>
      <w:r w:rsidRPr="00E55D50">
        <w:tab/>
      </w:r>
      <w:r w:rsidRPr="00E55D50">
        <w:rPr>
          <w:rFonts w:hint="eastAsia"/>
        </w:rPr>
        <w:t>委员会欢迎缔约国努力改善男女同性恋、双性恋、跨性别者和双性者的状况，包括取消同性婚姻禁令和规定法律上的性别承认。委员会注意到正在起草一部关于跨性别者的法律。但委员会表示关切的是，人们继续面临基于性取向和性别认同的歧视。委员会还感到关切的是，对于同性伴侣缺乏法律上的承认和保护，而且对于出生时带有双性变异的</w:t>
      </w:r>
      <w:r w:rsidRPr="00E55D50">
        <w:rPr>
          <w:rFonts w:hint="eastAsia"/>
        </w:rPr>
        <w:t>9</w:t>
      </w:r>
      <w:r w:rsidRPr="00E55D50">
        <w:rPr>
          <w:rFonts w:hint="eastAsia"/>
        </w:rPr>
        <w:t>岁以下婴儿和儿童，可能会在有关儿童有能力提供自由和知情同意之前，就进行以划定性别为目的的不可逆转的医疗干预。委员会还感到关切的是，艾滋病毒携带者继续面临歧视和污名化</w:t>
      </w:r>
      <w:r w:rsidRPr="00E55D50">
        <w:rPr>
          <w:rFonts w:hint="eastAsia"/>
        </w:rPr>
        <w:t>(</w:t>
      </w:r>
      <w:r w:rsidRPr="00E55D50">
        <w:rPr>
          <w:rFonts w:hint="eastAsia"/>
        </w:rPr>
        <w:t>第二至三条、第七条、第九条、第十七条、第二十四条和第二十六条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16.</w:t>
      </w:r>
      <w:r w:rsidRPr="00E55D50">
        <w:rPr>
          <w:rFonts w:eastAsia="黑体"/>
        </w:rPr>
        <w:tab/>
      </w:r>
      <w:r w:rsidRPr="00E55D50">
        <w:rPr>
          <w:rFonts w:eastAsia="黑体" w:hint="eastAsia"/>
        </w:rPr>
        <w:t>缔约国应：</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加大努力，消除基于性取向、性别认同或艾滋病毒状况对个人的一切形式的歧视、暴力和社会污名化，并为这类行为的受害者提供获得有效司法救济的渠道；</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建立符合《公约》的无医疗要求的法律性别承认程序；</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考虑为同性伴侣提供法律上的承认和保护；</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d</w:t>
      </w:r>
      <w:r w:rsidRPr="00E55D50">
        <w:rPr>
          <w:rFonts w:eastAsia="黑体" w:hint="eastAsia"/>
        </w:rPr>
        <w:t>)</w:t>
      </w:r>
      <w:r w:rsidRPr="00E55D50">
        <w:rPr>
          <w:rFonts w:eastAsia="黑体" w:hint="eastAsia"/>
        </w:rPr>
        <w:tab/>
      </w:r>
      <w:r w:rsidRPr="00E55D50">
        <w:rPr>
          <w:rFonts w:eastAsia="黑体" w:hint="eastAsia"/>
        </w:rPr>
        <w:t>采取措施，终止对尚不能提供充分知情和自由同意的双性儿童进行不可逆转的医学治疗，除非这种程序在医疗上有绝对的必要。</w:t>
      </w:r>
    </w:p>
    <w:p w:rsidR="00E55D50" w:rsidRPr="00E55D50" w:rsidRDefault="00E55D50" w:rsidP="00675B64">
      <w:pPr>
        <w:pStyle w:val="H23GC"/>
      </w:pPr>
      <w:r w:rsidRPr="00E55D50">
        <w:lastRenderedPageBreak/>
        <w:tab/>
      </w:r>
      <w:r w:rsidRPr="00E55D50">
        <w:tab/>
      </w:r>
      <w:r w:rsidRPr="00E55D50">
        <w:rPr>
          <w:rFonts w:hint="eastAsia"/>
        </w:rPr>
        <w:t>残疾人</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17.</w:t>
      </w:r>
      <w:r w:rsidRPr="00E55D50">
        <w:tab/>
      </w:r>
      <w:r w:rsidRPr="00E55D50">
        <w:rPr>
          <w:rFonts w:hint="eastAsia"/>
        </w:rPr>
        <w:t>尽管缔约国努力增进残疾人权利，但委员会仍然对残疾人面临的歧视，包括在获得公共服务方面受到的歧视表示关切</w:t>
      </w:r>
      <w:r w:rsidRPr="00E55D50">
        <w:rPr>
          <w:rFonts w:hint="eastAsia"/>
        </w:rPr>
        <w:t>(</w:t>
      </w:r>
      <w:r w:rsidRPr="00E55D50">
        <w:rPr>
          <w:rFonts w:hint="eastAsia"/>
        </w:rPr>
        <w:t>第二条和第二十六条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18.</w:t>
      </w:r>
      <w:r w:rsidRPr="00E55D50">
        <w:rPr>
          <w:rFonts w:eastAsia="黑体"/>
        </w:rPr>
        <w:tab/>
      </w:r>
      <w:r w:rsidRPr="00E55D50">
        <w:rPr>
          <w:rFonts w:eastAsia="黑体" w:hint="eastAsia"/>
        </w:rPr>
        <w:t>缔约国应加大努力保护残疾人免受歧视，确保他们能够充分获得公共服务，包括教育、就业和公共交通方面的服务，并提高政府官员、卫生工作者和公众对残疾人权利的认识。</w:t>
      </w:r>
    </w:p>
    <w:p w:rsidR="00E55D50" w:rsidRPr="00E55D50" w:rsidRDefault="00E55D50" w:rsidP="00CA39F7">
      <w:pPr>
        <w:pStyle w:val="H23GC"/>
        <w:spacing w:before="180"/>
      </w:pPr>
      <w:r w:rsidRPr="00E55D50">
        <w:tab/>
      </w:r>
      <w:r w:rsidRPr="00E55D50">
        <w:tab/>
      </w:r>
      <w:r w:rsidRPr="00E55D50">
        <w:rPr>
          <w:rFonts w:hint="eastAsia"/>
        </w:rPr>
        <w:t>男女权利平等</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19.</w:t>
      </w:r>
      <w:r w:rsidRPr="00E55D50">
        <w:tab/>
      </w:r>
      <w:r w:rsidRPr="00E55D50">
        <w:rPr>
          <w:rFonts w:hint="eastAsia"/>
        </w:rPr>
        <w:t>委员会欢迎为消除性别歧视所做的努力，但感到关切的是，一些立法仍然有不符合《公约》的歧视性条款。委员会还感到关切的是，女性在政治生活中的参与有限，她们继续面临性别偏见、成见和歧视，农村地区的女性尤其如此</w:t>
      </w:r>
      <w:r w:rsidRPr="00E55D50">
        <w:rPr>
          <w:rFonts w:hint="eastAsia"/>
        </w:rPr>
        <w:t>(</w:t>
      </w:r>
      <w:r w:rsidRPr="00E55D50">
        <w:rPr>
          <w:rFonts w:hint="eastAsia"/>
        </w:rPr>
        <w:t>第二条、第三条、第十七条、第二十五条和第二十六条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20.</w:t>
      </w:r>
      <w:r w:rsidRPr="00E55D50">
        <w:rPr>
          <w:rFonts w:eastAsia="黑体"/>
        </w:rPr>
        <w:tab/>
      </w:r>
      <w:r w:rsidRPr="00E55D50">
        <w:rPr>
          <w:rFonts w:eastAsia="黑体" w:hint="eastAsia"/>
        </w:rPr>
        <w:t>缔约国应对包括《劳动法》在内的立法进行修正，使之符合《公约》。应加强措施，提高女性在所有领域的参与程度，特别是在高级决策职位和政治生活中的参与，如有必要，可以采取暂行特别措施。缔约国还应加大努力消除性别偏见和成见。</w:t>
      </w:r>
    </w:p>
    <w:p w:rsidR="00E55D50" w:rsidRPr="00E55D50" w:rsidRDefault="00E55D50" w:rsidP="00CA39F7">
      <w:pPr>
        <w:pStyle w:val="H23GC"/>
        <w:spacing w:before="180"/>
      </w:pPr>
      <w:r w:rsidRPr="00E55D50">
        <w:tab/>
      </w:r>
      <w:r w:rsidRPr="00E55D50">
        <w:tab/>
      </w:r>
      <w:r w:rsidRPr="00E55D50">
        <w:rPr>
          <w:rFonts w:hint="eastAsia"/>
        </w:rPr>
        <w:t>对妇女的暴力行为</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21.</w:t>
      </w:r>
      <w:r w:rsidRPr="00E55D50">
        <w:tab/>
      </w:r>
      <w:r w:rsidRPr="00E55D50">
        <w:rPr>
          <w:rFonts w:hint="eastAsia"/>
        </w:rPr>
        <w:t>尽管对基于性别的暴力采取了措施，但委员会感到关切的是，针对妇女的家庭暴力依然存在。委员会还感到关切的是，《刑法》虽然将强奸定为犯罪，但没有对婚内强奸做出明确规定。委员会更加关切的是，有报告称，在家庭暴力案件中经常使用和解和调解，这可能对男性有利，而阻碍妇女诉诸司法和获得有效司法救济</w:t>
      </w:r>
      <w:r w:rsidRPr="00E55D50">
        <w:rPr>
          <w:rFonts w:hint="eastAsia"/>
        </w:rPr>
        <w:t>(</w:t>
      </w:r>
      <w:r w:rsidRPr="00E55D50">
        <w:rPr>
          <w:rFonts w:hint="eastAsia"/>
        </w:rPr>
        <w:t>第二至三条、第六至七条和第二十六条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22.</w:t>
      </w:r>
      <w:r w:rsidRPr="00E55D50">
        <w:rPr>
          <w:rFonts w:eastAsia="黑体"/>
        </w:rPr>
        <w:tab/>
      </w:r>
      <w:r w:rsidRPr="00E55D50">
        <w:rPr>
          <w:rFonts w:eastAsia="黑体" w:hint="eastAsia"/>
        </w:rPr>
        <w:t>缔约国应：</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加倍努力防止和解决一切形式的性别暴力；</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明确将婚内强奸和性虐待定为刑事犯罪；</w:t>
      </w:r>
    </w:p>
    <w:p w:rsidR="00E55D50" w:rsidRPr="00D4165A" w:rsidRDefault="00E55D50" w:rsidP="00CA39F7">
      <w:pPr>
        <w:pStyle w:val="SingleTxtGC"/>
        <w:tabs>
          <w:tab w:val="clear" w:pos="431"/>
          <w:tab w:val="clear" w:pos="1134"/>
          <w:tab w:val="clear" w:pos="1565"/>
          <w:tab w:val="clear" w:pos="1996"/>
          <w:tab w:val="clear" w:pos="2427"/>
          <w:tab w:val="left" w:pos="1701"/>
        </w:tabs>
        <w:spacing w:after="100"/>
        <w:rPr>
          <w:rFonts w:eastAsia="黑体"/>
          <w:spacing w:val="-6"/>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0A1AAE">
        <w:rPr>
          <w:rFonts w:eastAsia="黑体" w:hint="eastAsia"/>
        </w:rPr>
        <w:t>加强提高认识措施，提高对家庭暴力及其对受害者生活有害影响的认识；</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d</w:t>
      </w:r>
      <w:r w:rsidRPr="00E55D50">
        <w:rPr>
          <w:rFonts w:eastAsia="黑体" w:hint="eastAsia"/>
        </w:rPr>
        <w:t>)</w:t>
      </w:r>
      <w:r w:rsidRPr="00E55D50">
        <w:rPr>
          <w:rFonts w:eastAsia="黑体" w:hint="eastAsia"/>
        </w:rPr>
        <w:tab/>
      </w:r>
      <w:r w:rsidRPr="00E55D50">
        <w:rPr>
          <w:rFonts w:eastAsia="黑体" w:hint="eastAsia"/>
        </w:rPr>
        <w:t>针对导致受害者不愿举报虐待行为的因素采取措施；</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e</w:t>
      </w:r>
      <w:r w:rsidRPr="00E55D50">
        <w:rPr>
          <w:rFonts w:eastAsia="黑体" w:hint="eastAsia"/>
        </w:rPr>
        <w:t>)</w:t>
      </w:r>
      <w:r w:rsidRPr="00E55D50">
        <w:rPr>
          <w:rFonts w:eastAsia="黑体" w:hint="eastAsia"/>
        </w:rPr>
        <w:tab/>
      </w:r>
      <w:r w:rsidRPr="00E55D50">
        <w:rPr>
          <w:rFonts w:eastAsia="黑体" w:hint="eastAsia"/>
        </w:rPr>
        <w:t>确保暴力案件得到调查，犯罪者受到起诉，而且如果定罪，受到惩罚，受害者得到赔偿；</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f</w:t>
      </w:r>
      <w:r w:rsidRPr="00E55D50">
        <w:rPr>
          <w:rFonts w:eastAsia="黑体" w:hint="eastAsia"/>
        </w:rPr>
        <w:t>)</w:t>
      </w:r>
      <w:r w:rsidRPr="00E55D50">
        <w:rPr>
          <w:rFonts w:eastAsia="黑体" w:hint="eastAsia"/>
        </w:rPr>
        <w:tab/>
      </w:r>
      <w:r w:rsidRPr="00E55D50">
        <w:rPr>
          <w:rFonts w:eastAsia="黑体" w:hint="eastAsia"/>
        </w:rPr>
        <w:t>避免向受害者施加压力，迫使其采用替代性争端解决程序。</w:t>
      </w:r>
    </w:p>
    <w:p w:rsidR="00E55D50" w:rsidRPr="00E55D50" w:rsidRDefault="00E55D50" w:rsidP="00CA39F7">
      <w:pPr>
        <w:pStyle w:val="H23GC"/>
        <w:spacing w:before="180"/>
      </w:pPr>
      <w:r w:rsidRPr="00E55D50">
        <w:tab/>
      </w:r>
      <w:r w:rsidRPr="00E55D50">
        <w:tab/>
      </w:r>
      <w:r w:rsidRPr="00E55D50">
        <w:rPr>
          <w:rFonts w:hint="eastAsia"/>
        </w:rPr>
        <w:t>死刑</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23.</w:t>
      </w:r>
      <w:r w:rsidRPr="00E55D50">
        <w:tab/>
      </w:r>
      <w:r w:rsidRPr="00E55D50">
        <w:rPr>
          <w:rFonts w:hint="eastAsia"/>
        </w:rPr>
        <w:t>委员会关切地注意到，死刑仍然适用于包括毒品相关罪行、经济罪行和其他罪行在内的某些罪行，不符合《公约》第六条第二款意义范围内关于最严重罪行的门槛。委员会虽然注意到总统有对死刑进行减刑的法律权力，但对所报告的大量死刑判决和处决感到关切。委员会还感到关切的是，导致此类判决的一些审判可能并不公平，并因程序违规受到损害，例如</w:t>
      </w:r>
      <w:r w:rsidRPr="00E55D50">
        <w:t>Ho Duy Hai</w:t>
      </w:r>
      <w:r w:rsidRPr="00E55D50">
        <w:rPr>
          <w:rFonts w:hint="eastAsia"/>
        </w:rPr>
        <w:t>和</w:t>
      </w:r>
      <w:r w:rsidRPr="00E55D50">
        <w:t>Van Manh</w:t>
      </w:r>
      <w:r w:rsidRPr="00E55D50">
        <w:rPr>
          <w:rFonts w:hint="eastAsia"/>
        </w:rPr>
        <w:t>的案件就是如此。委员会更加感到关切的是，关于被判死刑、被处决或等待死刑方面的人数缺乏公开的官方数据</w:t>
      </w:r>
      <w:r w:rsidRPr="00E55D50">
        <w:rPr>
          <w:rFonts w:hint="eastAsia"/>
        </w:rPr>
        <w:t>(</w:t>
      </w:r>
      <w:r w:rsidRPr="00E55D50">
        <w:rPr>
          <w:rFonts w:hint="eastAsia"/>
        </w:rPr>
        <w:t>第六条和第十四条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lastRenderedPageBreak/>
        <w:t>24.</w:t>
      </w:r>
      <w:r w:rsidRPr="00E55D50">
        <w:rPr>
          <w:rFonts w:eastAsia="黑体"/>
        </w:rPr>
        <w:tab/>
      </w:r>
      <w:r w:rsidRPr="00E55D50">
        <w:rPr>
          <w:rFonts w:eastAsia="黑体" w:hint="eastAsia"/>
        </w:rPr>
        <w:t>委员会重申其建议</w:t>
      </w:r>
      <w:r w:rsidRPr="00E55D50">
        <w:rPr>
          <w:rFonts w:eastAsia="黑体" w:hint="eastAsia"/>
        </w:rPr>
        <w:t>(</w:t>
      </w:r>
      <w:r w:rsidRPr="00E55D50">
        <w:rPr>
          <w:rFonts w:eastAsia="黑体"/>
        </w:rPr>
        <w:t>CCPR/CO/75/VNM</w:t>
      </w:r>
      <w:r w:rsidRPr="00E55D50">
        <w:rPr>
          <w:rFonts w:eastAsia="黑体" w:hint="eastAsia"/>
        </w:rPr>
        <w:t>，第</w:t>
      </w:r>
      <w:r w:rsidRPr="00E55D50">
        <w:rPr>
          <w:rFonts w:eastAsia="黑体"/>
        </w:rPr>
        <w:t>7</w:t>
      </w:r>
      <w:r w:rsidRPr="00E55D50">
        <w:rPr>
          <w:rFonts w:eastAsia="黑体" w:hint="eastAsia"/>
        </w:rPr>
        <w:t>段</w:t>
      </w:r>
      <w:r w:rsidRPr="00E55D50">
        <w:rPr>
          <w:rFonts w:eastAsia="黑体" w:hint="eastAsia"/>
        </w:rPr>
        <w:t>)</w:t>
      </w:r>
      <w:r w:rsidRPr="00E55D50">
        <w:rPr>
          <w:rFonts w:eastAsia="黑体" w:hint="eastAsia"/>
        </w:rPr>
        <w:t>，认为缔约国应：</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考虑暂停适用死刑，并考虑批准或加入《旨在废除死刑的〈公约〉第二项任择议定书》；</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在暂停</w:t>
      </w:r>
      <w:r w:rsidRPr="006A193E">
        <w:rPr>
          <w:rFonts w:eastAsia="黑体" w:hint="eastAsia"/>
          <w:spacing w:val="-6"/>
        </w:rPr>
        <w:t>死刑之前，对《刑法》进行修正，以进一步减少可判处死刑</w:t>
      </w:r>
      <w:r w:rsidRPr="00E55D50">
        <w:rPr>
          <w:rFonts w:eastAsia="黑体" w:hint="eastAsia"/>
        </w:rPr>
        <w:t>的罪行，并确保只对最严重的罪行，即涉及故意杀人的极其严重的罪行，保留死刑；</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确保死刑不是对所有罪行的强制性判决，如果判处死刑，确保其绝不违反《公约》的规定，包括关于公正审判程序的规定，并合理地提前向受影响的死囚及其家属通知预定的处决日期和时间；</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d</w:t>
      </w:r>
      <w:r w:rsidRPr="00E55D50">
        <w:rPr>
          <w:rFonts w:eastAsia="黑体" w:hint="eastAsia"/>
        </w:rPr>
        <w:t>)</w:t>
      </w:r>
      <w:r w:rsidRPr="00E55D50">
        <w:rPr>
          <w:rFonts w:eastAsia="黑体" w:hint="eastAsia"/>
        </w:rPr>
        <w:tab/>
      </w:r>
      <w:r w:rsidRPr="00E55D50">
        <w:rPr>
          <w:rFonts w:eastAsia="黑体" w:hint="eastAsia"/>
        </w:rPr>
        <w:t>确保在所有案件中，无论犯下何种罪行，都能有效获得死刑赦免或减刑；</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e</w:t>
      </w:r>
      <w:r w:rsidRPr="00E55D50">
        <w:rPr>
          <w:rFonts w:eastAsia="黑体" w:hint="eastAsia"/>
        </w:rPr>
        <w:t>)</w:t>
      </w:r>
      <w:r w:rsidRPr="00E55D50">
        <w:rPr>
          <w:rFonts w:eastAsia="黑体" w:hint="eastAsia"/>
        </w:rPr>
        <w:tab/>
      </w:r>
      <w:r w:rsidRPr="006F68CA">
        <w:rPr>
          <w:rFonts w:eastAsia="黑体" w:hint="eastAsia"/>
          <w:spacing w:val="-4"/>
        </w:rPr>
        <w:t>公布按性别、年龄、族裔、宗教和罪行分列的死刑和处决的</w:t>
      </w:r>
      <w:r w:rsidRPr="00E55D50">
        <w:rPr>
          <w:rFonts w:eastAsia="黑体" w:hint="eastAsia"/>
        </w:rPr>
        <w:t>官方数字。</w:t>
      </w:r>
    </w:p>
    <w:p w:rsidR="00E55D50" w:rsidRPr="00E55D50" w:rsidRDefault="00E55D50" w:rsidP="00DA4965">
      <w:pPr>
        <w:pStyle w:val="H23GC"/>
      </w:pPr>
      <w:r w:rsidRPr="00E55D50">
        <w:tab/>
      </w:r>
      <w:r w:rsidRPr="00E55D50">
        <w:tab/>
      </w:r>
      <w:r w:rsidRPr="00E55D50">
        <w:rPr>
          <w:rFonts w:hint="eastAsia"/>
        </w:rPr>
        <w:t>人身自由和安全权</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25.</w:t>
      </w:r>
      <w:r w:rsidRPr="00E55D50">
        <w:tab/>
      </w:r>
      <w:r w:rsidRPr="00E55D50">
        <w:rPr>
          <w:rFonts w:hint="eastAsia"/>
        </w:rPr>
        <w:t>委员会感到关切的是，有报告称，个人，特别是人权维护者、社会活动人士和宗教领袖，可能面临任意逮捕、拘留和未经起诉的单独监禁。委员会还感到关切的是，在无法律保障的情况下使用审前拘留的做法过多，例如见不到法官、从被捕时起就接触不到律师以及无法获得通知家人的权利。委员会还感到关切的是，一些人在获释后，事实上被软禁。委员会关切的是，根据国内立法：</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ab/>
      </w:r>
      <w:r w:rsidRPr="00E55D50">
        <w:rPr>
          <w:rFonts w:hint="eastAsia"/>
        </w:rPr>
        <w:t>(a)</w:t>
      </w:r>
      <w:r w:rsidRPr="00E55D50">
        <w:rPr>
          <w:rFonts w:hint="eastAsia"/>
        </w:rPr>
        <w:tab/>
      </w:r>
      <w:r w:rsidRPr="00E55D50">
        <w:rPr>
          <w:rFonts w:hint="eastAsia"/>
        </w:rPr>
        <w:t>在涉及国家安全的罪案中被逮捕或拘留的人员可能在整个调查期间都被禁止与律师接触；</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ab/>
      </w:r>
      <w:r w:rsidRPr="00E55D50">
        <w:rPr>
          <w:rFonts w:hint="eastAsia"/>
        </w:rPr>
        <w:t>(</w:t>
      </w:r>
      <w:r w:rsidRPr="00E55D50">
        <w:t>b</w:t>
      </w:r>
      <w:r w:rsidRPr="00E55D50">
        <w:rPr>
          <w:rFonts w:hint="eastAsia"/>
        </w:rPr>
        <w:t>)</w:t>
      </w:r>
      <w:r w:rsidRPr="00E55D50">
        <w:rPr>
          <w:rFonts w:hint="eastAsia"/>
        </w:rPr>
        <w:tab/>
      </w:r>
      <w:r w:rsidRPr="00E55D50">
        <w:rPr>
          <w:rFonts w:hint="eastAsia"/>
        </w:rPr>
        <w:t>因刑事指控被逮捕或拘留的人员经检察官授权可以还押拘留，该检察官也可决定任何后续的拘留延期，在涉及国家安全的罪案中，可以无限期延期；</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ab/>
      </w:r>
      <w:r w:rsidRPr="00E55D50">
        <w:rPr>
          <w:rFonts w:hint="eastAsia"/>
        </w:rPr>
        <w:t>(</w:t>
      </w:r>
      <w:r w:rsidRPr="00E55D50">
        <w:t>c</w:t>
      </w:r>
      <w:r w:rsidRPr="00E55D50">
        <w:rPr>
          <w:rFonts w:hint="eastAsia"/>
        </w:rPr>
        <w:t>)</w:t>
      </w:r>
      <w:r w:rsidRPr="00E55D50">
        <w:rPr>
          <w:rFonts w:hint="eastAsia"/>
        </w:rPr>
        <w:tab/>
      </w:r>
      <w:r w:rsidRPr="00E55D50">
        <w:rPr>
          <w:rFonts w:hint="eastAsia"/>
        </w:rPr>
        <w:t>由检察官而非法官决定对被剥夺自由者进行拘留是否合法</w:t>
      </w:r>
      <w:r w:rsidRPr="00E55D50">
        <w:rPr>
          <w:rFonts w:hint="eastAsia"/>
        </w:rPr>
        <w:t>(</w:t>
      </w:r>
      <w:r w:rsidRPr="00E55D50">
        <w:rPr>
          <w:rFonts w:hint="eastAsia"/>
        </w:rPr>
        <w:t>第二条和第九条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26.</w:t>
      </w:r>
      <w:r w:rsidRPr="00E55D50">
        <w:rPr>
          <w:rFonts w:eastAsia="黑体"/>
        </w:rPr>
        <w:tab/>
      </w:r>
      <w:r w:rsidRPr="00E55D50">
        <w:rPr>
          <w:rFonts w:eastAsia="黑体" w:hint="eastAsia"/>
        </w:rPr>
        <w:t>委员会回顾以往的建议</w:t>
      </w:r>
      <w:r w:rsidRPr="00E55D50">
        <w:rPr>
          <w:rFonts w:eastAsia="黑体" w:hint="eastAsia"/>
        </w:rPr>
        <w:t>(CCPR/CO/75/VNM</w:t>
      </w:r>
      <w:r w:rsidRPr="00E55D50">
        <w:rPr>
          <w:rFonts w:eastAsia="黑体" w:hint="eastAsia"/>
        </w:rPr>
        <w:t>，第</w:t>
      </w:r>
      <w:r w:rsidRPr="00E55D50">
        <w:rPr>
          <w:rFonts w:eastAsia="黑体"/>
        </w:rPr>
        <w:t>8</w:t>
      </w:r>
      <w:r w:rsidRPr="00E55D50">
        <w:rPr>
          <w:rFonts w:eastAsia="黑体" w:hint="eastAsia"/>
        </w:rPr>
        <w:t>段</w:t>
      </w:r>
      <w:r w:rsidRPr="00E55D50">
        <w:rPr>
          <w:rFonts w:eastAsia="黑体" w:hint="eastAsia"/>
        </w:rPr>
        <w:t>)</w:t>
      </w:r>
      <w:r w:rsidRPr="00E55D50">
        <w:rPr>
          <w:rFonts w:eastAsia="黑体" w:hint="eastAsia"/>
        </w:rPr>
        <w:t>，建议缔约国使关于拘留的立法和实践与《公约》第九条相符，特别是确保：</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因刑事指控被逮捕或拘留的人员从被剥夺自由时起就能接触律师，并在通常</w:t>
      </w:r>
      <w:r w:rsidRPr="00E55D50">
        <w:rPr>
          <w:rFonts w:eastAsia="黑体" w:hint="eastAsia"/>
        </w:rPr>
        <w:t>48</w:t>
      </w:r>
      <w:r w:rsidRPr="00E55D50">
        <w:rPr>
          <w:rFonts w:eastAsia="黑体" w:hint="eastAsia"/>
        </w:rPr>
        <w:t>小时内，被快速带见法官或其他经法律授权行使司法权力的官员，以便使其拘留处于司法控制之下；</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对任何被剥夺自由者的拘留所进行的司法审查符合《公约》第九条第四款的要求，并需要审查拘留的事实依据。委员会提请注意其关于人身自由和安全的第</w:t>
      </w:r>
      <w:r w:rsidRPr="00E55D50">
        <w:rPr>
          <w:rFonts w:eastAsia="黑体" w:hint="eastAsia"/>
        </w:rPr>
        <w:t>35</w:t>
      </w:r>
      <w:r w:rsidR="006F68CA" w:rsidRPr="006F68CA">
        <w:rPr>
          <w:rFonts w:eastAsia="黑体"/>
          <w:sz w:val="10"/>
          <w:szCs w:val="10"/>
        </w:rPr>
        <w:t xml:space="preserve"> </w:t>
      </w:r>
      <w:r w:rsidRPr="00E55D50">
        <w:rPr>
          <w:rFonts w:eastAsia="黑体" w:hint="eastAsia"/>
        </w:rPr>
        <w:t>(2014)</w:t>
      </w:r>
      <w:r w:rsidRPr="00E55D50">
        <w:rPr>
          <w:rFonts w:eastAsia="黑体" w:hint="eastAsia"/>
        </w:rPr>
        <w:t>号一般性意见，特别是第</w:t>
      </w:r>
      <w:r w:rsidRPr="00E55D50">
        <w:rPr>
          <w:rFonts w:eastAsia="黑体" w:hint="eastAsia"/>
        </w:rPr>
        <w:t>32</w:t>
      </w:r>
      <w:r w:rsidRPr="00E55D50">
        <w:rPr>
          <w:rFonts w:eastAsia="黑体" w:hint="eastAsia"/>
        </w:rPr>
        <w:t>、</w:t>
      </w:r>
      <w:r w:rsidRPr="00E55D50">
        <w:rPr>
          <w:rFonts w:eastAsia="黑体" w:hint="eastAsia"/>
        </w:rPr>
        <w:t>33</w:t>
      </w:r>
      <w:r w:rsidRPr="00E55D50">
        <w:rPr>
          <w:rFonts w:eastAsia="黑体" w:hint="eastAsia"/>
        </w:rPr>
        <w:t>和</w:t>
      </w:r>
      <w:r w:rsidRPr="00E55D50">
        <w:rPr>
          <w:rFonts w:eastAsia="黑体" w:hint="eastAsia"/>
        </w:rPr>
        <w:t>39</w:t>
      </w:r>
      <w:r w:rsidRPr="00E55D50">
        <w:rPr>
          <w:rFonts w:eastAsia="黑体" w:hint="eastAsia"/>
        </w:rPr>
        <w:t>段，其中指出，检察官不能视为依照《公约》第九条第三款行使司法权力的官员。</w:t>
      </w:r>
    </w:p>
    <w:p w:rsidR="00E55D50" w:rsidRPr="00E55D50" w:rsidRDefault="00E55D50" w:rsidP="006A193E">
      <w:pPr>
        <w:pStyle w:val="H23GC"/>
      </w:pPr>
      <w:r w:rsidRPr="00E55D50">
        <w:tab/>
      </w:r>
      <w:r w:rsidRPr="00E55D50">
        <w:tab/>
      </w:r>
      <w:r w:rsidRPr="00E55D50">
        <w:rPr>
          <w:rFonts w:hint="eastAsia"/>
        </w:rPr>
        <w:t>酷刑和虐待</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27.</w:t>
      </w:r>
      <w:r w:rsidRPr="00E55D50">
        <w:tab/>
      </w:r>
      <w:r w:rsidRPr="00E55D50">
        <w:rPr>
          <w:rFonts w:hint="eastAsia"/>
        </w:rPr>
        <w:t>委员会感到关切的是，刑事立法，特别是《刑法典》，没有明确将酷刑定为刑事犯罪。委员会同样感到关切的是，有报告称酷刑和虐待被广泛使用，特别是在审前拘留期间，有时导致拘留期间死亡，包括族裔和宗教少数群体成员的死亡。委员会还感到关切的是，家庭因质疑被拘留家庭成员的死因而面临报复</w:t>
      </w:r>
      <w:r w:rsidRPr="00E55D50">
        <w:rPr>
          <w:rFonts w:hint="eastAsia"/>
        </w:rPr>
        <w:t>(</w:t>
      </w:r>
      <w:r w:rsidRPr="00E55D50">
        <w:rPr>
          <w:rFonts w:hint="eastAsia"/>
        </w:rPr>
        <w:t>第二条、第六至七条和第十条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lastRenderedPageBreak/>
        <w:t>28.</w:t>
      </w:r>
      <w:r w:rsidRPr="00E55D50">
        <w:rPr>
          <w:rFonts w:eastAsia="黑体"/>
        </w:rPr>
        <w:tab/>
      </w:r>
      <w:r w:rsidRPr="00E55D50">
        <w:rPr>
          <w:rFonts w:eastAsia="黑体" w:hint="eastAsia"/>
        </w:rPr>
        <w:t>缔约国应采取有力措施消除酷刑和虐待，尤其是：</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修订《刑法》和其他立法，明确将酷刑行为定为刑事犯罪，使酷刑的定义符合《公约》第七条和其他国际标准，最好是将酷刑定为不受时效限制的独立罪行，并规定与罪行严重程度相称的处罚；</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(b)</w:t>
      </w:r>
      <w:r w:rsidRPr="00E55D50">
        <w:rPr>
          <w:rFonts w:eastAsia="黑体" w:hint="eastAsia"/>
        </w:rPr>
        <w:tab/>
      </w:r>
      <w:r w:rsidRPr="00E55D50">
        <w:rPr>
          <w:rFonts w:eastAsia="黑体" w:hint="eastAsia"/>
        </w:rPr>
        <w:t>确保所有关于酷刑和虐待以及拘留期间死亡的指控快速得到独立公正机构的彻底调查，确保犯罪人受到起诉，而且如果定罪，处以与罪行严重程度相符的制裁，确保向受害者，并酌情向其家人提供全面赔偿，包括康复和充分补偿。</w:t>
      </w:r>
    </w:p>
    <w:p w:rsidR="00E55D50" w:rsidRPr="00E55D50" w:rsidRDefault="00E55D50" w:rsidP="00E43EF8">
      <w:pPr>
        <w:pStyle w:val="H23GC"/>
        <w:spacing w:before="280"/>
      </w:pPr>
      <w:r w:rsidRPr="00E55D50">
        <w:tab/>
      </w:r>
      <w:r w:rsidRPr="00E55D50">
        <w:tab/>
      </w:r>
      <w:r w:rsidRPr="00E55D50">
        <w:rPr>
          <w:rFonts w:hint="eastAsia"/>
        </w:rPr>
        <w:t>拘留条件</w:t>
      </w:r>
    </w:p>
    <w:p w:rsidR="00E55D50" w:rsidRPr="00E55D50" w:rsidRDefault="00E55D50" w:rsidP="004F6498">
      <w:pPr>
        <w:pStyle w:val="SingleTxtGC"/>
        <w:tabs>
          <w:tab w:val="clear" w:pos="431"/>
          <w:tab w:val="clear" w:pos="1134"/>
          <w:tab w:val="clear" w:pos="1565"/>
          <w:tab w:val="clear" w:pos="1996"/>
          <w:tab w:val="clear" w:pos="2427"/>
          <w:tab w:val="left" w:pos="1701"/>
        </w:tabs>
        <w:spacing w:after="160"/>
      </w:pPr>
      <w:r w:rsidRPr="00E55D50">
        <w:rPr>
          <w:rFonts w:hint="eastAsia"/>
        </w:rPr>
        <w:t>29.</w:t>
      </w:r>
      <w:r w:rsidRPr="00E55D50">
        <w:tab/>
      </w:r>
      <w:r w:rsidRPr="00E55D50">
        <w:rPr>
          <w:rFonts w:hint="eastAsia"/>
        </w:rPr>
        <w:t>委员会感到关切的是，不断有报告称拘留条件恶劣，包括过度拥挤、单独监禁时间过长、戴镣铐、其他囚犯在监狱官员的煽动下实施虐待、不使健康囚犯与患有传染病的囚犯相隔离、故意使囚犯暴露在艾滋病毒环境下、拒绝为囚犯提供医疗照护和对囚犯进行惩罚性转移。委员会还感到关切的是，有报告称，根据公共安全部第</w:t>
      </w:r>
      <w:r w:rsidRPr="00E55D50">
        <w:rPr>
          <w:rFonts w:hint="eastAsia"/>
        </w:rPr>
        <w:t>37</w:t>
      </w:r>
      <w:r w:rsidR="00F610AF" w:rsidRPr="00F610AF">
        <w:rPr>
          <w:sz w:val="10"/>
          <w:szCs w:val="10"/>
        </w:rPr>
        <w:t xml:space="preserve"> </w:t>
      </w:r>
      <w:r w:rsidRPr="00E55D50">
        <w:rPr>
          <w:rFonts w:hint="eastAsia"/>
        </w:rPr>
        <w:t>(2011)</w:t>
      </w:r>
      <w:r w:rsidRPr="00E55D50">
        <w:rPr>
          <w:rFonts w:hint="eastAsia"/>
        </w:rPr>
        <w:t>号通知，相比于普通囚犯，良心犯受到歧视性待遇，该通知规定对良心犯实行单独拘留，实际上相当于可以无限期延长的单独监禁。委员会感到遗憾的是，缺乏独立和定期对拘留中心和监狱进行监测和检查的国家机制，而且缺乏按设施分列的与监狱容纳能力相对比的监狱总人口资料</w:t>
      </w:r>
      <w:r w:rsidRPr="00E55D50">
        <w:rPr>
          <w:rFonts w:hint="eastAsia"/>
        </w:rPr>
        <w:t>(CCPR/</w:t>
      </w:r>
      <w:r w:rsidR="004F6498">
        <w:t xml:space="preserve"> </w:t>
      </w:r>
      <w:r w:rsidRPr="00E55D50">
        <w:rPr>
          <w:rFonts w:hint="eastAsia"/>
        </w:rPr>
        <w:t>CO/75/VNM</w:t>
      </w:r>
      <w:r w:rsidRPr="00E55D50">
        <w:rPr>
          <w:rFonts w:hint="eastAsia"/>
        </w:rPr>
        <w:t>，第</w:t>
      </w:r>
      <w:r w:rsidRPr="00E55D50">
        <w:rPr>
          <w:rFonts w:hint="eastAsia"/>
        </w:rPr>
        <w:t>1</w:t>
      </w:r>
      <w:r w:rsidRPr="00E55D50">
        <w:t>2</w:t>
      </w:r>
      <w:r w:rsidRPr="00E55D50">
        <w:rPr>
          <w:rFonts w:hint="eastAsia"/>
        </w:rPr>
        <w:t>段</w:t>
      </w:r>
      <w:r w:rsidRPr="00E55D50">
        <w:rPr>
          <w:rFonts w:hint="eastAsia"/>
        </w:rPr>
        <w:t>)(</w:t>
      </w:r>
      <w:r w:rsidRPr="00E55D50">
        <w:rPr>
          <w:rFonts w:hint="eastAsia"/>
        </w:rPr>
        <w:t>第七条和第九至十条</w:t>
      </w:r>
      <w:r w:rsidRPr="00E55D50">
        <w:rPr>
          <w:rFonts w:hint="eastAsia"/>
        </w:rPr>
        <w:t>)</w:t>
      </w:r>
      <w:r w:rsidRPr="00E55D50">
        <w:rPr>
          <w:rFonts w:hint="eastAsia"/>
        </w:rPr>
        <w:t>。</w:t>
      </w:r>
    </w:p>
    <w:p w:rsidR="00E55D50" w:rsidRPr="00E55D50" w:rsidRDefault="00E55D50" w:rsidP="004F6498">
      <w:pPr>
        <w:pStyle w:val="SingleTxtGC"/>
        <w:tabs>
          <w:tab w:val="clear" w:pos="431"/>
          <w:tab w:val="clear" w:pos="1134"/>
          <w:tab w:val="clear" w:pos="1565"/>
          <w:tab w:val="clear" w:pos="1996"/>
          <w:tab w:val="clear" w:pos="2427"/>
          <w:tab w:val="left" w:pos="1701"/>
        </w:tabs>
        <w:spacing w:after="160"/>
        <w:rPr>
          <w:rFonts w:eastAsia="黑体"/>
        </w:rPr>
      </w:pPr>
      <w:r w:rsidRPr="00E55D50">
        <w:rPr>
          <w:rFonts w:eastAsia="黑体" w:hint="eastAsia"/>
        </w:rPr>
        <w:t>30.</w:t>
      </w:r>
      <w:r w:rsidRPr="00E55D50">
        <w:rPr>
          <w:rFonts w:eastAsia="黑体"/>
        </w:rPr>
        <w:tab/>
      </w:r>
      <w:r w:rsidRPr="00E55D50">
        <w:rPr>
          <w:rFonts w:eastAsia="黑体" w:hint="eastAsia"/>
        </w:rPr>
        <w:t>缔约国应：</w:t>
      </w:r>
    </w:p>
    <w:p w:rsidR="00E55D50" w:rsidRPr="00E55D50" w:rsidRDefault="00E55D50" w:rsidP="004F6498">
      <w:pPr>
        <w:pStyle w:val="SingleTxtGC"/>
        <w:tabs>
          <w:tab w:val="clear" w:pos="431"/>
          <w:tab w:val="clear" w:pos="1134"/>
          <w:tab w:val="clear" w:pos="1565"/>
          <w:tab w:val="clear" w:pos="1996"/>
          <w:tab w:val="clear" w:pos="2427"/>
          <w:tab w:val="left" w:pos="1701"/>
        </w:tabs>
        <w:spacing w:after="160"/>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根据《公约》和《联合国囚犯待遇最低限度标准规则》</w:t>
      </w:r>
      <w:r w:rsidRPr="00E55D50">
        <w:rPr>
          <w:rFonts w:eastAsia="黑体" w:hint="eastAsia"/>
        </w:rPr>
        <w:t>(</w:t>
      </w:r>
      <w:r w:rsidRPr="00E55D50">
        <w:rPr>
          <w:rFonts w:eastAsia="黑体" w:hint="eastAsia"/>
        </w:rPr>
        <w:t>《纳尔逊</w:t>
      </w:r>
      <w:r w:rsidRPr="004F6498">
        <w:rPr>
          <w:rFonts w:eastAsiaTheme="minorEastAsia" w:hint="eastAsia"/>
        </w:rPr>
        <w:t>·</w:t>
      </w:r>
      <w:r w:rsidRPr="00E55D50">
        <w:rPr>
          <w:rFonts w:eastAsia="黑体" w:hint="eastAsia"/>
        </w:rPr>
        <w:t>曼德拉规则》</w:t>
      </w:r>
      <w:r w:rsidRPr="00E55D50">
        <w:rPr>
          <w:rFonts w:eastAsia="黑体" w:hint="eastAsia"/>
        </w:rPr>
        <w:t>)</w:t>
      </w:r>
      <w:r w:rsidRPr="00E55D50">
        <w:rPr>
          <w:rFonts w:eastAsia="黑体" w:hint="eastAsia"/>
        </w:rPr>
        <w:t>改善拘留条件；</w:t>
      </w:r>
    </w:p>
    <w:p w:rsidR="00E55D50" w:rsidRPr="00E55D50" w:rsidRDefault="00E55D50" w:rsidP="004F6498">
      <w:pPr>
        <w:pStyle w:val="SingleTxtGC"/>
        <w:tabs>
          <w:tab w:val="clear" w:pos="431"/>
          <w:tab w:val="clear" w:pos="1134"/>
          <w:tab w:val="clear" w:pos="1565"/>
          <w:tab w:val="clear" w:pos="1996"/>
          <w:tab w:val="clear" w:pos="2427"/>
          <w:tab w:val="left" w:pos="1701"/>
        </w:tabs>
        <w:spacing w:after="160"/>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消除拘留场所过度拥挤的现象，包括遵照《公约》和其他相关国际标准，如《联合国非拘禁措施最低限度标准规则》</w:t>
      </w:r>
      <w:r w:rsidRPr="00E55D50">
        <w:rPr>
          <w:rFonts w:eastAsia="黑体" w:hint="eastAsia"/>
        </w:rPr>
        <w:t>(</w:t>
      </w:r>
      <w:r w:rsidRPr="00E55D50">
        <w:rPr>
          <w:rFonts w:eastAsia="黑体" w:hint="eastAsia"/>
        </w:rPr>
        <w:t>《东京规则》</w:t>
      </w:r>
      <w:r w:rsidRPr="00E55D50">
        <w:rPr>
          <w:rFonts w:eastAsia="黑体" w:hint="eastAsia"/>
        </w:rPr>
        <w:t>)</w:t>
      </w:r>
      <w:r w:rsidRPr="00E55D50">
        <w:rPr>
          <w:rFonts w:eastAsia="黑体" w:hint="eastAsia"/>
        </w:rPr>
        <w:t>，采用拘留以外的非拘禁替代措施；</w:t>
      </w:r>
    </w:p>
    <w:p w:rsidR="00E55D50" w:rsidRPr="00E55D50" w:rsidRDefault="00E55D50" w:rsidP="004F6498">
      <w:pPr>
        <w:pStyle w:val="SingleTxtGC"/>
        <w:tabs>
          <w:tab w:val="clear" w:pos="431"/>
          <w:tab w:val="clear" w:pos="1134"/>
          <w:tab w:val="clear" w:pos="1565"/>
          <w:tab w:val="clear" w:pos="1996"/>
          <w:tab w:val="clear" w:pos="2427"/>
          <w:tab w:val="left" w:pos="1701"/>
        </w:tabs>
        <w:spacing w:after="160"/>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避免实施单独监禁，除非在非常特殊的情况下，在客观上有正当理由并且刑罚相称时，才在严格限制的时期内实施，而且避免使用惩罚性转移使囚犯与其家人分开；</w:t>
      </w:r>
    </w:p>
    <w:p w:rsidR="00E55D50" w:rsidRPr="00E43EF8" w:rsidRDefault="00E55D50" w:rsidP="004F6498">
      <w:pPr>
        <w:pStyle w:val="SingleTxtGC"/>
        <w:tabs>
          <w:tab w:val="clear" w:pos="431"/>
          <w:tab w:val="clear" w:pos="1134"/>
          <w:tab w:val="clear" w:pos="1565"/>
          <w:tab w:val="clear" w:pos="1996"/>
          <w:tab w:val="clear" w:pos="2427"/>
          <w:tab w:val="left" w:pos="1701"/>
        </w:tabs>
        <w:spacing w:after="160"/>
        <w:rPr>
          <w:rFonts w:eastAsia="黑体"/>
          <w:spacing w:val="4"/>
        </w:rPr>
      </w:pPr>
      <w:r w:rsidRPr="00E55D50">
        <w:rPr>
          <w:rFonts w:eastAsia="黑体"/>
        </w:rPr>
        <w:tab/>
      </w:r>
      <w:r w:rsidRPr="00E55D50">
        <w:rPr>
          <w:rFonts w:eastAsia="黑体" w:hint="eastAsia"/>
        </w:rPr>
        <w:t>(</w:t>
      </w:r>
      <w:r w:rsidRPr="00E55D50">
        <w:rPr>
          <w:rFonts w:eastAsia="黑体"/>
        </w:rPr>
        <w:t>d</w:t>
      </w:r>
      <w:r w:rsidRPr="00E55D50">
        <w:rPr>
          <w:rFonts w:eastAsia="黑体" w:hint="eastAsia"/>
        </w:rPr>
        <w:t>)</w:t>
      </w:r>
      <w:r w:rsidRPr="00E55D50">
        <w:rPr>
          <w:rFonts w:eastAsia="黑体" w:hint="eastAsia"/>
        </w:rPr>
        <w:tab/>
      </w:r>
      <w:r w:rsidRPr="00E43EF8">
        <w:rPr>
          <w:rFonts w:eastAsia="黑体" w:hint="eastAsia"/>
          <w:spacing w:val="4"/>
        </w:rPr>
        <w:t>追究监狱工作人员和按其指示行事的囚犯对虐待和酷刑行为的责任；</w:t>
      </w:r>
    </w:p>
    <w:p w:rsidR="00E55D50" w:rsidRPr="00E55D50" w:rsidRDefault="00E55D50" w:rsidP="004F6498">
      <w:pPr>
        <w:pStyle w:val="SingleTxtGC"/>
        <w:tabs>
          <w:tab w:val="clear" w:pos="431"/>
          <w:tab w:val="clear" w:pos="1134"/>
          <w:tab w:val="clear" w:pos="1565"/>
          <w:tab w:val="clear" w:pos="1996"/>
          <w:tab w:val="clear" w:pos="2427"/>
          <w:tab w:val="left" w:pos="1701"/>
        </w:tabs>
        <w:spacing w:after="160"/>
        <w:rPr>
          <w:rFonts w:eastAsia="黑体"/>
        </w:rPr>
      </w:pPr>
      <w:r w:rsidRPr="00E55D50">
        <w:rPr>
          <w:rFonts w:eastAsia="黑体"/>
        </w:rPr>
        <w:tab/>
      </w:r>
      <w:r w:rsidRPr="00E55D50">
        <w:rPr>
          <w:rFonts w:eastAsia="黑体" w:hint="eastAsia"/>
        </w:rPr>
        <w:t>(</w:t>
      </w:r>
      <w:r w:rsidRPr="00E55D50">
        <w:rPr>
          <w:rFonts w:eastAsia="黑体"/>
        </w:rPr>
        <w:t>e</w:t>
      </w:r>
      <w:r w:rsidRPr="00E55D50">
        <w:rPr>
          <w:rFonts w:eastAsia="黑体" w:hint="eastAsia"/>
        </w:rPr>
        <w:t>)</w:t>
      </w:r>
      <w:r w:rsidRPr="00E55D50">
        <w:rPr>
          <w:rFonts w:eastAsia="黑体" w:hint="eastAsia"/>
        </w:rPr>
        <w:tab/>
      </w:r>
      <w:r w:rsidRPr="00E55D50">
        <w:rPr>
          <w:rFonts w:eastAsia="黑体" w:hint="eastAsia"/>
        </w:rPr>
        <w:t>保证被剥夺自由者得到充分的医疗照护，并保证健康的囚犯与患有高传染性风险疾病的囚犯相隔离；</w:t>
      </w:r>
    </w:p>
    <w:p w:rsidR="00E55D50" w:rsidRPr="00E55D50" w:rsidRDefault="00E55D50" w:rsidP="004F6498">
      <w:pPr>
        <w:pStyle w:val="SingleTxtGC"/>
        <w:tabs>
          <w:tab w:val="clear" w:pos="431"/>
          <w:tab w:val="clear" w:pos="1134"/>
          <w:tab w:val="clear" w:pos="1565"/>
          <w:tab w:val="clear" w:pos="1996"/>
          <w:tab w:val="clear" w:pos="2427"/>
          <w:tab w:val="left" w:pos="1701"/>
        </w:tabs>
        <w:spacing w:after="160"/>
        <w:rPr>
          <w:rFonts w:eastAsia="黑体"/>
        </w:rPr>
      </w:pPr>
      <w:r w:rsidRPr="00E55D50">
        <w:rPr>
          <w:rFonts w:eastAsia="黑体"/>
        </w:rPr>
        <w:tab/>
      </w:r>
      <w:r w:rsidRPr="00E55D50">
        <w:rPr>
          <w:rFonts w:eastAsia="黑体" w:hint="eastAsia"/>
        </w:rPr>
        <w:t>(</w:t>
      </w:r>
      <w:r w:rsidRPr="00E55D50">
        <w:rPr>
          <w:rFonts w:eastAsia="黑体"/>
        </w:rPr>
        <w:t>f</w:t>
      </w:r>
      <w:r w:rsidRPr="00E55D50">
        <w:rPr>
          <w:rFonts w:eastAsia="黑体" w:hint="eastAsia"/>
        </w:rPr>
        <w:t>)</w:t>
      </w:r>
      <w:r w:rsidRPr="00E55D50">
        <w:rPr>
          <w:rFonts w:eastAsia="黑体" w:hint="eastAsia"/>
        </w:rPr>
        <w:tab/>
      </w:r>
      <w:r w:rsidRPr="00E55D50">
        <w:rPr>
          <w:rFonts w:eastAsia="黑体" w:hint="eastAsia"/>
        </w:rPr>
        <w:t>建立一个独立有效的机制，负责定期监测剥夺自由场所的条件；</w:t>
      </w:r>
    </w:p>
    <w:p w:rsidR="00E55D50" w:rsidRPr="00E55D50" w:rsidRDefault="00E55D50" w:rsidP="004F6498">
      <w:pPr>
        <w:pStyle w:val="SingleTxtGC"/>
        <w:tabs>
          <w:tab w:val="clear" w:pos="431"/>
          <w:tab w:val="clear" w:pos="1134"/>
          <w:tab w:val="clear" w:pos="1565"/>
          <w:tab w:val="clear" w:pos="1996"/>
          <w:tab w:val="clear" w:pos="2427"/>
          <w:tab w:val="left" w:pos="1701"/>
        </w:tabs>
        <w:spacing w:after="160"/>
        <w:rPr>
          <w:rFonts w:eastAsia="黑体"/>
        </w:rPr>
      </w:pPr>
      <w:r w:rsidRPr="00E55D50">
        <w:rPr>
          <w:rFonts w:eastAsia="黑体"/>
        </w:rPr>
        <w:tab/>
      </w:r>
      <w:r w:rsidRPr="00E55D50">
        <w:rPr>
          <w:rFonts w:eastAsia="黑体" w:hint="eastAsia"/>
        </w:rPr>
        <w:t>(</w:t>
      </w:r>
      <w:r w:rsidRPr="00E55D50">
        <w:rPr>
          <w:rFonts w:eastAsia="黑体"/>
        </w:rPr>
        <w:t>g</w:t>
      </w:r>
      <w:r w:rsidRPr="00E55D50">
        <w:rPr>
          <w:rFonts w:eastAsia="黑体" w:hint="eastAsia"/>
        </w:rPr>
        <w:t>)</w:t>
      </w:r>
      <w:r w:rsidRPr="00E55D50">
        <w:rPr>
          <w:rFonts w:eastAsia="黑体" w:hint="eastAsia"/>
        </w:rPr>
        <w:tab/>
      </w:r>
      <w:r w:rsidRPr="00E55D50">
        <w:rPr>
          <w:rFonts w:eastAsia="黑体" w:hint="eastAsia"/>
        </w:rPr>
        <w:t>考虑加入《禁止酷刑公约任择议定书》。</w:t>
      </w:r>
    </w:p>
    <w:p w:rsidR="00E55D50" w:rsidRPr="00E55D50" w:rsidRDefault="00E55D50" w:rsidP="00E43EF8">
      <w:pPr>
        <w:pStyle w:val="H23GC"/>
        <w:spacing w:before="280"/>
      </w:pPr>
      <w:r w:rsidRPr="00E55D50">
        <w:tab/>
      </w:r>
      <w:r w:rsidRPr="00E55D50">
        <w:tab/>
      </w:r>
      <w:r w:rsidRPr="00E55D50">
        <w:rPr>
          <w:rFonts w:hint="eastAsia"/>
        </w:rPr>
        <w:t>强制戒毒康复中心</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31.</w:t>
      </w:r>
      <w:r w:rsidRPr="00E55D50">
        <w:tab/>
      </w:r>
      <w:r w:rsidRPr="00E55D50">
        <w:rPr>
          <w:rFonts w:hint="eastAsia"/>
        </w:rPr>
        <w:t>委员会对被关押在戒毒康复中心的吸毒者的状况感到关切，据称他们受到强制戒毒治疗和强迫劳动。委员会还感到关切的是，有报告称医疗照护不足，工作繁重，而且有大量人员被关押在这类中心</w:t>
      </w:r>
      <w:r w:rsidRPr="00E55D50">
        <w:rPr>
          <w:rFonts w:hint="eastAsia"/>
        </w:rPr>
        <w:t>(</w:t>
      </w:r>
      <w:r w:rsidRPr="00E55D50">
        <w:rPr>
          <w:rFonts w:hint="eastAsia"/>
        </w:rPr>
        <w:t>第八至十条和第二十四条</w:t>
      </w:r>
      <w:r w:rsidRPr="00E55D50">
        <w:rPr>
          <w:rFonts w:hint="eastAsia"/>
        </w:rPr>
        <w:t>)</w:t>
      </w:r>
      <w:r w:rsidRPr="00E55D50">
        <w:rPr>
          <w:rFonts w:hint="eastAsia"/>
        </w:rPr>
        <w:t>。</w:t>
      </w:r>
    </w:p>
    <w:p w:rsidR="00E55D50" w:rsidRPr="00E55D50"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lastRenderedPageBreak/>
        <w:t>32.</w:t>
      </w:r>
      <w:r w:rsidRPr="00E55D50">
        <w:rPr>
          <w:rFonts w:eastAsia="黑体"/>
        </w:rPr>
        <w:tab/>
      </w:r>
      <w:r w:rsidRPr="00E55D50">
        <w:rPr>
          <w:rFonts w:eastAsia="黑体" w:hint="eastAsia"/>
        </w:rPr>
        <w:t>缔约国应：</w:t>
      </w:r>
    </w:p>
    <w:p w:rsidR="00E55D50" w:rsidRPr="00E55D50"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全面审查与吸毒者有关，特别是与那些在强制戒毒康复中心被剥夺自由的人有关的法律、政策和实践，以期使之完全符合《公约》，包括停止在这种康复中心使用强迫劳动的做法；</w:t>
      </w:r>
    </w:p>
    <w:p w:rsidR="00E55D50" w:rsidRPr="00242C3D"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242C3D">
        <w:rPr>
          <w:rFonts w:eastAsia="黑体" w:hint="eastAsia"/>
        </w:rPr>
        <w:t>确保所有因吸毒成瘾问题被拘留的人受到人道和尊重人固有尊严的待遇；</w:t>
      </w:r>
    </w:p>
    <w:p w:rsidR="00E55D50" w:rsidRPr="00E55D50"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引入一个有官方授权的有效机制，对强制戒毒康复中心被剥夺自由者的申诉作出决定。</w:t>
      </w:r>
    </w:p>
    <w:p w:rsidR="00E55D50" w:rsidRPr="00E55D50" w:rsidRDefault="00E55D50" w:rsidP="00242C3D">
      <w:pPr>
        <w:pStyle w:val="H23GC"/>
      </w:pPr>
      <w:r w:rsidRPr="00E55D50">
        <w:tab/>
      </w:r>
      <w:r w:rsidRPr="00E55D50">
        <w:tab/>
      </w:r>
      <w:r w:rsidRPr="00E55D50">
        <w:rPr>
          <w:rFonts w:hint="eastAsia"/>
        </w:rPr>
        <w:t>司法独立和公正审判</w:t>
      </w:r>
    </w:p>
    <w:p w:rsidR="00E55D50" w:rsidRPr="00E55D50" w:rsidRDefault="00E55D50" w:rsidP="00242C3D">
      <w:pPr>
        <w:pStyle w:val="SingleTxtGC"/>
        <w:tabs>
          <w:tab w:val="clear" w:pos="431"/>
          <w:tab w:val="clear" w:pos="1134"/>
          <w:tab w:val="clear" w:pos="1565"/>
          <w:tab w:val="clear" w:pos="1996"/>
          <w:tab w:val="clear" w:pos="2427"/>
          <w:tab w:val="left" w:pos="1701"/>
        </w:tabs>
      </w:pPr>
      <w:r w:rsidRPr="00E55D50">
        <w:rPr>
          <w:rFonts w:hint="eastAsia"/>
        </w:rPr>
        <w:t>33.</w:t>
      </w:r>
      <w:r w:rsidRPr="00E55D50">
        <w:tab/>
      </w:r>
      <w:r w:rsidRPr="00E55D50">
        <w:rPr>
          <w:rFonts w:hint="eastAsia"/>
        </w:rPr>
        <w:t>委员会感到关切的是，执政党对检察机关和司法机关具有影响力，由此损害了司检机关的独立性，而且公众对司法系统缺乏信心。委员会还对法官缺乏任期保障感到关切。</w:t>
      </w:r>
    </w:p>
    <w:p w:rsidR="00E55D50" w:rsidRPr="00E55D50"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34.</w:t>
      </w:r>
      <w:r w:rsidRPr="00E55D50">
        <w:rPr>
          <w:rFonts w:eastAsia="黑体"/>
        </w:rPr>
        <w:tab/>
      </w:r>
      <w:r w:rsidRPr="00E55D50">
        <w:rPr>
          <w:rFonts w:eastAsia="黑体" w:hint="eastAsia"/>
        </w:rPr>
        <w:t>委员会重申其建议</w:t>
      </w:r>
      <w:r w:rsidRPr="00E55D50">
        <w:rPr>
          <w:rFonts w:eastAsia="黑体" w:hint="eastAsia"/>
        </w:rPr>
        <w:t>(CCPR/CO/75/VNM</w:t>
      </w:r>
      <w:r w:rsidRPr="00E55D50">
        <w:rPr>
          <w:rFonts w:eastAsia="黑体" w:hint="eastAsia"/>
        </w:rPr>
        <w:t>，第</w:t>
      </w:r>
      <w:r w:rsidRPr="00E55D50">
        <w:rPr>
          <w:rFonts w:eastAsia="黑体" w:hint="eastAsia"/>
        </w:rPr>
        <w:t>9</w:t>
      </w:r>
      <w:r w:rsidRPr="00E55D50">
        <w:rPr>
          <w:rFonts w:eastAsia="黑体" w:hint="eastAsia"/>
        </w:rPr>
        <w:t>段</w:t>
      </w:r>
      <w:r w:rsidRPr="00E55D50">
        <w:rPr>
          <w:rFonts w:eastAsia="黑体" w:hint="eastAsia"/>
        </w:rPr>
        <w:t>)</w:t>
      </w:r>
      <w:r w:rsidRPr="00E55D50">
        <w:rPr>
          <w:rFonts w:eastAsia="黑体" w:hint="eastAsia"/>
        </w:rPr>
        <w:t>，建议缔约国立即采取措施保护司法和检察机关的独立性和公正性，保障它们不受干涉地自由运作，并确保司法和检察机关人事任命的程序透明和公正。</w:t>
      </w:r>
    </w:p>
    <w:p w:rsidR="00E55D50" w:rsidRPr="00E55D50" w:rsidRDefault="00E55D50" w:rsidP="00242C3D">
      <w:pPr>
        <w:pStyle w:val="SingleTxtGC"/>
        <w:tabs>
          <w:tab w:val="clear" w:pos="431"/>
          <w:tab w:val="clear" w:pos="1134"/>
          <w:tab w:val="clear" w:pos="1565"/>
          <w:tab w:val="clear" w:pos="1996"/>
          <w:tab w:val="clear" w:pos="2427"/>
          <w:tab w:val="left" w:pos="1701"/>
        </w:tabs>
      </w:pPr>
      <w:r w:rsidRPr="00E55D50">
        <w:rPr>
          <w:rFonts w:hint="eastAsia"/>
        </w:rPr>
        <w:t>35.</w:t>
      </w:r>
      <w:r w:rsidRPr="00E55D50">
        <w:tab/>
      </w:r>
      <w:r w:rsidRPr="00E55D50">
        <w:rPr>
          <w:rFonts w:hint="eastAsia"/>
        </w:rPr>
        <w:t>委员会感到关切的是，有指控称，被拘留者获得公正审判的保障受到侵犯，特别是在涉及人权维护者、政治活动人士和被指控犯有国家安全相关罪行的个人的案件中，所指控的侵犯行为包括剥夺获得法律援助、接触自己选择的律师和在合理时间内获得审判的权利；准备辩护的时间和设施不足；以及缺乏《刑法》第十九条规定的律师与客户之间的保密性。委员会感到关切的是，有报告称，为人权维护者、政治活动人士和被指控犯有国家安全相关罪行的个人进行代理的律师面临报复、吊销律师执照、骚扰、威胁、任意逮捕和拘留以及人身攻击，这损害了公正审判权。委员会表示特别关切阮文岱律师的案件</w:t>
      </w:r>
      <w:r w:rsidRPr="00E55D50">
        <w:rPr>
          <w:rFonts w:hint="eastAsia"/>
        </w:rPr>
        <w:t>(</w:t>
      </w:r>
      <w:r w:rsidRPr="00E55D50">
        <w:rPr>
          <w:rFonts w:hint="eastAsia"/>
        </w:rPr>
        <w:t>第二条、第九条、第十四条和第二十二条</w:t>
      </w:r>
      <w:r w:rsidRPr="00E55D50">
        <w:rPr>
          <w:rFonts w:hint="eastAsia"/>
        </w:rPr>
        <w:t>)</w:t>
      </w:r>
      <w:r w:rsidRPr="00E55D50">
        <w:rPr>
          <w:rFonts w:hint="eastAsia"/>
        </w:rPr>
        <w:t>。</w:t>
      </w:r>
    </w:p>
    <w:p w:rsidR="00E55D50" w:rsidRPr="00E55D50"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36.</w:t>
      </w:r>
      <w:r w:rsidRPr="00E55D50">
        <w:rPr>
          <w:rFonts w:eastAsia="黑体"/>
        </w:rPr>
        <w:tab/>
      </w:r>
      <w:r w:rsidRPr="00E55D50">
        <w:rPr>
          <w:rFonts w:eastAsia="黑体" w:hint="eastAsia"/>
        </w:rPr>
        <w:t>缔约国应确保：</w:t>
      </w:r>
    </w:p>
    <w:p w:rsidR="00E55D50" w:rsidRPr="00E55D50"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根据《公约》第十四条和委员会关于在法庭和裁判所前一律平等和获得公正审判的权利的第</w:t>
      </w:r>
      <w:r w:rsidRPr="00E55D50">
        <w:rPr>
          <w:rFonts w:eastAsia="黑体" w:hint="eastAsia"/>
        </w:rPr>
        <w:t>32</w:t>
      </w:r>
      <w:r w:rsidR="00403B56" w:rsidRPr="00403B56">
        <w:rPr>
          <w:rFonts w:eastAsia="黑体"/>
          <w:sz w:val="10"/>
          <w:szCs w:val="10"/>
        </w:rPr>
        <w:t xml:space="preserve"> </w:t>
      </w:r>
      <w:r w:rsidRPr="00E55D50">
        <w:rPr>
          <w:rFonts w:eastAsia="黑体" w:hint="eastAsia"/>
        </w:rPr>
        <w:t>(2007)</w:t>
      </w:r>
      <w:r w:rsidRPr="00E55D50">
        <w:rPr>
          <w:rFonts w:eastAsia="黑体" w:hint="eastAsia"/>
        </w:rPr>
        <w:t>号一般性意见，不受不当拖延地获得公正审判的权利；</w:t>
      </w:r>
    </w:p>
    <w:p w:rsidR="00E55D50" w:rsidRPr="00E55D50"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被拘留者从拘留开始就可以不受阻碍、迅速和充分地接触自己选择的律师或免费法律援助，而且应确保律师和被告之间的所有接触均保密，无罪推定得到严格遵守；</w:t>
      </w:r>
    </w:p>
    <w:p w:rsidR="00E55D50" w:rsidRPr="00E55D50" w:rsidRDefault="00E55D50" w:rsidP="00242C3D">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(c)</w:t>
      </w:r>
      <w:r w:rsidRPr="00E55D50">
        <w:rPr>
          <w:rFonts w:eastAsia="黑体" w:hint="eastAsia"/>
        </w:rPr>
        <w:tab/>
      </w:r>
      <w:r w:rsidRPr="00E55D50">
        <w:rPr>
          <w:rFonts w:eastAsia="黑体" w:hint="eastAsia"/>
        </w:rPr>
        <w:t>律师能够按照公认的职业道德，在依照《关于律师作用的基本原则》、不受任何方面的限制、影响、压力或不当干涉的情况下，为被控犯有刑事罪的人提供咨询和代理，并确保对律师的威胁和攻击得到调查和起诉，受害者得到有效司法救济。</w:t>
      </w:r>
    </w:p>
    <w:p w:rsidR="00E55D50" w:rsidRPr="00E55D50" w:rsidRDefault="00E55D50" w:rsidP="00242C3D">
      <w:pPr>
        <w:pStyle w:val="H23GC"/>
      </w:pPr>
      <w:r w:rsidRPr="00E55D50">
        <w:tab/>
      </w:r>
      <w:r w:rsidRPr="00E55D50">
        <w:tab/>
      </w:r>
      <w:r w:rsidRPr="00E55D50">
        <w:rPr>
          <w:rFonts w:hint="eastAsia"/>
        </w:rPr>
        <w:t>少年司法</w:t>
      </w:r>
    </w:p>
    <w:p w:rsidR="00E55D50" w:rsidRPr="00E55D50" w:rsidRDefault="00E55D50" w:rsidP="00242C3D">
      <w:pPr>
        <w:pStyle w:val="SingleTxtGC"/>
        <w:tabs>
          <w:tab w:val="clear" w:pos="431"/>
          <w:tab w:val="clear" w:pos="1134"/>
          <w:tab w:val="clear" w:pos="1565"/>
          <w:tab w:val="clear" w:pos="1996"/>
          <w:tab w:val="clear" w:pos="2427"/>
          <w:tab w:val="left" w:pos="1701"/>
        </w:tabs>
      </w:pPr>
      <w:r w:rsidRPr="00E55D50">
        <w:rPr>
          <w:rFonts w:hint="eastAsia"/>
        </w:rPr>
        <w:t>37.</w:t>
      </w:r>
      <w:r w:rsidRPr="00E55D50">
        <w:tab/>
      </w:r>
      <w:r w:rsidRPr="00E55D50">
        <w:rPr>
          <w:rFonts w:hint="eastAsia"/>
        </w:rPr>
        <w:t>委员会欢迎缔约国努力加强少年司法系统，但委员会感到关切的是，只有两个省设有家庭和少年法院。委员会还感到关切的是，将儿童定义为</w:t>
      </w:r>
      <w:r w:rsidRPr="00E55D50">
        <w:rPr>
          <w:rFonts w:hint="eastAsia"/>
        </w:rPr>
        <w:t>16</w:t>
      </w:r>
      <w:r w:rsidRPr="00E55D50">
        <w:rPr>
          <w:rFonts w:hint="eastAsia"/>
        </w:rPr>
        <w:t>岁以下的人，这对</w:t>
      </w:r>
      <w:r w:rsidRPr="00E55D50">
        <w:rPr>
          <w:rFonts w:hint="eastAsia"/>
        </w:rPr>
        <w:t>16</w:t>
      </w:r>
      <w:r w:rsidRPr="00E55D50">
        <w:rPr>
          <w:rFonts w:hint="eastAsia"/>
        </w:rPr>
        <w:t>岁和</w:t>
      </w:r>
      <w:r w:rsidRPr="00E55D50">
        <w:rPr>
          <w:rFonts w:hint="eastAsia"/>
        </w:rPr>
        <w:t>17</w:t>
      </w:r>
      <w:r w:rsidRPr="00E55D50">
        <w:rPr>
          <w:rFonts w:hint="eastAsia"/>
        </w:rPr>
        <w:t>岁的人，特别是面临自由被剥夺的人造成了保护上的空</w:t>
      </w:r>
      <w:r w:rsidRPr="00E55D50">
        <w:rPr>
          <w:rFonts w:hint="eastAsia"/>
        </w:rPr>
        <w:lastRenderedPageBreak/>
        <w:t>白。委员会更加感到关切的是，尽管采取了剥夺儿童自由以外的替代措施，但据报告，违法拘留儿童的现象仍然普遍存在</w:t>
      </w:r>
      <w:r w:rsidRPr="00E55D50">
        <w:rPr>
          <w:rFonts w:hint="eastAsia"/>
        </w:rPr>
        <w:t>(</w:t>
      </w:r>
      <w:r w:rsidRPr="00E55D50">
        <w:rPr>
          <w:rFonts w:hint="eastAsia"/>
        </w:rPr>
        <w:t>第九条、第十四条和第二十四条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38.</w:t>
      </w:r>
      <w:r w:rsidRPr="00E55D50">
        <w:rPr>
          <w:rFonts w:eastAsia="黑体"/>
        </w:rPr>
        <w:tab/>
      </w:r>
      <w:r w:rsidRPr="00E55D50">
        <w:rPr>
          <w:rFonts w:eastAsia="黑体" w:hint="eastAsia"/>
        </w:rPr>
        <w:t>缔约国应：</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考虑根据国际标准对立法进行修正，将儿童的年龄界定为</w:t>
      </w:r>
      <w:r w:rsidRPr="00E55D50">
        <w:rPr>
          <w:rFonts w:eastAsia="黑体" w:hint="eastAsia"/>
        </w:rPr>
        <w:t>18</w:t>
      </w:r>
      <w:r w:rsidRPr="00E55D50">
        <w:rPr>
          <w:rFonts w:eastAsia="黑体" w:hint="eastAsia"/>
        </w:rPr>
        <w:t>岁以下；</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继续努力加强少年司法系统，设立更多的专门法院，并向其提供充足的资源，包括指定受过培训的专门法官；</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确保拘留和监禁仅作为最后手段使用，而且时间尽可能短，并确保使被拘留的儿童与被拘留的成人分隔开来。</w:t>
      </w:r>
    </w:p>
    <w:p w:rsidR="00E55D50" w:rsidRPr="00E55D50" w:rsidRDefault="00E55D50" w:rsidP="00C459B8">
      <w:pPr>
        <w:pStyle w:val="H23GC"/>
      </w:pPr>
      <w:r w:rsidRPr="00E55D50">
        <w:tab/>
      </w:r>
      <w:r w:rsidRPr="00E55D50">
        <w:tab/>
      </w:r>
      <w:r w:rsidRPr="00E55D50">
        <w:rPr>
          <w:rFonts w:hint="eastAsia"/>
        </w:rPr>
        <w:t>人口贩运</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39.</w:t>
      </w:r>
      <w:r w:rsidRPr="00E55D50">
        <w:tab/>
      </w:r>
      <w:r w:rsidRPr="00E55D50">
        <w:rPr>
          <w:rFonts w:hint="eastAsia"/>
        </w:rPr>
        <w:t>委员会感到关切的是，为包括贩运受害者在内的弱势群体建立的受害者支助设施和社会保护中心可能资源不足，而且没有专为男性和儿童受害者提供的庇护所。委员会还感到关切的是，人口贩运受害者获得社会服务的渠道有限，特别是在没有户口登记的情况下，而且本地社区的污名化和报复可能会阻碍受害者寻求此类服务</w:t>
      </w:r>
      <w:r w:rsidRPr="00E55D50">
        <w:rPr>
          <w:rFonts w:hint="eastAsia"/>
        </w:rPr>
        <w:t>(</w:t>
      </w:r>
      <w:r w:rsidRPr="00E55D50">
        <w:rPr>
          <w:rFonts w:hint="eastAsia"/>
        </w:rPr>
        <w:t>第二至三条、第八条和第二十四条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40.</w:t>
      </w:r>
      <w:r w:rsidRPr="00E55D50">
        <w:rPr>
          <w:rFonts w:eastAsia="黑体"/>
        </w:rPr>
        <w:tab/>
      </w:r>
      <w:r w:rsidRPr="00E55D50">
        <w:rPr>
          <w:rFonts w:eastAsia="黑体" w:hint="eastAsia"/>
        </w:rPr>
        <w:t>缔约国应：</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加大努力防止、禁止和惩治人口贩运；</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(b)</w:t>
      </w:r>
      <w:r w:rsidRPr="00E55D50">
        <w:rPr>
          <w:rFonts w:eastAsia="黑体" w:hint="eastAsia"/>
        </w:rPr>
        <w:tab/>
      </w:r>
      <w:r w:rsidRPr="00E55D50">
        <w:rPr>
          <w:rFonts w:eastAsia="黑体" w:hint="eastAsia"/>
        </w:rPr>
        <w:t>向受害者提供有效的保护、援助和司法救济；</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确保为包括男性和儿童在内的受害者提供获得社会服务的渠道和资金充足、数量足够的庇护所；</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d</w:t>
      </w:r>
      <w:r w:rsidRPr="00E55D50">
        <w:rPr>
          <w:rFonts w:eastAsia="黑体" w:hint="eastAsia"/>
        </w:rPr>
        <w:t>)</w:t>
      </w:r>
      <w:r w:rsidRPr="00E55D50">
        <w:rPr>
          <w:rFonts w:eastAsia="黑体" w:hint="eastAsia"/>
        </w:rPr>
        <w:tab/>
      </w:r>
      <w:r w:rsidRPr="00E55D50">
        <w:rPr>
          <w:rFonts w:eastAsia="黑体" w:hint="eastAsia"/>
        </w:rPr>
        <w:t>继续进行提高认识活动，以消除对贩运受害者的污名化。</w:t>
      </w:r>
    </w:p>
    <w:p w:rsidR="00E55D50" w:rsidRPr="00E55D50" w:rsidRDefault="00E55D50" w:rsidP="00C459B8">
      <w:pPr>
        <w:pStyle w:val="H23GC"/>
      </w:pPr>
      <w:r w:rsidRPr="00E55D50">
        <w:tab/>
      </w:r>
      <w:r w:rsidRPr="00E55D50">
        <w:tab/>
      </w:r>
      <w:r w:rsidRPr="00E55D50">
        <w:rPr>
          <w:rFonts w:hint="eastAsia"/>
        </w:rPr>
        <w:t>离开和进入自己国家的权利</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41.</w:t>
      </w:r>
      <w:r w:rsidRPr="00E55D50">
        <w:tab/>
      </w:r>
      <w:r w:rsidRPr="00E55D50">
        <w:rPr>
          <w:rFonts w:hint="eastAsia"/>
        </w:rPr>
        <w:t>委员会感到关切的是，《刑法》将“逃往国外或叛逃以期反对人民政府”定为刑事犯罪</w:t>
      </w:r>
      <w:r w:rsidRPr="00E55D50">
        <w:rPr>
          <w:rFonts w:hint="eastAsia"/>
        </w:rPr>
        <w:t>(</w:t>
      </w:r>
      <w:r w:rsidRPr="00E55D50">
        <w:rPr>
          <w:rFonts w:hint="eastAsia"/>
        </w:rPr>
        <w:t>第一百二十一条</w:t>
      </w:r>
      <w:r w:rsidRPr="00E55D50">
        <w:rPr>
          <w:rFonts w:hint="eastAsia"/>
        </w:rPr>
        <w:t>)</w:t>
      </w:r>
      <w:r w:rsidRPr="00E55D50">
        <w:rPr>
          <w:rFonts w:hint="eastAsia"/>
        </w:rPr>
        <w:t>。委员会还感到关切的是，有报告称，有少数民族和土著人民被禁止离开缔约国领土寻求庇护。委员会更加关切的是，在与邻国的合作下，逃离者可能受到强制遣返和刑事诉讼，包括根据上述规定受到如此对待。委员会对所施加的其他任意限制表示关切，特别是针对人权维护者的限制，如国际旅行禁令、没收或拒绝签发护照以及强迫流亡</w:t>
      </w:r>
      <w:r w:rsidRPr="00E55D50">
        <w:rPr>
          <w:rFonts w:hint="eastAsia"/>
        </w:rPr>
        <w:t>(</w:t>
      </w:r>
      <w:r w:rsidRPr="00E55D50">
        <w:rPr>
          <w:rFonts w:hint="eastAsia"/>
        </w:rPr>
        <w:t>第二条、第九条和第十二条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42.</w:t>
      </w:r>
      <w:r w:rsidRPr="00E55D50">
        <w:rPr>
          <w:rFonts w:eastAsia="黑体"/>
        </w:rPr>
        <w:tab/>
      </w:r>
      <w:r w:rsidRPr="00B77D48">
        <w:rPr>
          <w:rFonts w:eastAsia="黑体" w:hint="eastAsia"/>
          <w:spacing w:val="10"/>
        </w:rPr>
        <w:t>缔约国应根据《公约》第十二条第四款和委员会关于迁徙自由的</w:t>
      </w:r>
      <w:r w:rsidRPr="00E55D50">
        <w:rPr>
          <w:rFonts w:eastAsia="黑体" w:hint="eastAsia"/>
        </w:rPr>
        <w:t>第</w:t>
      </w:r>
      <w:r w:rsidRPr="00E55D50">
        <w:rPr>
          <w:rFonts w:eastAsia="黑体" w:hint="eastAsia"/>
        </w:rPr>
        <w:t>27</w:t>
      </w:r>
      <w:r w:rsidR="00C459B8" w:rsidRPr="00C459B8">
        <w:rPr>
          <w:rFonts w:eastAsia="黑体"/>
          <w:sz w:val="10"/>
          <w:szCs w:val="10"/>
        </w:rPr>
        <w:t xml:space="preserve"> </w:t>
      </w:r>
      <w:r w:rsidRPr="00E55D50">
        <w:rPr>
          <w:rFonts w:eastAsia="黑体" w:hint="eastAsia"/>
        </w:rPr>
        <w:t>(1999)</w:t>
      </w:r>
      <w:r w:rsidRPr="00E55D50">
        <w:rPr>
          <w:rFonts w:eastAsia="黑体" w:hint="eastAsia"/>
        </w:rPr>
        <w:t>号一般性意见，避免</w:t>
      </w:r>
      <w:r w:rsidRPr="00D86698">
        <w:rPr>
          <w:rFonts w:eastAsia="黑体" w:hint="eastAsia"/>
          <w:spacing w:val="4"/>
        </w:rPr>
        <w:t>强迫公民流亡，并尊重他们不受任何行动阻碍其进入或停留在其领土的权利。缔约国应保障离开本国的自由受到充分尊重，包括通过废除《刑法》第九十一条予</w:t>
      </w:r>
      <w:r w:rsidRPr="00E55D50">
        <w:rPr>
          <w:rFonts w:eastAsia="黑体" w:hint="eastAsia"/>
        </w:rPr>
        <w:t>以保障，并应避免任意实施旅行禁令，确保所有旅行禁令根据《公约》第十二条第三款均有合理理由，取消不符合这一条款的禁令。</w:t>
      </w:r>
    </w:p>
    <w:p w:rsidR="00E55D50" w:rsidRPr="00E55D50" w:rsidRDefault="00E55D50" w:rsidP="00C459B8">
      <w:pPr>
        <w:pStyle w:val="H23GC"/>
      </w:pPr>
      <w:r w:rsidRPr="00E55D50">
        <w:lastRenderedPageBreak/>
        <w:tab/>
      </w:r>
      <w:r w:rsidRPr="00E55D50">
        <w:tab/>
      </w:r>
      <w:r w:rsidRPr="00E55D50">
        <w:rPr>
          <w:rFonts w:hint="eastAsia"/>
        </w:rPr>
        <w:t>宗教自由</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43.</w:t>
      </w:r>
      <w:r w:rsidRPr="00E55D50">
        <w:tab/>
      </w:r>
      <w:r w:rsidRPr="00E55D50">
        <w:rPr>
          <w:rFonts w:hint="eastAsia"/>
        </w:rPr>
        <w:t>委员会感到关切的是，</w:t>
      </w:r>
      <w:r w:rsidRPr="00E55D50">
        <w:rPr>
          <w:rFonts w:hint="eastAsia"/>
        </w:rPr>
        <w:t>2016</w:t>
      </w:r>
      <w:r w:rsidRPr="00E55D50">
        <w:rPr>
          <w:rFonts w:hint="eastAsia"/>
        </w:rPr>
        <w:t>年《宗教和信仰法》不当限制了宗教和信仰自由，例如对宗教组织实行强制登记和承认程序，基于与国家安全和社会团结有关、解释模糊宽泛的法律条款对宗教活动加以限制。委员会还感到关切的是，宗教群体的成员及其领导人，主要是未经登记或未得到承认的宗教团体、少数民族或土著人民群体的成员和领导人，面临不同形式的监视、骚扰、恐吓、没收或破坏财产，被迫放弃信仰，被迫加入竞争教派，并遭受人身攻击，有时甚至因此致死。委员会感到不安的是，有报告称，诸如“红旗协会”等非国家行为体攻击天主教群体，并参与宣扬和煽动宗教歧视、暴力和仇恨言论的宣传活动</w:t>
      </w:r>
      <w:r w:rsidRPr="00E55D50">
        <w:rPr>
          <w:rFonts w:hint="eastAsia"/>
        </w:rPr>
        <w:t>(</w:t>
      </w:r>
      <w:r w:rsidRPr="00E55D50">
        <w:rPr>
          <w:rFonts w:hint="eastAsia"/>
        </w:rPr>
        <w:t>第二条、第十八至二十条和第二十六条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44.</w:t>
      </w:r>
      <w:r w:rsidRPr="00E55D50">
        <w:rPr>
          <w:rFonts w:eastAsia="黑体"/>
        </w:rPr>
        <w:tab/>
      </w:r>
      <w:r w:rsidRPr="00E55D50">
        <w:rPr>
          <w:rFonts w:eastAsia="黑体" w:hint="eastAsia"/>
        </w:rPr>
        <w:t>缔约国应使其立法符合《公约》第十八条，避免采取任何可能在该条款允许的限制以外对宗教或信仰自由加以限制的行动，并考虑到宗教或信仰自由问题特别报告员的建议</w:t>
      </w:r>
      <w:r w:rsidRPr="00E55D50">
        <w:rPr>
          <w:rFonts w:eastAsia="黑体" w:hint="eastAsia"/>
        </w:rPr>
        <w:t>(</w:t>
      </w:r>
      <w:r w:rsidRPr="00E55D50">
        <w:rPr>
          <w:rFonts w:eastAsia="黑体" w:hint="eastAsia"/>
        </w:rPr>
        <w:t>见</w:t>
      </w:r>
      <w:r w:rsidRPr="00E55D50">
        <w:rPr>
          <w:rFonts w:eastAsia="黑体"/>
        </w:rPr>
        <w:t>A/HRC/28/66/Add.2)</w:t>
      </w:r>
      <w:r w:rsidRPr="00E55D50">
        <w:rPr>
          <w:rFonts w:eastAsia="黑体" w:hint="eastAsia"/>
        </w:rPr>
        <w:t>。缔约国还应采取措施，防止并迅速有效地回应所有不当干涉宗教自由的行为，以及出现任何仇恨言论、煽动歧视、暴力或涉嫌仇恨犯罪的情况，并确保将责任人绳之以法。</w:t>
      </w:r>
    </w:p>
    <w:p w:rsidR="00E55D50" w:rsidRPr="00E55D50" w:rsidRDefault="00E55D50" w:rsidP="003779C9">
      <w:pPr>
        <w:pStyle w:val="H23GC"/>
        <w:spacing w:before="200"/>
      </w:pPr>
      <w:r w:rsidRPr="00E55D50">
        <w:tab/>
      </w:r>
      <w:r w:rsidRPr="00E55D50">
        <w:tab/>
      </w:r>
      <w:r w:rsidRPr="00E55D50">
        <w:rPr>
          <w:rFonts w:hint="eastAsia"/>
        </w:rPr>
        <w:t>言论自由</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45.</w:t>
      </w:r>
      <w:r w:rsidRPr="00E55D50">
        <w:tab/>
      </w:r>
      <w:r w:rsidRPr="00E55D50">
        <w:rPr>
          <w:rFonts w:hint="eastAsia"/>
        </w:rPr>
        <w:t>委员会感到遗憾的是，缔约国严重限制见解和言论自由，包括通过看起来不符合法律确定性、必要性和相称性原则的法律和实践加以限制，例如：</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ab/>
      </w:r>
      <w:r w:rsidRPr="00E55D50">
        <w:rPr>
          <w:rFonts w:hint="eastAsia"/>
        </w:rPr>
        <w:t>(a)</w:t>
      </w:r>
      <w:r w:rsidRPr="00E55D50">
        <w:rPr>
          <w:rFonts w:hint="eastAsia"/>
        </w:rPr>
        <w:tab/>
      </w:r>
      <w:r w:rsidRPr="00E55D50">
        <w:rPr>
          <w:rFonts w:hint="eastAsia"/>
        </w:rPr>
        <w:t>《刑法》第一百零九条、第一百一十六条、第一百一十七条和第三百三十一条中对罪行的表述模糊而宽泛，并用于限制见解和言论自由，而且某些与国家安全有关的罪行的定义涵盖了合法活动，如行使言论自由权；</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ab/>
      </w:r>
      <w:r w:rsidRPr="00E55D50">
        <w:rPr>
          <w:rFonts w:hint="eastAsia"/>
        </w:rPr>
        <w:t>(</w:t>
      </w:r>
      <w:r w:rsidRPr="00E55D50">
        <w:t>b</w:t>
      </w:r>
      <w:r w:rsidRPr="00E55D50">
        <w:rPr>
          <w:rFonts w:hint="eastAsia"/>
        </w:rPr>
        <w:t>)</w:t>
      </w:r>
      <w:r w:rsidRPr="00E55D50">
        <w:rPr>
          <w:rFonts w:hint="eastAsia"/>
        </w:rPr>
        <w:tab/>
      </w:r>
      <w:r w:rsidRPr="00E55D50">
        <w:rPr>
          <w:rFonts w:hint="eastAsia"/>
        </w:rPr>
        <w:t>国家对媒体的控制，其中的限制旨在确保严格遵守和推广政府政策，包括通过禁止对政府进行任何批评的</w:t>
      </w:r>
      <w:r w:rsidRPr="00E55D50">
        <w:rPr>
          <w:rFonts w:hint="eastAsia"/>
        </w:rPr>
        <w:t>2016</w:t>
      </w:r>
      <w:r w:rsidRPr="00E55D50">
        <w:rPr>
          <w:rFonts w:hint="eastAsia"/>
        </w:rPr>
        <w:t>年《新闻法》加以限制；</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ab/>
      </w:r>
      <w:r w:rsidRPr="00E55D50">
        <w:rPr>
          <w:rFonts w:hint="eastAsia"/>
        </w:rPr>
        <w:t>(</w:t>
      </w:r>
      <w:r w:rsidRPr="00E55D50">
        <w:t>c</w:t>
      </w:r>
      <w:r w:rsidRPr="00E55D50">
        <w:rPr>
          <w:rFonts w:hint="eastAsia"/>
        </w:rPr>
        <w:t>)</w:t>
      </w:r>
      <w:r w:rsidRPr="00E55D50">
        <w:rPr>
          <w:rFonts w:hint="eastAsia"/>
        </w:rPr>
        <w:tab/>
        <w:t>2018</w:t>
      </w:r>
      <w:r w:rsidRPr="00E55D50">
        <w:rPr>
          <w:rFonts w:hint="eastAsia"/>
        </w:rPr>
        <w:t>年《网络安全法》和其他限制网络空间言论自由的法规，规定禁止提供和使用互联网服务传播反对或批评国家的信息，并设立了第</w:t>
      </w:r>
      <w:r w:rsidRPr="00E55D50">
        <w:rPr>
          <w:rFonts w:hint="eastAsia"/>
        </w:rPr>
        <w:t>47</w:t>
      </w:r>
      <w:r w:rsidRPr="00E55D50">
        <w:rPr>
          <w:rFonts w:hint="eastAsia"/>
        </w:rPr>
        <w:t>分队网络股来控制互联网；</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tab/>
      </w:r>
      <w:r w:rsidRPr="00E55D50">
        <w:rPr>
          <w:rFonts w:hint="eastAsia"/>
        </w:rPr>
        <w:t>(</w:t>
      </w:r>
      <w:r w:rsidRPr="00E55D50">
        <w:t>d</w:t>
      </w:r>
      <w:r w:rsidRPr="00E55D50">
        <w:rPr>
          <w:rFonts w:hint="eastAsia"/>
        </w:rPr>
        <w:t>)</w:t>
      </w:r>
      <w:r w:rsidRPr="00E55D50">
        <w:rPr>
          <w:rFonts w:hint="eastAsia"/>
        </w:rPr>
        <w:tab/>
      </w:r>
      <w:r w:rsidRPr="00E55D50">
        <w:rPr>
          <w:rFonts w:hint="eastAsia"/>
        </w:rPr>
        <w:t>任意逮捕、拘留、不公正的审判和刑事定罪，包括对人权维护者、记者、博客作者和律师实施的这些行为，原因是他们批评</w:t>
      </w:r>
      <w:r w:rsidRPr="00E55D50">
        <w:rPr>
          <w:rFonts w:hint="eastAsia"/>
        </w:rPr>
        <w:t>(</w:t>
      </w:r>
      <w:r w:rsidRPr="00E55D50">
        <w:rPr>
          <w:rFonts w:hint="eastAsia"/>
        </w:rPr>
        <w:t>包括在网上批评</w:t>
      </w:r>
      <w:r w:rsidRPr="00E55D50">
        <w:rPr>
          <w:rFonts w:hint="eastAsia"/>
        </w:rPr>
        <w:t>)</w:t>
      </w:r>
      <w:r w:rsidRPr="00E55D50">
        <w:rPr>
          <w:rFonts w:hint="eastAsia"/>
        </w:rPr>
        <w:t>国家当局或政策，例如环境人权维护者兼博客作者阮玉如琼的案件就是如此</w:t>
      </w:r>
      <w:r w:rsidRPr="00E55D50">
        <w:rPr>
          <w:rFonts w:hint="eastAsia"/>
        </w:rPr>
        <w:t>(</w:t>
      </w:r>
      <w:r w:rsidRPr="00E55D50">
        <w:rPr>
          <w:rFonts w:hint="eastAsia"/>
        </w:rPr>
        <w:t>第九条、第十四条、第十九条和第二十一条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46.</w:t>
      </w:r>
      <w:r w:rsidRPr="00E55D50">
        <w:rPr>
          <w:rFonts w:eastAsia="黑体"/>
        </w:rPr>
        <w:tab/>
      </w:r>
      <w:r w:rsidRPr="00E55D50">
        <w:rPr>
          <w:rFonts w:eastAsia="黑体" w:hint="eastAsia"/>
        </w:rPr>
        <w:t>缔约国应考虑到委员会关于见解自由和言论自由的第</w:t>
      </w:r>
      <w:r w:rsidRPr="00E55D50">
        <w:rPr>
          <w:rFonts w:eastAsia="黑体" w:hint="eastAsia"/>
        </w:rPr>
        <w:t>34</w:t>
      </w:r>
      <w:r w:rsidR="006E3083" w:rsidRPr="006E3083">
        <w:rPr>
          <w:rFonts w:eastAsia="黑体"/>
          <w:sz w:val="10"/>
          <w:szCs w:val="10"/>
        </w:rPr>
        <w:t xml:space="preserve"> </w:t>
      </w:r>
      <w:r w:rsidRPr="00E55D50">
        <w:rPr>
          <w:rFonts w:eastAsia="黑体" w:hint="eastAsia"/>
        </w:rPr>
        <w:t>(2011)</w:t>
      </w:r>
      <w:r w:rsidRPr="00E55D50">
        <w:rPr>
          <w:rFonts w:eastAsia="黑体" w:hint="eastAsia"/>
        </w:rPr>
        <w:t>号一般性意见，作为紧急事项，采取一切必要步骤，包括修订立法，以终止在线下和网上侵犯言论自由权的行为，并确保限制行为不超出《公约》第十九条中严格界定的限制措施的范围。缔约国还应促进多元化媒体的发展，使之能够在不受国家不当干预的情况下运作。</w:t>
      </w:r>
    </w:p>
    <w:p w:rsidR="00E55D50" w:rsidRPr="00E55D50" w:rsidRDefault="00E55D50" w:rsidP="003779C9">
      <w:pPr>
        <w:pStyle w:val="H23GC"/>
        <w:spacing w:before="200"/>
      </w:pPr>
      <w:r w:rsidRPr="00E55D50">
        <w:tab/>
      </w:r>
      <w:r w:rsidRPr="00E55D50">
        <w:tab/>
      </w:r>
      <w:r w:rsidRPr="00E55D50">
        <w:rPr>
          <w:rFonts w:hint="eastAsia"/>
        </w:rPr>
        <w:t>和平集会权</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47.</w:t>
      </w:r>
      <w:r w:rsidRPr="00E55D50">
        <w:tab/>
      </w:r>
      <w:r w:rsidRPr="00E55D50">
        <w:rPr>
          <w:rFonts w:hint="eastAsia"/>
        </w:rPr>
        <w:t>委员会重申其关切对包括人权方面在内的和平集会和公开会议自由的过度限制</w:t>
      </w:r>
      <w:r w:rsidRPr="00E55D50">
        <w:rPr>
          <w:rFonts w:hint="eastAsia"/>
        </w:rPr>
        <w:t>(CCPR/CO/75/VNM</w:t>
      </w:r>
      <w:r w:rsidRPr="00E55D50">
        <w:rPr>
          <w:rFonts w:hint="eastAsia"/>
        </w:rPr>
        <w:t>，第</w:t>
      </w:r>
      <w:r w:rsidRPr="00E55D50">
        <w:t>21</w:t>
      </w:r>
      <w:r w:rsidRPr="00E55D50">
        <w:rPr>
          <w:rFonts w:hint="eastAsia"/>
        </w:rPr>
        <w:t>段</w:t>
      </w:r>
      <w:r w:rsidRPr="00E55D50">
        <w:rPr>
          <w:rFonts w:hint="eastAsia"/>
        </w:rPr>
        <w:t>)</w:t>
      </w:r>
      <w:r w:rsidRPr="00E55D50">
        <w:rPr>
          <w:rFonts w:hint="eastAsia"/>
        </w:rPr>
        <w:t>。委员会感到关切的是，有指控称执法官员以过度使用武力和任意逮捕扰乱示威，包括与劳工权利、剥夺土地和台塑钢厂生态灾难有关的示威</w:t>
      </w:r>
      <w:r w:rsidRPr="00E55D50">
        <w:rPr>
          <w:rFonts w:hint="eastAsia"/>
        </w:rPr>
        <w:t>(</w:t>
      </w:r>
      <w:r w:rsidRPr="00E55D50">
        <w:rPr>
          <w:rFonts w:hint="eastAsia"/>
        </w:rPr>
        <w:t>第二十一条</w:t>
      </w:r>
      <w:r w:rsidRPr="00E55D50">
        <w:rPr>
          <w:rFonts w:hint="eastAsia"/>
        </w:rPr>
        <w:t>)</w:t>
      </w:r>
      <w:r w:rsidRPr="00E55D50">
        <w:rPr>
          <w:rFonts w:hint="eastAsia"/>
        </w:rPr>
        <w:t>。</w:t>
      </w:r>
    </w:p>
    <w:p w:rsidR="00E55D50" w:rsidRPr="00E55D50" w:rsidRDefault="00E55D50" w:rsidP="002130E2">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lastRenderedPageBreak/>
        <w:t>48.</w:t>
      </w:r>
      <w:r w:rsidRPr="00E55D50">
        <w:rPr>
          <w:rFonts w:eastAsia="黑体"/>
        </w:rPr>
        <w:tab/>
      </w:r>
      <w:r w:rsidRPr="00E55D50">
        <w:rPr>
          <w:rFonts w:eastAsia="黑体" w:hint="eastAsia"/>
        </w:rPr>
        <w:t>缔约国应：</w:t>
      </w:r>
    </w:p>
    <w:p w:rsidR="00E55D50" w:rsidRPr="00E55D50" w:rsidRDefault="00E55D50" w:rsidP="002130E2">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有效保障和保护和平集会自由，避免不符合《公约》第二十一条的限制行为；</w:t>
      </w:r>
    </w:p>
    <w:p w:rsidR="00E55D50" w:rsidRPr="00E55D50" w:rsidRDefault="00E55D50" w:rsidP="002130E2">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确保对所有过度使用武力的事件迅速进行公正和有效的调查，并将责任人绳之以法；</w:t>
      </w:r>
    </w:p>
    <w:p w:rsidR="00E55D50" w:rsidRPr="00E55D50" w:rsidRDefault="00E55D50" w:rsidP="002130E2">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采取措施，有效防止和消除执法人员一切形式的过度使用武力，包括提供关于使用武力和《执法人员使用武力和火器的基本原则》方面的培训。</w:t>
      </w:r>
    </w:p>
    <w:p w:rsidR="00E55D50" w:rsidRPr="00E55D50" w:rsidRDefault="00E55D50" w:rsidP="002130E2">
      <w:pPr>
        <w:pStyle w:val="H23GC"/>
      </w:pPr>
      <w:r w:rsidRPr="00E55D50">
        <w:tab/>
      </w:r>
      <w:r w:rsidRPr="00E55D50">
        <w:tab/>
      </w:r>
      <w:r w:rsidRPr="00E55D50">
        <w:rPr>
          <w:rFonts w:hint="eastAsia"/>
        </w:rPr>
        <w:t>结社自由</w:t>
      </w:r>
    </w:p>
    <w:p w:rsidR="00E55D50" w:rsidRPr="00E55D50" w:rsidRDefault="00E55D50" w:rsidP="002130E2">
      <w:pPr>
        <w:pStyle w:val="SingleTxtGC"/>
        <w:tabs>
          <w:tab w:val="clear" w:pos="431"/>
          <w:tab w:val="clear" w:pos="1134"/>
          <w:tab w:val="clear" w:pos="1565"/>
          <w:tab w:val="clear" w:pos="1996"/>
          <w:tab w:val="clear" w:pos="2427"/>
          <w:tab w:val="left" w:pos="1701"/>
        </w:tabs>
      </w:pPr>
      <w:r w:rsidRPr="00E55D50">
        <w:rPr>
          <w:rFonts w:hint="eastAsia"/>
        </w:rPr>
        <w:t>49.</w:t>
      </w:r>
      <w:r w:rsidRPr="00E55D50">
        <w:tab/>
      </w:r>
      <w:r w:rsidRPr="00E55D50">
        <w:rPr>
          <w:rFonts w:hint="eastAsia"/>
        </w:rPr>
        <w:t>委员会注意到缔约国计划通过一项结社法，但重申其关切对公共社团建立、管理和运作，包括对组建独立工会的权利所实行的不当限制</w:t>
      </w:r>
      <w:r w:rsidRPr="00E55D50">
        <w:rPr>
          <w:rFonts w:hint="eastAsia"/>
        </w:rPr>
        <w:t>(CCPR/CO/75/</w:t>
      </w:r>
      <w:r w:rsidR="00770933">
        <w:t xml:space="preserve"> </w:t>
      </w:r>
      <w:r w:rsidRPr="00E55D50">
        <w:rPr>
          <w:rFonts w:hint="eastAsia"/>
        </w:rPr>
        <w:t>VNM</w:t>
      </w:r>
      <w:r w:rsidRPr="00E55D50">
        <w:rPr>
          <w:rFonts w:hint="eastAsia"/>
        </w:rPr>
        <w:t>，第</w:t>
      </w:r>
      <w:r w:rsidRPr="00E55D50">
        <w:rPr>
          <w:rFonts w:hint="eastAsia"/>
        </w:rPr>
        <w:t>20</w:t>
      </w:r>
      <w:r w:rsidRPr="00E55D50">
        <w:rPr>
          <w:rFonts w:hint="eastAsia"/>
        </w:rPr>
        <w:t>段</w:t>
      </w:r>
      <w:r w:rsidRPr="00E55D50">
        <w:rPr>
          <w:rFonts w:hint="eastAsia"/>
        </w:rPr>
        <w:t>)</w:t>
      </w:r>
      <w:r w:rsidRPr="00E55D50">
        <w:rPr>
          <w:rFonts w:hint="eastAsia"/>
        </w:rPr>
        <w:t>。委员会表示特别关切关于外国供资的限制性法规，这些规定可能用于加强对社团的控制，并限制其获得这类资金的能力</w:t>
      </w:r>
      <w:r w:rsidRPr="00E55D50">
        <w:rPr>
          <w:rFonts w:hint="eastAsia"/>
        </w:rPr>
        <w:t>(</w:t>
      </w:r>
      <w:r w:rsidRPr="00E55D50">
        <w:rPr>
          <w:rFonts w:hint="eastAsia"/>
        </w:rPr>
        <w:t>第二条、第六条、第十九条、第二十二条和第二十六条</w:t>
      </w:r>
      <w:r w:rsidRPr="00E55D50">
        <w:rPr>
          <w:rFonts w:hint="eastAsia"/>
        </w:rPr>
        <w:t>)</w:t>
      </w:r>
      <w:r w:rsidRPr="00E55D50">
        <w:rPr>
          <w:rFonts w:hint="eastAsia"/>
        </w:rPr>
        <w:t>。</w:t>
      </w:r>
    </w:p>
    <w:p w:rsidR="00E55D50" w:rsidRPr="00E55D50" w:rsidRDefault="00E55D50" w:rsidP="002130E2">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50.</w:t>
      </w:r>
      <w:r w:rsidRPr="00E55D50">
        <w:rPr>
          <w:rFonts w:eastAsia="黑体"/>
        </w:rPr>
        <w:tab/>
      </w:r>
      <w:r w:rsidRPr="00E55D50">
        <w:rPr>
          <w:rFonts w:eastAsia="黑体" w:hint="eastAsia"/>
        </w:rPr>
        <w:t>缔约国应充分落实对结社自由的宪法保障，并加快通过结社法，确保其条款、相关法规和实践符合《公约》第二十二条。缔约国还应：</w:t>
      </w:r>
    </w:p>
    <w:p w:rsidR="00E55D50" w:rsidRPr="00E55D50" w:rsidRDefault="00E55D50" w:rsidP="002130E2">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尊重个人组建或加入自己选择的工会或协会</w:t>
      </w:r>
      <w:r w:rsidRPr="00E55D50">
        <w:rPr>
          <w:rFonts w:eastAsia="黑体" w:hint="eastAsia"/>
        </w:rPr>
        <w:t>(</w:t>
      </w:r>
      <w:r w:rsidRPr="00E55D50">
        <w:rPr>
          <w:rFonts w:eastAsia="黑体" w:hint="eastAsia"/>
        </w:rPr>
        <w:t>包括人权领域的社团</w:t>
      </w:r>
      <w:r w:rsidRPr="00E55D50">
        <w:rPr>
          <w:rFonts w:eastAsia="黑体" w:hint="eastAsia"/>
        </w:rPr>
        <w:t>)</w:t>
      </w:r>
      <w:r w:rsidRPr="00E55D50">
        <w:rPr>
          <w:rFonts w:eastAsia="黑体" w:hint="eastAsia"/>
        </w:rPr>
        <w:t>的权利；</w:t>
      </w:r>
    </w:p>
    <w:p w:rsidR="00E55D50" w:rsidRPr="00E55D50" w:rsidRDefault="00E55D50" w:rsidP="002130E2">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确保对外国资助社团作出规定的法规不会导致对这类社团的不当控制或对其有效运作的不当干涉。</w:t>
      </w:r>
    </w:p>
    <w:p w:rsidR="00E55D50" w:rsidRPr="00E55D50" w:rsidRDefault="00E55D50" w:rsidP="002130E2">
      <w:pPr>
        <w:pStyle w:val="H23GC"/>
      </w:pPr>
      <w:r w:rsidRPr="00E55D50">
        <w:tab/>
      </w:r>
      <w:r w:rsidRPr="00E55D50">
        <w:tab/>
      </w:r>
      <w:r w:rsidRPr="00E55D50">
        <w:rPr>
          <w:rFonts w:hint="eastAsia"/>
        </w:rPr>
        <w:t>人权维护者</w:t>
      </w:r>
    </w:p>
    <w:p w:rsidR="00E55D50" w:rsidRPr="00E55D50" w:rsidRDefault="00E55D50" w:rsidP="002130E2">
      <w:pPr>
        <w:pStyle w:val="SingleTxtGC"/>
        <w:tabs>
          <w:tab w:val="clear" w:pos="431"/>
          <w:tab w:val="clear" w:pos="1134"/>
          <w:tab w:val="clear" w:pos="1565"/>
          <w:tab w:val="clear" w:pos="1996"/>
          <w:tab w:val="clear" w:pos="2427"/>
          <w:tab w:val="left" w:pos="1701"/>
        </w:tabs>
      </w:pPr>
      <w:r w:rsidRPr="00E55D50">
        <w:rPr>
          <w:rFonts w:hint="eastAsia"/>
        </w:rPr>
        <w:t>51.</w:t>
      </w:r>
      <w:r w:rsidRPr="00E55D50">
        <w:tab/>
      </w:r>
      <w:r w:rsidRPr="00E55D50">
        <w:rPr>
          <w:rFonts w:hint="eastAsia"/>
        </w:rPr>
        <w:t>委员会感到关切的是，有报告称，对人权维护者和民间社会行为体的维稳打击增多，他们面临威胁、恐吓和人身攻击，以阻碍他们开展合法活动。委员会同样关切的是针对人权维护者的报复案件，包括因与联合国接触而遭到报复的案件。这种做法，加上已经表达的关切</w:t>
      </w:r>
      <w:r w:rsidRPr="00E55D50">
        <w:rPr>
          <w:rFonts w:hint="eastAsia"/>
        </w:rPr>
        <w:t>(</w:t>
      </w:r>
      <w:r w:rsidRPr="00E55D50">
        <w:rPr>
          <w:rFonts w:hint="eastAsia"/>
        </w:rPr>
        <w:t>见上文第</w:t>
      </w:r>
      <w:r w:rsidRPr="00E55D50">
        <w:rPr>
          <w:rFonts w:hint="eastAsia"/>
        </w:rPr>
        <w:t>4</w:t>
      </w:r>
      <w:r w:rsidRPr="00E55D50">
        <w:t>5</w:t>
      </w:r>
      <w:r w:rsidRPr="00E55D50">
        <w:rPr>
          <w:rFonts w:hint="eastAsia"/>
        </w:rPr>
        <w:t>和</w:t>
      </w:r>
      <w:r w:rsidRPr="00E55D50">
        <w:rPr>
          <w:rFonts w:hint="eastAsia"/>
        </w:rPr>
        <w:t>4</w:t>
      </w:r>
      <w:r w:rsidRPr="00E55D50">
        <w:t>7</w:t>
      </w:r>
      <w:r w:rsidRPr="00E55D50">
        <w:rPr>
          <w:rFonts w:hint="eastAsia"/>
        </w:rPr>
        <w:t>段</w:t>
      </w:r>
      <w:r w:rsidRPr="00E55D50">
        <w:rPr>
          <w:rFonts w:hint="eastAsia"/>
        </w:rPr>
        <w:t>)</w:t>
      </w:r>
      <w:r w:rsidRPr="00E55D50">
        <w:rPr>
          <w:rFonts w:hint="eastAsia"/>
        </w:rPr>
        <w:t>，妨碍了公民空间的发展，使个人无法在安全的环境下以有意义的方式行使和促进人权</w:t>
      </w:r>
      <w:r w:rsidRPr="00E55D50">
        <w:rPr>
          <w:rFonts w:hint="eastAsia"/>
        </w:rPr>
        <w:t>(</w:t>
      </w:r>
      <w:r w:rsidRPr="00E55D50">
        <w:rPr>
          <w:rFonts w:hint="eastAsia"/>
        </w:rPr>
        <w:t>第二条、第九条、第十九条和第二十一至二十二条</w:t>
      </w:r>
      <w:r w:rsidRPr="00E55D50">
        <w:rPr>
          <w:rFonts w:hint="eastAsia"/>
        </w:rPr>
        <w:t>)</w:t>
      </w:r>
      <w:r w:rsidRPr="00E55D50">
        <w:rPr>
          <w:rFonts w:hint="eastAsia"/>
        </w:rPr>
        <w:t>。</w:t>
      </w:r>
    </w:p>
    <w:p w:rsidR="00E55D50" w:rsidRPr="00E55D50" w:rsidRDefault="00E55D50" w:rsidP="002130E2">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52.</w:t>
      </w:r>
      <w:r w:rsidRPr="00E55D50">
        <w:rPr>
          <w:rFonts w:eastAsia="黑体"/>
        </w:rPr>
        <w:tab/>
      </w:r>
      <w:r w:rsidRPr="00E55D50">
        <w:rPr>
          <w:rFonts w:eastAsia="黑体" w:hint="eastAsia"/>
        </w:rPr>
        <w:t>缔约国应确保人权维护者和其他民间社会行为体免受威胁、恐吓和人身攻击，并对实施此类行为的人进行调查、起诉和定罪。缔约国还应允许人权维护者和其他民间社会行为体有必要的自由开展活动，包括与联合国接触，而不必担心受到限制或报复。</w:t>
      </w:r>
    </w:p>
    <w:p w:rsidR="00E55D50" w:rsidRPr="00E55D50" w:rsidRDefault="00E55D50" w:rsidP="002130E2">
      <w:pPr>
        <w:pStyle w:val="H23GC"/>
      </w:pPr>
      <w:r w:rsidRPr="00E55D50">
        <w:tab/>
      </w:r>
      <w:r w:rsidRPr="00E55D50">
        <w:tab/>
      </w:r>
      <w:r w:rsidRPr="00E55D50">
        <w:rPr>
          <w:rFonts w:hint="eastAsia"/>
        </w:rPr>
        <w:t>参与公共事务</w:t>
      </w:r>
    </w:p>
    <w:p w:rsidR="00E55D50" w:rsidRPr="00E55D50" w:rsidRDefault="00E55D50" w:rsidP="002130E2">
      <w:pPr>
        <w:pStyle w:val="SingleTxtGC"/>
        <w:tabs>
          <w:tab w:val="clear" w:pos="431"/>
          <w:tab w:val="clear" w:pos="1134"/>
          <w:tab w:val="clear" w:pos="1565"/>
          <w:tab w:val="clear" w:pos="1996"/>
          <w:tab w:val="clear" w:pos="2427"/>
          <w:tab w:val="left" w:pos="1701"/>
        </w:tabs>
      </w:pPr>
      <w:r w:rsidRPr="00E55D50">
        <w:rPr>
          <w:rFonts w:hint="eastAsia"/>
        </w:rPr>
        <w:t>53.</w:t>
      </w:r>
      <w:r w:rsidRPr="00E55D50">
        <w:tab/>
      </w:r>
      <w:r w:rsidRPr="00E55D50">
        <w:rPr>
          <w:rFonts w:hint="eastAsia"/>
        </w:rPr>
        <w:t>委员会重申其关切不允许成立越南共产党以外的政党，而且关于选举的原则和程序不能确保公民依照《公约》第二十五条享有参与公共事务、投票和被选举的权利</w:t>
      </w:r>
      <w:r w:rsidRPr="00E55D50">
        <w:rPr>
          <w:rFonts w:hint="eastAsia"/>
        </w:rPr>
        <w:t>(CCPR/CO/75/VNM</w:t>
      </w:r>
      <w:r w:rsidRPr="00E55D50">
        <w:rPr>
          <w:rFonts w:hint="eastAsia"/>
        </w:rPr>
        <w:t>，第</w:t>
      </w:r>
      <w:r w:rsidRPr="00E55D50">
        <w:t>20</w:t>
      </w:r>
      <w:r w:rsidRPr="00E55D50">
        <w:rPr>
          <w:rFonts w:hint="eastAsia"/>
        </w:rPr>
        <w:t>段</w:t>
      </w:r>
      <w:r w:rsidRPr="00E55D50">
        <w:rPr>
          <w:rFonts w:hint="eastAsia"/>
        </w:rPr>
        <w:t>)</w:t>
      </w:r>
      <w:r w:rsidRPr="00E55D50">
        <w:rPr>
          <w:rFonts w:hint="eastAsia"/>
        </w:rPr>
        <w:t>。委员会还感到关切的是：</w:t>
      </w:r>
    </w:p>
    <w:p w:rsidR="00E55D50" w:rsidRPr="00E55D50" w:rsidRDefault="00E55D50" w:rsidP="002130E2">
      <w:pPr>
        <w:pStyle w:val="SingleTxtGC"/>
        <w:tabs>
          <w:tab w:val="clear" w:pos="431"/>
          <w:tab w:val="clear" w:pos="1134"/>
          <w:tab w:val="clear" w:pos="1565"/>
          <w:tab w:val="clear" w:pos="1996"/>
          <w:tab w:val="clear" w:pos="2427"/>
          <w:tab w:val="left" w:pos="1701"/>
        </w:tabs>
      </w:pPr>
      <w:r w:rsidRPr="00E55D50">
        <w:tab/>
      </w:r>
      <w:r w:rsidRPr="00E55D50">
        <w:rPr>
          <w:rFonts w:hint="eastAsia"/>
        </w:rPr>
        <w:t>(a)</w:t>
      </w:r>
      <w:r w:rsidRPr="00E55D50">
        <w:rPr>
          <w:rFonts w:hint="eastAsia"/>
        </w:rPr>
        <w:tab/>
      </w:r>
      <w:r w:rsidRPr="00E55D50">
        <w:rPr>
          <w:rFonts w:hint="eastAsia"/>
        </w:rPr>
        <w:t>要求独立候选人与越南共产党领导的“祖国战线”进行多轮谈判，以便被列为候选人；</w:t>
      </w:r>
    </w:p>
    <w:p w:rsidR="00E55D50" w:rsidRPr="00E55D50" w:rsidRDefault="00E55D50" w:rsidP="002130E2">
      <w:pPr>
        <w:pStyle w:val="SingleTxtGC"/>
        <w:tabs>
          <w:tab w:val="clear" w:pos="431"/>
          <w:tab w:val="clear" w:pos="1134"/>
          <w:tab w:val="clear" w:pos="1565"/>
          <w:tab w:val="clear" w:pos="1996"/>
          <w:tab w:val="clear" w:pos="2427"/>
          <w:tab w:val="left" w:pos="1701"/>
        </w:tabs>
      </w:pPr>
      <w:r w:rsidRPr="00E55D50">
        <w:tab/>
      </w:r>
      <w:r w:rsidRPr="00E55D50">
        <w:rPr>
          <w:rFonts w:hint="eastAsia"/>
        </w:rPr>
        <w:t>(</w:t>
      </w:r>
      <w:r w:rsidRPr="00E55D50">
        <w:t>b</w:t>
      </w:r>
      <w:r w:rsidRPr="00E55D50">
        <w:rPr>
          <w:rFonts w:hint="eastAsia"/>
        </w:rPr>
        <w:t>)</w:t>
      </w:r>
      <w:r w:rsidRPr="00E55D50">
        <w:rPr>
          <w:rFonts w:hint="eastAsia"/>
        </w:rPr>
        <w:tab/>
      </w:r>
      <w:r w:rsidRPr="00E55D50">
        <w:rPr>
          <w:rFonts w:hint="eastAsia"/>
        </w:rPr>
        <w:t>以往选举中的违规行为，特别是代理投票造成的违规行为；</w:t>
      </w:r>
    </w:p>
    <w:p w:rsidR="00E55D50" w:rsidRPr="00E55D50" w:rsidRDefault="00E55D50" w:rsidP="002130E2">
      <w:pPr>
        <w:pStyle w:val="SingleTxtGC"/>
        <w:tabs>
          <w:tab w:val="clear" w:pos="431"/>
          <w:tab w:val="clear" w:pos="1134"/>
          <w:tab w:val="clear" w:pos="1565"/>
          <w:tab w:val="clear" w:pos="1996"/>
          <w:tab w:val="clear" w:pos="2427"/>
          <w:tab w:val="left" w:pos="1701"/>
        </w:tabs>
      </w:pPr>
      <w:r w:rsidRPr="00E55D50">
        <w:lastRenderedPageBreak/>
        <w:tab/>
      </w:r>
      <w:r w:rsidRPr="00E55D50">
        <w:rPr>
          <w:rFonts w:hint="eastAsia"/>
        </w:rPr>
        <w:t>(</w:t>
      </w:r>
      <w:r w:rsidRPr="00E55D50">
        <w:t>c</w:t>
      </w:r>
      <w:r w:rsidRPr="00E55D50">
        <w:rPr>
          <w:rFonts w:hint="eastAsia"/>
        </w:rPr>
        <w:t>)</w:t>
      </w:r>
      <w:r w:rsidRPr="00E55D50">
        <w:rPr>
          <w:rFonts w:hint="eastAsia"/>
        </w:rPr>
        <w:tab/>
      </w:r>
      <w:r w:rsidRPr="00E55D50">
        <w:rPr>
          <w:rFonts w:hint="eastAsia"/>
        </w:rPr>
        <w:t>缺乏独立的选举监督机构；</w:t>
      </w:r>
    </w:p>
    <w:p w:rsidR="00E55D50" w:rsidRPr="00E55D50" w:rsidRDefault="00E55D50" w:rsidP="002130E2">
      <w:pPr>
        <w:pStyle w:val="SingleTxtGC"/>
        <w:tabs>
          <w:tab w:val="clear" w:pos="431"/>
          <w:tab w:val="clear" w:pos="1134"/>
          <w:tab w:val="clear" w:pos="1565"/>
          <w:tab w:val="clear" w:pos="1996"/>
          <w:tab w:val="clear" w:pos="2427"/>
          <w:tab w:val="left" w:pos="1701"/>
        </w:tabs>
      </w:pPr>
      <w:r w:rsidRPr="00E55D50">
        <w:tab/>
      </w:r>
      <w:r w:rsidRPr="00E55D50">
        <w:rPr>
          <w:rFonts w:hint="eastAsia"/>
        </w:rPr>
        <w:t>(</w:t>
      </w:r>
      <w:r w:rsidRPr="00E55D50">
        <w:t>d</w:t>
      </w:r>
      <w:r w:rsidRPr="00E55D50">
        <w:rPr>
          <w:rFonts w:hint="eastAsia"/>
        </w:rPr>
        <w:t>)</w:t>
      </w:r>
      <w:r w:rsidRPr="00E55D50">
        <w:rPr>
          <w:rFonts w:hint="eastAsia"/>
        </w:rPr>
        <w:tab/>
      </w:r>
      <w:r w:rsidRPr="00E55D50">
        <w:rPr>
          <w:rFonts w:hint="eastAsia"/>
        </w:rPr>
        <w:t>全面剥夺服刑囚犯的投票权</w:t>
      </w:r>
      <w:r w:rsidRPr="00E55D50">
        <w:rPr>
          <w:rFonts w:hint="eastAsia"/>
        </w:rPr>
        <w:t>(</w:t>
      </w:r>
      <w:r w:rsidRPr="00E55D50">
        <w:rPr>
          <w:rFonts w:hint="eastAsia"/>
        </w:rPr>
        <w:t>第二条、第十条和第二十五条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54.</w:t>
      </w:r>
      <w:r w:rsidRPr="00E55D50">
        <w:rPr>
          <w:rFonts w:eastAsia="黑体"/>
        </w:rPr>
        <w:tab/>
      </w:r>
      <w:r w:rsidRPr="00E55D50">
        <w:rPr>
          <w:rFonts w:eastAsia="黑体" w:hint="eastAsia"/>
        </w:rPr>
        <w:t>缔约国应根据《公约》，包括《公约》第二十五条，采取保障所有公民平等享有权利的选举制度，手段包括确保完全透明和真正的选举以及多元的政治秩序，避免利用刑法条款有效地将反对派候选人排除在选举程序之外，并对剥夺被定罪囚犯投票权的立法进行修订。</w:t>
      </w:r>
    </w:p>
    <w:p w:rsidR="00E55D50" w:rsidRPr="00E55D50" w:rsidRDefault="00E55D50" w:rsidP="002130E2">
      <w:pPr>
        <w:pStyle w:val="H23GC"/>
      </w:pPr>
      <w:r w:rsidRPr="00E55D50">
        <w:tab/>
      </w:r>
      <w:r w:rsidRPr="00E55D50">
        <w:tab/>
      </w:r>
      <w:r w:rsidRPr="00E55D50">
        <w:rPr>
          <w:rFonts w:hint="eastAsia"/>
        </w:rPr>
        <w:t>属于少数群体的人的权利</w:t>
      </w:r>
    </w:p>
    <w:p w:rsidR="00E55D50" w:rsidRPr="00E55D50" w:rsidRDefault="00E55D50" w:rsidP="00E55D50">
      <w:pPr>
        <w:pStyle w:val="SingleTxtGC"/>
        <w:tabs>
          <w:tab w:val="clear" w:pos="431"/>
          <w:tab w:val="clear" w:pos="1134"/>
          <w:tab w:val="clear" w:pos="1565"/>
          <w:tab w:val="clear" w:pos="1996"/>
          <w:tab w:val="clear" w:pos="2427"/>
          <w:tab w:val="left" w:pos="1701"/>
        </w:tabs>
      </w:pPr>
      <w:r w:rsidRPr="00E55D50">
        <w:rPr>
          <w:rFonts w:hint="eastAsia"/>
        </w:rPr>
        <w:t>55.</w:t>
      </w:r>
      <w:r w:rsidRPr="00E55D50">
        <w:tab/>
      </w:r>
      <w:r w:rsidRPr="00E55D50">
        <w:rPr>
          <w:rFonts w:hint="eastAsia"/>
        </w:rPr>
        <w:t>委员会感到关切的是，缔约国不承认越南的土著人民。委员会注意到已经采取了与少数民族有关的政策，但也关切在努力促进和保护少数民族或宗教少数群体和土著人民的权利方面仍然存在的空白。委员会还感到关切的是，这些群体遭受歧视，包括在教育、就业和其他公共服务方面的歧视。委员会仍然感到关切的是，在就影响这些群体权利的问题进行决策的过程中，没有充分征求他们的意见，也没有提供适当的救济措施，这些问题包括为发展项目没收和分配土地，包括传统和祖传土地。委员会还感到关切的是，这种发展项目对有关群体的文化、生活方式、土地和资源的使用以及生计具有负面影响，导致社会经济不平等的现象加剧</w:t>
      </w:r>
      <w:r w:rsidRPr="00E55D50">
        <w:rPr>
          <w:rFonts w:hint="eastAsia"/>
        </w:rPr>
        <w:t>(</w:t>
      </w:r>
      <w:r w:rsidRPr="00E55D50">
        <w:rPr>
          <w:rFonts w:hint="eastAsia"/>
        </w:rPr>
        <w:t>第二条和第二十六至二十七条</w:t>
      </w:r>
      <w:r w:rsidRPr="00E55D50">
        <w:rPr>
          <w:rFonts w:hint="eastAsia"/>
        </w:rPr>
        <w:t>)</w:t>
      </w:r>
      <w:r w:rsidRPr="00E55D50">
        <w:rPr>
          <w:rFonts w:hint="eastAsia"/>
        </w:rPr>
        <w:t>。</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hint="eastAsia"/>
        </w:rPr>
        <w:t>56.</w:t>
      </w:r>
      <w:r w:rsidRPr="00E55D50">
        <w:rPr>
          <w:rFonts w:eastAsia="黑体"/>
        </w:rPr>
        <w:tab/>
      </w:r>
      <w:r w:rsidRPr="00E55D50">
        <w:rPr>
          <w:rFonts w:eastAsia="黑体" w:hint="eastAsia"/>
        </w:rPr>
        <w:t>缔约国应：</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(a)</w:t>
      </w:r>
      <w:r w:rsidRPr="00E55D50">
        <w:rPr>
          <w:rFonts w:eastAsia="黑体" w:hint="eastAsia"/>
        </w:rPr>
        <w:tab/>
      </w:r>
      <w:r w:rsidRPr="00E55D50">
        <w:rPr>
          <w:rFonts w:eastAsia="黑体" w:hint="eastAsia"/>
        </w:rPr>
        <w:t>通过法律并采取措施，以全面促进和保护属于少数群体的人和土著人民的权利，包括享有自己文化、信奉和实践自己宗教以及使用自己语言的权利；</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b</w:t>
      </w:r>
      <w:r w:rsidRPr="00E55D50">
        <w:rPr>
          <w:rFonts w:eastAsia="黑体" w:hint="eastAsia"/>
        </w:rPr>
        <w:t>)</w:t>
      </w:r>
      <w:r w:rsidRPr="00E55D50">
        <w:rPr>
          <w:rFonts w:eastAsia="黑体" w:hint="eastAsia"/>
        </w:rPr>
        <w:tab/>
      </w:r>
      <w:r w:rsidRPr="00E55D50">
        <w:rPr>
          <w:rFonts w:eastAsia="黑体" w:hint="eastAsia"/>
        </w:rPr>
        <w:t>在不对属于少数群体的人和土著人民产生负面影响的情况下，在他们居住的地区实施经济增长计划，采取一切必要步骤，确保与这些群体就影响他们生计、生活方式和文化的发展项目进行有意义的磋商，并与土著人民进行磋商，以期获得他们自由、事先和知情的同意；</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c</w:t>
      </w:r>
      <w:r w:rsidRPr="00E55D50">
        <w:rPr>
          <w:rFonts w:eastAsia="黑体" w:hint="eastAsia"/>
        </w:rPr>
        <w:t>)</w:t>
      </w:r>
      <w:r w:rsidRPr="00E55D50">
        <w:rPr>
          <w:rFonts w:eastAsia="黑体" w:hint="eastAsia"/>
        </w:rPr>
        <w:tab/>
      </w:r>
      <w:r w:rsidRPr="00E55D50">
        <w:rPr>
          <w:rFonts w:eastAsia="黑体" w:hint="eastAsia"/>
        </w:rPr>
        <w:t>确保有关群体参与任何与其迁移有关的进程，并确保这种迁移按照相关国际标准进行，例如不歧视原则以及知情和被征求意见的权利、获得有效救济的权利、获得充分考虑其传统生活方式的适当迁移地点的权利、酌情保有祖传土地的权利，并在无法迁移时提供充分补偿；</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ab/>
      </w:r>
      <w:r w:rsidRPr="00E55D50">
        <w:rPr>
          <w:rFonts w:eastAsia="黑体" w:hint="eastAsia"/>
        </w:rPr>
        <w:t>(</w:t>
      </w:r>
      <w:r w:rsidRPr="00E55D50">
        <w:rPr>
          <w:rFonts w:eastAsia="黑体"/>
        </w:rPr>
        <w:t>d</w:t>
      </w:r>
      <w:r w:rsidRPr="00E55D50">
        <w:rPr>
          <w:rFonts w:eastAsia="黑体" w:hint="eastAsia"/>
        </w:rPr>
        <w:t>)</w:t>
      </w:r>
      <w:r w:rsidRPr="00E55D50">
        <w:rPr>
          <w:rFonts w:eastAsia="黑体" w:hint="eastAsia"/>
        </w:rPr>
        <w:tab/>
      </w:r>
      <w:r w:rsidRPr="00E55D50">
        <w:rPr>
          <w:rFonts w:eastAsia="黑体" w:hint="eastAsia"/>
        </w:rPr>
        <w:t>采取措施，确保属于族裔或宗教少数群体的人和土著人民不受歧视地有效获得公共服务，包括在发放户口本方面的服务。</w:t>
      </w:r>
    </w:p>
    <w:p w:rsidR="00E55D50" w:rsidRPr="00E55D50" w:rsidRDefault="00E55D50" w:rsidP="002130E2">
      <w:pPr>
        <w:pStyle w:val="H1GC"/>
      </w:pPr>
      <w:r w:rsidRPr="00E55D50">
        <w:tab/>
        <w:t>D.</w:t>
      </w:r>
      <w:r w:rsidRPr="00E55D50">
        <w:tab/>
      </w:r>
      <w:r w:rsidRPr="00E55D50">
        <w:rPr>
          <w:rFonts w:hint="eastAsia"/>
        </w:rPr>
        <w:t>传播和后续行动</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57.</w:t>
      </w:r>
      <w:r w:rsidR="002130E2">
        <w:rPr>
          <w:rFonts w:eastAsia="黑体"/>
        </w:rPr>
        <w:tab/>
      </w:r>
      <w:r w:rsidRPr="00E55D50">
        <w:rPr>
          <w:rFonts w:eastAsia="黑体" w:hint="eastAsia"/>
        </w:rPr>
        <w:t>缔约国应广泛传播《公约》、缔约国的第三次定期报告、对委员会问题清单的书面答复和本结论性意见，以提高司法、立法和行政部门以及在缔约国开展活动的民间社会团体和非政府组织及广大公众对《公约》所载权利的认识。缔约国应确保将第三次定期报告和本结论性意见译成缔约国的官方语言。</w:t>
      </w:r>
    </w:p>
    <w:p w:rsidR="00E55D50" w:rsidRPr="00E55D50"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t>58.</w:t>
      </w:r>
      <w:r w:rsidR="002130E2">
        <w:rPr>
          <w:rFonts w:eastAsia="黑体"/>
        </w:rPr>
        <w:tab/>
      </w:r>
      <w:r w:rsidRPr="00E55D50">
        <w:rPr>
          <w:rFonts w:eastAsia="黑体" w:hint="eastAsia"/>
        </w:rPr>
        <w:t>根据委员会议事规则第</w:t>
      </w:r>
      <w:r w:rsidRPr="00E55D50">
        <w:rPr>
          <w:rFonts w:eastAsia="黑体"/>
        </w:rPr>
        <w:t>75</w:t>
      </w:r>
      <w:r w:rsidRPr="00E55D50">
        <w:rPr>
          <w:rFonts w:eastAsia="黑体" w:hint="eastAsia"/>
        </w:rPr>
        <w:t>条第</w:t>
      </w:r>
      <w:r w:rsidRPr="00E55D50">
        <w:rPr>
          <w:rFonts w:eastAsia="黑体"/>
        </w:rPr>
        <w:t>1</w:t>
      </w:r>
      <w:r w:rsidRPr="00E55D50">
        <w:rPr>
          <w:rFonts w:eastAsia="黑体" w:hint="eastAsia"/>
        </w:rPr>
        <w:t>款，缔约国应在</w:t>
      </w:r>
      <w:r w:rsidRPr="00E55D50">
        <w:rPr>
          <w:rFonts w:eastAsia="黑体" w:hint="eastAsia"/>
        </w:rPr>
        <w:t>202</w:t>
      </w:r>
      <w:r w:rsidRPr="00E55D50">
        <w:rPr>
          <w:rFonts w:eastAsia="黑体"/>
        </w:rPr>
        <w:t>1</w:t>
      </w:r>
      <w:r w:rsidRPr="00E55D50">
        <w:rPr>
          <w:rFonts w:eastAsia="黑体" w:hint="eastAsia"/>
        </w:rPr>
        <w:t>年</w:t>
      </w:r>
      <w:r w:rsidRPr="00E55D50">
        <w:rPr>
          <w:rFonts w:eastAsia="黑体"/>
        </w:rPr>
        <w:t>3</w:t>
      </w:r>
      <w:r w:rsidRPr="00E55D50">
        <w:rPr>
          <w:rFonts w:eastAsia="黑体" w:hint="eastAsia"/>
        </w:rPr>
        <w:t>月</w:t>
      </w:r>
      <w:r w:rsidRPr="00E55D50">
        <w:rPr>
          <w:rFonts w:eastAsia="黑体" w:hint="eastAsia"/>
        </w:rPr>
        <w:t>2</w:t>
      </w:r>
      <w:r w:rsidRPr="00E55D50">
        <w:rPr>
          <w:rFonts w:eastAsia="黑体"/>
        </w:rPr>
        <w:t>9</w:t>
      </w:r>
      <w:r w:rsidRPr="00E55D50">
        <w:rPr>
          <w:rFonts w:eastAsia="黑体" w:hint="eastAsia"/>
        </w:rPr>
        <w:t>日前提供资料，说明委员会在上文第</w:t>
      </w:r>
      <w:r w:rsidRPr="00E55D50">
        <w:rPr>
          <w:rFonts w:eastAsia="黑体"/>
        </w:rPr>
        <w:t>24</w:t>
      </w:r>
      <w:r w:rsidRPr="00E55D50">
        <w:rPr>
          <w:rFonts w:eastAsia="黑体" w:hint="eastAsia"/>
        </w:rPr>
        <w:t>段</w:t>
      </w:r>
      <w:r w:rsidRPr="00E55D50">
        <w:rPr>
          <w:rFonts w:eastAsia="黑体" w:hint="eastAsia"/>
        </w:rPr>
        <w:t>(</w:t>
      </w:r>
      <w:r w:rsidRPr="00E55D50">
        <w:rPr>
          <w:rFonts w:eastAsia="黑体" w:hint="eastAsia"/>
        </w:rPr>
        <w:t>死刑</w:t>
      </w:r>
      <w:r w:rsidRPr="00E55D50">
        <w:rPr>
          <w:rFonts w:eastAsia="黑体" w:hint="eastAsia"/>
        </w:rPr>
        <w:t>)</w:t>
      </w:r>
      <w:r w:rsidRPr="00E55D50">
        <w:rPr>
          <w:rFonts w:eastAsia="黑体" w:hint="eastAsia"/>
        </w:rPr>
        <w:t>、第</w:t>
      </w:r>
      <w:r w:rsidRPr="00E55D50">
        <w:rPr>
          <w:rFonts w:eastAsia="黑体"/>
        </w:rPr>
        <w:t>46</w:t>
      </w:r>
      <w:r w:rsidRPr="00E55D50">
        <w:rPr>
          <w:rFonts w:eastAsia="黑体" w:hint="eastAsia"/>
        </w:rPr>
        <w:t>段</w:t>
      </w:r>
      <w:r w:rsidRPr="00E55D50">
        <w:rPr>
          <w:rFonts w:eastAsia="黑体" w:hint="eastAsia"/>
        </w:rPr>
        <w:t>(</w:t>
      </w:r>
      <w:r w:rsidRPr="00E55D50">
        <w:rPr>
          <w:rFonts w:eastAsia="黑体" w:hint="eastAsia"/>
        </w:rPr>
        <w:t>言论自由</w:t>
      </w:r>
      <w:r w:rsidRPr="00E55D50">
        <w:rPr>
          <w:rFonts w:eastAsia="黑体" w:hint="eastAsia"/>
        </w:rPr>
        <w:t>)</w:t>
      </w:r>
      <w:r w:rsidRPr="00E55D50">
        <w:rPr>
          <w:rFonts w:eastAsia="黑体" w:hint="eastAsia"/>
        </w:rPr>
        <w:t>和第</w:t>
      </w:r>
      <w:r w:rsidRPr="00E55D50">
        <w:rPr>
          <w:rFonts w:eastAsia="黑体"/>
        </w:rPr>
        <w:t>52</w:t>
      </w:r>
      <w:r w:rsidRPr="00E55D50">
        <w:rPr>
          <w:rFonts w:eastAsia="黑体" w:hint="eastAsia"/>
        </w:rPr>
        <w:t>段</w:t>
      </w:r>
      <w:r w:rsidRPr="00E55D50">
        <w:rPr>
          <w:rFonts w:eastAsia="黑体" w:hint="eastAsia"/>
        </w:rPr>
        <w:t>(</w:t>
      </w:r>
      <w:r w:rsidRPr="00E55D50">
        <w:rPr>
          <w:rFonts w:eastAsia="黑体" w:hint="eastAsia"/>
        </w:rPr>
        <w:t>人权维护者</w:t>
      </w:r>
      <w:r w:rsidRPr="00E55D50">
        <w:rPr>
          <w:rFonts w:eastAsia="黑体" w:hint="eastAsia"/>
        </w:rPr>
        <w:t>)</w:t>
      </w:r>
      <w:r w:rsidRPr="00E55D50">
        <w:rPr>
          <w:rFonts w:eastAsia="黑体" w:hint="eastAsia"/>
        </w:rPr>
        <w:t>所提建议的落实情况。</w:t>
      </w:r>
    </w:p>
    <w:p w:rsidR="0043611C" w:rsidRDefault="00E55D50" w:rsidP="00E55D50">
      <w:pPr>
        <w:pStyle w:val="SingleTxtGC"/>
        <w:tabs>
          <w:tab w:val="clear" w:pos="431"/>
          <w:tab w:val="clear" w:pos="1134"/>
          <w:tab w:val="clear" w:pos="1565"/>
          <w:tab w:val="clear" w:pos="1996"/>
          <w:tab w:val="clear" w:pos="2427"/>
          <w:tab w:val="left" w:pos="1701"/>
        </w:tabs>
        <w:rPr>
          <w:rFonts w:eastAsia="黑体"/>
        </w:rPr>
      </w:pPr>
      <w:r w:rsidRPr="00E55D50">
        <w:rPr>
          <w:rFonts w:eastAsia="黑体"/>
        </w:rPr>
        <w:lastRenderedPageBreak/>
        <w:t>59.</w:t>
      </w:r>
      <w:r w:rsidR="00DB5BB8">
        <w:rPr>
          <w:rFonts w:eastAsia="黑体"/>
        </w:rPr>
        <w:tab/>
      </w:r>
      <w:r w:rsidRPr="00E55D50">
        <w:rPr>
          <w:rFonts w:eastAsia="黑体" w:hint="eastAsia"/>
        </w:rPr>
        <w:t>委员会请缔约国在</w:t>
      </w:r>
      <w:r w:rsidRPr="00E55D50">
        <w:rPr>
          <w:rFonts w:eastAsia="黑体" w:hint="eastAsia"/>
        </w:rPr>
        <w:t>2023</w:t>
      </w:r>
      <w:r w:rsidRPr="00E55D50">
        <w:rPr>
          <w:rFonts w:eastAsia="黑体" w:hint="eastAsia"/>
        </w:rPr>
        <w:t>年</w:t>
      </w:r>
      <w:r w:rsidRPr="00E55D50">
        <w:rPr>
          <w:rFonts w:eastAsia="黑体" w:hint="eastAsia"/>
        </w:rPr>
        <w:t>3</w:t>
      </w:r>
      <w:r w:rsidRPr="00E55D50">
        <w:rPr>
          <w:rFonts w:eastAsia="黑体" w:hint="eastAsia"/>
        </w:rPr>
        <w:t>月</w:t>
      </w:r>
      <w:r w:rsidRPr="00E55D50">
        <w:rPr>
          <w:rFonts w:eastAsia="黑体" w:hint="eastAsia"/>
        </w:rPr>
        <w:t>29</w:t>
      </w:r>
      <w:r w:rsidRPr="00E55D50">
        <w:rPr>
          <w:rFonts w:eastAsia="黑体" w:hint="eastAsia"/>
        </w:rPr>
        <w:t>日前提交下次定期报告，载列具体和最新资料说明落实本结论性意见所提建议和全面履行《公约》的情况。委员会还请缔约国在编写报告时广泛征求在缔约国开展活动的民间社会团体和非政府组织的意见。按照大会第</w:t>
      </w:r>
      <w:r w:rsidRPr="00E55D50">
        <w:rPr>
          <w:rFonts w:eastAsia="黑体" w:hint="eastAsia"/>
        </w:rPr>
        <w:t>68/268</w:t>
      </w:r>
      <w:r w:rsidRPr="00E55D50">
        <w:rPr>
          <w:rFonts w:eastAsia="黑体" w:hint="eastAsia"/>
        </w:rPr>
        <w:t>号决议，报告字数应限制在</w:t>
      </w:r>
      <w:r w:rsidRPr="00E55D50">
        <w:rPr>
          <w:rFonts w:eastAsia="黑体"/>
        </w:rPr>
        <w:t>21,200</w:t>
      </w:r>
      <w:r w:rsidRPr="00E55D50">
        <w:rPr>
          <w:rFonts w:eastAsia="黑体" w:hint="eastAsia"/>
        </w:rPr>
        <w:t>字以内。委员会鼓励所有国家在提交报告时采用简化报告程序。如果缔约国希望下次报告采用简化报告程序，请在收到本结论性意见后的一年内通知委员会。缔约国对委员会依照简化报告程序编写的问题清单所做的答复将构成其根据《公约》第四十条提交的下次定期报告。</w:t>
      </w:r>
    </w:p>
    <w:p w:rsidR="005B09DD" w:rsidRPr="0002544A" w:rsidRDefault="0002544A" w:rsidP="0002544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B09DD" w:rsidRPr="0002544A"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422" w:rsidRPr="000D319F" w:rsidRDefault="00641422" w:rsidP="000D319F">
      <w:pPr>
        <w:pStyle w:val="af0"/>
        <w:spacing w:after="240"/>
        <w:ind w:left="907"/>
        <w:rPr>
          <w:rFonts w:asciiTheme="majorBidi" w:eastAsia="宋体" w:hAnsiTheme="majorBidi" w:cstheme="majorBidi"/>
          <w:sz w:val="21"/>
          <w:szCs w:val="21"/>
          <w:lang w:val="en-US"/>
        </w:rPr>
      </w:pPr>
    </w:p>
    <w:p w:rsidR="00641422" w:rsidRPr="000D319F" w:rsidRDefault="0064142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41422" w:rsidRPr="000D319F" w:rsidRDefault="00641422" w:rsidP="000D319F">
      <w:pPr>
        <w:pStyle w:val="af0"/>
      </w:pPr>
    </w:p>
  </w:endnote>
  <w:endnote w:type="continuationNotice" w:id="1">
    <w:p w:rsidR="00641422" w:rsidRDefault="006414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3611C" w:rsidRDefault="0043611C" w:rsidP="0043611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3611C">
      <w:rPr>
        <w:rStyle w:val="af2"/>
        <w:b w:val="0"/>
        <w:snapToGrid w:val="0"/>
        <w:sz w:val="16"/>
      </w:rPr>
      <w:t>GE.19-14770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3611C" w:rsidRDefault="0043611C" w:rsidP="0043611C">
    <w:pPr>
      <w:pStyle w:val="af0"/>
      <w:tabs>
        <w:tab w:val="clear" w:pos="431"/>
        <w:tab w:val="right" w:pos="9638"/>
      </w:tabs>
      <w:rPr>
        <w:rStyle w:val="af2"/>
      </w:rPr>
    </w:pPr>
    <w:r>
      <w:t>GE.19-14770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43611C" w:rsidP="00487939">
    <w:pPr>
      <w:pStyle w:val="af0"/>
      <w:tabs>
        <w:tab w:val="left" w:pos="1701"/>
        <w:tab w:val="left" w:pos="2552"/>
        <w:tab w:val="left" w:pos="8448"/>
      </w:tabs>
      <w:spacing w:before="360"/>
      <w:rPr>
        <w:rFonts w:eastAsiaTheme="minorEastAsia"/>
        <w:b/>
        <w:sz w:val="21"/>
        <w:lang w:eastAsia="zh-CN"/>
      </w:rPr>
    </w:pPr>
    <w:r>
      <w:rPr>
        <w:sz w:val="20"/>
        <w:lang w:eastAsia="zh-CN"/>
      </w:rPr>
      <w:t>GE.19-14770</w:t>
    </w:r>
    <w:r w:rsidR="00731A42" w:rsidRPr="00EE277A">
      <w:rPr>
        <w:sz w:val="20"/>
        <w:lang w:eastAsia="zh-CN"/>
      </w:rPr>
      <w:t xml:space="preserve"> (C)</w:t>
    </w:r>
    <w:r w:rsidR="00EA7E67">
      <w:rPr>
        <w:sz w:val="20"/>
        <w:lang w:eastAsia="zh-CN"/>
      </w:rPr>
      <w:tab/>
    </w:r>
    <w:r w:rsidR="00645AAA">
      <w:rPr>
        <w:sz w:val="20"/>
        <w:lang w:eastAsia="zh-CN"/>
      </w:rPr>
      <w:t>1709</w:t>
    </w:r>
    <w:r w:rsidR="00EA7E67">
      <w:rPr>
        <w:sz w:val="20"/>
        <w:lang w:eastAsia="zh-CN"/>
      </w:rPr>
      <w:t>1</w:t>
    </w:r>
    <w:r w:rsidR="004E473D">
      <w:rPr>
        <w:rFonts w:eastAsiaTheme="minorEastAsia"/>
        <w:sz w:val="20"/>
        <w:lang w:eastAsia="zh-CN"/>
      </w:rPr>
      <w:t>9</w:t>
    </w:r>
    <w:r w:rsidR="00731A42">
      <w:rPr>
        <w:sz w:val="20"/>
        <w:lang w:eastAsia="zh-CN"/>
      </w:rPr>
      <w:tab/>
    </w:r>
    <w:r w:rsidR="00645AAA">
      <w:rPr>
        <w:sz w:val="20"/>
        <w:lang w:eastAsia="zh-CN"/>
      </w:rPr>
      <w:t>1911</w:t>
    </w:r>
    <w:r w:rsidR="00731A42">
      <w:rPr>
        <w:sz w:val="20"/>
        <w:lang w:eastAsia="zh-CN"/>
      </w:rPr>
      <w:t>1</w:t>
    </w:r>
    <w:r w:rsidR="004E473D">
      <w:rPr>
        <w:rFonts w:eastAsiaTheme="minorEastAsia"/>
        <w:sz w:val="20"/>
        <w:lang w:eastAsia="zh-CN"/>
      </w:rPr>
      <w:t>9</w:t>
    </w:r>
  </w:p>
  <w:p w:rsidR="00056632" w:rsidRPr="00487939" w:rsidRDefault="0043611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VNM/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422" w:rsidRPr="000157B1" w:rsidRDefault="0064142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41422" w:rsidRPr="000157B1" w:rsidRDefault="0064142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41422" w:rsidRDefault="00641422"/>
  </w:footnote>
  <w:footnote w:id="2">
    <w:p w:rsidR="00E55D50" w:rsidRDefault="00E55D50" w:rsidP="00E55D50">
      <w:pPr>
        <w:pStyle w:val="a6"/>
        <w:spacing w:after="0"/>
      </w:pPr>
      <w:r w:rsidRPr="004F2C80">
        <w:rPr>
          <w:sz w:val="21"/>
          <w:szCs w:val="21"/>
        </w:rPr>
        <w:tab/>
      </w:r>
      <w:r w:rsidRPr="00C24333">
        <w:rPr>
          <w:color w:val="0000CC"/>
          <w:sz w:val="21"/>
          <w:szCs w:val="21"/>
        </w:rPr>
        <w:t>*</w:t>
      </w:r>
      <w:r w:rsidRPr="004F2C80">
        <w:rPr>
          <w:sz w:val="21"/>
          <w:szCs w:val="21"/>
        </w:rPr>
        <w:tab/>
      </w:r>
      <w:r>
        <w:rPr>
          <w:rFonts w:hint="eastAsia"/>
        </w:rPr>
        <w:t>委员会第一</w:t>
      </w:r>
      <w:r w:rsidR="006F7D61">
        <w:rPr>
          <w:rFonts w:hint="eastAsia"/>
        </w:rPr>
        <w:t>百</w:t>
      </w:r>
      <w:r>
        <w:rPr>
          <w:rFonts w:hint="eastAsia"/>
        </w:rPr>
        <w:t>二</w:t>
      </w:r>
      <w:r w:rsidR="006F7D61">
        <w:rPr>
          <w:rFonts w:hint="eastAsia"/>
        </w:rPr>
        <w:t>十</w:t>
      </w:r>
      <w:r>
        <w:rPr>
          <w:rFonts w:hint="eastAsia"/>
        </w:rPr>
        <w:t>五届会议</w:t>
      </w:r>
      <w:r>
        <w:rPr>
          <w:rFonts w:hint="eastAsia"/>
        </w:rPr>
        <w:t>(201</w:t>
      </w:r>
      <w:r>
        <w:t>9</w:t>
      </w:r>
      <w:r>
        <w:rPr>
          <w:rFonts w:hint="eastAsia"/>
        </w:rPr>
        <w:t>年</w:t>
      </w:r>
      <w:r>
        <w:t>3</w:t>
      </w:r>
      <w:r>
        <w:rPr>
          <w:rFonts w:hint="eastAsia"/>
        </w:rPr>
        <w:t>月</w:t>
      </w:r>
      <w:r>
        <w:t>4</w:t>
      </w:r>
      <w:r>
        <w:rPr>
          <w:rFonts w:hint="eastAsia"/>
        </w:rPr>
        <w:t>日至</w:t>
      </w:r>
      <w:r>
        <w:t>29</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43611C" w:rsidP="0043611C">
    <w:pPr>
      <w:pStyle w:val="af3"/>
    </w:pPr>
    <w:r>
      <w:t>CCPR/C/VNM/CO/3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43611C" w:rsidP="0043611C">
    <w:pPr>
      <w:pStyle w:val="af3"/>
      <w:jc w:val="right"/>
    </w:pPr>
    <w:r>
      <w:t>CCPR/C/VNM/CO/3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106FB1"/>
    <w:multiLevelType w:val="hybridMultilevel"/>
    <w:tmpl w:val="2B2241D4"/>
    <w:lvl w:ilvl="0" w:tplc="BD563156">
      <w:start w:val="1"/>
      <w:numFmt w:val="lowerLetter"/>
      <w:lvlText w:val="(%1)"/>
      <w:lvlJc w:val="left"/>
      <w:pPr>
        <w:ind w:left="1719" w:hanging="435"/>
      </w:pPr>
      <w:rPr>
        <w:rFonts w:hint="default"/>
      </w:rPr>
    </w:lvl>
    <w:lvl w:ilvl="1" w:tplc="04090019" w:tentative="1">
      <w:start w:val="1"/>
      <w:numFmt w:val="lowerLetter"/>
      <w:lvlText w:val="%2)"/>
      <w:lvlJc w:val="left"/>
      <w:pPr>
        <w:ind w:left="2124" w:hanging="420"/>
      </w:pPr>
    </w:lvl>
    <w:lvl w:ilvl="2" w:tplc="0409001B" w:tentative="1">
      <w:start w:val="1"/>
      <w:numFmt w:val="lowerRoman"/>
      <w:lvlText w:val="%3."/>
      <w:lvlJc w:val="right"/>
      <w:pPr>
        <w:ind w:left="2544" w:hanging="420"/>
      </w:pPr>
    </w:lvl>
    <w:lvl w:ilvl="3" w:tplc="0409000F" w:tentative="1">
      <w:start w:val="1"/>
      <w:numFmt w:val="decimal"/>
      <w:lvlText w:val="%4."/>
      <w:lvlJc w:val="left"/>
      <w:pPr>
        <w:ind w:left="2964" w:hanging="420"/>
      </w:pPr>
    </w:lvl>
    <w:lvl w:ilvl="4" w:tplc="04090019" w:tentative="1">
      <w:start w:val="1"/>
      <w:numFmt w:val="lowerLetter"/>
      <w:lvlText w:val="%5)"/>
      <w:lvlJc w:val="left"/>
      <w:pPr>
        <w:ind w:left="3384" w:hanging="420"/>
      </w:pPr>
    </w:lvl>
    <w:lvl w:ilvl="5" w:tplc="0409001B" w:tentative="1">
      <w:start w:val="1"/>
      <w:numFmt w:val="lowerRoman"/>
      <w:lvlText w:val="%6."/>
      <w:lvlJc w:val="right"/>
      <w:pPr>
        <w:ind w:left="3804" w:hanging="420"/>
      </w:pPr>
    </w:lvl>
    <w:lvl w:ilvl="6" w:tplc="0409000F" w:tentative="1">
      <w:start w:val="1"/>
      <w:numFmt w:val="decimal"/>
      <w:lvlText w:val="%7."/>
      <w:lvlJc w:val="left"/>
      <w:pPr>
        <w:ind w:left="4224" w:hanging="420"/>
      </w:pPr>
    </w:lvl>
    <w:lvl w:ilvl="7" w:tplc="04090019" w:tentative="1">
      <w:start w:val="1"/>
      <w:numFmt w:val="lowerLetter"/>
      <w:lvlText w:val="%8)"/>
      <w:lvlJc w:val="left"/>
      <w:pPr>
        <w:ind w:left="4644" w:hanging="420"/>
      </w:pPr>
    </w:lvl>
    <w:lvl w:ilvl="8" w:tplc="0409001B" w:tentative="1">
      <w:start w:val="1"/>
      <w:numFmt w:val="lowerRoman"/>
      <w:lvlText w:val="%9."/>
      <w:lvlJc w:val="right"/>
      <w:pPr>
        <w:ind w:left="5064" w:hanging="420"/>
      </w:pPr>
    </w:lvl>
  </w:abstractNum>
  <w:abstractNum w:abstractNumId="2" w15:restartNumberingAfterBreak="0">
    <w:nsid w:val="06AF1B70"/>
    <w:multiLevelType w:val="hybridMultilevel"/>
    <w:tmpl w:val="FC3A059A"/>
    <w:lvl w:ilvl="0" w:tplc="2280E8F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 w15:restartNumberingAfterBreak="0">
    <w:nsid w:val="07F15E2F"/>
    <w:multiLevelType w:val="hybridMultilevel"/>
    <w:tmpl w:val="2E689AF8"/>
    <w:lvl w:ilvl="0" w:tplc="EDA20E8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 w15:restartNumberingAfterBreak="0">
    <w:nsid w:val="08CE7939"/>
    <w:multiLevelType w:val="hybridMultilevel"/>
    <w:tmpl w:val="A0CAE68E"/>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F1C4595"/>
    <w:multiLevelType w:val="hybridMultilevel"/>
    <w:tmpl w:val="E7600E80"/>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129509AF"/>
    <w:multiLevelType w:val="hybridMultilevel"/>
    <w:tmpl w:val="6E1C8B0A"/>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4DA14CC"/>
    <w:multiLevelType w:val="hybridMultilevel"/>
    <w:tmpl w:val="35963A94"/>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5127E7B"/>
    <w:multiLevelType w:val="hybridMultilevel"/>
    <w:tmpl w:val="3FBEAE02"/>
    <w:lvl w:ilvl="0" w:tplc="4D228BE4">
      <w:start w:val="1"/>
      <w:numFmt w:val="lowerLetter"/>
      <w:lvlText w:val="(%1)"/>
      <w:lvlJc w:val="left"/>
      <w:pPr>
        <w:ind w:left="1719" w:hanging="435"/>
      </w:pPr>
      <w:rPr>
        <w:rFonts w:hint="default"/>
      </w:rPr>
    </w:lvl>
    <w:lvl w:ilvl="1" w:tplc="04090019" w:tentative="1">
      <w:start w:val="1"/>
      <w:numFmt w:val="lowerLetter"/>
      <w:lvlText w:val="%2)"/>
      <w:lvlJc w:val="left"/>
      <w:pPr>
        <w:ind w:left="2124" w:hanging="420"/>
      </w:pPr>
    </w:lvl>
    <w:lvl w:ilvl="2" w:tplc="0409001B" w:tentative="1">
      <w:start w:val="1"/>
      <w:numFmt w:val="lowerRoman"/>
      <w:lvlText w:val="%3."/>
      <w:lvlJc w:val="right"/>
      <w:pPr>
        <w:ind w:left="2544" w:hanging="420"/>
      </w:pPr>
    </w:lvl>
    <w:lvl w:ilvl="3" w:tplc="0409000F" w:tentative="1">
      <w:start w:val="1"/>
      <w:numFmt w:val="decimal"/>
      <w:lvlText w:val="%4."/>
      <w:lvlJc w:val="left"/>
      <w:pPr>
        <w:ind w:left="2964" w:hanging="420"/>
      </w:pPr>
    </w:lvl>
    <w:lvl w:ilvl="4" w:tplc="04090019" w:tentative="1">
      <w:start w:val="1"/>
      <w:numFmt w:val="lowerLetter"/>
      <w:lvlText w:val="%5)"/>
      <w:lvlJc w:val="left"/>
      <w:pPr>
        <w:ind w:left="3384" w:hanging="420"/>
      </w:pPr>
    </w:lvl>
    <w:lvl w:ilvl="5" w:tplc="0409001B" w:tentative="1">
      <w:start w:val="1"/>
      <w:numFmt w:val="lowerRoman"/>
      <w:lvlText w:val="%6."/>
      <w:lvlJc w:val="right"/>
      <w:pPr>
        <w:ind w:left="3804" w:hanging="420"/>
      </w:pPr>
    </w:lvl>
    <w:lvl w:ilvl="6" w:tplc="0409000F" w:tentative="1">
      <w:start w:val="1"/>
      <w:numFmt w:val="decimal"/>
      <w:lvlText w:val="%7."/>
      <w:lvlJc w:val="left"/>
      <w:pPr>
        <w:ind w:left="4224" w:hanging="420"/>
      </w:pPr>
    </w:lvl>
    <w:lvl w:ilvl="7" w:tplc="04090019" w:tentative="1">
      <w:start w:val="1"/>
      <w:numFmt w:val="lowerLetter"/>
      <w:lvlText w:val="%8)"/>
      <w:lvlJc w:val="left"/>
      <w:pPr>
        <w:ind w:left="4644" w:hanging="420"/>
      </w:pPr>
    </w:lvl>
    <w:lvl w:ilvl="8" w:tplc="0409001B" w:tentative="1">
      <w:start w:val="1"/>
      <w:numFmt w:val="lowerRoman"/>
      <w:lvlText w:val="%9."/>
      <w:lvlJc w:val="right"/>
      <w:pPr>
        <w:ind w:left="5064" w:hanging="420"/>
      </w:pPr>
    </w:lvl>
  </w:abstractNum>
  <w:abstractNum w:abstractNumId="10"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C5769CF"/>
    <w:multiLevelType w:val="hybridMultilevel"/>
    <w:tmpl w:val="0D78F2F6"/>
    <w:lvl w:ilvl="0" w:tplc="14927C2A">
      <w:start w:val="1"/>
      <w:numFmt w:val="lowerLetter"/>
      <w:lvlText w:val="(%1)"/>
      <w:lvlJc w:val="left"/>
      <w:pPr>
        <w:ind w:left="3123" w:hanging="43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1E722273"/>
    <w:multiLevelType w:val="hybridMultilevel"/>
    <w:tmpl w:val="A634AC5E"/>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0EC3A48"/>
    <w:multiLevelType w:val="hybridMultilevel"/>
    <w:tmpl w:val="042EA51A"/>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9923DC"/>
    <w:multiLevelType w:val="hybridMultilevel"/>
    <w:tmpl w:val="F6D03CB6"/>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2C753C80"/>
    <w:multiLevelType w:val="hybridMultilevel"/>
    <w:tmpl w:val="6F1E5B0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57D36B3"/>
    <w:multiLevelType w:val="hybridMultilevel"/>
    <w:tmpl w:val="9ACAE6FC"/>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7" w15:restartNumberingAfterBreak="0">
    <w:nsid w:val="35874AC4"/>
    <w:multiLevelType w:val="hybridMultilevel"/>
    <w:tmpl w:val="3C0042E8"/>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36B20A7F"/>
    <w:multiLevelType w:val="hybridMultilevel"/>
    <w:tmpl w:val="9078B798"/>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370B5B20"/>
    <w:multiLevelType w:val="hybridMultilevel"/>
    <w:tmpl w:val="14B6D55E"/>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0" w15:restartNumberingAfterBreak="0">
    <w:nsid w:val="378065D8"/>
    <w:multiLevelType w:val="hybridMultilevel"/>
    <w:tmpl w:val="22F43C46"/>
    <w:lvl w:ilvl="0" w:tplc="B24469B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4E363387"/>
    <w:multiLevelType w:val="hybridMultilevel"/>
    <w:tmpl w:val="FE92DFDA"/>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5086705F"/>
    <w:multiLevelType w:val="hybridMultilevel"/>
    <w:tmpl w:val="156EA1D8"/>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3" w15:restartNumberingAfterBreak="0">
    <w:nsid w:val="527E7859"/>
    <w:multiLevelType w:val="hybridMultilevel"/>
    <w:tmpl w:val="9A2E81A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9AE26A4"/>
    <w:multiLevelType w:val="hybridMultilevel"/>
    <w:tmpl w:val="1920549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5E287807"/>
    <w:multiLevelType w:val="hybridMultilevel"/>
    <w:tmpl w:val="D30E7238"/>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6" w15:restartNumberingAfterBreak="0">
    <w:nsid w:val="5F465122"/>
    <w:multiLevelType w:val="hybridMultilevel"/>
    <w:tmpl w:val="A8126342"/>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6A643C0C"/>
    <w:multiLevelType w:val="hybridMultilevel"/>
    <w:tmpl w:val="A0CEAFA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E1862F4"/>
    <w:multiLevelType w:val="hybridMultilevel"/>
    <w:tmpl w:val="B5C82B64"/>
    <w:lvl w:ilvl="0" w:tplc="A92C804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2" w15:restartNumberingAfterBreak="0">
    <w:nsid w:val="77357504"/>
    <w:multiLevelType w:val="hybridMultilevel"/>
    <w:tmpl w:val="DC30CDE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27"/>
  </w:num>
  <w:num w:numId="3">
    <w:abstractNumId w:val="10"/>
  </w:num>
  <w:num w:numId="4">
    <w:abstractNumId w:val="0"/>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4"/>
  </w:num>
  <w:num w:numId="9">
    <w:abstractNumId w:val="20"/>
  </w:num>
  <w:num w:numId="10">
    <w:abstractNumId w:val="32"/>
  </w:num>
  <w:num w:numId="11">
    <w:abstractNumId w:val="31"/>
  </w:num>
  <w:num w:numId="12">
    <w:abstractNumId w:val="15"/>
  </w:num>
  <w:num w:numId="13">
    <w:abstractNumId w:val="3"/>
  </w:num>
  <w:num w:numId="14">
    <w:abstractNumId w:val="30"/>
  </w:num>
  <w:num w:numId="15">
    <w:abstractNumId w:val="2"/>
  </w:num>
  <w:num w:numId="16">
    <w:abstractNumId w:val="23"/>
  </w:num>
  <w:num w:numId="17">
    <w:abstractNumId w:val="5"/>
  </w:num>
  <w:num w:numId="18">
    <w:abstractNumId w:val="11"/>
  </w:num>
  <w:num w:numId="19">
    <w:abstractNumId w:val="14"/>
  </w:num>
  <w:num w:numId="20">
    <w:abstractNumId w:val="8"/>
  </w:num>
  <w:num w:numId="21">
    <w:abstractNumId w:val="22"/>
  </w:num>
  <w:num w:numId="22">
    <w:abstractNumId w:val="13"/>
  </w:num>
  <w:num w:numId="23">
    <w:abstractNumId w:val="25"/>
  </w:num>
  <w:num w:numId="24">
    <w:abstractNumId w:val="17"/>
  </w:num>
  <w:num w:numId="25">
    <w:abstractNumId w:val="6"/>
  </w:num>
  <w:num w:numId="26">
    <w:abstractNumId w:val="16"/>
  </w:num>
  <w:num w:numId="27">
    <w:abstractNumId w:val="4"/>
  </w:num>
  <w:num w:numId="28">
    <w:abstractNumId w:val="19"/>
  </w:num>
  <w:num w:numId="29">
    <w:abstractNumId w:val="12"/>
  </w:num>
  <w:num w:numId="30">
    <w:abstractNumId w:val="1"/>
  </w:num>
  <w:num w:numId="31">
    <w:abstractNumId w:val="21"/>
  </w:num>
  <w:num w:numId="32">
    <w:abstractNumId w:val="9"/>
  </w:num>
  <w:num w:numId="33">
    <w:abstractNumId w:val="26"/>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41422"/>
    <w:rsid w:val="00011483"/>
    <w:rsid w:val="0002544A"/>
    <w:rsid w:val="00025B32"/>
    <w:rsid w:val="0004554F"/>
    <w:rsid w:val="000A1AAE"/>
    <w:rsid w:val="000D319F"/>
    <w:rsid w:val="000E4D0E"/>
    <w:rsid w:val="000F5EB8"/>
    <w:rsid w:val="000F7301"/>
    <w:rsid w:val="00123F71"/>
    <w:rsid w:val="00144B69"/>
    <w:rsid w:val="00153E86"/>
    <w:rsid w:val="00160341"/>
    <w:rsid w:val="00172E04"/>
    <w:rsid w:val="001B1BD1"/>
    <w:rsid w:val="001C3EF2"/>
    <w:rsid w:val="001C56DF"/>
    <w:rsid w:val="001D17F6"/>
    <w:rsid w:val="001F7738"/>
    <w:rsid w:val="00204B42"/>
    <w:rsid w:val="0021265F"/>
    <w:rsid w:val="002130E2"/>
    <w:rsid w:val="002231C3"/>
    <w:rsid w:val="00242C3D"/>
    <w:rsid w:val="0024417F"/>
    <w:rsid w:val="00250F8D"/>
    <w:rsid w:val="002E1C97"/>
    <w:rsid w:val="002F5834"/>
    <w:rsid w:val="003006AB"/>
    <w:rsid w:val="00326EBF"/>
    <w:rsid w:val="00327FE4"/>
    <w:rsid w:val="003333CC"/>
    <w:rsid w:val="003779C9"/>
    <w:rsid w:val="00392B53"/>
    <w:rsid w:val="003D73C7"/>
    <w:rsid w:val="00403B56"/>
    <w:rsid w:val="00403F35"/>
    <w:rsid w:val="004059A8"/>
    <w:rsid w:val="00427F63"/>
    <w:rsid w:val="00434D38"/>
    <w:rsid w:val="0043611C"/>
    <w:rsid w:val="00494EB8"/>
    <w:rsid w:val="004C4A0A"/>
    <w:rsid w:val="004D0A00"/>
    <w:rsid w:val="004E473D"/>
    <w:rsid w:val="004E6FC2"/>
    <w:rsid w:val="004F348E"/>
    <w:rsid w:val="004F6498"/>
    <w:rsid w:val="00501220"/>
    <w:rsid w:val="00556935"/>
    <w:rsid w:val="005B09DD"/>
    <w:rsid w:val="005E403A"/>
    <w:rsid w:val="005E4086"/>
    <w:rsid w:val="00604D91"/>
    <w:rsid w:val="006257FE"/>
    <w:rsid w:val="00641422"/>
    <w:rsid w:val="00645AAA"/>
    <w:rsid w:val="00670DEE"/>
    <w:rsid w:val="00675B64"/>
    <w:rsid w:val="00680656"/>
    <w:rsid w:val="00684FD9"/>
    <w:rsid w:val="006A193E"/>
    <w:rsid w:val="006B1119"/>
    <w:rsid w:val="006D3757"/>
    <w:rsid w:val="006D37EB"/>
    <w:rsid w:val="006D687A"/>
    <w:rsid w:val="006E3083"/>
    <w:rsid w:val="006E3E46"/>
    <w:rsid w:val="006E71B1"/>
    <w:rsid w:val="006F1404"/>
    <w:rsid w:val="006F68CA"/>
    <w:rsid w:val="006F7D61"/>
    <w:rsid w:val="0070593B"/>
    <w:rsid w:val="00705D89"/>
    <w:rsid w:val="00731A42"/>
    <w:rsid w:val="00755487"/>
    <w:rsid w:val="00767E69"/>
    <w:rsid w:val="0077079A"/>
    <w:rsid w:val="00770933"/>
    <w:rsid w:val="00771504"/>
    <w:rsid w:val="00784F5A"/>
    <w:rsid w:val="007A5599"/>
    <w:rsid w:val="00856233"/>
    <w:rsid w:val="00860F27"/>
    <w:rsid w:val="008B0560"/>
    <w:rsid w:val="008B2BFA"/>
    <w:rsid w:val="008D31F4"/>
    <w:rsid w:val="008E6A3F"/>
    <w:rsid w:val="00923557"/>
    <w:rsid w:val="00936F03"/>
    <w:rsid w:val="00943B69"/>
    <w:rsid w:val="00944CB3"/>
    <w:rsid w:val="0096722F"/>
    <w:rsid w:val="00986624"/>
    <w:rsid w:val="00993C9E"/>
    <w:rsid w:val="009B09D7"/>
    <w:rsid w:val="009D35ED"/>
    <w:rsid w:val="00A03CB6"/>
    <w:rsid w:val="00A1364C"/>
    <w:rsid w:val="00A21076"/>
    <w:rsid w:val="00A31BA8"/>
    <w:rsid w:val="00A3739A"/>
    <w:rsid w:val="00A4342F"/>
    <w:rsid w:val="00A52DAF"/>
    <w:rsid w:val="00A84072"/>
    <w:rsid w:val="00B16570"/>
    <w:rsid w:val="00B23B03"/>
    <w:rsid w:val="00B43EB7"/>
    <w:rsid w:val="00B53320"/>
    <w:rsid w:val="00B614C4"/>
    <w:rsid w:val="00B77D48"/>
    <w:rsid w:val="00B82F19"/>
    <w:rsid w:val="00BC6522"/>
    <w:rsid w:val="00C121D5"/>
    <w:rsid w:val="00C17349"/>
    <w:rsid w:val="00C351AA"/>
    <w:rsid w:val="00C459B8"/>
    <w:rsid w:val="00C70852"/>
    <w:rsid w:val="00C7253F"/>
    <w:rsid w:val="00C90707"/>
    <w:rsid w:val="00CA39F7"/>
    <w:rsid w:val="00CE1D1C"/>
    <w:rsid w:val="00CF2BBA"/>
    <w:rsid w:val="00D06C5E"/>
    <w:rsid w:val="00D26A05"/>
    <w:rsid w:val="00D35C8E"/>
    <w:rsid w:val="00D4165A"/>
    <w:rsid w:val="00D86698"/>
    <w:rsid w:val="00D904B5"/>
    <w:rsid w:val="00D9309B"/>
    <w:rsid w:val="00D97B98"/>
    <w:rsid w:val="00DA4965"/>
    <w:rsid w:val="00DB5BB8"/>
    <w:rsid w:val="00DC671F"/>
    <w:rsid w:val="00DE4DA7"/>
    <w:rsid w:val="00E02C13"/>
    <w:rsid w:val="00E33B38"/>
    <w:rsid w:val="00E43EF8"/>
    <w:rsid w:val="00E442A1"/>
    <w:rsid w:val="00E47FE5"/>
    <w:rsid w:val="00E55D50"/>
    <w:rsid w:val="00E574AF"/>
    <w:rsid w:val="00E865FA"/>
    <w:rsid w:val="00EA7E67"/>
    <w:rsid w:val="00EB11FC"/>
    <w:rsid w:val="00ED19CE"/>
    <w:rsid w:val="00F24E6D"/>
    <w:rsid w:val="00F610AF"/>
    <w:rsid w:val="00F668E4"/>
    <w:rsid w:val="00F714DA"/>
    <w:rsid w:val="00F938D0"/>
    <w:rsid w:val="00FB456B"/>
    <w:rsid w:val="00FC52C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3133A97-BBBD-4A31-9AC8-79743C8D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E55D50"/>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E55D50"/>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E55D50"/>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qFormat/>
    <w:rsid w:val="00E55D50"/>
    <w:pPr>
      <w:tabs>
        <w:tab w:val="clear" w:pos="431"/>
      </w:tab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378DC-269C-4302-8DEB-8E51BEA3D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10484</Words>
  <Characters>11159</Characters>
  <Application>Microsoft Office Word</Application>
  <DocSecurity>0</DocSecurity>
  <Lines>416</Lines>
  <Paragraphs>168</Paragraphs>
  <ScaleCrop>false</ScaleCrop>
  <Company>DCM</Company>
  <LinksUpToDate>false</LinksUpToDate>
  <CharactersWithSpaces>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CCPR/C/VNM/CO/3</dc:title>
  <dc:subject>1914770</dc:subject>
  <dc:creator>WUJS</dc:creator>
  <cp:keywords/>
  <dc:description/>
  <cp:lastModifiedBy>Xin Wang</cp:lastModifiedBy>
  <cp:revision>2</cp:revision>
  <cp:lastPrinted>2014-05-09T11:28:00Z</cp:lastPrinted>
  <dcterms:created xsi:type="dcterms:W3CDTF">2019-11-19T15:26:00Z</dcterms:created>
  <dcterms:modified xsi:type="dcterms:W3CDTF">2019-11-19T15:26:00Z</dcterms:modified>
</cp:coreProperties>
</file>