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93E5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93E5A" w:rsidP="00993E5A">
            <w:pPr>
              <w:spacing w:after="20"/>
              <w:jc w:val="right"/>
            </w:pPr>
            <w:r w:rsidRPr="00993E5A">
              <w:rPr>
                <w:sz w:val="40"/>
              </w:rPr>
              <w:t>CCPR</w:t>
            </w:r>
            <w:r>
              <w:t>/C/NOR/6</w:t>
            </w:r>
          </w:p>
        </w:tc>
      </w:tr>
      <w:tr w:rsidR="002D5AAC" w:rsidTr="00993E5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93E5A" w:rsidRDefault="00993E5A" w:rsidP="00993E5A">
            <w:pPr>
              <w:spacing w:before="240"/>
            </w:pPr>
            <w:r>
              <w:t>Distr. general</w:t>
            </w:r>
          </w:p>
          <w:p w:rsidR="00993E5A" w:rsidRDefault="00993E5A" w:rsidP="00993E5A">
            <w:r>
              <w:t>11 de noviembre de 2010</w:t>
            </w:r>
          </w:p>
          <w:p w:rsidR="00993E5A" w:rsidRDefault="00993E5A" w:rsidP="00993E5A">
            <w:r>
              <w:t>Español</w:t>
            </w:r>
          </w:p>
          <w:p w:rsidR="002D5AAC" w:rsidRDefault="00993E5A" w:rsidP="00993E5A">
            <w:r>
              <w:t>Original: inglés</w:t>
            </w:r>
          </w:p>
        </w:tc>
      </w:tr>
    </w:tbl>
    <w:p w:rsidR="00993E5A" w:rsidRPr="00DA2533" w:rsidRDefault="00993E5A" w:rsidP="00993E5A">
      <w:pPr>
        <w:spacing w:before="120" w:after="240" w:line="240" w:lineRule="auto"/>
        <w:rPr>
          <w:b/>
          <w:sz w:val="24"/>
          <w:szCs w:val="24"/>
        </w:rPr>
      </w:pPr>
      <w:r w:rsidRPr="00DA2533">
        <w:rPr>
          <w:b/>
          <w:sz w:val="24"/>
          <w:szCs w:val="24"/>
        </w:rPr>
        <w:t>Comité de Derechos Humanos</w:t>
      </w:r>
    </w:p>
    <w:p w:rsidR="00993E5A" w:rsidRPr="000B5187" w:rsidRDefault="00993E5A" w:rsidP="00993E5A">
      <w:pPr>
        <w:pStyle w:val="HMG"/>
      </w:pPr>
      <w:r w:rsidRPr="000B5187">
        <w:tab/>
      </w:r>
      <w:r w:rsidRPr="000B5187">
        <w:tab/>
      </w:r>
      <w:r w:rsidRPr="000B5187">
        <w:rPr>
          <w:lang w:val="es-ES_tradnl"/>
        </w:rPr>
        <w:t xml:space="preserve">Examen </w:t>
      </w:r>
      <w:r>
        <w:rPr>
          <w:lang w:val="es-ES_tradnl"/>
        </w:rPr>
        <w:t>de los informes presentados por</w:t>
      </w:r>
      <w:r>
        <w:rPr>
          <w:lang w:val="es-ES_tradnl"/>
        </w:rPr>
        <w:br/>
      </w:r>
      <w:r w:rsidRPr="000B5187">
        <w:rPr>
          <w:lang w:val="es-ES_tradnl"/>
        </w:rPr>
        <w:t xml:space="preserve">los Estados partes en virtud del Pacto </w:t>
      </w:r>
    </w:p>
    <w:p w:rsidR="00993E5A" w:rsidRPr="000B5187" w:rsidRDefault="00993E5A" w:rsidP="00993E5A">
      <w:pPr>
        <w:pStyle w:val="HChG"/>
      </w:pPr>
      <w:r w:rsidRPr="000B5187">
        <w:tab/>
      </w:r>
      <w:r w:rsidRPr="000B5187">
        <w:tab/>
      </w:r>
      <w:r w:rsidRPr="000B5187">
        <w:rPr>
          <w:lang w:val="es-ES_tradnl"/>
        </w:rPr>
        <w:t>Sexto informe periódico</w:t>
      </w:r>
    </w:p>
    <w:p w:rsidR="00993E5A" w:rsidRPr="000B5187" w:rsidRDefault="00993E5A" w:rsidP="00993E5A">
      <w:pPr>
        <w:pStyle w:val="HMG"/>
      </w:pPr>
      <w:r w:rsidRPr="000B5187">
        <w:tab/>
      </w:r>
      <w:r w:rsidRPr="000B5187">
        <w:tab/>
      </w:r>
      <w:r w:rsidRPr="000B5187">
        <w:rPr>
          <w:lang w:val="es-ES_tradnl"/>
        </w:rPr>
        <w:t>Noruega</w:t>
      </w:r>
      <w:r w:rsidRPr="00DA2533">
        <w:rPr>
          <w:b w:val="0"/>
          <w:sz w:val="20"/>
          <w:lang w:val="es-ES_tradnl"/>
        </w:rPr>
        <w:footnoteReference w:customMarkFollows="1" w:id="1"/>
        <w:t xml:space="preserve">* </w:t>
      </w:r>
      <w:r w:rsidRPr="00DA2533">
        <w:rPr>
          <w:b w:val="0"/>
          <w:sz w:val="20"/>
          <w:lang w:val="es-ES_tradnl"/>
        </w:rPr>
        <w:footnoteReference w:customMarkFollows="1" w:id="2"/>
        <w:t>**</w:t>
      </w:r>
    </w:p>
    <w:p w:rsidR="00993E5A" w:rsidRPr="000B5187" w:rsidRDefault="00993E5A" w:rsidP="00993E5A">
      <w:pPr>
        <w:pStyle w:val="SingleTxtG"/>
        <w:jc w:val="right"/>
      </w:pPr>
      <w:r w:rsidRPr="000B5187">
        <w:rPr>
          <w:lang w:val="es-ES_tradnl"/>
        </w:rPr>
        <w:t>[25 de noviembre de 2009]</w:t>
      </w:r>
    </w:p>
    <w:p w:rsidR="0077470A" w:rsidRDefault="00993E5A" w:rsidP="0077470A">
      <w:pPr>
        <w:pStyle w:val="SingleTxtG"/>
        <w:tabs>
          <w:tab w:val="right" w:pos="9638"/>
        </w:tabs>
        <w:ind w:left="0" w:right="0"/>
        <w:jc w:val="left"/>
        <w:rPr>
          <w:sz w:val="28"/>
        </w:rPr>
      </w:pPr>
      <w:r>
        <w:rPr>
          <w:lang w:val="es-ES_tradnl"/>
        </w:rPr>
        <w:br w:type="page"/>
      </w:r>
      <w:r w:rsidR="0077470A">
        <w:rPr>
          <w:sz w:val="28"/>
        </w:rPr>
        <w:t>Índice</w:t>
      </w:r>
    </w:p>
    <w:p w:rsidR="0077470A" w:rsidRDefault="0077470A" w:rsidP="0077470A">
      <w:pPr>
        <w:pStyle w:val="SingleTxtG"/>
        <w:tabs>
          <w:tab w:val="right" w:pos="8929"/>
          <w:tab w:val="right" w:pos="9638"/>
        </w:tabs>
        <w:ind w:left="283" w:right="0"/>
        <w:jc w:val="left"/>
        <w:rPr>
          <w:sz w:val="18"/>
        </w:rPr>
      </w:pPr>
      <w:r>
        <w:rPr>
          <w:i/>
          <w:sz w:val="18"/>
        </w:rPr>
        <w:tab/>
        <w:t>Párrafos</w:t>
      </w:r>
      <w:r>
        <w:rPr>
          <w:i/>
          <w:sz w:val="18"/>
        </w:rPr>
        <w:tab/>
        <w:t>Página</w:t>
      </w:r>
    </w:p>
    <w:p w:rsidR="0077470A" w:rsidRDefault="00CF171B" w:rsidP="00D1162B">
      <w:pPr>
        <w:tabs>
          <w:tab w:val="right" w:pos="850"/>
          <w:tab w:val="left" w:pos="1134"/>
          <w:tab w:val="left" w:pos="1559"/>
          <w:tab w:val="left" w:pos="1984"/>
          <w:tab w:val="right" w:leader="dot" w:pos="8929"/>
          <w:tab w:val="right" w:pos="9638"/>
        </w:tabs>
        <w:spacing w:after="120"/>
      </w:pPr>
      <w:r>
        <w:tab/>
      </w:r>
      <w:r w:rsidR="00D1162B">
        <w:tab/>
      </w:r>
      <w:r w:rsidR="0077470A" w:rsidRPr="000B5187">
        <w:t xml:space="preserve">Lista </w:t>
      </w:r>
      <w:r w:rsidR="0077470A" w:rsidRPr="00D6340B">
        <w:t>de</w:t>
      </w:r>
      <w:r w:rsidR="0077470A" w:rsidRPr="000B5187">
        <w:t xml:space="preserve"> ane</w:t>
      </w:r>
      <w:r w:rsidR="0077470A">
        <w:t>x</w:t>
      </w:r>
      <w:r w:rsidR="0077470A" w:rsidRPr="000B5187">
        <w:t>os</w:t>
      </w:r>
      <w:r w:rsidR="0077470A">
        <w:tab/>
      </w:r>
      <w:r w:rsidR="0077470A">
        <w:tab/>
        <w:t>5</w:t>
      </w:r>
    </w:p>
    <w:p w:rsidR="0077470A" w:rsidRPr="000B5187" w:rsidRDefault="0077470A" w:rsidP="00CF171B">
      <w:pPr>
        <w:tabs>
          <w:tab w:val="right" w:pos="850"/>
          <w:tab w:val="left" w:pos="1134"/>
          <w:tab w:val="left" w:pos="1559"/>
          <w:tab w:val="left" w:pos="1984"/>
          <w:tab w:val="left" w:leader="dot" w:pos="7654"/>
          <w:tab w:val="right" w:pos="8929"/>
          <w:tab w:val="right" w:pos="9638"/>
        </w:tabs>
        <w:spacing w:after="120"/>
      </w:pPr>
      <w:r>
        <w:tab/>
        <w:t>I.</w:t>
      </w:r>
      <w:r w:rsidRPr="000B5187">
        <w:tab/>
      </w:r>
      <w:r w:rsidRPr="00D6340B">
        <w:t>Introducción</w:t>
      </w:r>
      <w:r>
        <w:tab/>
      </w:r>
      <w:r>
        <w:tab/>
        <w:t>1–3</w:t>
      </w:r>
      <w:r>
        <w:tab/>
        <w:t>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rsidRPr="000B5187">
        <w:tab/>
      </w:r>
      <w:r>
        <w:t>II.</w:t>
      </w:r>
      <w:r w:rsidRPr="000B5187">
        <w:tab/>
      </w:r>
      <w:r w:rsidRPr="00D10F68">
        <w:rPr>
          <w:spacing w:val="-1"/>
        </w:rPr>
        <w:t>Información relativa a cada uno de los artículos de las partes I, II y III del Pacto</w:t>
      </w:r>
      <w:r>
        <w:tab/>
      </w:r>
      <w:r>
        <w:tab/>
        <w:t>4–312</w:t>
      </w:r>
      <w:r>
        <w:tab/>
        <w:t>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rsidRPr="000B5187">
        <w:tab/>
      </w:r>
      <w:r>
        <w:t>A.</w:t>
      </w:r>
      <w:r>
        <w:tab/>
      </w:r>
      <w:r w:rsidRPr="000B5187">
        <w:t>Artículo 1</w:t>
      </w:r>
      <w:r>
        <w:tab/>
      </w:r>
      <w:r>
        <w:tab/>
        <w:t>4–5</w:t>
      </w:r>
      <w:r>
        <w:tab/>
        <w:t>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Pr="00D6340B">
        <w:t>Artículo 2</w:t>
      </w:r>
      <w:r>
        <w:tab/>
      </w:r>
      <w:r>
        <w:tab/>
        <w:t>6–22</w:t>
      </w:r>
      <w:r>
        <w:tab/>
        <w:t>7</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D6340B">
        <w:t>La situación del Pacto en el ordenamiento jurídico interno</w:t>
      </w:r>
      <w:r>
        <w:tab/>
      </w:r>
      <w:r>
        <w:tab/>
        <w:t>7</w:t>
      </w:r>
      <w:r>
        <w:tab/>
        <w:t>7</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D6340B">
        <w:t>Asistencia letrada</w:t>
      </w:r>
      <w:r>
        <w:tab/>
      </w:r>
      <w:r>
        <w:tab/>
        <w:t>8–10</w:t>
      </w:r>
      <w:r>
        <w:tab/>
        <w:t>7</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D6340B">
        <w:t>Protección de la víctima</w:t>
      </w:r>
      <w:r>
        <w:tab/>
      </w:r>
      <w:r>
        <w:tab/>
        <w:t>11–12</w:t>
      </w:r>
      <w:r>
        <w:tab/>
        <w:t>7</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D6340B">
        <w:t>Participación en operaciones internacionales y obligaciones en materia</w:t>
      </w:r>
      <w:r w:rsidRPr="00D6340B">
        <w:br/>
      </w:r>
      <w:r>
        <w:tab/>
      </w:r>
      <w:r>
        <w:tab/>
      </w:r>
      <w:r>
        <w:tab/>
      </w:r>
      <w:r w:rsidRPr="00D6340B">
        <w:t>de derechos humanos</w:t>
      </w:r>
      <w:r>
        <w:tab/>
      </w:r>
      <w:r>
        <w:tab/>
        <w:t>13–17</w:t>
      </w:r>
      <w:r>
        <w:tab/>
        <w:t>8</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D10F68">
        <w:rPr>
          <w:spacing w:val="-2"/>
        </w:rPr>
        <w:t>Investigación de actos cometidos por miembros de la policía y de la fiscalía</w:t>
      </w:r>
      <w:r w:rsidRPr="00D10F68">
        <w:rPr>
          <w:spacing w:val="-2"/>
        </w:rPr>
        <w:tab/>
      </w:r>
      <w:r>
        <w:tab/>
        <w:t>18–21</w:t>
      </w:r>
      <w:r>
        <w:tab/>
        <w:t>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D10F68">
        <w:rPr>
          <w:spacing w:val="-2"/>
        </w:rPr>
        <w:t>Difusión del informe de Noruega y de las observaciones finales del Comité</w:t>
      </w:r>
      <w:r w:rsidRPr="00D10F68">
        <w:rPr>
          <w:spacing w:val="-2"/>
        </w:rPr>
        <w:tab/>
      </w:r>
      <w:r>
        <w:tab/>
        <w:t>22</w:t>
      </w:r>
      <w:r>
        <w:tab/>
        <w:t>9</w:t>
      </w:r>
    </w:p>
    <w:p w:rsidR="0077470A" w:rsidRPr="000B5187"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rsidRPr="00D6340B">
        <w:tab/>
        <w:t>C.</w:t>
      </w:r>
      <w:r w:rsidRPr="000B5187">
        <w:tab/>
      </w:r>
      <w:r w:rsidRPr="00D6340B">
        <w:t>Artículo 3</w:t>
      </w:r>
      <w:r>
        <w:tab/>
      </w:r>
      <w:r>
        <w:tab/>
        <w:t>23–32</w:t>
      </w:r>
      <w:r>
        <w:tab/>
        <w:t>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rsidRPr="000B5187">
        <w:tab/>
      </w:r>
      <w:r>
        <w:tab/>
      </w:r>
      <w:r>
        <w:tab/>
      </w:r>
      <w:r w:rsidRPr="00D6340B">
        <w:t>Situación actual de la mujer</w:t>
      </w:r>
      <w:r>
        <w:tab/>
      </w:r>
      <w:r>
        <w:tab/>
        <w:t>23–32</w:t>
      </w:r>
      <w:r>
        <w:tab/>
        <w:t>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rsidRPr="00D6340B">
        <w:tab/>
        <w:t>D.</w:t>
      </w:r>
      <w:r w:rsidRPr="000B5187">
        <w:tab/>
      </w:r>
      <w:r w:rsidRPr="00D6340B">
        <w:t>Artículo 4</w:t>
      </w:r>
      <w:r>
        <w:tab/>
      </w:r>
      <w:r>
        <w:tab/>
        <w:t>33</w:t>
      </w:r>
      <w:r>
        <w:tab/>
        <w:t>11</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D6340B">
        <w:t>E.</w:t>
      </w:r>
      <w:r w:rsidRPr="000B5187">
        <w:tab/>
      </w:r>
      <w:r w:rsidRPr="00D6340B">
        <w:t>Artículo 5</w:t>
      </w:r>
      <w:r>
        <w:tab/>
      </w:r>
      <w:r>
        <w:tab/>
        <w:t>34</w:t>
      </w:r>
      <w:r>
        <w:tab/>
        <w:t>11</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rsidRPr="00D6340B">
        <w:tab/>
        <w:t>F.</w:t>
      </w:r>
      <w:r w:rsidRPr="000B5187">
        <w:tab/>
      </w:r>
      <w:r w:rsidRPr="00D6340B">
        <w:t>Artículo 6</w:t>
      </w:r>
      <w:r>
        <w:tab/>
      </w:r>
      <w:r>
        <w:tab/>
        <w:t>35–50</w:t>
      </w:r>
      <w:r>
        <w:tab/>
        <w:t>11</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rPr>
          <w:spacing w:val="-2"/>
        </w:rPr>
      </w:pPr>
      <w:r>
        <w:tab/>
      </w:r>
      <w:r w:rsidRPr="000B5187">
        <w:tab/>
      </w:r>
      <w:r w:rsidRPr="00B45D77">
        <w:rPr>
          <w:spacing w:val="-2"/>
        </w:rPr>
        <w:tab/>
        <w:t>Medidas adoptadas para aumentar la esperanza de vida: mortalidad infantil</w:t>
      </w:r>
      <w:r w:rsidRPr="00B45D77">
        <w:rPr>
          <w:spacing w:val="-2"/>
        </w:rPr>
        <w:tab/>
      </w:r>
      <w:r w:rsidRPr="00B45D77">
        <w:rPr>
          <w:spacing w:val="-2"/>
        </w:rPr>
        <w:tab/>
      </w:r>
      <w:r>
        <w:rPr>
          <w:spacing w:val="-2"/>
        </w:rPr>
        <w:t>35</w:t>
      </w:r>
      <w:r>
        <w:rPr>
          <w:spacing w:val="-2"/>
        </w:rPr>
        <w:tab/>
        <w:t>11</w:t>
      </w:r>
    </w:p>
    <w:p w:rsidR="0077470A" w:rsidRPr="000B5187"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rsidRPr="000B5187">
        <w:tab/>
      </w:r>
      <w:r>
        <w:tab/>
      </w:r>
      <w:r w:rsidRPr="00D6340B">
        <w:t>Malnutrición entre las personas mayores</w:t>
      </w:r>
      <w:r>
        <w:tab/>
      </w:r>
      <w:r>
        <w:tab/>
        <w:t>36</w:t>
      </w:r>
      <w:r>
        <w:tab/>
        <w:t>11</w:t>
      </w:r>
    </w:p>
    <w:p w:rsidR="0077470A" w:rsidRPr="000B5187"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rsidRPr="000B5187">
        <w:tab/>
      </w:r>
      <w:r>
        <w:tab/>
        <w:t>VIH y sida</w:t>
      </w:r>
      <w:r>
        <w:tab/>
      </w:r>
      <w:r>
        <w:tab/>
        <w:t>37</w:t>
      </w:r>
      <w:r w:rsidR="00740154">
        <w:t>–38</w:t>
      </w:r>
      <w:r>
        <w:tab/>
        <w:t>12</w:t>
      </w:r>
    </w:p>
    <w:p w:rsidR="0077470A" w:rsidRPr="000B5187"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rsidRPr="000B5187">
        <w:tab/>
      </w:r>
      <w:r>
        <w:tab/>
      </w:r>
      <w:r>
        <w:tab/>
      </w:r>
      <w:r w:rsidRPr="00D6340B">
        <w:t>Ley de lucha contra las enfermedades transmisibles</w:t>
      </w:r>
      <w:r>
        <w:tab/>
      </w:r>
      <w:r>
        <w:tab/>
        <w:t>39–43</w:t>
      </w:r>
      <w:r>
        <w:tab/>
        <w:t>12</w:t>
      </w:r>
    </w:p>
    <w:p w:rsidR="0077470A" w:rsidRPr="000B5187"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rsidRPr="000B5187">
        <w:tab/>
      </w:r>
      <w:r w:rsidRPr="000B5187">
        <w:tab/>
      </w:r>
      <w:r>
        <w:tab/>
      </w:r>
      <w:r w:rsidRPr="00D6340B">
        <w:t>Muertes en accidentes de tránsito</w:t>
      </w:r>
      <w:r>
        <w:tab/>
      </w:r>
      <w:r>
        <w:tab/>
        <w:t>44–45</w:t>
      </w:r>
      <w:r>
        <w:tab/>
        <w:t>13</w:t>
      </w:r>
    </w:p>
    <w:p w:rsidR="0077470A" w:rsidRPr="000B5187"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rsidRPr="000B5187">
        <w:tab/>
      </w:r>
      <w:r>
        <w:tab/>
      </w:r>
      <w:r>
        <w:tab/>
      </w:r>
      <w:r w:rsidRPr="00D6340B">
        <w:t>Suicidios y asesinatos cometidos por enfermos mentales</w:t>
      </w:r>
      <w:r>
        <w:tab/>
      </w:r>
      <w:r>
        <w:tab/>
        <w:t>46–47</w:t>
      </w:r>
      <w:r>
        <w:tab/>
        <w:t>13</w:t>
      </w:r>
    </w:p>
    <w:p w:rsidR="0077470A" w:rsidRPr="000B5187"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rsidRPr="000B5187">
        <w:tab/>
      </w:r>
      <w:r>
        <w:tab/>
      </w:r>
      <w:r>
        <w:tab/>
        <w:t>Terrorismo</w:t>
      </w:r>
      <w:r>
        <w:tab/>
      </w:r>
      <w:r>
        <w:tab/>
        <w:t>48–49</w:t>
      </w:r>
      <w:r>
        <w:tab/>
        <w:t>13</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rsidRPr="000B5187">
        <w:tab/>
      </w:r>
      <w:r>
        <w:tab/>
      </w:r>
      <w:r>
        <w:tab/>
      </w:r>
      <w:r w:rsidRPr="00D6340B">
        <w:t>Nuevas disposiciones sobre genocidio, crímenes de lesa humanidad y</w:t>
      </w:r>
      <w:r>
        <w:br/>
      </w:r>
      <w:r>
        <w:tab/>
      </w:r>
      <w:r>
        <w:tab/>
      </w:r>
      <w:r>
        <w:tab/>
      </w:r>
      <w:r w:rsidRPr="00D6340B">
        <w:t>crímenes</w:t>
      </w:r>
      <w:r>
        <w:t xml:space="preserve"> </w:t>
      </w:r>
      <w:r w:rsidRPr="00D6340B">
        <w:t>de guerra</w:t>
      </w:r>
      <w:r>
        <w:tab/>
      </w:r>
      <w:r>
        <w:tab/>
        <w:t>50</w:t>
      </w:r>
      <w:r>
        <w:tab/>
        <w:t>14</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Artículo 7</w:t>
      </w:r>
      <w:r>
        <w:tab/>
      </w:r>
      <w:r>
        <w:tab/>
        <w:t>51–116</w:t>
      </w:r>
      <w:r>
        <w:tab/>
        <w:t>14</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D6340B">
        <w:t>Mutilación genital femenina</w:t>
      </w:r>
      <w:r>
        <w:tab/>
      </w:r>
      <w:r>
        <w:tab/>
        <w:t>52–60</w:t>
      </w:r>
      <w:r>
        <w:tab/>
        <w:t>14</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9D1A3F">
        <w:t>Medidas coercitivas en los centros penitenciarios durante el cumplimiento</w:t>
      </w:r>
      <w:r>
        <w:br/>
      </w:r>
      <w:r>
        <w:tab/>
      </w:r>
      <w:r>
        <w:tab/>
      </w:r>
      <w:r>
        <w:tab/>
      </w:r>
      <w:r w:rsidRPr="009D1A3F">
        <w:t>de la pena</w:t>
      </w:r>
      <w:r>
        <w:tab/>
      </w:r>
      <w:r>
        <w:tab/>
        <w:t>61</w:t>
      </w:r>
      <w:r>
        <w:tab/>
        <w:t>16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9D1A3F">
        <w:t>Medidas coercitivas y privación de la libertad en la atención médica</w:t>
      </w:r>
      <w:r>
        <w:tab/>
      </w:r>
      <w:r>
        <w:tab/>
        <w:t>62–78</w:t>
      </w:r>
      <w:r>
        <w:tab/>
        <w:t>16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Hijos de personas aquejadas de enfermedad mental, toxicomonía o</w:t>
      </w:r>
      <w:r>
        <w:br/>
      </w:r>
      <w:r>
        <w:tab/>
      </w:r>
      <w:r>
        <w:tab/>
      </w:r>
      <w:r>
        <w:tab/>
        <w:t>enfermedades graves</w:t>
      </w:r>
      <w:r>
        <w:tab/>
      </w:r>
      <w:r>
        <w:tab/>
        <w:t>79</w:t>
      </w:r>
      <w:r>
        <w:tab/>
        <w:t>19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Tratamientos experimentales y ensayos clínicos</w:t>
      </w:r>
      <w:r>
        <w:tab/>
      </w:r>
      <w:r>
        <w:tab/>
        <w:t>80–82</w:t>
      </w:r>
      <w:r>
        <w:tab/>
        <w:t>19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Delitos sexuales</w:t>
      </w:r>
      <w:r>
        <w:tab/>
      </w:r>
      <w:r>
        <w:tab/>
        <w:t>83–86</w:t>
      </w:r>
      <w:r>
        <w:tab/>
        <w:t>20</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Violencia contra los allegados</w:t>
      </w:r>
      <w:r>
        <w:tab/>
      </w:r>
      <w:r>
        <w:tab/>
        <w:t>87–100</w:t>
      </w:r>
      <w:r>
        <w:tab/>
        <w:t>20</w:t>
      </w:r>
    </w:p>
    <w:p w:rsidR="0077470A" w:rsidRPr="009D1A3F"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Acoso y violencia en la escuela</w:t>
      </w:r>
      <w:r>
        <w:tab/>
      </w:r>
      <w:r>
        <w:tab/>
        <w:t>101</w:t>
      </w:r>
      <w:r>
        <w:tab/>
        <w:t>23</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Procedimiento de asilo</w:t>
      </w:r>
      <w:r>
        <w:tab/>
      </w:r>
      <w:r>
        <w:tab/>
        <w:t>102–111</w:t>
      </w:r>
      <w:r>
        <w:tab/>
        <w:t>23</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Solicitantes de asilo, refugiados y atención médica</w:t>
      </w:r>
      <w:r>
        <w:tab/>
      </w:r>
      <w:r>
        <w:tab/>
        <w:t>112–115</w:t>
      </w:r>
      <w:r>
        <w:tab/>
        <w:t>24</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Protocolo Facultativo de la Convención contra la Tortura y Otros Tratos</w:t>
      </w:r>
      <w:r>
        <w:br/>
      </w:r>
      <w:r>
        <w:tab/>
      </w:r>
      <w:r>
        <w:tab/>
      </w:r>
      <w:r>
        <w:tab/>
        <w:t>o Penas Crueles, Inhumanos o Degradantes</w:t>
      </w:r>
      <w:r>
        <w:tab/>
      </w:r>
      <w:r>
        <w:tab/>
        <w:t>116</w:t>
      </w:r>
      <w:r>
        <w:tab/>
        <w:t>25</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H.</w:t>
      </w:r>
      <w:r>
        <w:tab/>
        <w:t>Artículo 8</w:t>
      </w:r>
      <w:r>
        <w:tab/>
      </w:r>
      <w:r>
        <w:tab/>
        <w:t>117–121</w:t>
      </w:r>
      <w:r>
        <w:tab/>
        <w:t>25</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Trata de seres humanos</w:t>
      </w:r>
      <w:r>
        <w:tab/>
      </w:r>
      <w:r>
        <w:tab/>
        <w:t>117–121</w:t>
      </w:r>
      <w:r>
        <w:tab/>
        <w:t>25</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I.</w:t>
      </w:r>
      <w:r>
        <w:tab/>
        <w:t>Artículo 9</w:t>
      </w:r>
      <w:r>
        <w:tab/>
      </w:r>
      <w:r>
        <w:tab/>
        <w:t>122–148</w:t>
      </w:r>
      <w:r>
        <w:tab/>
        <w:t>26</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Prisión provisional</w:t>
      </w:r>
      <w:r>
        <w:tab/>
      </w:r>
      <w:r>
        <w:tab/>
        <w:t>122–140</w:t>
      </w:r>
      <w:r>
        <w:tab/>
        <w:t>26</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Encarcelamiento de ciudadanos extranjeros</w:t>
      </w:r>
      <w:r>
        <w:tab/>
      </w:r>
      <w:r>
        <w:tab/>
        <w:t>141–148</w:t>
      </w:r>
      <w:r>
        <w:tab/>
        <w:t>29</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J.</w:t>
      </w:r>
      <w:r>
        <w:tab/>
        <w:t>Artículo 10</w:t>
      </w:r>
      <w:r>
        <w:tab/>
      </w:r>
      <w:r>
        <w:tab/>
        <w:t>149–173</w:t>
      </w:r>
      <w:r>
        <w:tab/>
        <w:t>31</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Menores infractores</w:t>
      </w:r>
      <w:r>
        <w:tab/>
      </w:r>
      <w:r>
        <w:tab/>
        <w:t>150–155</w:t>
      </w:r>
      <w:r>
        <w:tab/>
        <w:t>31</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 xml:space="preserve">Vigilancia mediante dispositivos electrónicos: una alternativa al </w:t>
      </w:r>
      <w:r>
        <w:br/>
      </w:r>
      <w:r>
        <w:tab/>
      </w:r>
      <w:r>
        <w:tab/>
      </w:r>
      <w:r>
        <w:tab/>
        <w:t>encarcelamiento</w:t>
      </w:r>
      <w:r>
        <w:tab/>
      </w:r>
      <w:r>
        <w:tab/>
        <w:t>156–158</w:t>
      </w:r>
      <w:r>
        <w:tab/>
        <w:t>32</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Eliminación de las colas penitenciarias</w:t>
      </w:r>
      <w:r>
        <w:tab/>
      </w:r>
      <w:r>
        <w:tab/>
        <w:t>159–160</w:t>
      </w:r>
      <w:r>
        <w:tab/>
        <w:t>32</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Educación en las cárceles</w:t>
      </w:r>
      <w:r>
        <w:tab/>
      </w:r>
      <w:r>
        <w:tab/>
        <w:t>161</w:t>
      </w:r>
      <w:r>
        <w:tab/>
        <w:t>33</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Mujeres en las cárceles</w:t>
      </w:r>
      <w:r>
        <w:tab/>
      </w:r>
      <w:r>
        <w:tab/>
        <w:t>162–165</w:t>
      </w:r>
      <w:r>
        <w:tab/>
        <w:t>33</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Muertes en las cárceles</w:t>
      </w:r>
      <w:r>
        <w:tab/>
      </w:r>
      <w:r>
        <w:tab/>
        <w:t>166–167</w:t>
      </w:r>
      <w:r>
        <w:tab/>
        <w:t>34</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Atención de la salud en las cárceles</w:t>
      </w:r>
      <w:r>
        <w:tab/>
      </w:r>
      <w:r>
        <w:tab/>
        <w:t>168–171</w:t>
      </w:r>
      <w:r>
        <w:tab/>
        <w:t>34</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Criterios para suavizar las restricciones y ofrecer acuerdos favorables para</w:t>
      </w:r>
      <w:r>
        <w:br/>
      </w:r>
      <w:r>
        <w:tab/>
      </w:r>
      <w:r>
        <w:tab/>
      </w:r>
      <w:r>
        <w:tab/>
        <w:t>los presos – evaluaciones individuales</w:t>
      </w:r>
      <w:r>
        <w:tab/>
      </w:r>
      <w:r>
        <w:tab/>
        <w:t>172–173</w:t>
      </w:r>
      <w:r>
        <w:tab/>
        <w:t>35</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K.</w:t>
      </w:r>
      <w:r>
        <w:tab/>
        <w:t>Artículo 11</w:t>
      </w:r>
      <w:r>
        <w:tab/>
      </w:r>
      <w:r>
        <w:tab/>
        <w:t>174</w:t>
      </w:r>
      <w:r>
        <w:tab/>
        <w:t>35</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L.</w:t>
      </w:r>
      <w:r>
        <w:tab/>
        <w:t>Artículo 12</w:t>
      </w:r>
      <w:r>
        <w:tab/>
      </w:r>
      <w:r>
        <w:tab/>
        <w:t>175</w:t>
      </w:r>
      <w:r>
        <w:tab/>
        <w:t>35</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M.</w:t>
      </w:r>
      <w:r>
        <w:tab/>
        <w:t>Artículo 13</w:t>
      </w:r>
      <w:r>
        <w:tab/>
      </w:r>
      <w:r>
        <w:tab/>
        <w:t>176–179</w:t>
      </w:r>
      <w:r>
        <w:tab/>
        <w:t>36</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N.</w:t>
      </w:r>
      <w:r>
        <w:tab/>
        <w:t>Artículo 14</w:t>
      </w:r>
      <w:r>
        <w:tab/>
      </w:r>
      <w:r>
        <w:tab/>
        <w:t>180–184</w:t>
      </w:r>
      <w:r>
        <w:tab/>
        <w:t>36</w:t>
      </w:r>
    </w:p>
    <w:p w:rsidR="00740154" w:rsidRDefault="00740154"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El derecho de apelación ante un tribunal superior</w:t>
      </w:r>
      <w:r>
        <w:tab/>
      </w:r>
      <w:r>
        <w:tab/>
        <w:t>181–183</w:t>
      </w:r>
      <w:r>
        <w:tab/>
        <w:t>36</w:t>
      </w:r>
    </w:p>
    <w:p w:rsidR="00740154" w:rsidRDefault="00740154"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Retirada de las reservas</w:t>
      </w:r>
      <w:r>
        <w:tab/>
      </w:r>
      <w:r>
        <w:tab/>
        <w:t>184</w:t>
      </w:r>
      <w:r>
        <w:tab/>
        <w:t>37</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O.</w:t>
      </w:r>
      <w:r>
        <w:tab/>
        <w:t>Artículo 15</w:t>
      </w:r>
      <w:r>
        <w:tab/>
      </w:r>
      <w:r>
        <w:tab/>
        <w:t>185</w:t>
      </w:r>
      <w:r>
        <w:tab/>
        <w:t>37</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P.</w:t>
      </w:r>
      <w:r>
        <w:tab/>
        <w:t>Artículo 16</w:t>
      </w:r>
      <w:r>
        <w:tab/>
      </w:r>
      <w:r>
        <w:tab/>
        <w:t>186–188</w:t>
      </w:r>
      <w:r>
        <w:tab/>
        <w:t>37</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Q.</w:t>
      </w:r>
      <w:r>
        <w:tab/>
        <w:t>Artículo 17</w:t>
      </w:r>
      <w:r>
        <w:tab/>
      </w:r>
      <w:r>
        <w:tab/>
        <w:t>189–190</w:t>
      </w:r>
      <w:r>
        <w:tab/>
        <w:t>38</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Utilización de medidas coercitivas encubiertas con fines preventivos a</w:t>
      </w:r>
      <w:r>
        <w:br/>
      </w:r>
      <w:r>
        <w:tab/>
      </w:r>
      <w:r>
        <w:tab/>
      </w:r>
      <w:r>
        <w:tab/>
        <w:t>los efectos de realizar investigaciones</w:t>
      </w:r>
      <w:r>
        <w:tab/>
      </w:r>
      <w:r>
        <w:tab/>
        <w:t>189</w:t>
      </w:r>
      <w:r>
        <w:tab/>
        <w:t>38</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La integridad y la persona: informe de la Comisión para la protección</w:t>
      </w:r>
      <w:r>
        <w:br/>
      </w:r>
      <w:r>
        <w:tab/>
      </w:r>
      <w:r>
        <w:tab/>
      </w:r>
      <w:r>
        <w:tab/>
        <w:t>de la privacidad</w:t>
      </w:r>
      <w:r>
        <w:tab/>
      </w:r>
      <w:r>
        <w:tab/>
        <w:t>190</w:t>
      </w:r>
      <w:r>
        <w:tab/>
        <w:t>38</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t>R.</w:t>
      </w:r>
      <w:r>
        <w:tab/>
        <w:t>Artículo 18</w:t>
      </w:r>
      <w:r>
        <w:tab/>
      </w:r>
      <w:r>
        <w:tab/>
        <w:t>191–196</w:t>
      </w:r>
      <w:r>
        <w:tab/>
        <w:t>38</w:t>
      </w:r>
    </w:p>
    <w:p w:rsidR="0077470A" w:rsidRDefault="0077470A" w:rsidP="00740154">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tab/>
        <w:t>Relación entre el Estado y la Iglesia</w:t>
      </w:r>
      <w:r>
        <w:tab/>
      </w:r>
      <w:r>
        <w:tab/>
        <w:t>191–192</w:t>
      </w:r>
      <w:r>
        <w:tab/>
        <w:t>38</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Enseñanza de la religión y educación moral</w:t>
      </w:r>
      <w:r>
        <w:tab/>
      </w:r>
      <w:r>
        <w:tab/>
        <w:t>193–196</w:t>
      </w:r>
      <w:r>
        <w:tab/>
        <w:t>39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S.</w:t>
      </w:r>
      <w:r>
        <w:tab/>
        <w:t>Artículo 19</w:t>
      </w:r>
      <w:r>
        <w:tab/>
      </w:r>
      <w:r>
        <w:tab/>
        <w:t>197–210</w:t>
      </w:r>
      <w:r>
        <w:tab/>
        <w:t>39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Equilibrio entre la libertad de expresión y otros derechos humanos</w:t>
      </w:r>
      <w:r>
        <w:tab/>
      </w:r>
      <w:r>
        <w:tab/>
        <w:t>197–202</w:t>
      </w:r>
      <w:r>
        <w:tab/>
        <w:t>39</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La incitación al odio y la libertad de expresión</w:t>
      </w:r>
      <w:r>
        <w:tab/>
      </w:r>
      <w:r>
        <w:tab/>
        <w:t>203–206</w:t>
      </w:r>
      <w:r>
        <w:tab/>
        <w:t>40</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La radiodifusión de propaganda política</w:t>
      </w:r>
      <w:r>
        <w:tab/>
      </w:r>
      <w:r>
        <w:tab/>
        <w:t>207–208</w:t>
      </w:r>
      <w:r>
        <w:tab/>
        <w:t>41</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La propiedad de los medios de comunicación y la libertad editorial</w:t>
      </w:r>
      <w:r>
        <w:tab/>
      </w:r>
      <w:r>
        <w:tab/>
        <w:t>209–210</w:t>
      </w:r>
      <w:r>
        <w:tab/>
        <w:t>42</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T.</w:t>
      </w:r>
      <w:r>
        <w:tab/>
        <w:t>Artículo 20</w:t>
      </w:r>
      <w:r>
        <w:tab/>
      </w:r>
      <w:r>
        <w:tab/>
        <w:t>211–212</w:t>
      </w:r>
      <w:r>
        <w:tab/>
        <w:t>42</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U.</w:t>
      </w:r>
      <w:r>
        <w:tab/>
        <w:t>Artículo 21</w:t>
      </w:r>
      <w:r>
        <w:tab/>
      </w:r>
      <w:r>
        <w:tab/>
        <w:t>213</w:t>
      </w:r>
      <w:r>
        <w:tab/>
        <w:t>42</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V.</w:t>
      </w:r>
      <w:r>
        <w:tab/>
        <w:t>Artículo 22</w:t>
      </w:r>
      <w:r>
        <w:tab/>
      </w:r>
      <w:r>
        <w:tab/>
        <w:t>214–216</w:t>
      </w:r>
      <w:r>
        <w:tab/>
        <w:t>43</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 xml:space="preserve">La libertad de </w:t>
      </w:r>
      <w:r w:rsidR="00740154">
        <w:t>asociación</w:t>
      </w:r>
      <w:r>
        <w:tab/>
      </w:r>
      <w:r>
        <w:tab/>
        <w:t>214–216</w:t>
      </w:r>
      <w:r>
        <w:tab/>
        <w:t>43</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W.</w:t>
      </w:r>
      <w:r>
        <w:tab/>
        <w:t>Artículo 23</w:t>
      </w:r>
      <w:r>
        <w:tab/>
      </w:r>
      <w:r>
        <w:tab/>
        <w:t>217–233</w:t>
      </w:r>
      <w:r>
        <w:tab/>
        <w:t>43</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La Ley integral sobre el matrimonio</w:t>
      </w:r>
      <w:r>
        <w:tab/>
      </w:r>
      <w:r>
        <w:tab/>
        <w:t>217–220</w:t>
      </w:r>
      <w:r>
        <w:tab/>
        <w:t>43</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Derecho a la reunificación familiar y al asentamiento familiar</w:t>
      </w:r>
      <w:r>
        <w:tab/>
      </w:r>
      <w:r>
        <w:tab/>
        <w:t>221–226</w:t>
      </w:r>
      <w:r>
        <w:tab/>
        <w:t>44</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Plan de acción contra los matrimonios forzosos</w:t>
      </w:r>
      <w:r>
        <w:tab/>
      </w:r>
      <w:r>
        <w:tab/>
        <w:t>227–233</w:t>
      </w:r>
      <w:r>
        <w:tab/>
        <w:t>45</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X.</w:t>
      </w:r>
      <w:r>
        <w:tab/>
        <w:t>Artículo 24</w:t>
      </w:r>
      <w:r>
        <w:tab/>
      </w:r>
      <w:r>
        <w:tab/>
        <w:t>234–244</w:t>
      </w:r>
      <w:r>
        <w:tab/>
        <w:t>46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Enmiendas a la Ley sobre la infancia</w:t>
      </w:r>
      <w:r>
        <w:tab/>
      </w:r>
      <w:r>
        <w:tab/>
        <w:t>236–238</w:t>
      </w:r>
      <w:r>
        <w:tab/>
        <w:t>46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Protección de los niños cuando utilizan teléfonos móviles e Internet</w:t>
      </w:r>
      <w:r>
        <w:tab/>
      </w:r>
      <w:r>
        <w:tab/>
        <w:t>239–241</w:t>
      </w:r>
      <w:r>
        <w:tab/>
        <w:t>46</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Transferencia de la responsabilidad sobre el cuidado de los solicitantes</w:t>
      </w:r>
      <w:r>
        <w:br/>
      </w:r>
      <w:r>
        <w:tab/>
      </w:r>
      <w:r>
        <w:tab/>
      </w:r>
      <w:r>
        <w:tab/>
        <w:t>de asilo no acompañados menores de 18 años</w:t>
      </w:r>
      <w:r>
        <w:tab/>
      </w:r>
      <w:r>
        <w:tab/>
        <w:t>242–244</w:t>
      </w:r>
      <w:r>
        <w:tab/>
        <w:t>47</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Y.</w:t>
      </w:r>
      <w:r>
        <w:tab/>
        <w:t>Artículo 25</w:t>
      </w:r>
      <w:r>
        <w:tab/>
      </w:r>
      <w:r>
        <w:tab/>
        <w:t>245–246</w:t>
      </w:r>
      <w:r>
        <w:tab/>
        <w:t>47</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Supervisión de las elecciones</w:t>
      </w:r>
      <w:r>
        <w:tab/>
      </w:r>
      <w:r>
        <w:tab/>
        <w:t>245–246</w:t>
      </w:r>
      <w:r>
        <w:tab/>
        <w:t>47</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t>Z.</w:t>
      </w:r>
      <w:r>
        <w:tab/>
        <w:t>Artículo 26</w:t>
      </w:r>
      <w:r>
        <w:tab/>
      </w:r>
      <w:r>
        <w:tab/>
        <w:t>247–260</w:t>
      </w:r>
      <w:r>
        <w:tab/>
        <w:t>48</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Protección frente a la discriminación: nuevas iniciativas</w:t>
      </w:r>
      <w:r>
        <w:tab/>
      </w:r>
      <w:r>
        <w:tab/>
        <w:t>247–253</w:t>
      </w:r>
      <w:r>
        <w:tab/>
        <w:t>48</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Observaciones finales del Comité sobre las denuncias de controles</w:t>
      </w:r>
      <w:r>
        <w:br/>
      </w:r>
      <w:r>
        <w:tab/>
      </w:r>
      <w:r>
        <w:tab/>
      </w:r>
      <w:r>
        <w:tab/>
        <w:t>policiales discriminatorios</w:t>
      </w:r>
      <w:r>
        <w:tab/>
      </w:r>
      <w:r>
        <w:tab/>
        <w:t>254–260</w:t>
      </w:r>
      <w:r>
        <w:tab/>
        <w:t>49</w:t>
      </w:r>
    </w:p>
    <w:p w:rsidR="0077470A" w:rsidRDefault="0077470A" w:rsidP="0077470A">
      <w:pPr>
        <w:pStyle w:val="SingleTxtG"/>
        <w:tabs>
          <w:tab w:val="right" w:pos="850"/>
          <w:tab w:val="left" w:pos="980"/>
          <w:tab w:val="left" w:pos="1559"/>
          <w:tab w:val="left" w:pos="1984"/>
          <w:tab w:val="left" w:leader="dot" w:pos="7654"/>
          <w:tab w:val="right" w:pos="8929"/>
          <w:tab w:val="right" w:pos="9638"/>
        </w:tabs>
        <w:ind w:left="0" w:right="0"/>
        <w:jc w:val="left"/>
      </w:pPr>
      <w:r>
        <w:tab/>
      </w:r>
      <w:r>
        <w:tab/>
        <w:t>AA.</w:t>
      </w:r>
      <w:r>
        <w:tab/>
        <w:t>Artículo 27</w:t>
      </w:r>
      <w:r>
        <w:tab/>
      </w:r>
      <w:r>
        <w:tab/>
        <w:t>261–312</w:t>
      </w:r>
      <w:r>
        <w:tab/>
        <w:t>50</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Política relativa a los samis</w:t>
      </w:r>
      <w:r>
        <w:tab/>
      </w:r>
      <w:r>
        <w:tab/>
        <w:t>261–262</w:t>
      </w:r>
      <w:r>
        <w:tab/>
        <w:t>50</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Acuerdo de consultas entre las autoridades estatales y el Sámediggi</w:t>
      </w:r>
      <w:r>
        <w:br/>
      </w:r>
      <w:r>
        <w:tab/>
      </w:r>
      <w:r>
        <w:tab/>
      </w:r>
      <w:r>
        <w:tab/>
        <w:t>(Parlamento sami)</w:t>
      </w:r>
      <w:r>
        <w:tab/>
      </w:r>
      <w:r>
        <w:tab/>
        <w:t>263–272</w:t>
      </w:r>
      <w:r>
        <w:tab/>
        <w:t>50</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La Ley de Finnmark</w:t>
      </w:r>
      <w:r>
        <w:tab/>
      </w:r>
      <w:r>
        <w:tab/>
        <w:t>273</w:t>
      </w:r>
      <w:r>
        <w:tab/>
        <w:t>51</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La Comisión de Pesca Costera y el Comité II para los derechos de</w:t>
      </w:r>
      <w:r>
        <w:br/>
      </w:r>
      <w:r>
        <w:tab/>
      </w:r>
      <w:r>
        <w:tab/>
      </w:r>
      <w:r>
        <w:tab/>
        <w:t>los samis</w:t>
      </w:r>
      <w:r>
        <w:tab/>
      </w:r>
      <w:r>
        <w:tab/>
        <w:t>274–275</w:t>
      </w:r>
      <w:r>
        <w:tab/>
        <w:t>52</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El Sámediggi (Parlamento sami)</w:t>
      </w:r>
      <w:r>
        <w:tab/>
      </w:r>
      <w:r>
        <w:tab/>
        <w:t>276–281</w:t>
      </w:r>
      <w:r>
        <w:tab/>
        <w:t>52</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Idioma sami</w:t>
      </w:r>
      <w:r>
        <w:tab/>
      </w:r>
      <w:r>
        <w:tab/>
        <w:t>282–289</w:t>
      </w:r>
      <w:r>
        <w:tab/>
        <w:t>53</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El Centro Internacional para la Cría de Renos</w:t>
      </w:r>
      <w:r>
        <w:tab/>
      </w:r>
      <w:r>
        <w:tab/>
        <w:t>290–291</w:t>
      </w:r>
      <w:r>
        <w:tab/>
        <w:t>54</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Otras cuestiones relativas a la política sobre los samis</w:t>
      </w:r>
      <w:r>
        <w:tab/>
      </w:r>
      <w:r>
        <w:tab/>
        <w:t>292</w:t>
      </w:r>
      <w:r>
        <w:tab/>
        <w:t>54</w:t>
      </w:r>
    </w:p>
    <w:p w:rsidR="0077470A" w:rsidRDefault="0077470A" w:rsidP="0077470A">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Grupos de inmigrantes recientes</w:t>
      </w:r>
      <w:r>
        <w:tab/>
      </w:r>
      <w:r>
        <w:tab/>
        <w:t>293–295</w:t>
      </w:r>
      <w:r>
        <w:tab/>
        <w:t>55</w:t>
      </w:r>
    </w:p>
    <w:p w:rsidR="0077470A" w:rsidRDefault="0077470A" w:rsidP="007A3958">
      <w:pPr>
        <w:pStyle w:val="SingleTxtG"/>
        <w:tabs>
          <w:tab w:val="right" w:pos="850"/>
          <w:tab w:val="left" w:pos="1134"/>
          <w:tab w:val="left" w:pos="1559"/>
          <w:tab w:val="left" w:pos="1984"/>
          <w:tab w:val="left" w:leader="dot" w:pos="7654"/>
          <w:tab w:val="right" w:pos="8929"/>
          <w:tab w:val="right" w:pos="9638"/>
        </w:tabs>
        <w:spacing w:after="0" w:line="240" w:lineRule="auto"/>
        <w:ind w:left="0" w:right="0"/>
        <w:jc w:val="left"/>
      </w:pPr>
      <w:r>
        <w:tab/>
      </w:r>
      <w:r>
        <w:tab/>
      </w:r>
      <w:r>
        <w:tab/>
        <w:t>Minorías nacionales</w:t>
      </w:r>
      <w:r>
        <w:tab/>
      </w:r>
      <w:r>
        <w:tab/>
        <w:t>296–312</w:t>
      </w:r>
      <w:r>
        <w:tab/>
        <w:t>55</w:t>
      </w:r>
    </w:p>
    <w:p w:rsidR="00993E5A" w:rsidRPr="00D10F5C" w:rsidRDefault="00836EA4" w:rsidP="00836EA4">
      <w:pPr>
        <w:pStyle w:val="H1G"/>
      </w:pPr>
      <w:r>
        <w:br w:type="page"/>
      </w:r>
      <w:r>
        <w:tab/>
      </w:r>
      <w:r>
        <w:tab/>
      </w:r>
      <w:r w:rsidR="00993E5A" w:rsidRPr="000B5187">
        <w:t>Lista de anexos</w:t>
      </w:r>
    </w:p>
    <w:p w:rsidR="00993E5A" w:rsidRPr="000B5187" w:rsidRDefault="00993E5A" w:rsidP="00993E5A">
      <w:pPr>
        <w:pStyle w:val="SingleTxtG"/>
      </w:pPr>
      <w:r w:rsidRPr="000B5187">
        <w:rPr>
          <w:i/>
        </w:rPr>
        <w:t>Anexo 1:</w:t>
      </w:r>
      <w:r w:rsidRPr="000B5187">
        <w:t xml:space="preserve"> Ley Nº 100 relativa a la </w:t>
      </w:r>
      <w:r>
        <w:t>ordenac</w:t>
      </w:r>
      <w:r w:rsidRPr="000B5187">
        <w:t xml:space="preserve">ión de la diversidad biológica, geológica y del medio físico (Ley de </w:t>
      </w:r>
      <w:r>
        <w:t>ordenac</w:t>
      </w:r>
      <w:r w:rsidRPr="000B5187">
        <w:t xml:space="preserve">ión de la naturaleza), de 19 de junio de 2009 </w:t>
      </w:r>
    </w:p>
    <w:p w:rsidR="00993E5A" w:rsidRPr="000B5187" w:rsidRDefault="00993E5A" w:rsidP="00993E5A">
      <w:pPr>
        <w:pStyle w:val="SingleTxtG"/>
      </w:pPr>
      <w:bookmarkStart w:id="0" w:name="OLE_LINK212"/>
      <w:bookmarkStart w:id="1" w:name="OLE_LINK213"/>
      <w:r w:rsidRPr="000B5187">
        <w:rPr>
          <w:i/>
        </w:rPr>
        <w:t>Anexo</w:t>
      </w:r>
      <w:bookmarkEnd w:id="0"/>
      <w:bookmarkEnd w:id="1"/>
      <w:r w:rsidRPr="000B5187">
        <w:rPr>
          <w:i/>
        </w:rPr>
        <w:t xml:space="preserve"> 2:</w:t>
      </w:r>
      <w:r w:rsidRPr="000B5187">
        <w:t xml:space="preserve"> </w:t>
      </w:r>
      <w:r w:rsidRPr="000B5187">
        <w:rPr>
          <w:lang w:val="es-ES_tradnl"/>
        </w:rPr>
        <w:t>Ley Nº 42 relativa a la prohibición de la discriminación por motivos de discapacidad (Ley contra la discriminación y en favor de la accesib</w:t>
      </w:r>
      <w:r>
        <w:rPr>
          <w:lang w:val="es-ES_tradnl"/>
        </w:rPr>
        <w:t>ilidad), de 20 de junio de 2008</w:t>
      </w:r>
    </w:p>
    <w:p w:rsidR="00993E5A" w:rsidRPr="000B5187" w:rsidRDefault="00993E5A" w:rsidP="00993E5A">
      <w:pPr>
        <w:pStyle w:val="SingleTxtG"/>
      </w:pPr>
      <w:r w:rsidRPr="000B5187">
        <w:rPr>
          <w:i/>
        </w:rPr>
        <w:t>Anexo 3:</w:t>
      </w:r>
      <w:r w:rsidRPr="000B5187">
        <w:t xml:space="preserve"> </w:t>
      </w:r>
      <w:r w:rsidRPr="000B5187">
        <w:rPr>
          <w:lang w:val="es-ES_tradnl"/>
        </w:rPr>
        <w:t>Ley Nº 35 de entrada y residencia de extranjeros en el Reino de Noruega (Ley de inmigración, de 2008, entrada en vigor prevista para el 1º de enero de 2010), de 15 de</w:t>
      </w:r>
      <w:r>
        <w:rPr>
          <w:lang w:val="es-ES_tradnl"/>
        </w:rPr>
        <w:t xml:space="preserve"> mayo de 2008</w:t>
      </w:r>
    </w:p>
    <w:p w:rsidR="00993E5A" w:rsidRPr="000B5187" w:rsidRDefault="00993E5A" w:rsidP="00993E5A">
      <w:pPr>
        <w:pStyle w:val="SingleTxtG"/>
      </w:pPr>
      <w:r w:rsidRPr="000B5187">
        <w:rPr>
          <w:i/>
        </w:rPr>
        <w:t>Anexo 4:</w:t>
      </w:r>
      <w:r w:rsidRPr="000B5187">
        <w:t xml:space="preserve"> </w:t>
      </w:r>
      <w:r w:rsidRPr="000B5187">
        <w:rPr>
          <w:lang w:val="es-ES_tradnl"/>
        </w:rPr>
        <w:t>Ley Nº 85 relativa a las relaciones jurídicas</w:t>
      </w:r>
      <w:r>
        <w:rPr>
          <w:lang w:val="es-ES_tradnl"/>
        </w:rPr>
        <w:t xml:space="preserve"> </w:t>
      </w:r>
      <w:r w:rsidRPr="000B5187">
        <w:rPr>
          <w:lang w:val="es-ES_tradnl"/>
        </w:rPr>
        <w:t xml:space="preserve">y </w:t>
      </w:r>
      <w:r>
        <w:rPr>
          <w:lang w:val="es-ES_tradnl"/>
        </w:rPr>
        <w:t xml:space="preserve">a </w:t>
      </w:r>
      <w:r w:rsidRPr="000B5187">
        <w:rPr>
          <w:lang w:val="es-ES_tradnl"/>
        </w:rPr>
        <w:t xml:space="preserve">la </w:t>
      </w:r>
      <w:r>
        <w:t>ordenac</w:t>
      </w:r>
      <w:r w:rsidRPr="000B5187">
        <w:t>ión</w:t>
      </w:r>
      <w:r>
        <w:t xml:space="preserve"> </w:t>
      </w:r>
      <w:r w:rsidRPr="000B5187">
        <w:rPr>
          <w:lang w:val="es-ES_tradnl"/>
        </w:rPr>
        <w:t>de la</w:t>
      </w:r>
      <w:r>
        <w:rPr>
          <w:lang w:val="es-ES_tradnl"/>
        </w:rPr>
        <w:t>s</w:t>
      </w:r>
      <w:r w:rsidRPr="000B5187">
        <w:rPr>
          <w:lang w:val="es-ES_tradnl"/>
        </w:rPr>
        <w:t xml:space="preserve"> tierra</w:t>
      </w:r>
      <w:r>
        <w:rPr>
          <w:lang w:val="es-ES_tradnl"/>
        </w:rPr>
        <w:t>s</w:t>
      </w:r>
      <w:r w:rsidRPr="000B5187">
        <w:rPr>
          <w:lang w:val="es-ES_tradnl"/>
        </w:rPr>
        <w:t xml:space="preserve"> y los recursos naturales en el condado de Finnmark (Ley de Fi</w:t>
      </w:r>
      <w:r>
        <w:rPr>
          <w:lang w:val="es-ES_tradnl"/>
        </w:rPr>
        <w:t>nnmark), de 17 de junio de 2005</w:t>
      </w:r>
    </w:p>
    <w:p w:rsidR="00993E5A" w:rsidRPr="000B5187" w:rsidRDefault="00993E5A" w:rsidP="00993E5A">
      <w:pPr>
        <w:pStyle w:val="SingleTxtG"/>
      </w:pPr>
      <w:r w:rsidRPr="000B5187">
        <w:rPr>
          <w:i/>
        </w:rPr>
        <w:t>Anexo 5:</w:t>
      </w:r>
      <w:r w:rsidRPr="000B5187">
        <w:t xml:space="preserve"> </w:t>
      </w:r>
      <w:r w:rsidRPr="000B5187">
        <w:rPr>
          <w:lang w:val="es-ES_tradnl"/>
        </w:rPr>
        <w:t>Ley Nº 28 del Código Penal Civil General (Código Penal de 2005, entrada en vigor prevista para el 1º de enero de 2012), de 20 de mayo de 2005</w:t>
      </w:r>
    </w:p>
    <w:p w:rsidR="00993E5A" w:rsidRPr="000B5187" w:rsidRDefault="00993E5A" w:rsidP="00993E5A">
      <w:pPr>
        <w:pStyle w:val="SingleTxtG"/>
      </w:pPr>
      <w:r w:rsidRPr="000B5187">
        <w:rPr>
          <w:i/>
        </w:rPr>
        <w:t>Anexo 6:</w:t>
      </w:r>
      <w:r w:rsidRPr="000B5187">
        <w:t xml:space="preserve"> </w:t>
      </w:r>
      <w:r w:rsidRPr="000B5187">
        <w:rPr>
          <w:lang w:val="es-ES_tradnl"/>
        </w:rPr>
        <w:t>Informes periódicos 19º y 20º presentados por Noruega al Comité para la Eliminación de la Discrimin</w:t>
      </w:r>
      <w:r>
        <w:rPr>
          <w:lang w:val="es-ES_tradnl"/>
        </w:rPr>
        <w:t>ación Racial (informe presentado al CERD)</w:t>
      </w:r>
    </w:p>
    <w:p w:rsidR="00993E5A" w:rsidRPr="000B5187" w:rsidRDefault="00993E5A" w:rsidP="00993E5A">
      <w:pPr>
        <w:pStyle w:val="SingleTxtG"/>
      </w:pPr>
      <w:r w:rsidRPr="000B5187">
        <w:rPr>
          <w:i/>
        </w:rPr>
        <w:t>Anexo</w:t>
      </w:r>
      <w:r w:rsidRPr="000B5187">
        <w:rPr>
          <w:i/>
          <w:lang w:val="es-ES_tradnl"/>
        </w:rPr>
        <w:t xml:space="preserve"> 7:</w:t>
      </w:r>
      <w:r w:rsidRPr="000B5187">
        <w:t xml:space="preserve"> </w:t>
      </w:r>
      <w:r w:rsidRPr="000B5187">
        <w:rPr>
          <w:lang w:val="es-ES_tradnl"/>
        </w:rPr>
        <w:t>Informe periódico presentado por Noruega en 2008</w:t>
      </w:r>
      <w:r>
        <w:rPr>
          <w:lang w:val="es-ES_tradnl"/>
        </w:rPr>
        <w:t>, acerca d</w:t>
      </w:r>
      <w:r w:rsidRPr="000B5187">
        <w:rPr>
          <w:lang w:val="es-ES_tradnl"/>
        </w:rPr>
        <w:t>el Convenio Nº 169</w:t>
      </w:r>
      <w:r>
        <w:rPr>
          <w:lang w:val="es-ES_tradnl"/>
        </w:rPr>
        <w:t xml:space="preserve"> </w:t>
      </w:r>
      <w:r w:rsidRPr="000B5187">
        <w:rPr>
          <w:lang w:val="es-ES_tradnl"/>
        </w:rPr>
        <w:t xml:space="preserve">de la </w:t>
      </w:r>
      <w:r>
        <w:rPr>
          <w:lang w:val="es-ES_tradnl"/>
        </w:rPr>
        <w:t>Organización Internacional del Trabajo</w:t>
      </w:r>
      <w:r w:rsidRPr="000B5187">
        <w:rPr>
          <w:lang w:val="es-ES_tradnl"/>
        </w:rPr>
        <w:t xml:space="preserve"> </w:t>
      </w:r>
      <w:r>
        <w:rPr>
          <w:lang w:val="es-ES_tradnl"/>
        </w:rPr>
        <w:t xml:space="preserve">(OIT) </w:t>
      </w:r>
      <w:r w:rsidRPr="000B5187">
        <w:rPr>
          <w:lang w:val="es-ES_tradnl"/>
        </w:rPr>
        <w:t xml:space="preserve">sobre pueblos indígenas </w:t>
      </w:r>
      <w:r>
        <w:rPr>
          <w:lang w:val="es-ES_tradnl"/>
        </w:rPr>
        <w:t>y tribales (informe presentado a la OIT)</w:t>
      </w:r>
    </w:p>
    <w:p w:rsidR="00993E5A" w:rsidRPr="000B5187" w:rsidRDefault="00993E5A" w:rsidP="00993E5A">
      <w:pPr>
        <w:pStyle w:val="SingleTxtG"/>
      </w:pPr>
      <w:r w:rsidRPr="000B5187">
        <w:rPr>
          <w:i/>
        </w:rPr>
        <w:t>Anexo 8:</w:t>
      </w:r>
      <w:r w:rsidRPr="000B5187">
        <w:t xml:space="preserve"> </w:t>
      </w:r>
      <w:r w:rsidRPr="000B5187">
        <w:rPr>
          <w:lang w:val="es-ES_tradnl"/>
        </w:rPr>
        <w:t>Cuarto informe periódico presentado por Noruega al Comité de los Derechos del Niño – CRC/C/NOR/4 (2008)</w:t>
      </w:r>
    </w:p>
    <w:p w:rsidR="00993E5A" w:rsidRPr="000B5187" w:rsidRDefault="00993E5A" w:rsidP="00993E5A">
      <w:pPr>
        <w:pStyle w:val="SingleTxtG"/>
      </w:pPr>
      <w:r w:rsidRPr="000B5187">
        <w:rPr>
          <w:i/>
        </w:rPr>
        <w:t>Anexo</w:t>
      </w:r>
      <w:r w:rsidRPr="000B5187">
        <w:rPr>
          <w:i/>
          <w:lang w:val="es-ES_tradnl"/>
        </w:rPr>
        <w:t xml:space="preserve"> 9:</w:t>
      </w:r>
      <w:r w:rsidRPr="000B5187">
        <w:t xml:space="preserve"> </w:t>
      </w:r>
      <w:r>
        <w:rPr>
          <w:lang w:val="es-ES_tradnl"/>
        </w:rPr>
        <w:t>Sép</w:t>
      </w:r>
      <w:r w:rsidRPr="000B5187">
        <w:rPr>
          <w:lang w:val="es-ES_tradnl"/>
        </w:rPr>
        <w:t>t</w:t>
      </w:r>
      <w:r>
        <w:rPr>
          <w:lang w:val="es-ES_tradnl"/>
        </w:rPr>
        <w:t>i</w:t>
      </w:r>
      <w:r w:rsidRPr="000B5187">
        <w:rPr>
          <w:lang w:val="es-ES_tradnl"/>
        </w:rPr>
        <w:t>mo informe periódico presentado por Noruega al Comité para la Eliminación de la Discriminación contra la Mujer – CEDAW/C/NOR/7 (2006)</w:t>
      </w:r>
    </w:p>
    <w:p w:rsidR="00993E5A" w:rsidRPr="000B5187" w:rsidRDefault="00993E5A" w:rsidP="00993E5A">
      <w:pPr>
        <w:pStyle w:val="SingleTxtG"/>
      </w:pPr>
      <w:r w:rsidRPr="000B5187">
        <w:rPr>
          <w:i/>
        </w:rPr>
        <w:t>Anexo</w:t>
      </w:r>
      <w:r w:rsidRPr="000B5187">
        <w:rPr>
          <w:i/>
          <w:lang w:val="es-ES_tradnl"/>
        </w:rPr>
        <w:t xml:space="preserve"> 10:</w:t>
      </w:r>
      <w:r w:rsidRPr="000B5187">
        <w:t xml:space="preserve"> </w:t>
      </w:r>
      <w:r w:rsidRPr="000B5187">
        <w:rPr>
          <w:lang w:val="es-ES_tradnl"/>
        </w:rPr>
        <w:t xml:space="preserve">Libro </w:t>
      </w:r>
      <w:r>
        <w:rPr>
          <w:lang w:val="es-ES_tradnl"/>
        </w:rPr>
        <w:t>B</w:t>
      </w:r>
      <w:r w:rsidRPr="000B5187">
        <w:rPr>
          <w:lang w:val="es-ES_tradnl"/>
        </w:rPr>
        <w:t>lanco Nº</w:t>
      </w:r>
      <w:r w:rsidRPr="000B5187">
        <w:t xml:space="preserve"> </w:t>
      </w:r>
      <w:r>
        <w:rPr>
          <w:lang w:val="es-ES_tradnl"/>
        </w:rPr>
        <w:t>28 (2007-2008), a</w:t>
      </w:r>
      <w:r w:rsidRPr="000B5187">
        <w:rPr>
          <w:lang w:val="es-ES_tradnl"/>
        </w:rPr>
        <w:t xml:space="preserve">rtículos </w:t>
      </w:r>
      <w:r>
        <w:rPr>
          <w:lang w:val="es-ES_tradnl"/>
        </w:rPr>
        <w:t>sobre la política relativa a</w:t>
      </w:r>
      <w:r w:rsidRPr="000B5187">
        <w:rPr>
          <w:lang w:val="es-ES_tradnl"/>
        </w:rPr>
        <w:t xml:space="preserve"> los sami</w:t>
      </w:r>
      <w:r>
        <w:rPr>
          <w:lang w:val="es-ES_tradnl"/>
        </w:rPr>
        <w:t>s</w:t>
      </w:r>
      <w:r w:rsidRPr="000B5187">
        <w:rPr>
          <w:i/>
          <w:lang w:val="es-ES_tradnl"/>
        </w:rPr>
        <w:t xml:space="preserve"> </w:t>
      </w:r>
      <w:r w:rsidRPr="000B5187">
        <w:rPr>
          <w:lang w:val="es-ES_tradnl"/>
        </w:rPr>
        <w:t xml:space="preserve">1.3.6 </w:t>
      </w:r>
      <w:r>
        <w:rPr>
          <w:lang w:val="es-ES_tradnl"/>
        </w:rPr>
        <w:t>y</w:t>
      </w:r>
      <w:r w:rsidRPr="000B5187">
        <w:rPr>
          <w:lang w:val="es-ES_tradnl"/>
        </w:rPr>
        <w:t xml:space="preserve"> 1.3.7</w:t>
      </w:r>
    </w:p>
    <w:p w:rsidR="00993E5A" w:rsidRPr="000B5187" w:rsidRDefault="00993E5A" w:rsidP="00993E5A">
      <w:pPr>
        <w:pStyle w:val="SingleTxtG"/>
      </w:pPr>
      <w:r w:rsidRPr="000B5187">
        <w:rPr>
          <w:i/>
        </w:rPr>
        <w:t>Anexo 11:</w:t>
      </w:r>
      <w:r w:rsidRPr="000B5187">
        <w:t xml:space="preserve"> </w:t>
      </w:r>
      <w:r w:rsidRPr="000B5187">
        <w:rPr>
          <w:lang w:val="es-ES_tradnl"/>
        </w:rPr>
        <w:t>Procedimientos en relación con las consultas entre las autoridades del Estado y el Sámediggi, de 11 de mayo de 2005</w:t>
      </w:r>
    </w:p>
    <w:p w:rsidR="00993E5A" w:rsidRPr="000B5187" w:rsidRDefault="00993E5A" w:rsidP="00993E5A">
      <w:pPr>
        <w:pStyle w:val="HChG"/>
      </w:pPr>
      <w:bookmarkStart w:id="2" w:name="_Toc239660510"/>
      <w:r w:rsidRPr="000B5187">
        <w:br w:type="page"/>
      </w:r>
      <w:bookmarkStart w:id="3" w:name="_Toc246693196"/>
      <w:r w:rsidRPr="000B5187">
        <w:tab/>
      </w:r>
      <w:bookmarkStart w:id="4" w:name="_Toc278809777"/>
      <w:bookmarkStart w:id="5" w:name="_Toc278878430"/>
      <w:r w:rsidRPr="000B5187">
        <w:rPr>
          <w:lang w:val="es-ES_tradnl"/>
        </w:rPr>
        <w:t>I.</w:t>
      </w:r>
      <w:r w:rsidRPr="000B5187">
        <w:tab/>
      </w:r>
      <w:bookmarkEnd w:id="2"/>
      <w:bookmarkEnd w:id="3"/>
      <w:bookmarkEnd w:id="4"/>
      <w:bookmarkEnd w:id="5"/>
      <w:r w:rsidRPr="000B5187">
        <w:rPr>
          <w:lang w:val="es-ES_tradnl"/>
        </w:rPr>
        <w:t>Introducción</w:t>
      </w:r>
    </w:p>
    <w:p w:rsidR="00993E5A" w:rsidRPr="000B5187" w:rsidRDefault="00993E5A" w:rsidP="00993E5A">
      <w:pPr>
        <w:pStyle w:val="SingleTxtG"/>
      </w:pPr>
      <w:r w:rsidRPr="000B5187">
        <w:t>1.</w:t>
      </w:r>
      <w:r w:rsidRPr="000B5187">
        <w:tab/>
        <w:t>El sexto informe periódico de Noruega se presenta de conformidad con el artículo</w:t>
      </w:r>
      <w:r>
        <w:t> </w:t>
      </w:r>
      <w:r w:rsidRPr="000B5187">
        <w:t>40, párrafo 1 b), del Pacto Internacional de Derechos Civiles y Políticos y a petición del Comité de Derechos Humanos en sus observaciones finales sobre el quinto informe periódico de Noruega, en que solicitaba a</w:t>
      </w:r>
      <w:r>
        <w:t>l país</w:t>
      </w:r>
      <w:r w:rsidRPr="000B5187">
        <w:t xml:space="preserve"> que presentara un nuevo informe en octubre de 2009 a más tardar (CCPR/C/NOR/CO/5). </w:t>
      </w:r>
    </w:p>
    <w:p w:rsidR="00993E5A" w:rsidRPr="000B5187" w:rsidRDefault="00993E5A" w:rsidP="00993E5A">
      <w:pPr>
        <w:pStyle w:val="SingleTxtG"/>
      </w:pPr>
      <w:r w:rsidRPr="000B5187">
        <w:t>2.</w:t>
      </w:r>
      <w:r w:rsidRPr="000B5187">
        <w:tab/>
        <w:t>Para facilitar el examen del informe, se mencionan informes periódicos presentados por Noruega con anterioridad: quinto informe periódico, presentado en 2004 (CCPR/C/</w:t>
      </w:r>
      <w:r>
        <w:br/>
        <w:t>NOR/2004/5);</w:t>
      </w:r>
      <w:r w:rsidRPr="000B5187">
        <w:t xml:space="preserve"> cuarto informe periódico, presentado en 1997 (CCPR/C/115/Add.2); tercer </w:t>
      </w:r>
      <w:bookmarkStart w:id="6" w:name="OLE_LINK17"/>
      <w:bookmarkStart w:id="7" w:name="OLE_LINK18"/>
      <w:r w:rsidRPr="000B5187">
        <w:t>informe periódico</w:t>
      </w:r>
      <w:bookmarkEnd w:id="6"/>
      <w:bookmarkEnd w:id="7"/>
      <w:r w:rsidRPr="000B5187">
        <w:t>, presentado en 1992 (CCPR/C/70/Add.2); segundo informe periódico, presentado en 1988 (CCPR/C/42/Add.5); informe inicial, presentado en 1977 (CCPR/</w:t>
      </w:r>
      <w:r>
        <w:br/>
      </w:r>
      <w:r w:rsidRPr="000B5187">
        <w:t>C/1/Add.5); y suplemento del informe i</w:t>
      </w:r>
      <w:r>
        <w:t>nicial, presentado en 1979 (CCPR</w:t>
      </w:r>
      <w:r w:rsidRPr="000B5187">
        <w:t xml:space="preserve">/C/1/Add.52). </w:t>
      </w:r>
      <w:r w:rsidRPr="000B5187">
        <w:rPr>
          <w:lang w:val="es-ES_tradnl"/>
        </w:rPr>
        <w:t>En la elaboración de</w:t>
      </w:r>
      <w:r>
        <w:rPr>
          <w:lang w:val="es-ES_tradnl"/>
        </w:rPr>
        <w:t>l presente</w:t>
      </w:r>
      <w:r w:rsidRPr="000B5187">
        <w:rPr>
          <w:lang w:val="es-ES_tradnl"/>
        </w:rPr>
        <w:t xml:space="preserve"> informe se han seguido las directrices que figuran en el documento HRI/GEN/2/Rev.6 relativas a la forma y el contenido de los informes periódicos presentados por los Estados partes y las observaciones finales del Comité de Derechos Humanos sobre el quinto informe periódico de Noruega (CCPR/C/NOR/CO/5).</w:t>
      </w:r>
      <w:r w:rsidRPr="000B5187">
        <w:t xml:space="preserve"> </w:t>
      </w:r>
    </w:p>
    <w:p w:rsidR="00993E5A" w:rsidRPr="000B5187" w:rsidRDefault="00993E5A" w:rsidP="00993E5A">
      <w:pPr>
        <w:pStyle w:val="SingleTxtG"/>
      </w:pPr>
      <w:r w:rsidRPr="000B5187">
        <w:t>3.</w:t>
      </w:r>
      <w:r w:rsidRPr="000B5187">
        <w:tab/>
        <w:t>El Ministerio de Justicia y de Policía de Noruega ha coordinado el proceso de elaboración del informe</w:t>
      </w:r>
      <w:r>
        <w:t xml:space="preserve"> al que </w:t>
      </w:r>
      <w:r w:rsidRPr="000B5187">
        <w:t xml:space="preserve">han contribuido </w:t>
      </w:r>
      <w:r>
        <w:t>n</w:t>
      </w:r>
      <w:r w:rsidRPr="000B5187">
        <w:t xml:space="preserve">umerosos ministerios y </w:t>
      </w:r>
      <w:r>
        <w:t xml:space="preserve">en el que </w:t>
      </w:r>
      <w:r w:rsidRPr="000B5187">
        <w:t>ha ejercido un</w:t>
      </w:r>
      <w:r>
        <w:t>a importante función la sociedad civil noruega</w:t>
      </w:r>
      <w:r w:rsidRPr="000B5187">
        <w:t>. El Ministerio de Relaciones Exteriores y el Min</w:t>
      </w:r>
      <w:r>
        <w:t>isterio de Justicia iniciaron dicho</w:t>
      </w:r>
      <w:r w:rsidRPr="000B5187">
        <w:t xml:space="preserve"> proceso de elaboración con una reunión conjunta para poner al corriente a las organizaciones interesadas e invitarlas a presentar apo</w:t>
      </w:r>
      <w:r>
        <w:t>rtaciones y sugerencias al</w:t>
      </w:r>
      <w:r w:rsidRPr="000B5187">
        <w:t xml:space="preserve"> informe. Los problemas y posibles soluciones que indicó la sociedad civil se transmitieron a los ministerios competentes y se tuvieron en cuenta </w:t>
      </w:r>
      <w:r>
        <w:t>durante la redacción</w:t>
      </w:r>
      <w:r w:rsidRPr="000B5187">
        <w:t>. Por último, antes de finalizar el informe, se realizó un breve proceso de consulta sobre el borrador.</w:t>
      </w:r>
    </w:p>
    <w:p w:rsidR="00993E5A" w:rsidRPr="000B5187" w:rsidRDefault="00993E5A" w:rsidP="00993E5A">
      <w:pPr>
        <w:pStyle w:val="HChG"/>
      </w:pPr>
      <w:bookmarkStart w:id="8" w:name="_Toc239660511"/>
      <w:bookmarkStart w:id="9" w:name="_Toc246693197"/>
      <w:r w:rsidRPr="000B5187">
        <w:tab/>
      </w:r>
      <w:bookmarkStart w:id="10" w:name="_Toc278809778"/>
      <w:bookmarkStart w:id="11" w:name="_Toc278878431"/>
      <w:r w:rsidRPr="000B5187">
        <w:rPr>
          <w:lang w:val="es-ES_tradnl"/>
        </w:rPr>
        <w:t>II.</w:t>
      </w:r>
      <w:r w:rsidRPr="000B5187">
        <w:tab/>
      </w:r>
      <w:bookmarkEnd w:id="8"/>
      <w:bookmarkEnd w:id="9"/>
      <w:bookmarkEnd w:id="10"/>
      <w:bookmarkEnd w:id="11"/>
      <w:r w:rsidRPr="000B5187">
        <w:rPr>
          <w:lang w:val="es-ES_tradnl"/>
        </w:rPr>
        <w:t>Información relativa a c</w:t>
      </w:r>
      <w:r>
        <w:rPr>
          <w:lang w:val="es-ES_tradnl"/>
        </w:rPr>
        <w:t>ada uno de los artículos de las</w:t>
      </w:r>
      <w:r>
        <w:rPr>
          <w:lang w:val="es-ES_tradnl"/>
        </w:rPr>
        <w:br/>
      </w:r>
      <w:r w:rsidRPr="000B5187">
        <w:rPr>
          <w:lang w:val="es-ES_tradnl"/>
        </w:rPr>
        <w:t>partes I, II y III del Pacto</w:t>
      </w:r>
    </w:p>
    <w:p w:rsidR="00993E5A" w:rsidRPr="000B5187" w:rsidRDefault="00993E5A" w:rsidP="00993E5A">
      <w:pPr>
        <w:pStyle w:val="H1G"/>
      </w:pPr>
      <w:bookmarkStart w:id="12" w:name="_Toc239660512"/>
      <w:bookmarkStart w:id="13" w:name="_Toc246693198"/>
      <w:r w:rsidRPr="000B5187">
        <w:tab/>
      </w:r>
      <w:bookmarkStart w:id="14" w:name="_Toc278809779"/>
      <w:bookmarkStart w:id="15" w:name="_Toc278878432"/>
      <w:r w:rsidRPr="000B5187">
        <w:t>A.</w:t>
      </w:r>
      <w:r w:rsidRPr="000B5187">
        <w:tab/>
      </w:r>
      <w:bookmarkEnd w:id="12"/>
      <w:bookmarkEnd w:id="13"/>
      <w:bookmarkEnd w:id="14"/>
      <w:bookmarkEnd w:id="15"/>
      <w:r w:rsidRPr="000B5187">
        <w:t>Artículo 1</w:t>
      </w:r>
    </w:p>
    <w:p w:rsidR="00993E5A" w:rsidRPr="000B5187" w:rsidRDefault="00993E5A" w:rsidP="00993E5A">
      <w:pPr>
        <w:pStyle w:val="SingleTxtG"/>
      </w:pPr>
      <w:r w:rsidRPr="000B5187">
        <w:t>4.</w:t>
      </w:r>
      <w:r w:rsidRPr="000B5187">
        <w:tab/>
        <w:t>Se hace referencia a los párrafos 3 y 4 del quinto informe periódico de Noruega (CCPR/C/NOR/2004/5), en que se informa sobre el debate en curso relativo a la aplicación del co</w:t>
      </w:r>
      <w:r>
        <w:t>ncepto de libre determinación a</w:t>
      </w:r>
      <w:r w:rsidRPr="000B5187">
        <w:t xml:space="preserve"> los sami</w:t>
      </w:r>
      <w:r>
        <w:t>s</w:t>
      </w:r>
      <w:r w:rsidRPr="000B5187">
        <w:t>. Se hace referencia también a las respuestas del Gobierno de Noruega a la lista de cuestiones (CCPR/C/NOR/Q/5) que han de considerarse en relación con el examen del quinto informe periódico (CCPR/C/NOR/</w:t>
      </w:r>
      <w:r>
        <w:br/>
      </w:r>
      <w:r w:rsidRPr="000B5187">
        <w:t>Q/5/Add.1), párrafos 1 a 14, en lo que concierne a los Procedimientos en relación con las consultas entre las autoridades del Estado y el Sámediggi. Para más información sobre los procedimientos de las consultas, consúltese la sección relativa al artículo 27.</w:t>
      </w:r>
    </w:p>
    <w:p w:rsidR="00993E5A" w:rsidRPr="000B5187" w:rsidRDefault="00993E5A" w:rsidP="00993E5A">
      <w:pPr>
        <w:pStyle w:val="SingleTxtG"/>
      </w:pPr>
      <w:r w:rsidRPr="000B5187">
        <w:t>5.</w:t>
      </w:r>
      <w:r w:rsidRPr="000B5187">
        <w:tab/>
        <w:t>En 2008 el Gobierno de Noruega (en adelante, "e</w:t>
      </w:r>
      <w:r>
        <w:t>l Gobierno") presentó el Libro B</w:t>
      </w:r>
      <w:r w:rsidRPr="000B5187">
        <w:t xml:space="preserve">lanco Nº </w:t>
      </w:r>
      <w:r w:rsidRPr="000B5187">
        <w:rPr>
          <w:lang w:val="es-ES_tradnl"/>
        </w:rPr>
        <w:t xml:space="preserve">28 (2007-2008) sobre </w:t>
      </w:r>
      <w:r>
        <w:rPr>
          <w:lang w:val="es-ES_tradnl"/>
        </w:rPr>
        <w:t xml:space="preserve">la </w:t>
      </w:r>
      <w:r w:rsidRPr="000B5187">
        <w:rPr>
          <w:lang w:val="es-ES_tradnl"/>
        </w:rPr>
        <w:t xml:space="preserve">política </w:t>
      </w:r>
      <w:r>
        <w:rPr>
          <w:lang w:val="es-ES_tradnl"/>
        </w:rPr>
        <w:t>relativa a</w:t>
      </w:r>
      <w:r w:rsidRPr="000B5187">
        <w:rPr>
          <w:lang w:val="es-ES_tradnl"/>
        </w:rPr>
        <w:t xml:space="preserve"> los sami</w:t>
      </w:r>
      <w:r>
        <w:rPr>
          <w:lang w:val="es-ES_tradnl"/>
        </w:rPr>
        <w:t>s, e</w:t>
      </w:r>
      <w:r w:rsidRPr="000B5187">
        <w:rPr>
          <w:lang w:val="es-ES_tradnl"/>
        </w:rPr>
        <w:t xml:space="preserve">n </w:t>
      </w:r>
      <w:r>
        <w:rPr>
          <w:lang w:val="es-ES_tradnl"/>
        </w:rPr>
        <w:t xml:space="preserve">el que </w:t>
      </w:r>
      <w:r w:rsidRPr="000B5187">
        <w:rPr>
          <w:lang w:val="es-ES_tradnl"/>
        </w:rPr>
        <w:t xml:space="preserve">se trata el concepto de libre determinación de </w:t>
      </w:r>
      <w:r>
        <w:rPr>
          <w:lang w:val="es-ES_tradnl"/>
        </w:rPr>
        <w:t xml:space="preserve">ese pueblo </w:t>
      </w:r>
      <w:r w:rsidRPr="000B5187">
        <w:rPr>
          <w:lang w:val="es-ES_tradnl"/>
        </w:rPr>
        <w:t xml:space="preserve">en relación con la Declaración de las Naciones Unidas sobre los derechos de los pueblos indígenas y los trabajos que están llevándose a cabo </w:t>
      </w:r>
      <w:r>
        <w:rPr>
          <w:lang w:val="es-ES_tradnl"/>
        </w:rPr>
        <w:t>acerca de</w:t>
      </w:r>
      <w:r w:rsidRPr="000B5187">
        <w:rPr>
          <w:lang w:val="es-ES_tradnl"/>
        </w:rPr>
        <w:t xml:space="preserve"> una convención nórdica sobre los sami</w:t>
      </w:r>
      <w:r>
        <w:rPr>
          <w:lang w:val="es-ES_tradnl"/>
        </w:rPr>
        <w:t>s</w:t>
      </w:r>
      <w:r w:rsidRPr="000B5187">
        <w:rPr>
          <w:lang w:val="es-ES_tradnl"/>
        </w:rPr>
        <w:t>.</w:t>
      </w:r>
      <w:r w:rsidRPr="000B5187">
        <w:t xml:space="preserve"> </w:t>
      </w:r>
      <w:r w:rsidRPr="000B5187">
        <w:rPr>
          <w:lang w:val="es-ES_tradnl"/>
        </w:rPr>
        <w:t>Se incluye una traducción no oficial de las seccio</w:t>
      </w:r>
      <w:r>
        <w:rPr>
          <w:lang w:val="es-ES_tradnl"/>
        </w:rPr>
        <w:t>nes correspondientes del Libro B</w:t>
      </w:r>
      <w:r w:rsidRPr="000B5187">
        <w:rPr>
          <w:lang w:val="es-ES_tradnl"/>
        </w:rPr>
        <w:t>lanco (1.3.6 y 1.3.7) en el anexo 10.</w:t>
      </w:r>
    </w:p>
    <w:p w:rsidR="00993E5A" w:rsidRPr="000B5187" w:rsidRDefault="00993E5A" w:rsidP="00993E5A">
      <w:pPr>
        <w:pStyle w:val="H1G"/>
      </w:pPr>
      <w:bookmarkStart w:id="16" w:name="_Toc239660513"/>
      <w:bookmarkStart w:id="17" w:name="_Toc246693199"/>
      <w:r w:rsidRPr="000B5187">
        <w:tab/>
      </w:r>
      <w:bookmarkStart w:id="18" w:name="_Toc278809780"/>
      <w:bookmarkStart w:id="19" w:name="_Toc278878433"/>
      <w:r w:rsidRPr="000B5187">
        <w:rPr>
          <w:lang w:val="es-ES_tradnl"/>
        </w:rPr>
        <w:t>B.</w:t>
      </w:r>
      <w:r w:rsidRPr="000B5187">
        <w:tab/>
      </w:r>
      <w:bookmarkEnd w:id="16"/>
      <w:bookmarkEnd w:id="17"/>
      <w:bookmarkEnd w:id="18"/>
      <w:bookmarkEnd w:id="19"/>
      <w:r w:rsidRPr="000B5187">
        <w:rPr>
          <w:lang w:val="es-ES_tradnl"/>
        </w:rPr>
        <w:t>Artículo 2</w:t>
      </w:r>
    </w:p>
    <w:p w:rsidR="00993E5A" w:rsidRPr="000B5187" w:rsidRDefault="00993E5A" w:rsidP="00993E5A">
      <w:pPr>
        <w:pStyle w:val="SingleTxtG"/>
      </w:pPr>
      <w:r w:rsidRPr="000B5187">
        <w:t>6.</w:t>
      </w:r>
      <w:r w:rsidRPr="000B5187">
        <w:tab/>
      </w:r>
      <w:r w:rsidRPr="000B5187">
        <w:rPr>
          <w:lang w:val="es-ES_tradnl"/>
        </w:rPr>
        <w:t xml:space="preserve">En lo que concierne a la protección jurídica contra la discriminación por características u opiniones personales, se menciona en los apartados correspondientes a los artículos 3 y 26 </w:t>
      </w:r>
      <w:r>
        <w:rPr>
          <w:lang w:val="es-ES_tradnl"/>
        </w:rPr>
        <w:t>del presente informe</w:t>
      </w:r>
      <w:r w:rsidRPr="000B5187">
        <w:rPr>
          <w:lang w:val="es-ES_tradnl"/>
        </w:rPr>
        <w:t>.</w:t>
      </w:r>
      <w:r w:rsidRPr="000B5187">
        <w:t xml:space="preserve"> </w:t>
      </w:r>
      <w:r w:rsidRPr="000B5187">
        <w:rPr>
          <w:lang w:val="es-ES_tradnl"/>
        </w:rPr>
        <w:t xml:space="preserve">En cuanto a </w:t>
      </w:r>
      <w:r>
        <w:rPr>
          <w:lang w:val="es-ES_tradnl"/>
        </w:rPr>
        <w:t xml:space="preserve">la </w:t>
      </w:r>
      <w:r w:rsidRPr="000B5187">
        <w:rPr>
          <w:lang w:val="es-ES_tradnl"/>
        </w:rPr>
        <w:t xml:space="preserve">información relativa a la educación, la formación y la investigación en materia de derechos humanos, se </w:t>
      </w:r>
      <w:r>
        <w:rPr>
          <w:lang w:val="es-ES_tradnl"/>
        </w:rPr>
        <w:t xml:space="preserve">hace referencia a </w:t>
      </w:r>
      <w:r w:rsidRPr="000B5187">
        <w:rPr>
          <w:lang w:val="es-ES_tradnl"/>
        </w:rPr>
        <w:t>los párrafos 130 a 134 y 156 a 166 del documento básico común de Noruega (en</w:t>
      </w:r>
      <w:r>
        <w:rPr>
          <w:lang w:val="es-ES_tradnl"/>
        </w:rPr>
        <w:t xml:space="preserve"> adelante, "el documento básico"</w:t>
      </w:r>
      <w:r w:rsidRPr="000B5187">
        <w:rPr>
          <w:lang w:val="es-ES_tradnl"/>
        </w:rPr>
        <w:t>).</w:t>
      </w:r>
    </w:p>
    <w:p w:rsidR="00993E5A" w:rsidRPr="000B5187" w:rsidRDefault="00993E5A" w:rsidP="00993E5A">
      <w:pPr>
        <w:pStyle w:val="H23G"/>
      </w:pPr>
      <w:bookmarkStart w:id="20" w:name="_Toc246693200"/>
      <w:r w:rsidRPr="000B5187">
        <w:tab/>
      </w:r>
      <w:r w:rsidRPr="000B5187">
        <w:tab/>
      </w:r>
      <w:bookmarkEnd w:id="20"/>
      <w:r w:rsidRPr="000B5187">
        <w:rPr>
          <w:lang w:val="es-ES_tradnl"/>
        </w:rPr>
        <w:t>La situación del Pacto en el ordenamiento jurídico interno</w:t>
      </w:r>
      <w:r w:rsidRPr="000B5187">
        <w:t xml:space="preserve"> </w:t>
      </w:r>
    </w:p>
    <w:p w:rsidR="00993E5A" w:rsidRPr="000B5187" w:rsidRDefault="00993E5A" w:rsidP="00993E5A">
      <w:pPr>
        <w:pStyle w:val="SingleTxtG"/>
      </w:pPr>
      <w:r w:rsidRPr="000B5187">
        <w:t>7.</w:t>
      </w:r>
      <w:r w:rsidRPr="000B5187">
        <w:tab/>
      </w:r>
      <w:r w:rsidRPr="000B5187">
        <w:rPr>
          <w:lang w:val="es-ES_tradnl"/>
        </w:rPr>
        <w:t xml:space="preserve">En virtud de la Ley Nº 30 relativa al fortalecimiento de los derechos humanos en el ordenamiento noruego (Ley de derechos humanos), de 21 de mayo de 1999, el Pacto y sus </w:t>
      </w:r>
      <w:r>
        <w:rPr>
          <w:lang w:val="es-ES_tradnl"/>
        </w:rPr>
        <w:t>P</w:t>
      </w:r>
      <w:r w:rsidRPr="000B5187">
        <w:rPr>
          <w:lang w:val="es-ES_tradnl"/>
        </w:rPr>
        <w:t>rotocolos fueron incorporados al derecho interno noruego.</w:t>
      </w:r>
      <w:r>
        <w:t xml:space="preserve"> </w:t>
      </w:r>
      <w:r w:rsidRPr="000B5187">
        <w:rPr>
          <w:lang w:val="es-ES_tradnl"/>
        </w:rPr>
        <w:t>Véanse los párrafos 6 y 7 del quinto informe periódico de Noruega para más información sobre la Ley de derechos humanos.</w:t>
      </w:r>
      <w:r w:rsidRPr="000B5187">
        <w:t xml:space="preserve"> </w:t>
      </w:r>
      <w:r w:rsidRPr="000B5187">
        <w:rPr>
          <w:lang w:val="es-ES_tradnl"/>
        </w:rPr>
        <w:t>Pa</w:t>
      </w:r>
      <w:r>
        <w:rPr>
          <w:lang w:val="es-ES_tradnl"/>
        </w:rPr>
        <w:t>ra más detalles, consúlte</w:t>
      </w:r>
      <w:r w:rsidRPr="000B5187">
        <w:rPr>
          <w:lang w:val="es-ES_tradnl"/>
        </w:rPr>
        <w:t>nse los párrafos 99 a 107 del documento básico.</w:t>
      </w:r>
      <w:r w:rsidRPr="000B5187">
        <w:t xml:space="preserve"> </w:t>
      </w:r>
    </w:p>
    <w:p w:rsidR="00993E5A" w:rsidRPr="000B5187" w:rsidRDefault="00993E5A" w:rsidP="00993E5A">
      <w:pPr>
        <w:pStyle w:val="H23G"/>
      </w:pPr>
      <w:bookmarkStart w:id="21" w:name="_Toc246693201"/>
      <w:r w:rsidRPr="000B5187">
        <w:tab/>
      </w:r>
      <w:r w:rsidRPr="000B5187">
        <w:tab/>
      </w:r>
      <w:bookmarkEnd w:id="21"/>
      <w:r w:rsidRPr="000B5187">
        <w:rPr>
          <w:lang w:val="es-ES_tradnl"/>
        </w:rPr>
        <w:t>Asistencia letrada</w:t>
      </w:r>
    </w:p>
    <w:p w:rsidR="00993E5A" w:rsidRPr="000B5187" w:rsidRDefault="00993E5A" w:rsidP="00993E5A">
      <w:pPr>
        <w:pStyle w:val="SingleTxtG"/>
      </w:pPr>
      <w:r w:rsidRPr="000B5187">
        <w:t>8.</w:t>
      </w:r>
      <w:r w:rsidRPr="000B5187">
        <w:tab/>
      </w:r>
      <w:r w:rsidRPr="000B5187">
        <w:rPr>
          <w:lang w:val="es-ES_tradnl"/>
        </w:rPr>
        <w:t>En el mecanismo noruego de asistencia letrada en asuntos civiles se diferencia entre los casos que dependen de la capacidad económica y los que no.</w:t>
      </w:r>
      <w:r w:rsidRPr="000B5187">
        <w:t xml:space="preserve"> </w:t>
      </w:r>
      <w:r w:rsidRPr="000B5187">
        <w:rPr>
          <w:lang w:val="es-ES_tradnl"/>
        </w:rPr>
        <w:t xml:space="preserve">A 1º de enero de 2009, los límites de ingresos </w:t>
      </w:r>
      <w:r>
        <w:rPr>
          <w:lang w:val="es-ES_tradnl"/>
        </w:rPr>
        <w:t>estableci</w:t>
      </w:r>
      <w:r w:rsidRPr="000B5187">
        <w:rPr>
          <w:lang w:val="es-ES_tradnl"/>
        </w:rPr>
        <w:t xml:space="preserve">dos para determinar si una persona cumple los requisitos para recibir asistencia letrada en función de su capacidad económica se aumentaron hasta 246.000 coronas noruegas </w:t>
      </w:r>
      <w:r>
        <w:rPr>
          <w:lang w:val="es-ES_tradnl"/>
        </w:rPr>
        <w:t xml:space="preserve">en el caso de </w:t>
      </w:r>
      <w:r w:rsidRPr="000B5187">
        <w:rPr>
          <w:lang w:val="es-ES_tradnl"/>
        </w:rPr>
        <w:t>los hogares formados por una persona y hasta 369.000 coronas noruegas para los formados por dos personas.</w:t>
      </w:r>
      <w:r w:rsidRPr="000B5187">
        <w:t xml:space="preserve"> </w:t>
      </w:r>
      <w:r w:rsidRPr="000B5187">
        <w:rPr>
          <w:lang w:val="es-ES_tradnl"/>
        </w:rPr>
        <w:t>Los beneficiarios de este tipo de asistencia letrada en las actuaciones jurídicas corren con el 25% del coste total, hasta un máximo de 4.350 coronas noruegas. En caso de</w:t>
      </w:r>
      <w:r>
        <w:rPr>
          <w:lang w:val="es-ES_tradnl"/>
        </w:rPr>
        <w:t xml:space="preserve"> que se preste</w:t>
      </w:r>
      <w:r w:rsidRPr="000B5187">
        <w:rPr>
          <w:lang w:val="es-ES_tradnl"/>
        </w:rPr>
        <w:t xml:space="preserve"> asesoramiento jurídico fuera de las actuaciones, se aplica un cargo fijo de 870 coronas noruegas.</w:t>
      </w:r>
      <w:r w:rsidRPr="000B5187">
        <w:t xml:space="preserve"> </w:t>
      </w:r>
      <w:r w:rsidRPr="000B5187">
        <w:rPr>
          <w:lang w:val="es-ES_tradnl"/>
        </w:rPr>
        <w:t xml:space="preserve">Los hogares con ingresos netos inferiores a 100.000 coronas noruegas y las personas que reciben asistencia letrada en cuestiones que no dependen de la capacidad </w:t>
      </w:r>
      <w:r>
        <w:rPr>
          <w:lang w:val="es-ES_tradnl"/>
        </w:rPr>
        <w:t>económica están exentos de pago</w:t>
      </w:r>
      <w:r w:rsidRPr="000B5187">
        <w:rPr>
          <w:lang w:val="es-ES_tradnl"/>
        </w:rPr>
        <w:t>.</w:t>
      </w:r>
      <w:r w:rsidRPr="000B5187">
        <w:t xml:space="preserve"> </w:t>
      </w:r>
    </w:p>
    <w:p w:rsidR="00993E5A" w:rsidRPr="000B5187" w:rsidRDefault="00993E5A" w:rsidP="00993E5A">
      <w:pPr>
        <w:pStyle w:val="SingleTxtG"/>
      </w:pPr>
      <w:r w:rsidRPr="000B5187">
        <w:t>9.</w:t>
      </w:r>
      <w:r w:rsidRPr="000B5187">
        <w:tab/>
      </w:r>
      <w:r w:rsidRPr="000B5187">
        <w:rPr>
          <w:lang w:val="es-ES_tradnl"/>
        </w:rPr>
        <w:t xml:space="preserve">Se ha ampliado el ámbito del sistema de asistencia letrada para garantizar que la reciban las partes lesionadas que contemplen interponer denuncias por delitos de trata de personas, mutilación genital, matrimonios forzosos y violencia </w:t>
      </w:r>
      <w:r>
        <w:rPr>
          <w:lang w:val="es-ES_tradnl"/>
        </w:rPr>
        <w:t>doméstica</w:t>
      </w:r>
      <w:r w:rsidRPr="000B5187">
        <w:rPr>
          <w:lang w:val="es-ES_tradnl"/>
        </w:rPr>
        <w:t>.</w:t>
      </w:r>
    </w:p>
    <w:p w:rsidR="00993E5A" w:rsidRPr="000B5187" w:rsidRDefault="00993E5A" w:rsidP="00993E5A">
      <w:pPr>
        <w:pStyle w:val="SingleTxtG"/>
      </w:pPr>
      <w:r w:rsidRPr="000B5187">
        <w:t>10.</w:t>
      </w:r>
      <w:r w:rsidRPr="000B5187">
        <w:tab/>
      </w:r>
      <w:r w:rsidRPr="000B5187">
        <w:rPr>
          <w:lang w:val="es-ES_tradnl"/>
        </w:rPr>
        <w:t>Una organización no gubernamental facilita asistencia letrada a solicitantes de asilo.</w:t>
      </w:r>
      <w:r w:rsidRPr="000B5187">
        <w:t xml:space="preserve"> </w:t>
      </w:r>
      <w:r w:rsidRPr="000B5187">
        <w:rPr>
          <w:lang w:val="es-ES_tradnl"/>
        </w:rPr>
        <w:t>Como norma principal, la asistencia letrada financiada con fondos públicos sólo se ofrece en la fase de apelación administrativa.</w:t>
      </w:r>
    </w:p>
    <w:p w:rsidR="00993E5A" w:rsidRPr="000B5187" w:rsidRDefault="00993E5A" w:rsidP="00993E5A">
      <w:pPr>
        <w:pStyle w:val="H23G"/>
      </w:pPr>
      <w:bookmarkStart w:id="22" w:name="_Toc246693202"/>
      <w:bookmarkStart w:id="23" w:name="_Toc278809783"/>
      <w:bookmarkStart w:id="24" w:name="_Toc278878436"/>
      <w:r w:rsidRPr="000B5187">
        <w:tab/>
      </w:r>
      <w:bookmarkEnd w:id="22"/>
      <w:bookmarkEnd w:id="23"/>
      <w:bookmarkEnd w:id="24"/>
      <w:r>
        <w:tab/>
      </w:r>
      <w:r w:rsidRPr="000B5187">
        <w:rPr>
          <w:lang w:val="es-ES_tradnl"/>
        </w:rPr>
        <w:t>Protección de la víctima</w:t>
      </w:r>
      <w:r w:rsidRPr="000B5187">
        <w:t xml:space="preserve"> </w:t>
      </w:r>
    </w:p>
    <w:p w:rsidR="00993E5A" w:rsidRPr="000B5187" w:rsidRDefault="00993E5A" w:rsidP="00993E5A">
      <w:pPr>
        <w:pStyle w:val="SingleTxtG"/>
      </w:pPr>
      <w:r w:rsidRPr="000B5187">
        <w:t>11.</w:t>
      </w:r>
      <w:r w:rsidRPr="000B5187">
        <w:tab/>
      </w:r>
      <w:r w:rsidRPr="000B5187">
        <w:rPr>
          <w:lang w:val="es-ES_tradnl"/>
        </w:rPr>
        <w:t xml:space="preserve">Los derechos de las víctimas en los procedimientos penales se han reforzado, sobre todo en el caso de las víctimas de abusos sexuales, mediante </w:t>
      </w:r>
      <w:r>
        <w:rPr>
          <w:lang w:val="es-ES_tradnl"/>
        </w:rPr>
        <w:t xml:space="preserve">la introducción de </w:t>
      </w:r>
      <w:r w:rsidRPr="000B5187">
        <w:rPr>
          <w:lang w:val="es-ES_tradnl"/>
        </w:rPr>
        <w:t>enmiendas a la Ley de procedimiento penal, en vigor desde el 1º de julio de 2008.</w:t>
      </w:r>
      <w:r w:rsidRPr="000B5187">
        <w:t xml:space="preserve"> </w:t>
      </w:r>
      <w:r w:rsidRPr="000B5187">
        <w:rPr>
          <w:lang w:val="es-ES_tradnl"/>
        </w:rPr>
        <w:t>Más víctimas reciben asesoramiento jurídico gratuito en concepto de asistencia durante la investigación policial y el juicio.</w:t>
      </w:r>
      <w:r w:rsidRPr="000B5187">
        <w:t xml:space="preserve"> </w:t>
      </w:r>
      <w:r w:rsidRPr="000B5187">
        <w:rPr>
          <w:lang w:val="es-ES_tradnl"/>
        </w:rPr>
        <w:t>Al imponer a la policía y a la fiscalía la obligación de informar periódicamente a las víctimas sobre el curso y los avances del caso también se refuerza el derecho de las víctimas a la información.</w:t>
      </w:r>
      <w:r w:rsidRPr="000B5187">
        <w:t xml:space="preserve"> </w:t>
      </w:r>
      <w:r w:rsidRPr="000B5187">
        <w:rPr>
          <w:lang w:val="es-ES_tradnl"/>
        </w:rPr>
        <w:t>Durante el juicio, las víctimas gozan de determinadas garantías procesales iguales a las del acusado, como el derecho a interrogar a los testigos y el derecho a pronunciarse sobre las pruebas presentadas ante el tribunal.</w:t>
      </w:r>
      <w:r w:rsidRPr="000B5187">
        <w:t xml:space="preserve"> </w:t>
      </w:r>
    </w:p>
    <w:p w:rsidR="00993E5A" w:rsidRPr="000B5187" w:rsidRDefault="00993E5A" w:rsidP="00993E5A">
      <w:pPr>
        <w:pStyle w:val="SingleTxtG"/>
      </w:pPr>
      <w:r w:rsidRPr="000B5187">
        <w:t>12.</w:t>
      </w:r>
      <w:r w:rsidRPr="000B5187">
        <w:tab/>
      </w:r>
      <w:r w:rsidRPr="000B5187">
        <w:rPr>
          <w:lang w:val="es-ES_tradnl"/>
        </w:rPr>
        <w:t>El Gobierno ha creado una red nacional de hogares infantiles, basada en el modelo islandés.</w:t>
      </w:r>
      <w:r w:rsidRPr="000B5187">
        <w:t xml:space="preserve"> </w:t>
      </w:r>
      <w:r w:rsidRPr="000B5187">
        <w:rPr>
          <w:lang w:val="es-ES_tradnl"/>
        </w:rPr>
        <w:t xml:space="preserve">En ellos, los niños que han sufrido violencia o abusos sexuales o que han sido testigos de violencia o </w:t>
      </w:r>
      <w:r>
        <w:rPr>
          <w:lang w:val="es-ES_tradnl"/>
        </w:rPr>
        <w:t>mal</w:t>
      </w:r>
      <w:r w:rsidRPr="000B5187">
        <w:rPr>
          <w:lang w:val="es-ES_tradnl"/>
        </w:rPr>
        <w:t xml:space="preserve">os </w:t>
      </w:r>
      <w:r>
        <w:rPr>
          <w:lang w:val="es-ES_tradnl"/>
        </w:rPr>
        <w:t xml:space="preserve">tratos </w:t>
      </w:r>
      <w:r w:rsidRPr="000B5187">
        <w:rPr>
          <w:lang w:val="es-ES_tradnl"/>
        </w:rPr>
        <w:t>en relaciones de pareja reciben ayuda, cuidados y tratamiento,</w:t>
      </w:r>
      <w:r w:rsidRPr="000B5187">
        <w:t xml:space="preserve"> </w:t>
      </w:r>
      <w:r>
        <w:rPr>
          <w:lang w:val="es-ES_tradnl"/>
        </w:rPr>
        <w:t xml:space="preserve">en los que se utilizan </w:t>
      </w:r>
      <w:r w:rsidRPr="000B5187">
        <w:rPr>
          <w:lang w:val="es-ES_tradnl"/>
        </w:rPr>
        <w:t>nuevos métodos de realizar entrevistas y exámenes médicos.</w:t>
      </w:r>
      <w:r w:rsidRPr="000B5187">
        <w:t xml:space="preserve"> </w:t>
      </w:r>
    </w:p>
    <w:p w:rsidR="00993E5A" w:rsidRPr="000B5187" w:rsidRDefault="00993E5A" w:rsidP="00993E5A">
      <w:pPr>
        <w:pStyle w:val="H23G"/>
      </w:pPr>
      <w:r>
        <w:rPr>
          <w:lang w:val="es-ES_tradnl"/>
        </w:rPr>
        <w:tab/>
      </w:r>
      <w:r>
        <w:rPr>
          <w:lang w:val="es-ES_tradnl"/>
        </w:rPr>
        <w:tab/>
      </w:r>
      <w:r w:rsidRPr="000B5187">
        <w:rPr>
          <w:lang w:val="es-ES_tradnl"/>
        </w:rPr>
        <w:t>Participación en operaciones internacional</w:t>
      </w:r>
      <w:r>
        <w:rPr>
          <w:lang w:val="es-ES_tradnl"/>
        </w:rPr>
        <w:t>es y obligaciones en materia</w:t>
      </w:r>
      <w:r>
        <w:rPr>
          <w:lang w:val="es-ES_tradnl"/>
        </w:rPr>
        <w:br/>
        <w:t xml:space="preserve">de </w:t>
      </w:r>
      <w:r w:rsidRPr="000B5187">
        <w:rPr>
          <w:lang w:val="es-ES_tradnl"/>
        </w:rPr>
        <w:t>derechos humanos</w:t>
      </w:r>
    </w:p>
    <w:p w:rsidR="00993E5A" w:rsidRPr="000B5187" w:rsidRDefault="00993E5A" w:rsidP="00993E5A">
      <w:pPr>
        <w:pStyle w:val="SingleTxtG"/>
      </w:pPr>
      <w:r w:rsidRPr="000B5187">
        <w:t>13.</w:t>
      </w:r>
      <w:r w:rsidRPr="000B5187">
        <w:tab/>
      </w:r>
      <w:r w:rsidRPr="000B5187">
        <w:rPr>
          <w:lang w:val="es-ES_tradnl"/>
        </w:rPr>
        <w:t>Cuando las fuerzas armadas noruegas participan en operaciones internacionales</w:t>
      </w:r>
      <w:r>
        <w:rPr>
          <w:lang w:val="es-ES_tradnl"/>
        </w:rPr>
        <w:t xml:space="preserve">, </w:t>
      </w:r>
      <w:r w:rsidRPr="000B5187">
        <w:rPr>
          <w:lang w:val="es-ES_tradnl"/>
        </w:rPr>
        <w:t xml:space="preserve">es una cuestión de máxima prioridad cumplir el compromiso contraído en virtud del Pacto de respetar los derechos establecidos en él de todas las personas sometidas a su poder o a su control </w:t>
      </w:r>
      <w:r>
        <w:rPr>
          <w:lang w:val="es-ES_tradnl"/>
        </w:rPr>
        <w:t>efectivo</w:t>
      </w:r>
      <w:r w:rsidRPr="000B5187">
        <w:rPr>
          <w:lang w:val="es-ES_tradnl"/>
        </w:rPr>
        <w:t>.</w:t>
      </w:r>
      <w:r w:rsidRPr="000B5187">
        <w:t xml:space="preserve"> </w:t>
      </w:r>
    </w:p>
    <w:p w:rsidR="00993E5A" w:rsidRPr="000B5187" w:rsidRDefault="00993E5A" w:rsidP="00993E5A">
      <w:pPr>
        <w:pStyle w:val="SingleTxtG"/>
      </w:pPr>
      <w:r w:rsidRPr="000B5187">
        <w:t>14.</w:t>
      </w:r>
      <w:r w:rsidRPr="000B5187">
        <w:tab/>
      </w:r>
      <w:r w:rsidRPr="000B5187">
        <w:rPr>
          <w:lang w:val="es-ES_tradnl"/>
        </w:rPr>
        <w:t>En el Afganistán, las detenciones son una de las facetas de la asistencia prestada a las autoridades nacionales conforme al mandato de la Fuerza Internacional de Asistencia para la Seguridad (ISAF) y del acuerdo bilateral entre ambos gobiernos, con el fin de enjuiciar a las personas ante un tribunal nacional.</w:t>
      </w:r>
      <w:r w:rsidRPr="000B5187">
        <w:t xml:space="preserve"> </w:t>
      </w:r>
      <w:r w:rsidRPr="000B5187">
        <w:rPr>
          <w:lang w:val="es-ES_tradnl"/>
        </w:rPr>
        <w:t>Sin embargo, en los casos en que hay motivos para sospechar que esas personas podrían ser víctimas de tortura u otros tratos inhumanos, las fuerzas armadas noruegas no las entregarán,</w:t>
      </w:r>
      <w:r w:rsidRPr="000B5187">
        <w:t xml:space="preserve"> </w:t>
      </w:r>
      <w:r w:rsidRPr="000B5187">
        <w:rPr>
          <w:lang w:val="es-ES_tradnl"/>
        </w:rPr>
        <w:t>y se considerará como alternativa</w:t>
      </w:r>
      <w:r>
        <w:rPr>
          <w:lang w:val="es-ES_tradnl"/>
        </w:rPr>
        <w:t xml:space="preserve"> la puesta en libertad</w:t>
      </w:r>
      <w:r w:rsidRPr="000B5187">
        <w:rPr>
          <w:lang w:val="es-ES_tradnl"/>
        </w:rPr>
        <w:t>.</w:t>
      </w:r>
      <w:r w:rsidRPr="000B5187">
        <w:t xml:space="preserve"> </w:t>
      </w:r>
      <w:r w:rsidRPr="000B5187">
        <w:rPr>
          <w:lang w:val="es-ES_tradnl"/>
        </w:rPr>
        <w:t>Noruega tiene la responsabilidad de garantizar que las personas detenidas por las fuerzas armadas reciban un trato acorde con los compromisos contraí</w:t>
      </w:r>
      <w:r>
        <w:rPr>
          <w:lang w:val="es-ES_tradnl"/>
        </w:rPr>
        <w:t>dos en virtud del Pacto y de</w:t>
      </w:r>
      <w:r w:rsidRPr="000B5187">
        <w:rPr>
          <w:lang w:val="es-ES_tradnl"/>
        </w:rPr>
        <w:t xml:space="preserve"> otras obligaciones pertinentes humanitarias y de derechos humanos,</w:t>
      </w:r>
      <w:r w:rsidRPr="000B5187">
        <w:t xml:space="preserve"> </w:t>
      </w:r>
      <w:r w:rsidRPr="000B5187">
        <w:rPr>
          <w:lang w:val="es-ES_tradnl"/>
        </w:rPr>
        <w:t>como la responsabilidad de garantizar que nuestros aliados también respeten y cumplan esas obligaciones.</w:t>
      </w:r>
      <w:r w:rsidRPr="000B5187">
        <w:t xml:space="preserve"> </w:t>
      </w:r>
    </w:p>
    <w:p w:rsidR="00993E5A" w:rsidRPr="000B5187" w:rsidRDefault="00993E5A" w:rsidP="00993E5A">
      <w:pPr>
        <w:pStyle w:val="SingleTxtG"/>
      </w:pPr>
      <w:r w:rsidRPr="000B5187">
        <w:t>15.</w:t>
      </w:r>
      <w:r w:rsidRPr="000B5187">
        <w:tab/>
      </w:r>
      <w:r w:rsidRPr="000B5187">
        <w:rPr>
          <w:lang w:val="es-ES_tradnl"/>
        </w:rPr>
        <w:t xml:space="preserve">En cuanto a </w:t>
      </w:r>
      <w:r>
        <w:rPr>
          <w:lang w:val="es-ES_tradnl"/>
        </w:rPr>
        <w:t xml:space="preserve">las </w:t>
      </w:r>
      <w:r w:rsidRPr="000B5187">
        <w:rPr>
          <w:lang w:val="es-ES_tradnl"/>
        </w:rPr>
        <w:t xml:space="preserve">medidas concretas para garantizar que los derechos establecidos en el Pacto se hagan efectivos </w:t>
      </w:r>
      <w:r w:rsidRPr="0030150F">
        <w:rPr>
          <w:i/>
          <w:lang w:val="es-ES_tradnl"/>
        </w:rPr>
        <w:t>de facto</w:t>
      </w:r>
      <w:r w:rsidRPr="000B5187">
        <w:rPr>
          <w:lang w:val="es-ES_tradnl"/>
        </w:rPr>
        <w:t>, los soldados y el personal reciben instrucción detallada en materia de derecho internacional humanitario y derechos humanos antes de ser enviados a misiones internacionales.</w:t>
      </w:r>
      <w:r w:rsidRPr="000B5187">
        <w:t xml:space="preserve"> </w:t>
      </w:r>
      <w:r w:rsidRPr="000B5187">
        <w:rPr>
          <w:lang w:val="es-ES_tradnl"/>
        </w:rPr>
        <w:t>Las fuerzas armadas noruegas pasan por un período inicial de formación obligatoria que abarca, entre otras cosas, el mandato de la operación, cuestiones de derechos humanos y derecho internacional humanitario.</w:t>
      </w:r>
      <w:r w:rsidRPr="000B5187">
        <w:t xml:space="preserve"> </w:t>
      </w:r>
      <w:r w:rsidRPr="000B5187">
        <w:rPr>
          <w:lang w:val="es-ES_tradnl"/>
        </w:rPr>
        <w:t>Además, por regla general, asesores jurídicos capacitados y con vastos conocimientos y experiencia en materia de cuestiones jurídicas y de derechos humanos forman parte de los contingentes nacionales desplegados en las operaciones internacionales.</w:t>
      </w:r>
      <w:r w:rsidRPr="000B5187">
        <w:t xml:space="preserve"> </w:t>
      </w:r>
    </w:p>
    <w:p w:rsidR="00993E5A" w:rsidRPr="000B5187" w:rsidRDefault="00993E5A" w:rsidP="00993E5A">
      <w:pPr>
        <w:pStyle w:val="SingleTxtG"/>
      </w:pPr>
      <w:r w:rsidRPr="000B5187">
        <w:t>16.</w:t>
      </w:r>
      <w:r w:rsidRPr="000B5187">
        <w:tab/>
      </w:r>
      <w:r w:rsidRPr="000B5187">
        <w:rPr>
          <w:lang w:val="es-ES_tradnl"/>
        </w:rPr>
        <w:t xml:space="preserve">Según una encuesta iniciada </w:t>
      </w:r>
      <w:r>
        <w:rPr>
          <w:lang w:val="es-ES_tradnl"/>
        </w:rPr>
        <w:t xml:space="preserve">en 2009 </w:t>
      </w:r>
      <w:r w:rsidRPr="000B5187">
        <w:rPr>
          <w:lang w:val="es-ES_tradnl"/>
        </w:rPr>
        <w:t xml:space="preserve">por el Ministerio de Defensa, el Estado </w:t>
      </w:r>
      <w:r>
        <w:rPr>
          <w:lang w:val="es-ES_tradnl"/>
        </w:rPr>
        <w:t>Mayor y la Cruz Roja de Noruega</w:t>
      </w:r>
      <w:r w:rsidRPr="000B5187">
        <w:rPr>
          <w:lang w:val="es-ES_tradnl"/>
        </w:rPr>
        <w:t>, los conocimientos generales y la comprensión de los soldados con respecto al derecho internacional humanitario y a los derechos humanos han mejorado desde 2004, cuando se realizó una encuesta similar.</w:t>
      </w:r>
      <w:r w:rsidRPr="000B5187">
        <w:t xml:space="preserve"> </w:t>
      </w:r>
      <w:r w:rsidRPr="000B5187">
        <w:rPr>
          <w:lang w:val="es-ES_tradnl"/>
        </w:rPr>
        <w:t>Es el resultado claro de l</w:t>
      </w:r>
      <w:r>
        <w:rPr>
          <w:lang w:val="es-ES_tradnl"/>
        </w:rPr>
        <w:t xml:space="preserve">a labor realizada por </w:t>
      </w:r>
      <w:r w:rsidRPr="000B5187">
        <w:rPr>
          <w:lang w:val="es-ES_tradnl"/>
        </w:rPr>
        <w:t>las autoridades noruegas p</w:t>
      </w:r>
      <w:r>
        <w:rPr>
          <w:lang w:val="es-ES_tradnl"/>
        </w:rPr>
        <w:t>ara</w:t>
      </w:r>
      <w:r w:rsidRPr="000B5187">
        <w:rPr>
          <w:lang w:val="es-ES_tradnl"/>
        </w:rPr>
        <w:t xml:space="preserve"> mejorar y coordinar los programas de educación y formación de los soldados.</w:t>
      </w:r>
      <w:r w:rsidRPr="000B5187">
        <w:t xml:space="preserve"> </w:t>
      </w:r>
      <w:r>
        <w:t>L</w:t>
      </w:r>
      <w:r w:rsidRPr="000B5187">
        <w:rPr>
          <w:lang w:val="es-ES_tradnl"/>
        </w:rPr>
        <w:t xml:space="preserve">as autoridades noruegas </w:t>
      </w:r>
      <w:r>
        <w:rPr>
          <w:lang w:val="es-ES_tradnl"/>
        </w:rPr>
        <w:t xml:space="preserve">señalan </w:t>
      </w:r>
      <w:r w:rsidRPr="000B5187">
        <w:rPr>
          <w:lang w:val="es-ES_tradnl"/>
        </w:rPr>
        <w:t>este avance</w:t>
      </w:r>
      <w:r>
        <w:rPr>
          <w:lang w:val="es-ES_tradnl"/>
        </w:rPr>
        <w:t xml:space="preserve"> y</w:t>
      </w:r>
      <w:r w:rsidRPr="000B5187">
        <w:rPr>
          <w:lang w:val="es-ES_tradnl"/>
        </w:rPr>
        <w:t xml:space="preserve"> siguen empeñadas en </w:t>
      </w:r>
      <w:r>
        <w:rPr>
          <w:lang w:val="es-ES_tradnl"/>
        </w:rPr>
        <w:t>reforza</w:t>
      </w:r>
      <w:r w:rsidRPr="000B5187">
        <w:rPr>
          <w:lang w:val="es-ES_tradnl"/>
        </w:rPr>
        <w:t>r y mejorar aún más la calidad de la formación y la educación en materia de derechos humanos y derecho internacional humanitario que reciben los soldados y otro personal pertinente.</w:t>
      </w:r>
      <w:r w:rsidRPr="000B5187">
        <w:t xml:space="preserve"> </w:t>
      </w:r>
    </w:p>
    <w:p w:rsidR="00993E5A" w:rsidRPr="000B5187" w:rsidRDefault="00993E5A" w:rsidP="00993E5A">
      <w:pPr>
        <w:pStyle w:val="SingleTxtG"/>
      </w:pPr>
      <w:r w:rsidRPr="000B5187">
        <w:t>17.</w:t>
      </w:r>
      <w:r w:rsidRPr="000B5187">
        <w:tab/>
      </w:r>
      <w:r w:rsidRPr="000B5187">
        <w:rPr>
          <w:lang w:val="es-ES_tradnl"/>
        </w:rPr>
        <w:t xml:space="preserve">En 2001 se presentó una demanda contra Noruega y otros países ante el </w:t>
      </w:r>
      <w:bookmarkStart w:id="25" w:name="OLE_LINK75"/>
      <w:bookmarkStart w:id="26" w:name="OLE_LINK76"/>
      <w:r w:rsidRPr="000B5187">
        <w:rPr>
          <w:lang w:val="es-ES_tradnl"/>
        </w:rPr>
        <w:t>Tribunal Europeo de Derechos Humanos</w:t>
      </w:r>
      <w:bookmarkEnd w:id="25"/>
      <w:bookmarkEnd w:id="26"/>
      <w:r w:rsidRPr="000B5187">
        <w:rPr>
          <w:lang w:val="es-ES_tradnl"/>
        </w:rPr>
        <w:t xml:space="preserve"> en Estrasburgo en la que se alegaba la contravención del Convenio Europeo de Derechos Humanos en relación con detenciones realizadas durante </w:t>
      </w:r>
      <w:r>
        <w:rPr>
          <w:lang w:val="es-ES_tradnl"/>
        </w:rPr>
        <w:t xml:space="preserve">la </w:t>
      </w:r>
      <w:r w:rsidRPr="000B5187">
        <w:rPr>
          <w:lang w:val="es-ES_tradnl"/>
        </w:rPr>
        <w:t>operaci</w:t>
      </w:r>
      <w:r>
        <w:rPr>
          <w:lang w:val="es-ES_tradnl"/>
        </w:rPr>
        <w:t xml:space="preserve">ón </w:t>
      </w:r>
      <w:r w:rsidRPr="000B5187">
        <w:rPr>
          <w:lang w:val="es-ES_tradnl"/>
        </w:rPr>
        <w:t xml:space="preserve">de la Fuerza Internacional de Seguridad en Kosovo (KFOR) dirigida por la </w:t>
      </w:r>
      <w:r>
        <w:rPr>
          <w:lang w:val="es-ES_tradnl"/>
        </w:rPr>
        <w:t>Organización del Tratado del Atlántico Norte (</w:t>
      </w:r>
      <w:r w:rsidRPr="000B5187">
        <w:rPr>
          <w:lang w:val="es-ES_tradnl"/>
        </w:rPr>
        <w:t>OTAN</w:t>
      </w:r>
      <w:r>
        <w:rPr>
          <w:lang w:val="es-ES_tradnl"/>
        </w:rPr>
        <w:t>)</w:t>
      </w:r>
      <w:r w:rsidRPr="000B5187">
        <w:rPr>
          <w:lang w:val="es-ES_tradnl"/>
        </w:rPr>
        <w:t>.</w:t>
      </w:r>
      <w:r w:rsidRPr="000B5187">
        <w:t xml:space="preserve"> </w:t>
      </w:r>
      <w:r w:rsidRPr="000B5187">
        <w:rPr>
          <w:lang w:val="es-ES_tradnl"/>
        </w:rPr>
        <w:t>El Tribunal concluyó que (en el caso de Behrami, Behrami y Saramati contra Noruega y otros países, decisión del Tribunal Europeo de Derechos Humanos de mayo de 2007) la demanda era inadmisible por falta de jurisdicción.</w:t>
      </w:r>
      <w:r w:rsidRPr="000B5187">
        <w:t xml:space="preserve"> </w:t>
      </w:r>
      <w:r w:rsidRPr="000B5187">
        <w:rPr>
          <w:lang w:val="es-ES_tradnl"/>
        </w:rPr>
        <w:t>En su decisión, el Tribunal dijo también que consideraba que era evidente que el mandato de seguridad de la KFOR incluía dictar órdenes de detención.</w:t>
      </w:r>
      <w:r w:rsidRPr="000B5187">
        <w:t xml:space="preserve"> </w:t>
      </w:r>
    </w:p>
    <w:p w:rsidR="00993E5A" w:rsidRPr="000B5187" w:rsidRDefault="00993E5A" w:rsidP="00993E5A">
      <w:pPr>
        <w:pStyle w:val="H23G"/>
      </w:pPr>
      <w:bookmarkStart w:id="27" w:name="_Toc246693204"/>
      <w:r w:rsidRPr="000B5187">
        <w:tab/>
      </w:r>
      <w:bookmarkEnd w:id="27"/>
      <w:r>
        <w:tab/>
      </w:r>
      <w:r w:rsidRPr="000B5187">
        <w:rPr>
          <w:lang w:val="es-ES_tradnl"/>
        </w:rPr>
        <w:t xml:space="preserve">Investigación de actos cometidos </w:t>
      </w:r>
      <w:bookmarkStart w:id="28" w:name="OLE_LINK81"/>
      <w:bookmarkStart w:id="29" w:name="OLE_LINK82"/>
      <w:r w:rsidRPr="000B5187">
        <w:rPr>
          <w:lang w:val="es-ES_tradnl"/>
        </w:rPr>
        <w:t xml:space="preserve">por </w:t>
      </w:r>
      <w:bookmarkStart w:id="30" w:name="OLE_LINK83"/>
      <w:bookmarkStart w:id="31" w:name="OLE_LINK84"/>
      <w:r w:rsidRPr="000B5187">
        <w:rPr>
          <w:lang w:val="es-ES_tradnl"/>
        </w:rPr>
        <w:t>miembros de la policía y de la fiscalía</w:t>
      </w:r>
      <w:bookmarkEnd w:id="28"/>
      <w:bookmarkEnd w:id="29"/>
      <w:bookmarkEnd w:id="30"/>
      <w:bookmarkEnd w:id="31"/>
    </w:p>
    <w:p w:rsidR="00993E5A" w:rsidRPr="000B5187" w:rsidRDefault="00993E5A" w:rsidP="00993E5A">
      <w:pPr>
        <w:pStyle w:val="SingleTxtG"/>
        <w:rPr>
          <w:lang w:val="es-ES_tradnl"/>
        </w:rPr>
      </w:pPr>
      <w:r w:rsidRPr="000B5187">
        <w:t>18.</w:t>
      </w:r>
      <w:r w:rsidRPr="000B5187">
        <w:tab/>
      </w:r>
      <w:r w:rsidRPr="000B5187">
        <w:rPr>
          <w:lang w:val="es-ES_tradnl"/>
        </w:rPr>
        <w:t xml:space="preserve">Véanse los párrafos 23 y 24 del quinto informe periódico de Noruega, que tratan de los órganos especializados encargados de investigar las causas contra miembros de la policía y de la fiscalía. </w:t>
      </w:r>
    </w:p>
    <w:p w:rsidR="00993E5A" w:rsidRPr="000B5187" w:rsidRDefault="00993E5A" w:rsidP="00993E5A">
      <w:pPr>
        <w:pStyle w:val="SingleTxtG"/>
        <w:rPr>
          <w:lang w:val="es-ES_tradnl"/>
        </w:rPr>
      </w:pPr>
      <w:r w:rsidRPr="000B5187">
        <w:rPr>
          <w:lang w:val="es-ES_tradnl"/>
        </w:rPr>
        <w:t>19.</w:t>
      </w:r>
      <w:r w:rsidRPr="000B5187">
        <w:rPr>
          <w:lang w:val="es-ES_tradnl"/>
        </w:rPr>
        <w:tab/>
        <w:t>El organismo noruego encargado de la investigación de asuntos policiales es un servicio independiente ajeno a la policía y a la fiscalía. Fundado el 1º de enero de 2005, depende administrativamente del Ministerio de Justicia y de Policía y, profesionalmente, del Fiscal General. Investiga todos los casos en los que se acusa a miembros de la policía y de la fiscalía de cometer delitos penales o de hacer uso ilícito de la fuerza mientras están de servicio, y realiza investigaciones rutinarias de sucesos en los que pueda haber heridos graves o muertos por actos cometidos por un policía mientras está de servicio.</w:t>
      </w:r>
    </w:p>
    <w:p w:rsidR="00993E5A" w:rsidRPr="000B5187" w:rsidRDefault="00993E5A" w:rsidP="00993E5A">
      <w:pPr>
        <w:pStyle w:val="SingleTxtG"/>
      </w:pPr>
      <w:r w:rsidRPr="000B5187">
        <w:rPr>
          <w:lang w:val="es-ES_tradnl"/>
        </w:rPr>
        <w:t>20.</w:t>
      </w:r>
      <w:r w:rsidRPr="000B5187">
        <w:rPr>
          <w:lang w:val="es-ES_tradnl"/>
        </w:rPr>
        <w:tab/>
        <w:t>Se trata de un organismo investigador que, dentro de su ámbito de actividad, goza de autoridad policial y de facultades fiscales similares a las de la fiscalía, y que tramita sus propias causas en los tribunales. Al ser independiente para tomar decisiones sobre enjuiciamientos se pretende eliminar toda sospecha de que los estrechos vínculos que existen entre la fiscalía y la policía en un mismo distrito puedan influir en la decisión de someter o no a juicio un delito.</w:t>
      </w:r>
      <w:r w:rsidRPr="000B5187">
        <w:t xml:space="preserve"> </w:t>
      </w:r>
    </w:p>
    <w:p w:rsidR="00993E5A" w:rsidRPr="000B5187" w:rsidRDefault="00993E5A" w:rsidP="00993E5A">
      <w:pPr>
        <w:pStyle w:val="SingleTxtG"/>
      </w:pPr>
      <w:r w:rsidRPr="000B5187">
        <w:t>21.</w:t>
      </w:r>
      <w:r w:rsidRPr="000B5187">
        <w:tab/>
      </w:r>
      <w:r w:rsidRPr="000B5187">
        <w:rPr>
          <w:lang w:val="es-ES_tradnl"/>
        </w:rPr>
        <w:t xml:space="preserve">El sistema de presentación de denuncias </w:t>
      </w:r>
      <w:r>
        <w:rPr>
          <w:lang w:val="es-ES_tradnl"/>
        </w:rPr>
        <w:t>contra la policía por conducta indebida</w:t>
      </w:r>
      <w:r w:rsidRPr="000B5187">
        <w:rPr>
          <w:lang w:val="es-ES_tradnl"/>
        </w:rPr>
        <w:t xml:space="preserve">, incluida la organización y el trabajo del organismo de investigación, fue evaluado en 2009 (véase el informe oficial noruego NOU 2009:12 </w:t>
      </w:r>
      <w:r w:rsidRPr="000B5187">
        <w:rPr>
          <w:i/>
          <w:lang w:val="es-ES_tradnl"/>
        </w:rPr>
        <w:t>Et ansvarlig politi.</w:t>
      </w:r>
      <w:r>
        <w:t xml:space="preserve"> </w:t>
      </w:r>
      <w:r w:rsidRPr="000B5187">
        <w:rPr>
          <w:i/>
        </w:rPr>
        <w:t>Åpenhet, kontroll og læring</w:t>
      </w:r>
      <w:r w:rsidRPr="000B5187">
        <w:t xml:space="preserve"> (Una policía responsable. </w:t>
      </w:r>
      <w:r w:rsidRPr="000B5187">
        <w:rPr>
          <w:lang w:val="es-ES_tradnl"/>
        </w:rPr>
        <w:t>Transparencia, supervisión y formación)).</w:t>
      </w:r>
      <w:r w:rsidRPr="000B5187">
        <w:t xml:space="preserve"> </w:t>
      </w:r>
      <w:r w:rsidRPr="000B5187">
        <w:rPr>
          <w:lang w:val="es-ES_tradnl"/>
        </w:rPr>
        <w:t>El Ministerio de Justicia y de Policía se encarga del seguimiento del informe.</w:t>
      </w:r>
    </w:p>
    <w:p w:rsidR="00993E5A" w:rsidRPr="000B5187" w:rsidRDefault="00993E5A" w:rsidP="00993E5A">
      <w:pPr>
        <w:pStyle w:val="H23G"/>
      </w:pPr>
      <w:bookmarkStart w:id="32" w:name="_Toc246693205"/>
      <w:bookmarkStart w:id="33" w:name="_Toc278809786"/>
      <w:bookmarkStart w:id="34" w:name="_Toc278878439"/>
      <w:r w:rsidRPr="000B5187">
        <w:tab/>
      </w:r>
      <w:bookmarkEnd w:id="32"/>
      <w:bookmarkEnd w:id="33"/>
      <w:bookmarkEnd w:id="34"/>
      <w:r>
        <w:tab/>
      </w:r>
      <w:r w:rsidRPr="000B5187">
        <w:rPr>
          <w:lang w:val="es-ES_tradnl"/>
        </w:rPr>
        <w:t>Difusión del informe de Noruega y de las observaciones finales del Comité</w:t>
      </w:r>
      <w:r w:rsidRPr="000B5187">
        <w:t xml:space="preserve"> </w:t>
      </w:r>
    </w:p>
    <w:p w:rsidR="00993E5A" w:rsidRPr="000B5187" w:rsidRDefault="00993E5A" w:rsidP="00993E5A">
      <w:pPr>
        <w:pStyle w:val="SingleTxtG"/>
      </w:pPr>
      <w:r w:rsidRPr="000B5187">
        <w:t>22.</w:t>
      </w:r>
      <w:r w:rsidRPr="000B5187">
        <w:tab/>
      </w:r>
      <w:r w:rsidRPr="003511DA">
        <w:rPr>
          <w:lang w:val="es-ES_tradnl"/>
        </w:rPr>
        <w:t>En sus observaciones finales de abril de 2006 sobre el quinto informe periódico de Noruega, el Comité pidió que se diera gran difusión en el país a las observaciones finales y el quinto informe periódico.</w:t>
      </w:r>
      <w:r w:rsidRPr="003511DA">
        <w:t xml:space="preserve"> </w:t>
      </w:r>
      <w:r w:rsidRPr="003511DA">
        <w:rPr>
          <w:lang w:val="es-ES_tradnl"/>
        </w:rPr>
        <w:t>La práctica establecida en Noruega es distribuir las observaciones finales entre las autoridades competentes y los representantes de la sociedad civil.</w:t>
      </w:r>
      <w:r w:rsidRPr="003511DA">
        <w:t xml:space="preserve"> </w:t>
      </w:r>
      <w:r w:rsidRPr="003511DA">
        <w:rPr>
          <w:lang w:val="es-ES_tradnl"/>
        </w:rPr>
        <w:t>Uno de los elementos del seguimiento de las conclusiones fue la organización, por parte del Ministerio de Relaciones Exteriores, de una consulta entre los ministerios interesados y los representantes de la sociedad civil.</w:t>
      </w:r>
      <w:r w:rsidRPr="003511DA">
        <w:t xml:space="preserve"> </w:t>
      </w:r>
      <w:r w:rsidRPr="003511DA">
        <w:rPr>
          <w:lang w:val="es-ES_tradnl"/>
        </w:rPr>
        <w:t>La traducción al noruego de las observaciones finales puede consultarse en el sitio web del Gobierno (http://www.regjeringen.no/nb/dep/ud/dok/veiledninger/2004/iccpr.html?id=88149), donde figuran, además, un resumen de las conclusiones, informes anteriores y vínculos a páginas útiles, como el texto del Pacto y la jurisprudencia y las observaciones generales del Comité</w:t>
      </w:r>
      <w:r w:rsidRPr="00A85D2A">
        <w:rPr>
          <w:spacing w:val="-2"/>
          <w:lang w:val="es-ES_tradnl"/>
        </w:rPr>
        <w:t>.</w:t>
      </w:r>
      <w:r w:rsidRPr="000B5187">
        <w:t xml:space="preserve"> </w:t>
      </w:r>
    </w:p>
    <w:p w:rsidR="00993E5A" w:rsidRPr="000B5187" w:rsidRDefault="00993E5A" w:rsidP="00993E5A">
      <w:pPr>
        <w:pStyle w:val="H1G"/>
      </w:pPr>
      <w:bookmarkStart w:id="35" w:name="_Toc239660514"/>
      <w:bookmarkStart w:id="36" w:name="_Toc246693206"/>
      <w:bookmarkStart w:id="37" w:name="_Toc278809787"/>
      <w:bookmarkStart w:id="38" w:name="_Toc278878440"/>
      <w:r>
        <w:rPr>
          <w:lang w:val="es-ES_tradnl"/>
        </w:rPr>
        <w:tab/>
      </w:r>
      <w:r w:rsidRPr="000B5187">
        <w:rPr>
          <w:lang w:val="es-ES_tradnl"/>
        </w:rPr>
        <w:t>C.</w:t>
      </w:r>
      <w:r w:rsidRPr="000B5187">
        <w:tab/>
      </w:r>
      <w:bookmarkStart w:id="39" w:name="_Toc239660515"/>
      <w:bookmarkEnd w:id="35"/>
      <w:bookmarkEnd w:id="36"/>
      <w:bookmarkEnd w:id="37"/>
      <w:bookmarkEnd w:id="38"/>
      <w:r w:rsidRPr="000B5187">
        <w:rPr>
          <w:lang w:val="es-ES_tradnl"/>
        </w:rPr>
        <w:t>Artículo 3</w:t>
      </w:r>
    </w:p>
    <w:p w:rsidR="00993E5A" w:rsidRPr="000B5187" w:rsidRDefault="00993E5A" w:rsidP="00993E5A">
      <w:pPr>
        <w:pStyle w:val="H23G"/>
      </w:pPr>
      <w:bookmarkStart w:id="40" w:name="_Toc246693207"/>
      <w:r w:rsidRPr="000B5187">
        <w:tab/>
      </w:r>
      <w:bookmarkEnd w:id="40"/>
      <w:r>
        <w:tab/>
      </w:r>
      <w:r w:rsidRPr="000B5187">
        <w:rPr>
          <w:lang w:val="es-ES_tradnl"/>
        </w:rPr>
        <w:t>Situación actual de la mujer</w:t>
      </w:r>
    </w:p>
    <w:p w:rsidR="00993E5A" w:rsidRPr="000B5187" w:rsidRDefault="00993E5A" w:rsidP="00993E5A">
      <w:pPr>
        <w:pStyle w:val="SingleTxtG"/>
      </w:pPr>
      <w:r w:rsidRPr="000B5187">
        <w:t>23.</w:t>
      </w:r>
      <w:r w:rsidRPr="000B5187">
        <w:tab/>
      </w:r>
      <w:r w:rsidRPr="000B5187">
        <w:rPr>
          <w:lang w:val="es-ES_tradnl"/>
        </w:rPr>
        <w:t>En 2009 se incorporó en la Ley de derechos humanos la Convención sobre la eliminación de todas las formas de discrimi</w:t>
      </w:r>
      <w:r>
        <w:rPr>
          <w:lang w:val="es-ES_tradnl"/>
        </w:rPr>
        <w:t>nación contra la mujer, que pasó</w:t>
      </w:r>
      <w:r w:rsidRPr="000B5187">
        <w:rPr>
          <w:lang w:val="es-ES_tradnl"/>
        </w:rPr>
        <w:t xml:space="preserve"> a tener precedencia (véase el párrafo 106 del documento básico).</w:t>
      </w:r>
      <w:r w:rsidRPr="000B5187">
        <w:t xml:space="preserve"> </w:t>
      </w:r>
    </w:p>
    <w:p w:rsidR="00993E5A" w:rsidRPr="000B5187" w:rsidRDefault="00993E5A" w:rsidP="00993E5A">
      <w:pPr>
        <w:pStyle w:val="SingleTxtG"/>
      </w:pPr>
      <w:r w:rsidRPr="000B5187">
        <w:t>24.</w:t>
      </w:r>
      <w:r w:rsidRPr="000B5187">
        <w:tab/>
      </w:r>
      <w:r w:rsidRPr="000B5187">
        <w:rPr>
          <w:lang w:val="es-ES_tradnl"/>
        </w:rPr>
        <w:t>Véanse los párrafos 30 a 36 del quinto informe periódico de Noruega, el párrafo 3 c) de las observaciones finales del Comité y los párrafos 234 a 237 del documento básico.</w:t>
      </w:r>
      <w:r w:rsidRPr="000B5187">
        <w:t xml:space="preserve"> </w:t>
      </w:r>
      <w:r w:rsidRPr="000B5187">
        <w:rPr>
          <w:lang w:val="es-ES_tradnl"/>
        </w:rPr>
        <w:t xml:space="preserve">La cuestión de la violencia </w:t>
      </w:r>
      <w:r>
        <w:rPr>
          <w:lang w:val="es-ES_tradnl"/>
        </w:rPr>
        <w:t>contra los allegados</w:t>
      </w:r>
      <w:r w:rsidRPr="000B5187">
        <w:rPr>
          <w:lang w:val="es-ES_tradnl"/>
        </w:rPr>
        <w:t xml:space="preserve"> se aborda en la sección correspondiente al artículo 7. La igualdad entre los géneros se trata brevemente en la sección correspondiente al artículo 26, y se ofrecen referencias adicionales.</w:t>
      </w:r>
      <w:r>
        <w:t xml:space="preserve"> </w:t>
      </w:r>
    </w:p>
    <w:p w:rsidR="00993E5A" w:rsidRPr="000B5187" w:rsidRDefault="00993E5A" w:rsidP="00993E5A">
      <w:pPr>
        <w:pStyle w:val="SingleTxtG"/>
      </w:pPr>
      <w:r w:rsidRPr="000B5187">
        <w:t>25.</w:t>
      </w:r>
      <w:r w:rsidRPr="000B5187">
        <w:tab/>
      </w:r>
      <w:r w:rsidRPr="000B5187">
        <w:rPr>
          <w:lang w:val="es-ES_tradnl"/>
        </w:rPr>
        <w:t>Para fomentar la igualdad entre los géneros, la estrategia principal es incorporar la perspectiva de género, entre otras cosas, en la elaboración de presupuestos.</w:t>
      </w:r>
      <w:r w:rsidRPr="000B5187">
        <w:t xml:space="preserve"> </w:t>
      </w:r>
      <w:r w:rsidRPr="000B5187">
        <w:rPr>
          <w:lang w:val="es-ES_tradnl"/>
        </w:rPr>
        <w:t>Esto quiere decir que todos los ámbitos de políticas del Gobierno cuenten c</w:t>
      </w:r>
      <w:r>
        <w:rPr>
          <w:lang w:val="es-ES_tradnl"/>
        </w:rPr>
        <w:t>on información y con herramient</w:t>
      </w:r>
      <w:r w:rsidRPr="000B5187">
        <w:rPr>
          <w:lang w:val="es-ES_tradnl"/>
        </w:rPr>
        <w:t xml:space="preserve">as prácticas para lograr </w:t>
      </w:r>
      <w:r>
        <w:rPr>
          <w:lang w:val="es-ES_tradnl"/>
        </w:rPr>
        <w:t xml:space="preserve">dicha </w:t>
      </w:r>
      <w:r w:rsidRPr="000B5187">
        <w:rPr>
          <w:lang w:val="es-ES_tradnl"/>
        </w:rPr>
        <w:t>igualdad.</w:t>
      </w:r>
    </w:p>
    <w:p w:rsidR="00993E5A" w:rsidRPr="000B5187" w:rsidRDefault="00993E5A" w:rsidP="00993E5A">
      <w:pPr>
        <w:pStyle w:val="SingleTxtG"/>
      </w:pPr>
      <w:r w:rsidRPr="000B5187">
        <w:t>26.</w:t>
      </w:r>
      <w:r w:rsidRPr="000B5187">
        <w:tab/>
      </w:r>
      <w:r w:rsidRPr="000B5187">
        <w:rPr>
          <w:lang w:val="es-ES_tradnl"/>
        </w:rPr>
        <w:t>En marzo de 2008, se presentó al Gobierno un informe elaborado por un comité encargado de presentar una descripción de las diferencias entre la remuneración que reciben hombres y mujeres y de estudiar medidas para reducirlas.</w:t>
      </w:r>
      <w:r w:rsidRPr="000B5187">
        <w:t xml:space="preserve"> </w:t>
      </w:r>
      <w:r w:rsidRPr="000B5187">
        <w:rPr>
          <w:lang w:val="es-ES_tradnl"/>
        </w:rPr>
        <w:t xml:space="preserve">Según el informe, las mujeres ganan por hora, en promedio, un 15% </w:t>
      </w:r>
      <w:r>
        <w:rPr>
          <w:lang w:val="es-ES_tradnl"/>
        </w:rPr>
        <w:t xml:space="preserve">menos </w:t>
      </w:r>
      <w:r w:rsidRPr="000B5187">
        <w:rPr>
          <w:lang w:val="es-ES_tradnl"/>
        </w:rPr>
        <w:t>que los hombres.</w:t>
      </w:r>
      <w:r w:rsidRPr="000B5187">
        <w:t xml:space="preserve"> </w:t>
      </w:r>
      <w:r w:rsidRPr="000B5187">
        <w:rPr>
          <w:lang w:val="es-ES_tradnl"/>
        </w:rPr>
        <w:t>El nuevo Gobierno iniciará en breve el seguimiento del informe mediante una cooperación tripartita entre la organización patronal, los sindicatos y el Estado.</w:t>
      </w:r>
    </w:p>
    <w:p w:rsidR="00993E5A" w:rsidRPr="000B5187" w:rsidRDefault="00993E5A" w:rsidP="00993E5A">
      <w:pPr>
        <w:pStyle w:val="SingleTxtG"/>
      </w:pPr>
      <w:r w:rsidRPr="000B5187">
        <w:t>27.</w:t>
      </w:r>
      <w:r w:rsidRPr="000B5187">
        <w:tab/>
      </w:r>
      <w:r w:rsidRPr="000B5187">
        <w:rPr>
          <w:lang w:val="es-ES_tradnl"/>
        </w:rPr>
        <w:t xml:space="preserve">Noruega está firmemente </w:t>
      </w:r>
      <w:r>
        <w:rPr>
          <w:lang w:val="es-ES_tradnl"/>
        </w:rPr>
        <w:t xml:space="preserve">decidida a </w:t>
      </w:r>
      <w:r w:rsidRPr="000B5187">
        <w:rPr>
          <w:lang w:val="es-ES_tradnl"/>
        </w:rPr>
        <w:t>lograr una participación igualitaria de hombres y mujeres en el sector empresarial.</w:t>
      </w:r>
      <w:r w:rsidRPr="000B5187">
        <w:t xml:space="preserve"> </w:t>
      </w:r>
      <w:r w:rsidRPr="000B5187">
        <w:rPr>
          <w:lang w:val="es-ES_tradnl"/>
        </w:rPr>
        <w:t xml:space="preserve">Los consejos de administración de todas las empresas estatales, las sociedades de responsabilidad limitada </w:t>
      </w:r>
      <w:r>
        <w:rPr>
          <w:lang w:val="es-ES_tradnl"/>
        </w:rPr>
        <w:t xml:space="preserve">privadas y públicas </w:t>
      </w:r>
      <w:r w:rsidRPr="000B5187">
        <w:rPr>
          <w:lang w:val="es-ES_tradnl"/>
        </w:rPr>
        <w:t>y las sociedades anónimas</w:t>
      </w:r>
      <w:r>
        <w:rPr>
          <w:lang w:val="es-ES_tradnl"/>
        </w:rPr>
        <w:t xml:space="preserve"> </w:t>
      </w:r>
      <w:r w:rsidRPr="000B5187">
        <w:rPr>
          <w:lang w:val="es-ES_tradnl"/>
        </w:rPr>
        <w:t>con propietarios privados, tienen la obligación de contar con una representación mínima de cada sexo, alrededor del 40%.</w:t>
      </w:r>
      <w:r w:rsidRPr="000B5187">
        <w:t xml:space="preserve"> </w:t>
      </w:r>
    </w:p>
    <w:p w:rsidR="00993E5A" w:rsidRPr="000B5187" w:rsidRDefault="00993E5A" w:rsidP="00993E5A">
      <w:pPr>
        <w:pStyle w:val="SingleTxtG"/>
      </w:pPr>
      <w:r w:rsidRPr="000B5187">
        <w:t>28.</w:t>
      </w:r>
      <w:r w:rsidRPr="000B5187">
        <w:tab/>
      </w:r>
      <w:r w:rsidRPr="000B5187">
        <w:rPr>
          <w:lang w:val="es-ES_tradnl"/>
        </w:rPr>
        <w:t>En cuanto a la salud</w:t>
      </w:r>
      <w:r>
        <w:rPr>
          <w:lang w:val="es-ES_tradnl"/>
        </w:rPr>
        <w:t>,</w:t>
      </w:r>
      <w:r w:rsidRPr="000B5187">
        <w:rPr>
          <w:lang w:val="es-ES_tradnl"/>
        </w:rPr>
        <w:t xml:space="preserve"> hay diferencias entre los géneros que pueden afectar a la calidad de vida y a las trayectorias profesionales.</w:t>
      </w:r>
      <w:r w:rsidRPr="000B5187">
        <w:t xml:space="preserve"> </w:t>
      </w:r>
      <w:r w:rsidRPr="000B5187">
        <w:rPr>
          <w:lang w:val="es-ES_tradnl"/>
        </w:rPr>
        <w:t xml:space="preserve">La esperanza de vida de los hombres era de 71 años en 1970 y </w:t>
      </w:r>
      <w:r>
        <w:rPr>
          <w:lang w:val="es-ES_tradnl"/>
        </w:rPr>
        <w:t xml:space="preserve">de </w:t>
      </w:r>
      <w:r w:rsidRPr="000B5187">
        <w:rPr>
          <w:lang w:val="es-ES_tradnl"/>
        </w:rPr>
        <w:t>78,2 en 2007, y en el caso de las mujeres la cifra pasó de 77 a 82,7</w:t>
      </w:r>
      <w:r w:rsidR="008A7A7E">
        <w:rPr>
          <w:lang w:val="es-ES_tradnl"/>
        </w:rPr>
        <w:t> </w:t>
      </w:r>
      <w:r>
        <w:rPr>
          <w:lang w:val="es-ES_tradnl"/>
        </w:rPr>
        <w:t xml:space="preserve">años </w:t>
      </w:r>
      <w:r w:rsidRPr="000B5187">
        <w:rPr>
          <w:lang w:val="es-ES_tradnl"/>
        </w:rPr>
        <w:t>durante el mismo período.</w:t>
      </w:r>
      <w:r w:rsidRPr="000B5187">
        <w:t xml:space="preserve"> </w:t>
      </w:r>
      <w:r w:rsidRPr="000B5187">
        <w:rPr>
          <w:lang w:val="es-ES_tradnl"/>
        </w:rPr>
        <w:t xml:space="preserve">Entre otras cosas, esto se debe a la reducción, </w:t>
      </w:r>
      <w:r>
        <w:rPr>
          <w:lang w:val="es-ES_tradnl"/>
        </w:rPr>
        <w:t>a lo largo de much</w:t>
      </w:r>
      <w:r w:rsidRPr="000B5187">
        <w:rPr>
          <w:lang w:val="es-ES_tradnl"/>
        </w:rPr>
        <w:t>os años, de la mortalidad a causa de enfermedades cardiovasculares y a la baja tasa de mortalidad infantil.</w:t>
      </w:r>
      <w:r w:rsidRPr="000B5187">
        <w:t xml:space="preserve"> </w:t>
      </w:r>
      <w:r w:rsidRPr="000B5187">
        <w:rPr>
          <w:lang w:val="es-ES_tradnl"/>
        </w:rPr>
        <w:t>Los hombres y los niños corren un mayor riesgo de muerte que las mujeres y las niñas desde el primer año de vida.</w:t>
      </w:r>
      <w:r w:rsidRPr="000B5187">
        <w:t xml:space="preserve"> </w:t>
      </w:r>
      <w:r w:rsidRPr="000B5187">
        <w:rPr>
          <w:lang w:val="es-ES_tradnl"/>
        </w:rPr>
        <w:t xml:space="preserve">Sin embargo, el absentismo laboral debido a enfermedades y </w:t>
      </w:r>
      <w:r>
        <w:rPr>
          <w:lang w:val="es-ES_tradnl"/>
        </w:rPr>
        <w:t>e</w:t>
      </w:r>
      <w:r w:rsidRPr="000B5187">
        <w:rPr>
          <w:lang w:val="es-ES_tradnl"/>
        </w:rPr>
        <w:t>l uso de servicios preventivos y otros servicios sanitarios es menor entre los hombres y niños que entre las mujeres y niñas.</w:t>
      </w:r>
      <w:r w:rsidRPr="000B5187">
        <w:t xml:space="preserve"> </w:t>
      </w:r>
      <w:r w:rsidRPr="000B5187">
        <w:rPr>
          <w:lang w:val="es-ES_tradnl"/>
        </w:rPr>
        <w:t xml:space="preserve">Hay también diferencias de género en las causas de muerte que no pueden atribuirse únicamente a factores biológicos pero que están relacionadas con situaciones sociales y estilos de vida </w:t>
      </w:r>
      <w:r>
        <w:rPr>
          <w:lang w:val="es-ES_tradnl"/>
        </w:rPr>
        <w:t>en los que</w:t>
      </w:r>
      <w:r w:rsidRPr="000B5187">
        <w:rPr>
          <w:lang w:val="es-ES_tradnl"/>
        </w:rPr>
        <w:t>, además, hay que tener en cuenta las expectativas culturales relativas a los hombres y a los niños.</w:t>
      </w:r>
    </w:p>
    <w:p w:rsidR="00993E5A" w:rsidRPr="000B5187" w:rsidRDefault="00993E5A" w:rsidP="00993E5A">
      <w:pPr>
        <w:pStyle w:val="SingleTxtG"/>
      </w:pPr>
      <w:r w:rsidRPr="000B5187">
        <w:t>29.</w:t>
      </w:r>
      <w:r w:rsidRPr="000B5187">
        <w:tab/>
      </w:r>
      <w:r w:rsidRPr="000B5187">
        <w:rPr>
          <w:lang w:val="es-ES_tradnl"/>
        </w:rPr>
        <w:t>La igualdad entre el padre y la madre es una de las claves de la igualdad de oportunidades entre hombres y mujeres en el mercado laboral.</w:t>
      </w:r>
      <w:r w:rsidRPr="000B5187">
        <w:t xml:space="preserve"> </w:t>
      </w:r>
      <w:r w:rsidRPr="000B5187">
        <w:rPr>
          <w:lang w:val="es-ES_tradnl"/>
        </w:rPr>
        <w:t>La duración de</w:t>
      </w:r>
      <w:r>
        <w:rPr>
          <w:lang w:val="es-ES_tradnl"/>
        </w:rPr>
        <w:t xml:space="preserve"> la </w:t>
      </w:r>
      <w:r w:rsidRPr="000B5187">
        <w:rPr>
          <w:lang w:val="es-ES_tradnl"/>
        </w:rPr>
        <w:t>l</w:t>
      </w:r>
      <w:r>
        <w:rPr>
          <w:lang w:val="es-ES_tradnl"/>
        </w:rPr>
        <w:t>icencia por nacimiento</w:t>
      </w:r>
      <w:r w:rsidRPr="000B5187">
        <w:rPr>
          <w:lang w:val="es-ES_tradnl"/>
        </w:rPr>
        <w:t xml:space="preserve"> </w:t>
      </w:r>
      <w:r>
        <w:rPr>
          <w:lang w:val="es-ES_tradnl"/>
        </w:rPr>
        <w:t xml:space="preserve">de un hijo </w:t>
      </w:r>
      <w:r w:rsidRPr="000B5187">
        <w:rPr>
          <w:lang w:val="es-ES_tradnl"/>
        </w:rPr>
        <w:t>es de 46 semanas con el 100% del sueldo o 56 semanas con el 80% (prestaciones parentales).</w:t>
      </w:r>
      <w:r w:rsidRPr="000B5187">
        <w:t xml:space="preserve"> </w:t>
      </w:r>
      <w:r w:rsidRPr="000B5187">
        <w:rPr>
          <w:lang w:val="es-ES_tradnl"/>
        </w:rPr>
        <w:t>Al padre le corresponden 10 semanas (desde el 1º de julio de 2009), que están incluidas en esas cifras.</w:t>
      </w:r>
      <w:r w:rsidRPr="000B5187">
        <w:t xml:space="preserve"> </w:t>
      </w:r>
    </w:p>
    <w:p w:rsidR="00993E5A" w:rsidRPr="000B5187" w:rsidRDefault="00993E5A" w:rsidP="00993E5A">
      <w:pPr>
        <w:pStyle w:val="SingleTxtG"/>
      </w:pPr>
      <w:r w:rsidRPr="000B5187">
        <w:t>30.</w:t>
      </w:r>
      <w:r w:rsidRPr="000B5187">
        <w:tab/>
      </w:r>
      <w:r w:rsidRPr="000B5187">
        <w:rPr>
          <w:lang w:val="es-ES_tradnl"/>
        </w:rPr>
        <w:t xml:space="preserve">Uno de los objetivos políticos más destacados de los últimos años ha sido lograr que los padres </w:t>
      </w:r>
      <w:r>
        <w:rPr>
          <w:lang w:val="es-ES_tradnl"/>
        </w:rPr>
        <w:t xml:space="preserve">tengan plaza asegurada para sus hijos </w:t>
      </w:r>
      <w:r w:rsidRPr="000B5187">
        <w:rPr>
          <w:lang w:val="es-ES_tradnl"/>
        </w:rPr>
        <w:t xml:space="preserve">en </w:t>
      </w:r>
      <w:r>
        <w:rPr>
          <w:lang w:val="es-ES_tradnl"/>
        </w:rPr>
        <w:t>un</w:t>
      </w:r>
      <w:r w:rsidRPr="000B5187">
        <w:rPr>
          <w:lang w:val="es-ES_tradnl"/>
        </w:rPr>
        <w:t xml:space="preserve"> jardín de infancia de gran calidad y a bajo precio.</w:t>
      </w:r>
      <w:r w:rsidRPr="000B5187">
        <w:t xml:space="preserve"> </w:t>
      </w:r>
      <w:r>
        <w:rPr>
          <w:lang w:val="es-ES_tradnl"/>
        </w:rPr>
        <w:t>En Noruega</w:t>
      </w:r>
      <w:r w:rsidRPr="000B5187">
        <w:rPr>
          <w:lang w:val="es-ES_tradnl"/>
        </w:rPr>
        <w:t xml:space="preserve"> los niños tienen derecho a una plaza en un jardín de infancia (desde el 1º de enero de 2009). Los municipios están obligados por ley a ofrecer las plazas necesarias.</w:t>
      </w:r>
      <w:r w:rsidRPr="000B5187">
        <w:t xml:space="preserve"> </w:t>
      </w:r>
      <w:r w:rsidRPr="000B5187">
        <w:rPr>
          <w:lang w:val="es-ES_tradnl"/>
        </w:rPr>
        <w:t xml:space="preserve">Desde 2004 </w:t>
      </w:r>
      <w:r>
        <w:rPr>
          <w:lang w:val="es-ES_tradnl"/>
        </w:rPr>
        <w:t xml:space="preserve">el </w:t>
      </w:r>
      <w:r w:rsidRPr="000B5187">
        <w:rPr>
          <w:lang w:val="es-ES_tradnl"/>
        </w:rPr>
        <w:t xml:space="preserve">límite máximo </w:t>
      </w:r>
      <w:r>
        <w:rPr>
          <w:lang w:val="es-ES_tradnl"/>
        </w:rPr>
        <w:t>de la parte que debía</w:t>
      </w:r>
      <w:r w:rsidRPr="000B5187">
        <w:rPr>
          <w:lang w:val="es-ES_tradnl"/>
        </w:rPr>
        <w:t xml:space="preserve">n pagar los padres </w:t>
      </w:r>
      <w:r>
        <w:rPr>
          <w:lang w:val="es-ES_tradnl"/>
        </w:rPr>
        <w:t xml:space="preserve">era </w:t>
      </w:r>
      <w:r w:rsidRPr="000B5187">
        <w:rPr>
          <w:lang w:val="es-ES_tradnl"/>
        </w:rPr>
        <w:t>de 299 euros mensuales (alrededor de 2.330 coronas noruegas) (2009).</w:t>
      </w:r>
      <w:r w:rsidRPr="000B5187">
        <w:t xml:space="preserve"> </w:t>
      </w:r>
      <w:r w:rsidRPr="000B5187">
        <w:rPr>
          <w:lang w:val="es-ES_tradnl"/>
        </w:rPr>
        <w:t>En 2010 la cantidad máxima es 2.330 coronas noruegas al mes y 25.630 coronas noruegas al año.</w:t>
      </w:r>
      <w:r w:rsidRPr="000B5187">
        <w:t xml:space="preserve"> Según las cifras más recientes, en 2008 el 87% de los niños entre 1 y 5 años contaban con una plaza en los jardines de infancia. </w:t>
      </w:r>
    </w:p>
    <w:p w:rsidR="00993E5A" w:rsidRPr="000B5187" w:rsidRDefault="00993E5A" w:rsidP="00993E5A">
      <w:pPr>
        <w:pStyle w:val="SingleTxtG"/>
      </w:pPr>
      <w:r w:rsidRPr="000B5187">
        <w:t>31.</w:t>
      </w:r>
      <w:r w:rsidRPr="000B5187">
        <w:tab/>
      </w:r>
      <w:r w:rsidRPr="000B5187">
        <w:rPr>
          <w:lang w:val="es-ES_tradnl"/>
        </w:rPr>
        <w:t>El 1º de enero de 2006 entró en vigor una nueva Ley sobre el entorno laboral que facilita la conciliación de la vida laboral y la vida familiar con medidas como horarios flexibles, derecho a estar exento de trabajar horas extra</w:t>
      </w:r>
      <w:r>
        <w:rPr>
          <w:lang w:val="es-ES_tradnl"/>
        </w:rPr>
        <w:t>ordinarias</w:t>
      </w:r>
      <w:r w:rsidRPr="000B5187">
        <w:rPr>
          <w:lang w:val="es-ES_tradnl"/>
        </w:rPr>
        <w:t>, oficinas en el hogar que se benefician de las tecnologías de la información y las comunicaciones</w:t>
      </w:r>
      <w:r>
        <w:rPr>
          <w:lang w:val="es-ES_tradnl"/>
        </w:rPr>
        <w:t>,</w:t>
      </w:r>
      <w:r w:rsidRPr="000B5187">
        <w:rPr>
          <w:lang w:val="es-ES_tradnl"/>
        </w:rPr>
        <w:t xml:space="preserve"> y el derecho d</w:t>
      </w:r>
      <w:r>
        <w:rPr>
          <w:lang w:val="es-ES_tradnl"/>
        </w:rPr>
        <w:t>e ambos padres a disfrutar de diez</w:t>
      </w:r>
      <w:r w:rsidRPr="000B5187">
        <w:rPr>
          <w:lang w:val="es-ES_tradnl"/>
        </w:rPr>
        <w:t xml:space="preserve"> días de licencia con sueldo para atender a sus hijos cuando estén enfermos.</w:t>
      </w:r>
      <w:r w:rsidRPr="000B5187">
        <w:t xml:space="preserve"> </w:t>
      </w:r>
    </w:p>
    <w:p w:rsidR="00993E5A" w:rsidRPr="000B5187" w:rsidRDefault="00993E5A" w:rsidP="00993E5A">
      <w:pPr>
        <w:pStyle w:val="SingleTxtG"/>
        <w:keepNext/>
        <w:keepLines/>
      </w:pPr>
      <w:r w:rsidRPr="000B5187">
        <w:t>32.</w:t>
      </w:r>
      <w:r w:rsidRPr="000B5187">
        <w:tab/>
        <w:t xml:space="preserve">El 85% de las madres con hijos menores de 16 años están integradas en la población activa (2008). </w:t>
      </w:r>
      <w:r>
        <w:t>E</w:t>
      </w:r>
      <w:r w:rsidRPr="000B5187">
        <w:rPr>
          <w:lang w:val="es-ES_tradnl"/>
        </w:rPr>
        <w:t>n 2008</w:t>
      </w:r>
      <w:r>
        <w:rPr>
          <w:lang w:val="es-ES_tradnl"/>
        </w:rPr>
        <w:t xml:space="preserve"> la tasa total de fertilidad era de</w:t>
      </w:r>
      <w:r w:rsidRPr="000B5187">
        <w:rPr>
          <w:lang w:val="es-ES_tradnl"/>
        </w:rPr>
        <w:t xml:space="preserve"> 1,96 hijos por mujer, la más alta desde 1975. Sin embargo, sigue habiendo problemas, entre otras cosas</w:t>
      </w:r>
      <w:r>
        <w:rPr>
          <w:lang w:val="es-ES_tradnl"/>
        </w:rPr>
        <w:t>,</w:t>
      </w:r>
      <w:r w:rsidRPr="000B5187">
        <w:rPr>
          <w:lang w:val="es-ES_tradnl"/>
        </w:rPr>
        <w:t xml:space="preserve"> en cuanto al predominio de hombres en los puestos directivos </w:t>
      </w:r>
      <w:r>
        <w:rPr>
          <w:lang w:val="es-ES_tradnl"/>
        </w:rPr>
        <w:t>d</w:t>
      </w:r>
      <w:r w:rsidRPr="000B5187">
        <w:rPr>
          <w:lang w:val="es-ES_tradnl"/>
        </w:rPr>
        <w:t xml:space="preserve">e los medios de comunicación y en puestos de gestión, las diferencias sistemáticas en el uso que hacen </w:t>
      </w:r>
      <w:r>
        <w:rPr>
          <w:lang w:val="es-ES_tradnl"/>
        </w:rPr>
        <w:t>dich</w:t>
      </w:r>
      <w:r w:rsidRPr="000B5187">
        <w:rPr>
          <w:lang w:val="es-ES_tradnl"/>
        </w:rPr>
        <w:t xml:space="preserve">os medios de los hombres y las mujeres como fuentes de información, </w:t>
      </w:r>
      <w:r>
        <w:rPr>
          <w:lang w:val="es-ES_tradnl"/>
        </w:rPr>
        <w:t xml:space="preserve">el reparto de </w:t>
      </w:r>
      <w:r w:rsidRPr="000B5187">
        <w:rPr>
          <w:lang w:val="es-ES_tradnl"/>
        </w:rPr>
        <w:t xml:space="preserve">las labores del hogar y la licencia </w:t>
      </w:r>
      <w:r>
        <w:rPr>
          <w:lang w:val="es-ES_tradnl"/>
        </w:rPr>
        <w:t>por nacimiento de un hijo</w:t>
      </w:r>
      <w:r w:rsidRPr="000B5187">
        <w:rPr>
          <w:lang w:val="es-ES_tradnl"/>
        </w:rPr>
        <w:t>, así como a la existencia de un alto porcentaje de mujeres que trabajan a tiempo parcial.</w:t>
      </w:r>
      <w:r w:rsidRPr="000B5187">
        <w:t xml:space="preserve"> </w:t>
      </w:r>
      <w:r w:rsidRPr="000B5187">
        <w:rPr>
          <w:lang w:val="es-ES_tradnl"/>
        </w:rPr>
        <w:t>En el próximo informe de Noruega al Comité para la Eliminación de la Discriminación contra la Mujer, que debe presentarse en septiembre de 2010, se ofrecerá una descripción detallada de la situación actual de la mujer en Noruega.</w:t>
      </w:r>
      <w:r w:rsidRPr="000B5187">
        <w:t xml:space="preserve"> </w:t>
      </w:r>
    </w:p>
    <w:p w:rsidR="00993E5A" w:rsidRPr="000B5187" w:rsidRDefault="00993E5A" w:rsidP="00993E5A">
      <w:pPr>
        <w:pStyle w:val="H1G"/>
      </w:pPr>
      <w:bookmarkStart w:id="41" w:name="_Toc246693208"/>
      <w:bookmarkStart w:id="42" w:name="_Toc278809789"/>
      <w:bookmarkStart w:id="43" w:name="_Toc278878442"/>
      <w:r>
        <w:rPr>
          <w:lang w:val="es-ES_tradnl"/>
        </w:rPr>
        <w:tab/>
      </w:r>
      <w:r w:rsidRPr="000B5187">
        <w:rPr>
          <w:lang w:val="es-ES_tradnl"/>
        </w:rPr>
        <w:t>D.</w:t>
      </w:r>
      <w:r w:rsidRPr="000B5187">
        <w:tab/>
      </w:r>
      <w:bookmarkEnd w:id="39"/>
      <w:bookmarkEnd w:id="41"/>
      <w:bookmarkEnd w:id="42"/>
      <w:bookmarkEnd w:id="43"/>
      <w:r w:rsidRPr="000B5187">
        <w:rPr>
          <w:lang w:val="es-ES_tradnl"/>
        </w:rPr>
        <w:t>Artículo 4</w:t>
      </w:r>
    </w:p>
    <w:p w:rsidR="00993E5A" w:rsidRPr="000B5187" w:rsidRDefault="00993E5A" w:rsidP="00993E5A">
      <w:pPr>
        <w:pStyle w:val="SingleTxtG"/>
      </w:pPr>
      <w:r w:rsidRPr="000B5187">
        <w:t>33.</w:t>
      </w:r>
      <w:r w:rsidRPr="000B5187">
        <w:tab/>
      </w:r>
      <w:r w:rsidRPr="000B5187">
        <w:rPr>
          <w:lang w:val="es-ES_tradnl"/>
        </w:rPr>
        <w:t>No hay novedades de las que informar en cuanto a este artículo.</w:t>
      </w:r>
      <w:r w:rsidRPr="000B5187">
        <w:t xml:space="preserve"> </w:t>
      </w:r>
    </w:p>
    <w:p w:rsidR="00993E5A" w:rsidRPr="000B5187" w:rsidRDefault="00993E5A" w:rsidP="00993E5A">
      <w:pPr>
        <w:pStyle w:val="H1G"/>
      </w:pPr>
      <w:bookmarkStart w:id="44" w:name="_Toc239660516"/>
      <w:bookmarkStart w:id="45" w:name="_Toc246693209"/>
      <w:bookmarkStart w:id="46" w:name="_Toc278809790"/>
      <w:bookmarkStart w:id="47" w:name="_Toc278878443"/>
      <w:r>
        <w:rPr>
          <w:lang w:val="es-ES_tradnl"/>
        </w:rPr>
        <w:tab/>
      </w:r>
      <w:r w:rsidRPr="000B5187">
        <w:rPr>
          <w:lang w:val="es-ES_tradnl"/>
        </w:rPr>
        <w:t>E.</w:t>
      </w:r>
      <w:r w:rsidRPr="000B5187">
        <w:tab/>
      </w:r>
      <w:bookmarkEnd w:id="44"/>
      <w:bookmarkEnd w:id="45"/>
      <w:bookmarkEnd w:id="46"/>
      <w:bookmarkEnd w:id="47"/>
      <w:r w:rsidRPr="000B5187">
        <w:rPr>
          <w:lang w:val="es-ES_tradnl"/>
        </w:rPr>
        <w:t>Artículo 5</w:t>
      </w:r>
    </w:p>
    <w:p w:rsidR="00993E5A" w:rsidRPr="000B5187" w:rsidRDefault="00993E5A" w:rsidP="00993E5A">
      <w:pPr>
        <w:pStyle w:val="SingleTxtG"/>
      </w:pPr>
      <w:r w:rsidRPr="000B5187">
        <w:t>34.</w:t>
      </w:r>
      <w:r w:rsidRPr="000B5187">
        <w:tab/>
      </w:r>
      <w:r w:rsidRPr="000B5187">
        <w:rPr>
          <w:lang w:val="es-ES_tradnl"/>
        </w:rPr>
        <w:t>No hay novedades de las que informar en cuanto a este artículo.</w:t>
      </w:r>
      <w:r w:rsidRPr="000B5187">
        <w:t xml:space="preserve"> </w:t>
      </w:r>
    </w:p>
    <w:p w:rsidR="00993E5A" w:rsidRPr="000B5187" w:rsidRDefault="00993E5A" w:rsidP="00993E5A">
      <w:pPr>
        <w:pStyle w:val="H1G"/>
      </w:pPr>
      <w:bookmarkStart w:id="48" w:name="_Toc239660517"/>
      <w:bookmarkStart w:id="49" w:name="_Toc246693210"/>
      <w:bookmarkStart w:id="50" w:name="_Toc278809791"/>
      <w:bookmarkStart w:id="51" w:name="_Toc278878444"/>
      <w:r>
        <w:rPr>
          <w:lang w:val="es-ES_tradnl"/>
        </w:rPr>
        <w:tab/>
      </w:r>
      <w:r w:rsidRPr="000B5187">
        <w:rPr>
          <w:lang w:val="es-ES_tradnl"/>
        </w:rPr>
        <w:t>F.</w:t>
      </w:r>
      <w:r w:rsidRPr="000B5187">
        <w:tab/>
      </w:r>
      <w:bookmarkEnd w:id="48"/>
      <w:bookmarkEnd w:id="49"/>
      <w:bookmarkEnd w:id="50"/>
      <w:bookmarkEnd w:id="51"/>
      <w:r w:rsidRPr="000B5187">
        <w:rPr>
          <w:lang w:val="es-ES_tradnl"/>
        </w:rPr>
        <w:t>Artículo 6</w:t>
      </w:r>
    </w:p>
    <w:p w:rsidR="00993E5A" w:rsidRPr="000B5187" w:rsidRDefault="00993E5A" w:rsidP="00993E5A">
      <w:pPr>
        <w:pStyle w:val="H23G"/>
      </w:pPr>
      <w:bookmarkStart w:id="52" w:name="_Toc246693211"/>
      <w:r w:rsidRPr="000B5187">
        <w:tab/>
      </w:r>
      <w:bookmarkStart w:id="53" w:name="_Toc278809792"/>
      <w:bookmarkStart w:id="54" w:name="_Toc278878445"/>
      <w:r>
        <w:tab/>
      </w:r>
      <w:r w:rsidRPr="000B5187">
        <w:rPr>
          <w:lang w:val="es-ES_tradnl"/>
        </w:rPr>
        <w:t>Medidas adoptadas par</w:t>
      </w:r>
      <w:r>
        <w:rPr>
          <w:lang w:val="es-ES_tradnl"/>
        </w:rPr>
        <w:t>a aumentar la esperanza de vida: m</w:t>
      </w:r>
      <w:bookmarkEnd w:id="52"/>
      <w:bookmarkEnd w:id="53"/>
      <w:bookmarkEnd w:id="54"/>
      <w:r w:rsidRPr="000B5187">
        <w:rPr>
          <w:lang w:val="es-ES_tradnl"/>
        </w:rPr>
        <w:t>ortalidad infantil</w:t>
      </w:r>
    </w:p>
    <w:p w:rsidR="00993E5A" w:rsidRPr="000B5187" w:rsidRDefault="00993E5A" w:rsidP="00993E5A">
      <w:pPr>
        <w:pStyle w:val="SingleTxtG"/>
      </w:pPr>
      <w:r w:rsidRPr="000B5187">
        <w:t>35.</w:t>
      </w:r>
      <w:r w:rsidRPr="000B5187">
        <w:tab/>
      </w:r>
      <w:r w:rsidRPr="000B5187">
        <w:rPr>
          <w:lang w:val="es-ES_tradnl"/>
        </w:rPr>
        <w:t>Según las estadísticas, la mortalidad infantil y perinatal en Noruega se ha mantenido relativamente est</w:t>
      </w:r>
      <w:r>
        <w:rPr>
          <w:lang w:val="es-ES_tradnl"/>
        </w:rPr>
        <w:t>able entre 2004 y 2008, en 3,4</w:t>
      </w:r>
      <w:r>
        <w:rPr>
          <w:rFonts w:ascii="Century" w:hAnsi="Century"/>
          <w:lang w:val="es-ES_tradnl"/>
        </w:rPr>
        <w:t>‰</w:t>
      </w:r>
      <w:r>
        <w:rPr>
          <w:lang w:val="es-ES_tradnl"/>
        </w:rPr>
        <w:t xml:space="preserve"> y 4,5</w:t>
      </w:r>
      <w:r>
        <w:rPr>
          <w:rFonts w:ascii="Century" w:hAnsi="Century"/>
          <w:lang w:val="es-ES_tradnl"/>
        </w:rPr>
        <w:t>‰</w:t>
      </w:r>
      <w:r w:rsidRPr="000B5187">
        <w:rPr>
          <w:lang w:val="es-ES_tradnl"/>
        </w:rPr>
        <w:t>, respectivamente.</w:t>
      </w:r>
      <w:r w:rsidRPr="000B5187">
        <w:t xml:space="preserve"> </w:t>
      </w:r>
      <w:r w:rsidRPr="000B5187">
        <w:rPr>
          <w:lang w:val="es-ES_tradnl"/>
        </w:rPr>
        <w:t>Para mejorar aún más la atención a las madres gestantes y a los recién nacidos, se han adoptado las siguientes medidas:</w:t>
      </w:r>
    </w:p>
    <w:p w:rsidR="00993E5A" w:rsidRPr="000B5187" w:rsidRDefault="00993E5A" w:rsidP="00993E5A">
      <w:pPr>
        <w:pStyle w:val="SingleTxtG"/>
      </w:pPr>
      <w:r w:rsidRPr="000B5187">
        <w:tab/>
        <w:t>a)</w:t>
      </w:r>
      <w:r w:rsidRPr="000B5187">
        <w:tab/>
        <w:t xml:space="preserve">En 2006 (últimas estadísticas oficiales) el porcentaje de mujeres fumadoras al principio y al final del embarazo era </w:t>
      </w:r>
      <w:r>
        <w:t xml:space="preserve">del </w:t>
      </w:r>
      <w:r w:rsidRPr="000B5187">
        <w:t xml:space="preserve">16% y </w:t>
      </w:r>
      <w:r>
        <w:t xml:space="preserve">el </w:t>
      </w:r>
      <w:r w:rsidRPr="000B5187">
        <w:t xml:space="preserve">9%, comparado con </w:t>
      </w:r>
      <w:r>
        <w:t xml:space="preserve">el </w:t>
      </w:r>
      <w:r w:rsidRPr="000B5187">
        <w:t xml:space="preserve">20,7% y </w:t>
      </w:r>
      <w:r>
        <w:t>el 14% en 2000.</w:t>
      </w:r>
    </w:p>
    <w:p w:rsidR="00993E5A" w:rsidRPr="000B5187" w:rsidRDefault="00993E5A" w:rsidP="00993E5A">
      <w:pPr>
        <w:pStyle w:val="SingleTxtG"/>
      </w:pPr>
      <w:r w:rsidRPr="000B5187">
        <w:tab/>
        <w:t>b)</w:t>
      </w:r>
      <w:r w:rsidRPr="000B5187">
        <w:tab/>
        <w:t>El Plan de acción nacional del Gobierno sobre nutrición (2007-2011) incluye objetivos claros y metas cuantitativas sobre lactancia materna y en él se especifican varias actividades que pueden realizar las autoridades sanitarias. Entre los más importantes están la iniciativa "hospitales amigos del niño" y un proyecto para</w:t>
      </w:r>
      <w:r>
        <w:t xml:space="preserve"> crear consultorios infantiles "</w:t>
      </w:r>
      <w:r w:rsidRPr="000B5187">
        <w:t>amigos del niño</w:t>
      </w:r>
      <w:r>
        <w:t>"</w:t>
      </w:r>
      <w:r w:rsidRPr="000B5187">
        <w:t xml:space="preserve"> en todos</w:t>
      </w:r>
      <w:r>
        <w:t xml:space="preserve"> los condados.</w:t>
      </w:r>
    </w:p>
    <w:p w:rsidR="00993E5A" w:rsidRPr="000B5187" w:rsidRDefault="00993E5A" w:rsidP="00993E5A">
      <w:pPr>
        <w:pStyle w:val="SingleTxtG"/>
      </w:pPr>
      <w:r w:rsidRPr="000B5187">
        <w:tab/>
        <w:t>c)</w:t>
      </w:r>
      <w:r w:rsidRPr="000B5187">
        <w:tab/>
      </w:r>
      <w:bookmarkStart w:id="55" w:name="OLE_LINK140"/>
      <w:bookmarkStart w:id="56" w:name="OLE_LINK141"/>
      <w:r w:rsidRPr="003D4A1B">
        <w:t>Ammehjelpen</w:t>
      </w:r>
      <w:bookmarkEnd w:id="55"/>
      <w:bookmarkEnd w:id="56"/>
      <w:r w:rsidRPr="000B5187">
        <w:t>, el grupo de apoyo de madres y para madres sobre lactancia materna, fomenta el interés sobre este tema y apoya a las madres lactantes. Re</w:t>
      </w:r>
      <w:r>
        <w:t>ciben financiación del Gobierno.</w:t>
      </w:r>
    </w:p>
    <w:p w:rsidR="00993E5A" w:rsidRPr="000B5187" w:rsidRDefault="00993E5A" w:rsidP="00993E5A">
      <w:pPr>
        <w:pStyle w:val="SingleTxtG"/>
      </w:pPr>
      <w:r w:rsidRPr="000B5187">
        <w:tab/>
        <w:t>d)</w:t>
      </w:r>
      <w:r w:rsidRPr="000B5187">
        <w:tab/>
        <w:t xml:space="preserve">Para prevenir el raquitismo, en 2009 se creó un programa nacional para distribuir suplementos de vitamina D gratuitos a los niños de </w:t>
      </w:r>
      <w:r>
        <w:t>origen inmigrante no occidental.</w:t>
      </w:r>
    </w:p>
    <w:p w:rsidR="00993E5A" w:rsidRPr="000B5187" w:rsidRDefault="00993E5A" w:rsidP="00993E5A">
      <w:pPr>
        <w:pStyle w:val="SingleTxtG"/>
      </w:pPr>
      <w:r w:rsidRPr="000B5187">
        <w:tab/>
        <w:t>e)</w:t>
      </w:r>
      <w:r w:rsidRPr="000B5187">
        <w:tab/>
      </w:r>
      <w:r w:rsidRPr="000B5187">
        <w:rPr>
          <w:lang w:val="es-ES_tradnl"/>
        </w:rPr>
        <w:t>Desde 1998, las autoridades noruegas de nutrición recomiendan que las mujeres tom</w:t>
      </w:r>
      <w:r>
        <w:rPr>
          <w:lang w:val="es-ES_tradnl"/>
        </w:rPr>
        <w:t>en</w:t>
      </w:r>
      <w:r w:rsidRPr="000B5187">
        <w:rPr>
          <w:lang w:val="es-ES_tradnl"/>
        </w:rPr>
        <w:t xml:space="preserve"> un suplemento diario de ácido fólico antes del embarazo y en </w:t>
      </w:r>
      <w:r>
        <w:rPr>
          <w:lang w:val="es-ES_tradnl"/>
        </w:rPr>
        <w:t>su</w:t>
      </w:r>
      <w:r w:rsidRPr="000B5187">
        <w:rPr>
          <w:lang w:val="es-ES_tradnl"/>
        </w:rPr>
        <w:t xml:space="preserve"> fase inicial para evitar defectos en el tubo neural.</w:t>
      </w:r>
      <w:r w:rsidRPr="000B5187">
        <w:t xml:space="preserve"> </w:t>
      </w:r>
      <w:r w:rsidRPr="000B5187">
        <w:rPr>
          <w:lang w:val="es-ES_tradnl"/>
        </w:rPr>
        <w:t xml:space="preserve">Esta recomendación va acompañada de campañas informativas que incluyen </w:t>
      </w:r>
      <w:r>
        <w:rPr>
          <w:lang w:val="es-ES_tradnl"/>
        </w:rPr>
        <w:t xml:space="preserve">la </w:t>
      </w:r>
      <w:r w:rsidRPr="000B5187">
        <w:rPr>
          <w:lang w:val="es-ES_tradnl"/>
        </w:rPr>
        <w:t>difusión por páginas web y folletos.</w:t>
      </w:r>
      <w:r w:rsidRPr="000B5187">
        <w:t xml:space="preserve"> </w:t>
      </w:r>
    </w:p>
    <w:p w:rsidR="00993E5A" w:rsidRPr="000B5187" w:rsidRDefault="00993E5A" w:rsidP="00993E5A">
      <w:pPr>
        <w:pStyle w:val="H23G"/>
      </w:pPr>
      <w:bookmarkStart w:id="57" w:name="_Toc246693212"/>
      <w:r w:rsidRPr="000B5187">
        <w:tab/>
      </w:r>
      <w:bookmarkEnd w:id="57"/>
      <w:r>
        <w:tab/>
      </w:r>
      <w:r w:rsidRPr="000B5187">
        <w:rPr>
          <w:lang w:val="es-ES_tradnl"/>
        </w:rPr>
        <w:t>Malnutrición entre las personas mayores</w:t>
      </w:r>
    </w:p>
    <w:p w:rsidR="00993E5A" w:rsidRPr="000B5187" w:rsidRDefault="00993E5A" w:rsidP="00993E5A">
      <w:pPr>
        <w:pStyle w:val="SingleTxtG"/>
      </w:pPr>
      <w:r w:rsidRPr="000B5187">
        <w:t>36.</w:t>
      </w:r>
      <w:r w:rsidRPr="000B5187">
        <w:tab/>
      </w:r>
      <w:r w:rsidRPr="000B5187">
        <w:rPr>
          <w:lang w:val="es-ES_tradnl"/>
        </w:rPr>
        <w:t>La malnutrición es habitual entre las personas mayores que viven en instituciones y puede tener resultados desfavorables</w:t>
      </w:r>
      <w:r>
        <w:rPr>
          <w:lang w:val="es-ES_tradnl"/>
        </w:rPr>
        <w:t xml:space="preserve">, ya que </w:t>
      </w:r>
      <w:r w:rsidRPr="000B5187">
        <w:rPr>
          <w:lang w:val="es-ES_tradnl"/>
        </w:rPr>
        <w:t xml:space="preserve">puede </w:t>
      </w:r>
      <w:r>
        <w:rPr>
          <w:lang w:val="es-ES_tradnl"/>
        </w:rPr>
        <w:t xml:space="preserve">ocasionar </w:t>
      </w:r>
      <w:r w:rsidRPr="000B5187">
        <w:rPr>
          <w:lang w:val="es-ES_tradnl"/>
        </w:rPr>
        <w:t>caídas y fracturas, pérdida de independencia, menor ca</w:t>
      </w:r>
      <w:r>
        <w:rPr>
          <w:lang w:val="es-ES_tradnl"/>
        </w:rPr>
        <w:t>pacidad respiratoria y cardíaca</w:t>
      </w:r>
      <w:r w:rsidRPr="000B5187">
        <w:rPr>
          <w:lang w:val="es-ES_tradnl"/>
        </w:rPr>
        <w:t>, apatía, edemas, problemas de cicatrización y aumento de complicaciones como infecciones, llagas o úlceras tópicas.</w:t>
      </w:r>
      <w:r w:rsidRPr="000B5187">
        <w:t xml:space="preserve"> </w:t>
      </w:r>
      <w:r w:rsidRPr="000B5187">
        <w:rPr>
          <w:lang w:val="es-ES_tradnl"/>
        </w:rPr>
        <w:t xml:space="preserve">Este año (junio de 2009) la Dirección de Salud </w:t>
      </w:r>
      <w:r>
        <w:rPr>
          <w:lang w:val="es-ES_tradnl"/>
        </w:rPr>
        <w:t>de N</w:t>
      </w:r>
      <w:r w:rsidRPr="000B5187">
        <w:rPr>
          <w:lang w:val="es-ES_tradnl"/>
        </w:rPr>
        <w:t>oruega publicó directivas nacionales sobre la prevención y el tratamiento de la malnutrición</w:t>
      </w:r>
      <w:r>
        <w:rPr>
          <w:lang w:val="es-ES_tradnl"/>
        </w:rPr>
        <w:t xml:space="preserve">, lo que constituye </w:t>
      </w:r>
      <w:r w:rsidRPr="000B5187">
        <w:rPr>
          <w:lang w:val="es-ES_tradnl"/>
        </w:rPr>
        <w:t xml:space="preserve">un paso importante </w:t>
      </w:r>
      <w:r>
        <w:rPr>
          <w:lang w:val="es-ES_tradnl"/>
        </w:rPr>
        <w:t xml:space="preserve">para </w:t>
      </w:r>
      <w:r w:rsidRPr="000B5187">
        <w:rPr>
          <w:lang w:val="es-ES_tradnl"/>
        </w:rPr>
        <w:t>mejora</w:t>
      </w:r>
      <w:r>
        <w:rPr>
          <w:lang w:val="es-ES_tradnl"/>
        </w:rPr>
        <w:t>r</w:t>
      </w:r>
      <w:r w:rsidRPr="000B5187">
        <w:rPr>
          <w:lang w:val="es-ES_tradnl"/>
        </w:rPr>
        <w:t xml:space="preserve"> la atención nutricional en los hospitales y en los hogares de ancianos, así como </w:t>
      </w:r>
      <w:r>
        <w:rPr>
          <w:lang w:val="es-ES_tradnl"/>
        </w:rPr>
        <w:t>l</w:t>
      </w:r>
      <w:r w:rsidRPr="000B5187">
        <w:rPr>
          <w:lang w:val="es-ES_tradnl"/>
        </w:rPr>
        <w:t xml:space="preserve">a </w:t>
      </w:r>
      <w:r>
        <w:rPr>
          <w:lang w:val="es-ES_tradnl"/>
        </w:rPr>
        <w:t xml:space="preserve">de </w:t>
      </w:r>
      <w:r w:rsidRPr="000B5187">
        <w:rPr>
          <w:lang w:val="es-ES_tradnl"/>
        </w:rPr>
        <w:t>las personas mayores que reciben cuidados en sus hogares.</w:t>
      </w:r>
      <w:r w:rsidRPr="000B5187">
        <w:t xml:space="preserve"> </w:t>
      </w:r>
    </w:p>
    <w:p w:rsidR="00993E5A" w:rsidRPr="000B5187" w:rsidRDefault="00993E5A" w:rsidP="00993E5A">
      <w:pPr>
        <w:pStyle w:val="H23G"/>
      </w:pPr>
      <w:bookmarkStart w:id="58" w:name="_Toc246693213"/>
      <w:r w:rsidRPr="000B5187">
        <w:tab/>
      </w:r>
      <w:bookmarkEnd w:id="58"/>
      <w:r>
        <w:tab/>
      </w:r>
      <w:r w:rsidRPr="000B5187">
        <w:rPr>
          <w:lang w:val="es-ES_tradnl"/>
        </w:rPr>
        <w:t xml:space="preserve">VIH y </w:t>
      </w:r>
      <w:r w:rsidR="0040424A" w:rsidRPr="000B5187">
        <w:rPr>
          <w:lang w:val="es-ES_tradnl"/>
        </w:rPr>
        <w:t>sida</w:t>
      </w:r>
      <w:r w:rsidRPr="000B5187">
        <w:rPr>
          <w:lang w:val="es-ES_tradnl"/>
        </w:rPr>
        <w:t xml:space="preserve"> </w:t>
      </w:r>
    </w:p>
    <w:p w:rsidR="00993E5A" w:rsidRPr="000B5187" w:rsidRDefault="00993E5A" w:rsidP="00993E5A">
      <w:pPr>
        <w:pStyle w:val="SingleTxtG"/>
      </w:pPr>
      <w:r w:rsidRPr="000B5187">
        <w:t>37.</w:t>
      </w:r>
      <w:r w:rsidRPr="000B5187">
        <w:tab/>
      </w:r>
      <w:r w:rsidRPr="000B5187">
        <w:rPr>
          <w:lang w:val="es-ES_tradnl"/>
        </w:rPr>
        <w:t xml:space="preserve">En junio de 2009 seis ministerios pusieron en marcha una nueva estrategia nacional sobre VIH titulada </w:t>
      </w:r>
      <w:r>
        <w:rPr>
          <w:lang w:val="es-ES_tradnl"/>
        </w:rPr>
        <w:t>"</w:t>
      </w:r>
      <w:r w:rsidRPr="000B5187">
        <w:rPr>
          <w:lang w:val="es-ES_tradnl"/>
        </w:rPr>
        <w:t>Aksept og mestring</w:t>
      </w:r>
      <w:r>
        <w:rPr>
          <w:lang w:val="es-ES_tradnl"/>
        </w:rPr>
        <w:t>" (A</w:t>
      </w:r>
      <w:r w:rsidRPr="000B5187">
        <w:rPr>
          <w:lang w:val="es-ES_tradnl"/>
        </w:rPr>
        <w:t>ceptar y afrontar).</w:t>
      </w:r>
      <w:r w:rsidRPr="000B5187">
        <w:t xml:space="preserve"> </w:t>
      </w:r>
      <w:r w:rsidRPr="000B5187">
        <w:rPr>
          <w:lang w:val="es-ES_tradnl"/>
        </w:rPr>
        <w:t>Sus principales características son:</w:t>
      </w:r>
    </w:p>
    <w:p w:rsidR="00993E5A" w:rsidRPr="000B5187" w:rsidRDefault="00993E5A" w:rsidP="00993E5A">
      <w:pPr>
        <w:pStyle w:val="SingleTxtG"/>
      </w:pPr>
      <w:r>
        <w:tab/>
        <w:t>a)</w:t>
      </w:r>
      <w:r>
        <w:tab/>
        <w:t>Cooperación intersectorial.</w:t>
      </w:r>
    </w:p>
    <w:p w:rsidR="00993E5A" w:rsidRPr="000B5187" w:rsidRDefault="00993E5A" w:rsidP="00993E5A">
      <w:pPr>
        <w:pStyle w:val="SingleTxtG"/>
      </w:pPr>
      <w:r w:rsidRPr="000B5187">
        <w:tab/>
        <w:t>b)</w:t>
      </w:r>
      <w:r w:rsidRPr="000B5187">
        <w:tab/>
        <w:t xml:space="preserve">El objetivo es reducir el número de nuevos contagios y garantizar que en Noruega </w:t>
      </w:r>
      <w:r>
        <w:t xml:space="preserve">todas </w:t>
      </w:r>
      <w:r w:rsidRPr="000B5187">
        <w:t>las personas seropositivas reciban buenos cuidados y seguimiento</w:t>
      </w:r>
      <w:r>
        <w:t>.</w:t>
      </w:r>
    </w:p>
    <w:p w:rsidR="00993E5A" w:rsidRPr="000B5187" w:rsidRDefault="00993E5A" w:rsidP="00993E5A">
      <w:pPr>
        <w:pStyle w:val="SingleTxtG"/>
      </w:pPr>
      <w:r w:rsidRPr="000B5187">
        <w:tab/>
        <w:t>c)</w:t>
      </w:r>
      <w:r w:rsidRPr="000B5187">
        <w:tab/>
      </w:r>
      <w:r w:rsidRPr="000B5187">
        <w:rPr>
          <w:lang w:val="es-ES_tradnl"/>
        </w:rPr>
        <w:t>Hay que mejorar el conocimiento que tiene la población sobre el VIH</w:t>
      </w:r>
      <w:r>
        <w:rPr>
          <w:lang w:val="es-ES_tradnl"/>
        </w:rPr>
        <w:t>.</w:t>
      </w:r>
    </w:p>
    <w:p w:rsidR="00993E5A" w:rsidRPr="000B5187" w:rsidRDefault="00993E5A" w:rsidP="00993E5A">
      <w:pPr>
        <w:pStyle w:val="SingleTxtG"/>
      </w:pPr>
      <w:r w:rsidRPr="000B5187">
        <w:tab/>
        <w:t>d)</w:t>
      </w:r>
      <w:r w:rsidRPr="000B5187">
        <w:tab/>
      </w:r>
      <w:r w:rsidRPr="000B5187">
        <w:rPr>
          <w:lang w:val="es-ES_tradnl"/>
        </w:rPr>
        <w:t>Debe garantizarse la participación de las personas serop</w:t>
      </w:r>
      <w:r>
        <w:rPr>
          <w:lang w:val="es-ES_tradnl"/>
        </w:rPr>
        <w:t>ositivas en la población activa.</w:t>
      </w:r>
    </w:p>
    <w:p w:rsidR="00993E5A" w:rsidRPr="000B5187" w:rsidRDefault="00993E5A" w:rsidP="00993E5A">
      <w:pPr>
        <w:pStyle w:val="SingleTxtG"/>
      </w:pPr>
      <w:r w:rsidRPr="000B5187">
        <w:tab/>
        <w:t>e)</w:t>
      </w:r>
      <w:r w:rsidRPr="000B5187">
        <w:tab/>
      </w:r>
      <w:r w:rsidRPr="000B5187">
        <w:rPr>
          <w:lang w:val="es-ES_tradnl"/>
        </w:rPr>
        <w:t>Proseguirá el trabajo internacional en el ámbito del VIH/SIDA</w:t>
      </w:r>
      <w:r>
        <w:rPr>
          <w:lang w:val="es-ES_tradnl"/>
        </w:rPr>
        <w:t>.</w:t>
      </w:r>
    </w:p>
    <w:p w:rsidR="00993E5A" w:rsidRPr="000B5187" w:rsidRDefault="00993E5A" w:rsidP="00993E5A">
      <w:pPr>
        <w:pStyle w:val="SingleTxtG"/>
      </w:pPr>
      <w:r w:rsidRPr="000B5187">
        <w:tab/>
        <w:t>f)</w:t>
      </w:r>
      <w:r w:rsidRPr="000B5187">
        <w:tab/>
        <w:t>Se ampliará la inves</w:t>
      </w:r>
      <w:r>
        <w:t>tigación de medidas preventivas.</w:t>
      </w:r>
    </w:p>
    <w:p w:rsidR="00993E5A" w:rsidRPr="000B5187" w:rsidRDefault="00993E5A" w:rsidP="00993E5A">
      <w:pPr>
        <w:pStyle w:val="SingleTxtG"/>
      </w:pPr>
      <w:r w:rsidRPr="000B5187">
        <w:tab/>
        <w:t>g)</w:t>
      </w:r>
      <w:r w:rsidRPr="000B5187">
        <w:tab/>
        <w:t xml:space="preserve">Mejorará la cooperación entre las personas seropositivas y sus médicos, tanto generalistas como especialistas. </w:t>
      </w:r>
      <w:r w:rsidRPr="000B5187">
        <w:rPr>
          <w:lang w:val="es-ES_tradnl"/>
        </w:rPr>
        <w:t>En los municipios habrá más seguimiento gracias a la mejora de la coordinación de los servicios.</w:t>
      </w:r>
      <w:r w:rsidRPr="000B5187">
        <w:t xml:space="preserve"> </w:t>
      </w:r>
    </w:p>
    <w:p w:rsidR="00993E5A" w:rsidRPr="000B5187" w:rsidRDefault="00993E5A" w:rsidP="00993E5A">
      <w:pPr>
        <w:pStyle w:val="SingleTxtG"/>
      </w:pPr>
      <w:r w:rsidRPr="000B5187">
        <w:t>38.</w:t>
      </w:r>
      <w:r w:rsidRPr="000B5187">
        <w:tab/>
      </w:r>
      <w:r w:rsidRPr="000B5187">
        <w:rPr>
          <w:lang w:val="es-ES_tradnl"/>
        </w:rPr>
        <w:t>La responsabilidad de cada persona de protegerse de la infección y abstenerse de infectar a otros, tanto en Noruega como en el extranjero, se aplica sobre todo a las personas aquejadas del VIH y otras enfermedades infecciosas, a tenor de lo dispuesto en la Ley de lucha contra las enfermedades transmisibles y en el Código Penal.</w:t>
      </w:r>
      <w:r w:rsidRPr="000B5187">
        <w:t xml:space="preserve"> </w:t>
      </w:r>
    </w:p>
    <w:p w:rsidR="00993E5A" w:rsidRPr="000B5187" w:rsidRDefault="00993E5A" w:rsidP="00993E5A">
      <w:pPr>
        <w:pStyle w:val="H23G"/>
      </w:pPr>
      <w:bookmarkStart w:id="59" w:name="_Toc246693214"/>
      <w:r w:rsidRPr="000B5187">
        <w:tab/>
      </w:r>
      <w:bookmarkEnd w:id="59"/>
      <w:r>
        <w:tab/>
      </w:r>
      <w:r w:rsidRPr="000B5187">
        <w:rPr>
          <w:lang w:val="es-ES_tradnl"/>
        </w:rPr>
        <w:t>Ley de lucha contra las enfermedades transmisibles</w:t>
      </w:r>
      <w:r w:rsidRPr="000B5187">
        <w:t xml:space="preserve"> </w:t>
      </w:r>
    </w:p>
    <w:p w:rsidR="00993E5A" w:rsidRPr="000B5187" w:rsidRDefault="00993E5A" w:rsidP="00993E5A">
      <w:pPr>
        <w:pStyle w:val="SingleTxtG"/>
      </w:pPr>
      <w:r w:rsidRPr="000B5187">
        <w:t>39.</w:t>
      </w:r>
      <w:r w:rsidRPr="000B5187">
        <w:tab/>
      </w:r>
      <w:r w:rsidRPr="000B5187">
        <w:rPr>
          <w:lang w:val="es-ES_tradnl"/>
        </w:rPr>
        <w:t>Desde la publicación del quinto informe periódico de Noruega, se han dictado reglamentos relativos a las enfermedades transmisibles.</w:t>
      </w:r>
    </w:p>
    <w:p w:rsidR="00993E5A" w:rsidRPr="000B5187" w:rsidRDefault="00993E5A" w:rsidP="00993E5A">
      <w:pPr>
        <w:pStyle w:val="SingleTxtG"/>
      </w:pPr>
      <w:r w:rsidRPr="000B5187">
        <w:t>40.</w:t>
      </w:r>
      <w:r w:rsidRPr="000B5187">
        <w:tab/>
      </w:r>
      <w:r w:rsidRPr="000B5187">
        <w:rPr>
          <w:lang w:val="es-ES_tradnl"/>
        </w:rPr>
        <w:t>El Plan nacional de preparación ante pandemias fue actualizado en 2006; en él se detallan las funciones del Ministerio, de otros organismos centrales encargados de la salud y de las autoridades regionales y municipales.</w:t>
      </w:r>
      <w:r w:rsidRPr="000B5187">
        <w:t xml:space="preserve"> </w:t>
      </w:r>
      <w:r>
        <w:t>C</w:t>
      </w:r>
      <w:r w:rsidRPr="000B5187">
        <w:rPr>
          <w:lang w:val="es-ES_tradnl"/>
        </w:rPr>
        <w:t>uando empezó a propagarse la nueva gripe por el virus A (H1N1)</w:t>
      </w:r>
      <w:r>
        <w:rPr>
          <w:lang w:val="es-ES_tradnl"/>
        </w:rPr>
        <w:t>,</w:t>
      </w:r>
      <w:r w:rsidRPr="000B5187">
        <w:rPr>
          <w:lang w:val="es-ES_tradnl"/>
        </w:rPr>
        <w:t xml:space="preserve"> en abril de 2009</w:t>
      </w:r>
      <w:r>
        <w:rPr>
          <w:lang w:val="es-ES_tradnl"/>
        </w:rPr>
        <w:t xml:space="preserve">, </w:t>
      </w:r>
      <w:r>
        <w:t>e</w:t>
      </w:r>
      <w:r w:rsidRPr="000B5187">
        <w:rPr>
          <w:lang w:val="es-ES_tradnl"/>
        </w:rPr>
        <w:t>staba realizándose otra revisión</w:t>
      </w:r>
      <w:r>
        <w:rPr>
          <w:lang w:val="es-ES_tradnl"/>
        </w:rPr>
        <w:t xml:space="preserve">, cuya </w:t>
      </w:r>
      <w:r w:rsidRPr="000B5187">
        <w:rPr>
          <w:lang w:val="es-ES_tradnl"/>
        </w:rPr>
        <w:t>finalización se pospuso para incluir la experiencia derivada de la pandemia actual.</w:t>
      </w:r>
    </w:p>
    <w:p w:rsidR="00993E5A" w:rsidRPr="000B5187" w:rsidRDefault="00993E5A" w:rsidP="00993E5A">
      <w:pPr>
        <w:pStyle w:val="SingleTxtG"/>
      </w:pPr>
      <w:r w:rsidRPr="000B5187">
        <w:t>41.</w:t>
      </w:r>
      <w:r w:rsidRPr="000B5187">
        <w:tab/>
      </w:r>
      <w:r w:rsidRPr="000B5187">
        <w:rPr>
          <w:lang w:val="es-ES_tradnl"/>
        </w:rPr>
        <w:t>Las normas relativas al control de la tuberculosis entraron en vigor en 2003 y se revisaron en 2009 con el objetivo de simplificarlas.</w:t>
      </w:r>
      <w:r w:rsidRPr="000B5187">
        <w:t xml:space="preserve"> </w:t>
      </w:r>
      <w:r w:rsidRPr="000B5187">
        <w:rPr>
          <w:lang w:val="es-ES_tradnl"/>
        </w:rPr>
        <w:t>Todos los municipios y centros sanitarios regionales deben contar con un programa de control de tuberculosis.</w:t>
      </w:r>
      <w:r w:rsidRPr="000B5187">
        <w:t xml:space="preserve"> </w:t>
      </w:r>
      <w:r w:rsidRPr="000B5187">
        <w:rPr>
          <w:lang w:val="es-ES_tradnl"/>
        </w:rPr>
        <w:t xml:space="preserve">En las normas se establece también la obligación de que determinados grupos de personas </w:t>
      </w:r>
      <w:r>
        <w:rPr>
          <w:lang w:val="es-ES_tradnl"/>
        </w:rPr>
        <w:t xml:space="preserve">se </w:t>
      </w:r>
      <w:r w:rsidRPr="000B5187">
        <w:rPr>
          <w:lang w:val="es-ES_tradnl"/>
        </w:rPr>
        <w:t>somet</w:t>
      </w:r>
      <w:r>
        <w:rPr>
          <w:lang w:val="es-ES_tradnl"/>
        </w:rPr>
        <w:t xml:space="preserve">an </w:t>
      </w:r>
      <w:r w:rsidRPr="000B5187">
        <w:rPr>
          <w:lang w:val="es-ES_tradnl"/>
        </w:rPr>
        <w:t xml:space="preserve">a una prueba </w:t>
      </w:r>
      <w:r>
        <w:rPr>
          <w:lang w:val="es-ES_tradnl"/>
        </w:rPr>
        <w:t>para diagnosticar la enfermedad</w:t>
      </w:r>
      <w:r w:rsidRPr="000B5187">
        <w:rPr>
          <w:lang w:val="es-ES_tradnl"/>
        </w:rPr>
        <w:t>.</w:t>
      </w:r>
    </w:p>
    <w:p w:rsidR="00993E5A" w:rsidRPr="000B5187" w:rsidRDefault="00993E5A" w:rsidP="00993E5A">
      <w:pPr>
        <w:pStyle w:val="SingleTxtG"/>
        <w:keepNext/>
        <w:keepLines/>
      </w:pPr>
      <w:r w:rsidRPr="000B5187">
        <w:t>42.</w:t>
      </w:r>
      <w:r w:rsidRPr="000B5187">
        <w:tab/>
      </w:r>
      <w:r w:rsidRPr="000B5187">
        <w:rPr>
          <w:lang w:val="es-ES_tradnl"/>
        </w:rPr>
        <w:t>Recientemente se han introducido cambios en el programa de vacunación infantil:</w:t>
      </w:r>
      <w:r w:rsidRPr="000B5187">
        <w:t xml:space="preserve"> </w:t>
      </w:r>
    </w:p>
    <w:p w:rsidR="00993E5A" w:rsidRPr="000B5187" w:rsidRDefault="00993E5A" w:rsidP="00993E5A">
      <w:pPr>
        <w:pStyle w:val="SingleTxtG"/>
      </w:pPr>
      <w:r w:rsidRPr="000B5187">
        <w:tab/>
        <w:t>a)</w:t>
      </w:r>
      <w:r w:rsidRPr="000B5187">
        <w:tab/>
      </w:r>
      <w:r>
        <w:t>Se administra u</w:t>
      </w:r>
      <w:r>
        <w:rPr>
          <w:lang w:val="es-ES_tradnl"/>
        </w:rPr>
        <w:t>na</w:t>
      </w:r>
      <w:r w:rsidRPr="000B5187">
        <w:rPr>
          <w:lang w:val="es-ES_tradnl"/>
        </w:rPr>
        <w:t xml:space="preserve"> dosis de recuerdo de la vacuna de la tos ferina a los </w:t>
      </w:r>
      <w:r w:rsidR="008A7A7E">
        <w:rPr>
          <w:lang w:val="es-ES_tradnl"/>
        </w:rPr>
        <w:t>7</w:t>
      </w:r>
      <w:r w:rsidRPr="000B5187">
        <w:rPr>
          <w:lang w:val="es-ES_tradnl"/>
        </w:rPr>
        <w:t xml:space="preserve"> años (2006);</w:t>
      </w:r>
    </w:p>
    <w:p w:rsidR="00993E5A" w:rsidRPr="000B5187" w:rsidRDefault="00993E5A" w:rsidP="00993E5A">
      <w:pPr>
        <w:pStyle w:val="SingleTxtG"/>
      </w:pPr>
      <w:r w:rsidRPr="000B5187">
        <w:tab/>
        <w:t>b)</w:t>
      </w:r>
      <w:r w:rsidRPr="000B5187">
        <w:tab/>
      </w:r>
      <w:r w:rsidRPr="000B5187">
        <w:rPr>
          <w:lang w:val="es-ES_tradnl"/>
        </w:rPr>
        <w:t>Se incluyó una vacuna antineumocócica heptavalente (julio de 2006);</w:t>
      </w:r>
    </w:p>
    <w:p w:rsidR="00993E5A" w:rsidRPr="000B5187" w:rsidRDefault="00993E5A" w:rsidP="00993E5A">
      <w:pPr>
        <w:pStyle w:val="SingleTxtG"/>
      </w:pPr>
      <w:r w:rsidRPr="000B5187">
        <w:tab/>
      </w:r>
      <w:r w:rsidRPr="000B5187">
        <w:rPr>
          <w:lang w:val="es-ES_tradnl"/>
        </w:rPr>
        <w:t>c)</w:t>
      </w:r>
      <w:r w:rsidRPr="000B5187">
        <w:tab/>
      </w:r>
      <w:r w:rsidRPr="000B5187">
        <w:rPr>
          <w:lang w:val="es-ES_tradnl"/>
        </w:rPr>
        <w:t xml:space="preserve">En el programa de vacunación de </w:t>
      </w:r>
      <w:r>
        <w:rPr>
          <w:lang w:val="es-ES_tradnl"/>
        </w:rPr>
        <w:t xml:space="preserve">las </w:t>
      </w:r>
      <w:r w:rsidRPr="000B5187">
        <w:rPr>
          <w:lang w:val="es-ES_tradnl"/>
        </w:rPr>
        <w:t xml:space="preserve">niñas </w:t>
      </w:r>
      <w:r>
        <w:rPr>
          <w:lang w:val="es-ES_tradnl"/>
        </w:rPr>
        <w:t xml:space="preserve">se incluye entre los </w:t>
      </w:r>
      <w:r w:rsidRPr="000B5187">
        <w:rPr>
          <w:lang w:val="es-ES_tradnl"/>
        </w:rPr>
        <w:t>12 y 13 años una vacuna contra el virus del papiloma humano (septiembre de 2009);</w:t>
      </w:r>
    </w:p>
    <w:p w:rsidR="00993E5A" w:rsidRPr="000B5187" w:rsidRDefault="00993E5A" w:rsidP="00993E5A">
      <w:pPr>
        <w:pStyle w:val="SingleTxtG"/>
      </w:pPr>
      <w:r w:rsidRPr="000B5187">
        <w:tab/>
        <w:t>d)</w:t>
      </w:r>
      <w:r w:rsidRPr="000B5187">
        <w:tab/>
      </w:r>
      <w:r w:rsidRPr="000B5187">
        <w:rPr>
          <w:lang w:val="es-ES_tradnl"/>
        </w:rPr>
        <w:t xml:space="preserve">Dejará de </w:t>
      </w:r>
      <w:r>
        <w:rPr>
          <w:lang w:val="es-ES_tradnl"/>
        </w:rPr>
        <w:t>administra</w:t>
      </w:r>
      <w:r w:rsidRPr="000B5187">
        <w:rPr>
          <w:lang w:val="es-ES_tradnl"/>
        </w:rPr>
        <w:t>rse la vacuna BCG a los adolescentes noruegos sanos (septiembre de 2009).</w:t>
      </w:r>
    </w:p>
    <w:p w:rsidR="00993E5A" w:rsidRPr="000B5187" w:rsidRDefault="00993E5A" w:rsidP="00993E5A">
      <w:pPr>
        <w:pStyle w:val="SingleTxtG"/>
      </w:pPr>
      <w:r w:rsidRPr="000B5187">
        <w:t>43.</w:t>
      </w:r>
      <w:r w:rsidRPr="000B5187">
        <w:tab/>
      </w:r>
      <w:r w:rsidRPr="000B5187">
        <w:rPr>
          <w:lang w:val="es-ES_tradnl"/>
        </w:rPr>
        <w:t>En Noruega, la vacunación es voluntaria.</w:t>
      </w:r>
    </w:p>
    <w:p w:rsidR="00993E5A" w:rsidRPr="000B5187" w:rsidRDefault="00993E5A" w:rsidP="00993E5A">
      <w:pPr>
        <w:pStyle w:val="H23G"/>
      </w:pPr>
      <w:bookmarkStart w:id="60" w:name="_Toc246693215"/>
      <w:r w:rsidRPr="000B5187">
        <w:tab/>
      </w:r>
      <w:r w:rsidRPr="000B5187">
        <w:tab/>
      </w:r>
      <w:bookmarkEnd w:id="60"/>
      <w:r w:rsidRPr="000B5187">
        <w:rPr>
          <w:lang w:val="es-ES_tradnl"/>
        </w:rPr>
        <w:t>Muertes en accidentes de tránsito</w:t>
      </w:r>
    </w:p>
    <w:p w:rsidR="00993E5A" w:rsidRPr="000B5187" w:rsidRDefault="00993E5A" w:rsidP="00993E5A">
      <w:pPr>
        <w:pStyle w:val="SingleTxtG"/>
      </w:pPr>
      <w:r w:rsidRPr="000B5187">
        <w:t>44.</w:t>
      </w:r>
      <w:r w:rsidRPr="000B5187">
        <w:tab/>
      </w:r>
      <w:r w:rsidRPr="000B5187">
        <w:rPr>
          <w:lang w:val="es-ES_tradnl"/>
        </w:rPr>
        <w:t>Las cifras siguientes indican las muertes en accidentes de tránsito en los últimos años:</w:t>
      </w:r>
    </w:p>
    <w:p w:rsidR="00993E5A" w:rsidRPr="000B5187" w:rsidRDefault="00993E5A" w:rsidP="00993E5A">
      <w:pPr>
        <w:pStyle w:val="SingleTxtG"/>
      </w:pPr>
      <w:r w:rsidRPr="000B5187">
        <w:tab/>
        <w:t>2002: 310</w:t>
      </w:r>
    </w:p>
    <w:p w:rsidR="00993E5A" w:rsidRPr="000B5187" w:rsidRDefault="00993E5A" w:rsidP="00993E5A">
      <w:pPr>
        <w:pStyle w:val="SingleTxtG"/>
      </w:pPr>
      <w:r w:rsidRPr="000B5187">
        <w:tab/>
        <w:t>2003: 280</w:t>
      </w:r>
    </w:p>
    <w:p w:rsidR="00993E5A" w:rsidRPr="000B5187" w:rsidRDefault="00993E5A" w:rsidP="00993E5A">
      <w:pPr>
        <w:pStyle w:val="SingleTxtG"/>
      </w:pPr>
      <w:r w:rsidRPr="000B5187">
        <w:tab/>
        <w:t>2004: 257</w:t>
      </w:r>
    </w:p>
    <w:p w:rsidR="00993E5A" w:rsidRPr="000B5187" w:rsidRDefault="00993E5A" w:rsidP="00993E5A">
      <w:pPr>
        <w:pStyle w:val="SingleTxtG"/>
      </w:pPr>
      <w:r w:rsidRPr="000B5187">
        <w:tab/>
        <w:t>2005: 224</w:t>
      </w:r>
    </w:p>
    <w:p w:rsidR="00993E5A" w:rsidRPr="000B5187" w:rsidRDefault="00993E5A" w:rsidP="00993E5A">
      <w:pPr>
        <w:pStyle w:val="SingleTxtG"/>
      </w:pPr>
      <w:r w:rsidRPr="000B5187">
        <w:tab/>
        <w:t>2006: 242</w:t>
      </w:r>
    </w:p>
    <w:p w:rsidR="00993E5A" w:rsidRPr="000B5187" w:rsidRDefault="00993E5A" w:rsidP="00993E5A">
      <w:pPr>
        <w:pStyle w:val="SingleTxtG"/>
      </w:pPr>
      <w:r w:rsidRPr="000B5187">
        <w:tab/>
        <w:t>2007: 233</w:t>
      </w:r>
    </w:p>
    <w:p w:rsidR="00993E5A" w:rsidRPr="000B5187" w:rsidRDefault="00993E5A" w:rsidP="00993E5A">
      <w:pPr>
        <w:pStyle w:val="SingleTxtG"/>
      </w:pPr>
      <w:r w:rsidRPr="000B5187">
        <w:tab/>
        <w:t>2008: 255</w:t>
      </w:r>
    </w:p>
    <w:p w:rsidR="00993E5A" w:rsidRPr="000B5187" w:rsidRDefault="00993E5A" w:rsidP="00993E5A">
      <w:pPr>
        <w:pStyle w:val="SingleTxtG"/>
      </w:pPr>
      <w:r w:rsidRPr="000B5187">
        <w:t>45.</w:t>
      </w:r>
      <w:r w:rsidRPr="000B5187">
        <w:tab/>
        <w:t>En promedio, en los últimos siete años han muerto 257 personas en accidente de tránsito cada año</w:t>
      </w:r>
      <w:r>
        <w:t>, de las que,</w:t>
      </w:r>
      <w:r w:rsidRPr="000B5187">
        <w:rPr>
          <w:lang w:val="es-ES_tradnl"/>
        </w:rPr>
        <w:t xml:space="preserve"> por término medio, 27 eran niños menores de 18 años.</w:t>
      </w:r>
      <w:r>
        <w:rPr>
          <w:lang w:val="es-ES_tradnl"/>
        </w:rPr>
        <w:t xml:space="preserve"> </w:t>
      </w:r>
      <w:r w:rsidRPr="000B5187">
        <w:rPr>
          <w:lang w:val="es-ES_tradnl"/>
        </w:rPr>
        <w:t xml:space="preserve">Ello ha motivado la creación de la campaña </w:t>
      </w:r>
      <w:r>
        <w:rPr>
          <w:lang w:val="es-ES_tradnl"/>
        </w:rPr>
        <w:t>"O</w:t>
      </w:r>
      <w:r w:rsidRPr="000B5187">
        <w:rPr>
          <w:lang w:val="es-ES_tradnl"/>
        </w:rPr>
        <w:t>bjetivo cero</w:t>
      </w:r>
      <w:r>
        <w:rPr>
          <w:lang w:val="es-ES_tradnl"/>
        </w:rPr>
        <w:t>"</w:t>
      </w:r>
      <w:r w:rsidRPr="000B5187">
        <w:rPr>
          <w:lang w:val="es-ES_tradnl"/>
        </w:rPr>
        <w:t>, es decir, reducir a cero los accidentes de carretera que causan muertes o lesiones graves.</w:t>
      </w:r>
      <w:r>
        <w:rPr>
          <w:lang w:val="es-ES_tradnl"/>
        </w:rPr>
        <w:t xml:space="preserve"> </w:t>
      </w:r>
      <w:r w:rsidRPr="000B5187">
        <w:rPr>
          <w:lang w:val="es-ES_tradnl"/>
        </w:rPr>
        <w:t>Uno de los requisitos de la campaña es que los medios y lo</w:t>
      </w:r>
      <w:r>
        <w:rPr>
          <w:lang w:val="es-ES_tradnl"/>
        </w:rPr>
        <w:t>s sistemas de transporte deberá</w:t>
      </w:r>
      <w:r w:rsidRPr="000B5187">
        <w:rPr>
          <w:lang w:val="es-ES_tradnl"/>
        </w:rPr>
        <w:t>n diseñarse de manera que fomenten el buen comportamiento y ofrezcan protección ante las fatales consecuencias derivadas de un fallo humano.</w:t>
      </w:r>
      <w:r w:rsidRPr="000B5187">
        <w:t xml:space="preserve"> </w:t>
      </w:r>
      <w:r w:rsidRPr="000B5187">
        <w:rPr>
          <w:lang w:val="es-ES_tradnl"/>
        </w:rPr>
        <w:t xml:space="preserve">La campaña se basa en </w:t>
      </w:r>
      <w:r>
        <w:rPr>
          <w:lang w:val="es-ES_tradnl"/>
        </w:rPr>
        <w:t xml:space="preserve">la </w:t>
      </w:r>
      <w:r w:rsidRPr="000B5187">
        <w:rPr>
          <w:lang w:val="es-ES_tradnl"/>
        </w:rPr>
        <w:t xml:space="preserve">ética, </w:t>
      </w:r>
      <w:r>
        <w:rPr>
          <w:lang w:val="es-ES_tradnl"/>
        </w:rPr>
        <w:t xml:space="preserve">la </w:t>
      </w:r>
      <w:r w:rsidRPr="000B5187">
        <w:rPr>
          <w:lang w:val="es-ES_tradnl"/>
        </w:rPr>
        <w:t xml:space="preserve">ciencia y </w:t>
      </w:r>
      <w:r>
        <w:rPr>
          <w:lang w:val="es-ES_tradnl"/>
        </w:rPr>
        <w:t xml:space="preserve">la </w:t>
      </w:r>
      <w:r w:rsidRPr="000B5187">
        <w:rPr>
          <w:lang w:val="es-ES_tradnl"/>
        </w:rPr>
        <w:t>responsabilidad mutua.</w:t>
      </w:r>
      <w:r w:rsidRPr="000B5187">
        <w:t xml:space="preserve"> </w:t>
      </w:r>
      <w:r w:rsidRPr="000B5187">
        <w:rPr>
          <w:lang w:val="es-ES_tradnl"/>
        </w:rPr>
        <w:t>En 2009 el Gobierno estableció un objetivo cuantificado de reducir en un tercio el número de muertos y heridos graves para pasar de 1.200 al año a un máximo de 775 antes de 2020.</w:t>
      </w:r>
    </w:p>
    <w:p w:rsidR="00993E5A" w:rsidRPr="000B5187" w:rsidRDefault="00993E5A" w:rsidP="00993E5A">
      <w:pPr>
        <w:pStyle w:val="H23G"/>
      </w:pPr>
      <w:bookmarkStart w:id="61" w:name="_Toc246693216"/>
      <w:r w:rsidRPr="000B5187">
        <w:tab/>
      </w:r>
      <w:bookmarkEnd w:id="61"/>
      <w:r>
        <w:tab/>
      </w:r>
      <w:r w:rsidRPr="000B5187">
        <w:rPr>
          <w:lang w:val="es-ES_tradnl"/>
        </w:rPr>
        <w:t>Suicidios y asesinatos cometidos por enfermos mentales</w:t>
      </w:r>
      <w:r w:rsidRPr="000B5187">
        <w:t xml:space="preserve"> </w:t>
      </w:r>
    </w:p>
    <w:p w:rsidR="00993E5A" w:rsidRPr="000B5187" w:rsidRDefault="00993E5A" w:rsidP="00993E5A">
      <w:pPr>
        <w:pStyle w:val="SingleTxtG"/>
      </w:pPr>
      <w:r w:rsidRPr="000B5187">
        <w:t>46.</w:t>
      </w:r>
      <w:r w:rsidRPr="000B5187">
        <w:tab/>
      </w:r>
      <w:r w:rsidRPr="000B5187">
        <w:rPr>
          <w:lang w:val="es-ES_tradnl"/>
        </w:rPr>
        <w:t>En enero de 2008 se publicaron las directrices nacionales para evitar los suicidios en los servicios especializados de salud mental.</w:t>
      </w:r>
    </w:p>
    <w:p w:rsidR="00993E5A" w:rsidRPr="000B5187" w:rsidRDefault="00993E5A" w:rsidP="00993E5A">
      <w:pPr>
        <w:pStyle w:val="SingleTxtG"/>
      </w:pPr>
      <w:r w:rsidRPr="000B5187">
        <w:t>47.</w:t>
      </w:r>
      <w:r w:rsidRPr="000B5187">
        <w:tab/>
      </w:r>
      <w:r w:rsidRPr="000B5187">
        <w:rPr>
          <w:lang w:val="es-ES_tradnl"/>
        </w:rPr>
        <w:t>En cuanto a los asesinatos y otros delitos graves cometidos por enfermos mentales diagnosticados, el 24 de abril de 2009 se creó un comité especial</w:t>
      </w:r>
      <w:r>
        <w:rPr>
          <w:lang w:val="es-ES_tradnl"/>
        </w:rPr>
        <w:t>,</w:t>
      </w:r>
      <w:r w:rsidRPr="000B5187">
        <w:rPr>
          <w:lang w:val="es-ES_tradnl"/>
        </w:rPr>
        <w:t xml:space="preserve"> a iniciativa del Ministerio de Sanidad y Servicios A</w:t>
      </w:r>
      <w:r>
        <w:rPr>
          <w:lang w:val="es-ES_tradnl"/>
        </w:rPr>
        <w:t>sis</w:t>
      </w:r>
      <w:r w:rsidRPr="000B5187">
        <w:rPr>
          <w:lang w:val="es-ES_tradnl"/>
        </w:rPr>
        <w:t>tenci</w:t>
      </w:r>
      <w:r>
        <w:rPr>
          <w:lang w:val="es-ES_tradnl"/>
        </w:rPr>
        <w:t>ales, encargado de</w:t>
      </w:r>
      <w:r w:rsidRPr="000B5187">
        <w:rPr>
          <w:lang w:val="es-ES_tradnl"/>
        </w:rPr>
        <w:t xml:space="preserve"> investigar los posibles fallos de los sistemas y procesos de sanidad y bienestar en el seguimiento de las personas en cuestión.</w:t>
      </w:r>
      <w:r w:rsidRPr="000B5187">
        <w:t xml:space="preserve"> </w:t>
      </w:r>
      <w:r w:rsidRPr="000B5187">
        <w:rPr>
          <w:lang w:val="es-ES_tradnl"/>
        </w:rPr>
        <w:t>Junto a las recomendaciones sobre las medidas que deberán adoptarse para evitar tragedias futuras, se presentará al Ministerio un informe antes de finales de mayo de 2010.</w:t>
      </w:r>
      <w:r w:rsidRPr="000B5187">
        <w:t xml:space="preserve"> </w:t>
      </w:r>
    </w:p>
    <w:p w:rsidR="00993E5A" w:rsidRPr="000B5187" w:rsidRDefault="00993E5A" w:rsidP="00993E5A">
      <w:pPr>
        <w:pStyle w:val="H23G"/>
      </w:pPr>
      <w:bookmarkStart w:id="62" w:name="_Toc246693217"/>
      <w:r w:rsidRPr="000B5187">
        <w:tab/>
      </w:r>
      <w:bookmarkEnd w:id="62"/>
      <w:r>
        <w:tab/>
      </w:r>
      <w:r w:rsidRPr="000B5187">
        <w:rPr>
          <w:lang w:val="es-ES_tradnl"/>
        </w:rPr>
        <w:t xml:space="preserve">Terrorismo </w:t>
      </w:r>
    </w:p>
    <w:p w:rsidR="00993E5A" w:rsidRPr="000B5187" w:rsidRDefault="00993E5A" w:rsidP="00993E5A">
      <w:pPr>
        <w:pStyle w:val="SingleTxtG"/>
      </w:pPr>
      <w:r w:rsidRPr="000B5187">
        <w:t>48.</w:t>
      </w:r>
      <w:r w:rsidRPr="000B5187">
        <w:tab/>
      </w:r>
      <w:r w:rsidRPr="000B5187">
        <w:rPr>
          <w:lang w:val="es-ES_tradnl"/>
        </w:rPr>
        <w:t xml:space="preserve">La legislación vigente sobre actos de terrorismo y delitos </w:t>
      </w:r>
      <w:r>
        <w:rPr>
          <w:lang w:val="es-ES_tradnl"/>
        </w:rPr>
        <w:t xml:space="preserve">conexos </w:t>
      </w:r>
      <w:r w:rsidRPr="000B5187">
        <w:rPr>
          <w:lang w:val="es-ES_tradnl"/>
        </w:rPr>
        <w:t>se revisó recientemente</w:t>
      </w:r>
      <w:r>
        <w:rPr>
          <w:lang w:val="es-ES_tradnl"/>
        </w:rPr>
        <w:t xml:space="preserve"> y e</w:t>
      </w:r>
      <w:r w:rsidRPr="000B5187">
        <w:rPr>
          <w:lang w:val="es-ES_tradnl"/>
        </w:rPr>
        <w:t>n diciembre de 2008 entró en vigor un artículo nuevo (147c).</w:t>
      </w:r>
      <w:r w:rsidRPr="000B5187">
        <w:t xml:space="preserve"> </w:t>
      </w:r>
      <w:r w:rsidRPr="000B5187">
        <w:rPr>
          <w:lang w:val="es-ES_tradnl"/>
        </w:rPr>
        <w:t>Con esta disposición se aplican los artículos 5 a 7 del Convenio del Consejo de Europa para la prevención del terrorismo</w:t>
      </w:r>
      <w:r>
        <w:rPr>
          <w:lang w:val="es-ES_tradnl"/>
        </w:rPr>
        <w:t xml:space="preserve"> (</w:t>
      </w:r>
      <w:r w:rsidRPr="000B5187">
        <w:rPr>
          <w:lang w:val="es-ES_tradnl"/>
        </w:rPr>
        <w:t>véase la sección del presente informe relativa al artículo 19</w:t>
      </w:r>
      <w:r>
        <w:rPr>
          <w:lang w:val="es-ES_tradnl"/>
        </w:rPr>
        <w:t>)</w:t>
      </w:r>
      <w:r w:rsidRPr="000B5187">
        <w:rPr>
          <w:lang w:val="es-ES_tradnl"/>
        </w:rPr>
        <w:t>.</w:t>
      </w:r>
      <w:r w:rsidRPr="000B5187">
        <w:t xml:space="preserve"> </w:t>
      </w:r>
      <w:r w:rsidRPr="000B5187">
        <w:rPr>
          <w:lang w:val="es-ES_tradnl"/>
        </w:rPr>
        <w:t>El nuevo Código Penal Civil General, de 2005, cuya entrada en vigor está prevista para el 1º</w:t>
      </w:r>
      <w:r w:rsidR="008A7A7E">
        <w:rPr>
          <w:lang w:val="es-ES_tradnl"/>
        </w:rPr>
        <w:t> </w:t>
      </w:r>
      <w:r w:rsidRPr="000B5187">
        <w:rPr>
          <w:lang w:val="es-ES_tradnl"/>
        </w:rPr>
        <w:t xml:space="preserve">de enero de 2012 (en adelante, </w:t>
      </w:r>
      <w:r>
        <w:rPr>
          <w:lang w:val="es-ES_tradnl"/>
        </w:rPr>
        <w:t>"</w:t>
      </w:r>
      <w:r w:rsidRPr="000B5187">
        <w:rPr>
          <w:lang w:val="es-ES_tradnl"/>
        </w:rPr>
        <w:t>el Código Penal de 2005</w:t>
      </w:r>
      <w:r>
        <w:rPr>
          <w:lang w:val="es-ES_tradnl"/>
        </w:rPr>
        <w:t>"</w:t>
      </w:r>
      <w:r w:rsidRPr="000B5187">
        <w:rPr>
          <w:lang w:val="es-ES_tradnl"/>
        </w:rPr>
        <w:t>), incluye una sección aparte sobre del</w:t>
      </w:r>
      <w:r>
        <w:rPr>
          <w:lang w:val="es-ES_tradnl"/>
        </w:rPr>
        <w:t>itos y actividades terroristas (</w:t>
      </w:r>
      <w:r w:rsidRPr="000B5187">
        <w:rPr>
          <w:lang w:val="es-ES_tradnl"/>
        </w:rPr>
        <w:t>véase</w:t>
      </w:r>
      <w:r w:rsidRPr="000B5187">
        <w:t xml:space="preserve"> el anexo 5</w:t>
      </w:r>
      <w:r>
        <w:t>)</w:t>
      </w:r>
      <w:r w:rsidRPr="000B5187">
        <w:t xml:space="preserve">. </w:t>
      </w:r>
      <w:r w:rsidRPr="000B5187">
        <w:rPr>
          <w:lang w:val="es-ES_tradnl"/>
        </w:rPr>
        <w:t>Las nuevas disposiciones relativas a delitos y actividades terroristas fueron aprobadas mediante la Ley de 7 de marzo de 2008, pero todavía no han entrado en vigor</w:t>
      </w:r>
      <w:r>
        <w:rPr>
          <w:lang w:val="es-ES_tradnl"/>
        </w:rPr>
        <w:t xml:space="preserve"> y no </w:t>
      </w:r>
      <w:r>
        <w:t>está previsto</w:t>
      </w:r>
      <w:r w:rsidRPr="000B5187">
        <w:t xml:space="preserve"> </w:t>
      </w:r>
      <w:r>
        <w:t xml:space="preserve">que lo hagan </w:t>
      </w:r>
      <w:r w:rsidRPr="000B5187">
        <w:t xml:space="preserve">antes de 2012. </w:t>
      </w:r>
    </w:p>
    <w:p w:rsidR="00993E5A" w:rsidRPr="000B5187" w:rsidRDefault="00993E5A" w:rsidP="00993E5A">
      <w:pPr>
        <w:pStyle w:val="SingleTxtG"/>
      </w:pPr>
      <w:r w:rsidRPr="000B5187">
        <w:t>49.</w:t>
      </w:r>
      <w:r w:rsidRPr="000B5187">
        <w:tab/>
      </w:r>
      <w:r w:rsidRPr="000B5187">
        <w:rPr>
          <w:lang w:val="es-ES_tradnl"/>
        </w:rPr>
        <w:t xml:space="preserve">En sus observaciones finales sobre el quinto informe periódico de Noruega, el Comité manifestó su preocupación ante el alcance potencialmente excesivo de la definición de terrorismo que se da en el artículo 147 </w:t>
      </w:r>
      <w:r>
        <w:rPr>
          <w:lang w:val="es-ES_tradnl"/>
        </w:rPr>
        <w:t xml:space="preserve">b) </w:t>
      </w:r>
      <w:r w:rsidRPr="000B5187">
        <w:rPr>
          <w:lang w:val="es-ES_tradnl"/>
        </w:rPr>
        <w:t xml:space="preserve">del </w:t>
      </w:r>
      <w:bookmarkStart w:id="63" w:name="OLE_LINK201"/>
      <w:bookmarkStart w:id="64" w:name="OLE_LINK202"/>
      <w:r w:rsidRPr="000B5187">
        <w:rPr>
          <w:lang w:val="es-ES_tradnl"/>
        </w:rPr>
        <w:t xml:space="preserve">Código Penal Civil General </w:t>
      </w:r>
      <w:bookmarkEnd w:id="63"/>
      <w:bookmarkEnd w:id="64"/>
      <w:r w:rsidRPr="000B5187">
        <w:rPr>
          <w:lang w:val="es-ES_tradnl"/>
        </w:rPr>
        <w:t>de 1</w:t>
      </w:r>
      <w:r>
        <w:rPr>
          <w:lang w:val="es-ES_tradnl"/>
        </w:rPr>
        <w:t>902 (en adelante "</w:t>
      </w:r>
      <w:r w:rsidRPr="000B5187">
        <w:rPr>
          <w:lang w:val="es-ES_tradnl"/>
        </w:rPr>
        <w:t>el Código Penal de 1902</w:t>
      </w:r>
      <w:r>
        <w:rPr>
          <w:lang w:val="es-ES_tradnl"/>
        </w:rPr>
        <w:t>"</w:t>
      </w:r>
      <w:r w:rsidRPr="000B5187">
        <w:rPr>
          <w:lang w:val="es-ES_tradnl"/>
        </w:rPr>
        <w:t xml:space="preserve">). En el Código Penal Civil General de 2005, la definición de terrorismo es más </w:t>
      </w:r>
      <w:r>
        <w:rPr>
          <w:lang w:val="es-ES_tradnl"/>
        </w:rPr>
        <w:t>restringid</w:t>
      </w:r>
      <w:r w:rsidRPr="000B5187">
        <w:rPr>
          <w:lang w:val="es-ES_tradnl"/>
        </w:rPr>
        <w:t xml:space="preserve">a; para considerar que un acto delictivo es un acto </w:t>
      </w:r>
      <w:r>
        <w:rPr>
          <w:lang w:val="es-ES_tradnl"/>
        </w:rPr>
        <w:t>terrorista, debe haber "</w:t>
      </w:r>
      <w:r w:rsidRPr="000B5187">
        <w:rPr>
          <w:lang w:val="es-ES_tradnl"/>
        </w:rPr>
        <w:t>móvil terrorista</w:t>
      </w:r>
      <w:r>
        <w:rPr>
          <w:lang w:val="es-ES_tradnl"/>
        </w:rPr>
        <w:t>"</w:t>
      </w:r>
      <w:r w:rsidRPr="000B5187">
        <w:rPr>
          <w:lang w:val="es-ES_tradnl"/>
        </w:rPr>
        <w:t>.</w:t>
      </w:r>
      <w:r w:rsidRPr="000B5187">
        <w:t xml:space="preserve"> </w:t>
      </w:r>
      <w:r w:rsidRPr="000B5187">
        <w:rPr>
          <w:lang w:val="es-ES_tradnl"/>
        </w:rPr>
        <w:t>Según el Código Penal de 2005, se considera que hay móvil terrorista cuando el acto se ha cometido con la intención de</w:t>
      </w:r>
      <w:r>
        <w:rPr>
          <w:lang w:val="es-ES_tradnl"/>
        </w:rPr>
        <w:t>:</w:t>
      </w:r>
      <w:r w:rsidRPr="000B5187">
        <w:rPr>
          <w:lang w:val="es-ES_tradnl"/>
        </w:rPr>
        <w:t xml:space="preserve"> a) perturbar gravemente una función de importancia vital para la sociedad, tal como la autoridad legislativa, ejecutiva o judicial, el abastecimiento de electricidad, el abastecimiento seguro de alimentos o agua, el sistema monetario o bancario o los servicios médicos de emergencia o </w:t>
      </w:r>
      <w:r>
        <w:rPr>
          <w:lang w:val="es-ES_tradnl"/>
        </w:rPr>
        <w:t xml:space="preserve">de </w:t>
      </w:r>
      <w:r w:rsidRPr="000B5187">
        <w:rPr>
          <w:lang w:val="es-ES_tradnl"/>
        </w:rPr>
        <w:t>lucha contra las enfermedades; b)</w:t>
      </w:r>
      <w:r>
        <w:rPr>
          <w:lang w:val="es-ES_tradnl"/>
        </w:rPr>
        <w:t xml:space="preserve"> </w:t>
      </w:r>
      <w:r w:rsidRPr="000B5187">
        <w:rPr>
          <w:lang w:val="es-ES_tradnl"/>
        </w:rPr>
        <w:t xml:space="preserve">intimidar </w:t>
      </w:r>
      <w:r>
        <w:rPr>
          <w:lang w:val="es-ES_tradnl"/>
        </w:rPr>
        <w:t xml:space="preserve">gravemente a la población, o c) </w:t>
      </w:r>
      <w:r w:rsidRPr="000B5187">
        <w:rPr>
          <w:lang w:val="es-ES_tradnl"/>
        </w:rPr>
        <w:t>obligar indebidamente a las autoridades públicas o a una organización intergubernamental a ejecutar, tolerar o abstenerse de ejecutar algún acto de importancia fundamental para el país o la organización, o para otro país u otra organización intergubernamental.</w:t>
      </w:r>
    </w:p>
    <w:p w:rsidR="00993E5A" w:rsidRPr="000B5187" w:rsidRDefault="00993E5A" w:rsidP="00993E5A">
      <w:pPr>
        <w:pStyle w:val="H23G"/>
      </w:pPr>
      <w:bookmarkStart w:id="65" w:name="_Toc246693218"/>
      <w:r w:rsidRPr="000B5187">
        <w:tab/>
      </w:r>
      <w:bookmarkEnd w:id="65"/>
      <w:r>
        <w:tab/>
      </w:r>
      <w:r w:rsidRPr="000B5187">
        <w:rPr>
          <w:lang w:val="es-ES_tradnl"/>
        </w:rPr>
        <w:t>Nuevas disposiciones sobre genocidio, crímenes de lesa huma</w:t>
      </w:r>
      <w:r>
        <w:rPr>
          <w:lang w:val="es-ES_tradnl"/>
        </w:rPr>
        <w:t>nidad y crímenes</w:t>
      </w:r>
      <w:r>
        <w:rPr>
          <w:lang w:val="es-ES_tradnl"/>
        </w:rPr>
        <w:br/>
      </w:r>
      <w:r w:rsidRPr="000B5187">
        <w:rPr>
          <w:lang w:val="es-ES_tradnl"/>
        </w:rPr>
        <w:t>de guerra</w:t>
      </w:r>
      <w:r w:rsidRPr="000B5187">
        <w:t xml:space="preserve"> </w:t>
      </w:r>
    </w:p>
    <w:p w:rsidR="00993E5A" w:rsidRDefault="00993E5A" w:rsidP="00993E5A">
      <w:pPr>
        <w:pStyle w:val="SingleTxtG"/>
        <w:rPr>
          <w:lang w:val="es-ES_tradnl"/>
        </w:rPr>
      </w:pPr>
      <w:r w:rsidRPr="000B5187">
        <w:t>50.</w:t>
      </w:r>
      <w:r w:rsidRPr="000B5187">
        <w:tab/>
      </w:r>
      <w:r w:rsidRPr="000B5187">
        <w:rPr>
          <w:lang w:val="es-ES_tradnl"/>
        </w:rPr>
        <w:t>El 7 de marzo de 2008 se adoptaron disposiciones separadas y detalladas sobre genocidio, crímenes de lesa humanidad y c</w:t>
      </w:r>
      <w:r>
        <w:rPr>
          <w:lang w:val="es-ES_tradnl"/>
        </w:rPr>
        <w:t>rímenes de guerra como parte del nuevo capítulo</w:t>
      </w:r>
      <w:r w:rsidR="008A7A7E">
        <w:rPr>
          <w:lang w:val="es-ES_tradnl"/>
        </w:rPr>
        <w:t> </w:t>
      </w:r>
      <w:r w:rsidRPr="000B5187">
        <w:rPr>
          <w:lang w:val="es-ES_tradnl"/>
        </w:rPr>
        <w:t>16 del Código Penal de 2005, que entró en vigor ese mismo día.</w:t>
      </w:r>
      <w:r w:rsidRPr="000B5187">
        <w:t xml:space="preserve"> </w:t>
      </w:r>
      <w:r w:rsidRPr="000B5187">
        <w:rPr>
          <w:lang w:val="es-ES_tradnl"/>
        </w:rPr>
        <w:t>Gracias a esas enmiendas, pueden enjuiciarse en Noruega todos los delitos que competen a la Corte Penal Internacional, con lo cual se cumple el principio de complementariedad previsto en el Estatuto de Roma.</w:t>
      </w:r>
      <w:r w:rsidRPr="000B5187">
        <w:t xml:space="preserve"> </w:t>
      </w:r>
      <w:r w:rsidRPr="000B5187">
        <w:rPr>
          <w:lang w:val="es-ES_tradnl"/>
        </w:rPr>
        <w:t>Las definiciones de los delitos se basan, en su mayor parte, en el Estatuto de Roma.</w:t>
      </w:r>
      <w:r w:rsidRPr="000B5187">
        <w:t xml:space="preserve"> </w:t>
      </w:r>
      <w:r w:rsidRPr="000B5187">
        <w:rPr>
          <w:lang w:val="es-ES_tradnl"/>
        </w:rPr>
        <w:t xml:space="preserve">En </w:t>
      </w:r>
      <w:r>
        <w:rPr>
          <w:lang w:val="es-ES_tradnl"/>
        </w:rPr>
        <w:t xml:space="preserve">el capítulo </w:t>
      </w:r>
      <w:r w:rsidRPr="000B5187">
        <w:rPr>
          <w:lang w:val="es-ES_tradnl"/>
        </w:rPr>
        <w:t>16 figura además una disposición separada sobre la responsabilidad superior, así como una disposición sobre conspiración e incitación al genocidio, los crímenes de lesa humanidad y los crímenes de guerra.</w:t>
      </w:r>
      <w:r w:rsidRPr="000B5187">
        <w:t xml:space="preserve"> </w:t>
      </w:r>
      <w:r w:rsidRPr="000B5187">
        <w:rPr>
          <w:lang w:val="es-ES_tradnl"/>
        </w:rPr>
        <w:t xml:space="preserve">La complicidad </w:t>
      </w:r>
      <w:r>
        <w:rPr>
          <w:lang w:val="es-ES_tradnl"/>
        </w:rPr>
        <w:t>en esos delitos, l</w:t>
      </w:r>
      <w:r w:rsidRPr="000B5187">
        <w:rPr>
          <w:lang w:val="es-ES_tradnl"/>
        </w:rPr>
        <w:t>a tentativa de com</w:t>
      </w:r>
      <w:r>
        <w:rPr>
          <w:lang w:val="es-ES_tradnl"/>
        </w:rPr>
        <w:t xml:space="preserve">eterlos y la inducción a ello </w:t>
      </w:r>
      <w:r w:rsidRPr="000B5187">
        <w:rPr>
          <w:lang w:val="es-ES_tradnl"/>
        </w:rPr>
        <w:t>son punibles según los principios generales descritos en la parte general del Código Penal de 2005.</w:t>
      </w:r>
      <w:r w:rsidRPr="000B5187">
        <w:t xml:space="preserve"> </w:t>
      </w:r>
      <w:r w:rsidRPr="000B5187">
        <w:rPr>
          <w:lang w:val="es-ES_tradnl"/>
        </w:rPr>
        <w:t>El principio de prescripción previsto en la parte general n</w:t>
      </w:r>
      <w:r>
        <w:rPr>
          <w:lang w:val="es-ES_tradnl"/>
        </w:rPr>
        <w:t>o se aplica a los delitos especifi</w:t>
      </w:r>
      <w:r w:rsidRPr="000B5187">
        <w:rPr>
          <w:lang w:val="es-ES_tradnl"/>
        </w:rPr>
        <w:t xml:space="preserve">cados en </w:t>
      </w:r>
      <w:r>
        <w:rPr>
          <w:lang w:val="es-ES_tradnl"/>
        </w:rPr>
        <w:t>e</w:t>
      </w:r>
      <w:r w:rsidRPr="000B5187">
        <w:rPr>
          <w:lang w:val="es-ES_tradnl"/>
        </w:rPr>
        <w:t xml:space="preserve">l </w:t>
      </w:r>
      <w:r>
        <w:rPr>
          <w:lang w:val="es-ES_tradnl"/>
        </w:rPr>
        <w:t xml:space="preserve">capítulo </w:t>
      </w:r>
      <w:r w:rsidRPr="000B5187">
        <w:rPr>
          <w:lang w:val="es-ES_tradnl"/>
        </w:rPr>
        <w:t>16, siempre y cuando se imponga una pena de prisión de al menos 15 años al acto prohibido.</w:t>
      </w:r>
      <w:r w:rsidRPr="000B5187">
        <w:t xml:space="preserve"> </w:t>
      </w:r>
      <w:r w:rsidRPr="000B5187">
        <w:rPr>
          <w:lang w:val="es-ES_tradnl"/>
        </w:rPr>
        <w:t xml:space="preserve">La pena máxima por genocidio, crímenes de lesa humanidad y crímenes de guerra graves es </w:t>
      </w:r>
      <w:r>
        <w:rPr>
          <w:lang w:val="es-ES_tradnl"/>
        </w:rPr>
        <w:t xml:space="preserve">de </w:t>
      </w:r>
      <w:r w:rsidRPr="000B5187">
        <w:rPr>
          <w:lang w:val="es-ES_tradnl"/>
        </w:rPr>
        <w:t>30 años de prisión.</w:t>
      </w:r>
    </w:p>
    <w:p w:rsidR="00993E5A" w:rsidRDefault="00993E5A" w:rsidP="00993E5A">
      <w:pPr>
        <w:pStyle w:val="H1G"/>
      </w:pPr>
      <w:r>
        <w:tab/>
      </w:r>
      <w:r w:rsidRPr="009D1A3F">
        <w:t>G.</w:t>
      </w:r>
      <w:r>
        <w:tab/>
      </w:r>
      <w:r w:rsidRPr="009D1A3F">
        <w:t>Artículo 7</w:t>
      </w:r>
      <w:r>
        <w:t xml:space="preserve"> </w:t>
      </w:r>
    </w:p>
    <w:p w:rsidR="00993E5A" w:rsidRPr="009D1A3F" w:rsidRDefault="00993E5A" w:rsidP="00993E5A">
      <w:pPr>
        <w:pStyle w:val="SingleTxtG"/>
      </w:pPr>
      <w:r>
        <w:t>51.</w:t>
      </w:r>
      <w:r>
        <w:tab/>
      </w:r>
      <w:r w:rsidRPr="009D1A3F">
        <w:t>En el presente informe la información sobre la prisión preventiva y la detención policial figura en la sección relativa al artículo 9.</w:t>
      </w:r>
    </w:p>
    <w:p w:rsidR="00993E5A" w:rsidRDefault="00993E5A" w:rsidP="00993E5A">
      <w:pPr>
        <w:pStyle w:val="SingleTxtG"/>
        <w:rPr>
          <w:b/>
        </w:rPr>
      </w:pPr>
      <w:r w:rsidRPr="009D1A3F">
        <w:rPr>
          <w:b/>
        </w:rPr>
        <w:t>Mutilación genital femenina</w:t>
      </w:r>
    </w:p>
    <w:p w:rsidR="00993E5A" w:rsidRDefault="00993E5A" w:rsidP="00993E5A">
      <w:pPr>
        <w:pStyle w:val="SingleTxtG"/>
      </w:pPr>
      <w:r>
        <w:t>52.</w:t>
      </w:r>
      <w:r>
        <w:tab/>
      </w:r>
      <w:r w:rsidRPr="009D1A3F">
        <w:t xml:space="preserve">Esta cuestión se trata en el párrafo 76 del quinto informe </w:t>
      </w:r>
      <w:r>
        <w:t xml:space="preserve">periódico </w:t>
      </w:r>
      <w:r w:rsidRPr="009D1A3F">
        <w:t>de Noruega y en el párrafo 12 de las observaciones finales del Comité.</w:t>
      </w:r>
    </w:p>
    <w:p w:rsidR="00993E5A" w:rsidRDefault="00993E5A" w:rsidP="00993E5A">
      <w:pPr>
        <w:pStyle w:val="SingleTxtG"/>
        <w:keepNext/>
        <w:keepLines/>
      </w:pPr>
      <w:r>
        <w:t>53.</w:t>
      </w:r>
      <w:r>
        <w:tab/>
      </w:r>
      <w:r w:rsidRPr="009D1A3F">
        <w:t xml:space="preserve">En 1995 Noruega aprobó una </w:t>
      </w:r>
      <w:r w:rsidRPr="009D1A3F">
        <w:rPr>
          <w:iCs/>
        </w:rPr>
        <w:t>ley</w:t>
      </w:r>
      <w:r>
        <w:rPr>
          <w:iCs/>
        </w:rPr>
        <w:t>,</w:t>
      </w:r>
      <w:r w:rsidRPr="009D1A3F">
        <w:rPr>
          <w:iCs/>
        </w:rPr>
        <w:t xml:space="preserve"> que fue modificada </w:t>
      </w:r>
      <w:r w:rsidRPr="009D1A3F">
        <w:t>en 2004</w:t>
      </w:r>
      <w:r>
        <w:t xml:space="preserve">, </w:t>
      </w:r>
      <w:r w:rsidRPr="009D1A3F">
        <w:rPr>
          <w:iCs/>
        </w:rPr>
        <w:t>por la que se prohíbe la mut</w:t>
      </w:r>
      <w:r>
        <w:rPr>
          <w:iCs/>
        </w:rPr>
        <w:t>ilación genital femenina</w:t>
      </w:r>
      <w:r w:rsidRPr="009D1A3F">
        <w:t xml:space="preserve">. Esta prohibición también </w:t>
      </w:r>
      <w:r>
        <w:t>s</w:t>
      </w:r>
      <w:r w:rsidRPr="009D1A3F">
        <w:t>e aplica</w:t>
      </w:r>
      <w:r>
        <w:t xml:space="preserve"> </w:t>
      </w:r>
      <w:r w:rsidRPr="009D1A3F">
        <w:t>cuando se instruye un proceso fuera de</w:t>
      </w:r>
      <w:r>
        <w:t>l país</w:t>
      </w:r>
      <w:r w:rsidRPr="009D1A3F">
        <w:t xml:space="preserve">. En el caso de ciertos grupos de profesionales y empleados constituye delito la pasividad frente a </w:t>
      </w:r>
      <w:r>
        <w:t>dicha práctica</w:t>
      </w:r>
      <w:r w:rsidRPr="009D1A3F">
        <w:t>.</w:t>
      </w:r>
    </w:p>
    <w:p w:rsidR="00993E5A" w:rsidRPr="009D1A3F" w:rsidRDefault="00993E5A" w:rsidP="00993E5A">
      <w:pPr>
        <w:pStyle w:val="SingleTxtG"/>
      </w:pPr>
      <w:r>
        <w:t>54.</w:t>
      </w:r>
      <w:r>
        <w:tab/>
      </w:r>
      <w:r w:rsidRPr="009D1A3F">
        <w:t xml:space="preserve">La prohibición de la mutilación genital femenina se incorporó posteriormente en el Código Penal de 2005 (que aún no ha entrado en vigor). Se ha ampliado la </w:t>
      </w:r>
      <w:r w:rsidRPr="003D4A1B">
        <w:t xml:space="preserve">sanción </w:t>
      </w:r>
      <w:r w:rsidRPr="003D4A1B">
        <w:rPr>
          <w:iCs/>
        </w:rPr>
        <w:t>a</w:t>
      </w:r>
      <w:r w:rsidRPr="009D1A3F">
        <w:rPr>
          <w:i/>
          <w:iCs/>
        </w:rPr>
        <w:t xml:space="preserve"> </w:t>
      </w:r>
      <w:r w:rsidRPr="009D1A3F">
        <w:t xml:space="preserve">pena de prisión no superior a </w:t>
      </w:r>
      <w:r>
        <w:t>6</w:t>
      </w:r>
      <w:r w:rsidRPr="009D1A3F">
        <w:t xml:space="preserve"> años (</w:t>
      </w:r>
      <w:r>
        <w:t>3</w:t>
      </w:r>
      <w:r w:rsidRPr="009D1A3F">
        <w:t xml:space="preserve"> años anteriormente) en el supuesto de la mutilación genital femenina</w:t>
      </w:r>
      <w:r>
        <w:t xml:space="preserve"> </w:t>
      </w:r>
      <w:r w:rsidRPr="009D1A3F">
        <w:t>"ordinaria" (</w:t>
      </w:r>
      <w:r>
        <w:t>véase el</w:t>
      </w:r>
      <w:r w:rsidRPr="009D1A3F">
        <w:t xml:space="preserve"> artículo 284) y a pena de prisión no superior a 15</w:t>
      </w:r>
      <w:r w:rsidR="008A7A7E">
        <w:t> </w:t>
      </w:r>
      <w:r w:rsidRPr="009D1A3F">
        <w:t>años (</w:t>
      </w:r>
      <w:r>
        <w:t>6</w:t>
      </w:r>
      <w:r w:rsidRPr="009D1A3F">
        <w:t xml:space="preserve"> u </w:t>
      </w:r>
      <w:r>
        <w:t>8</w:t>
      </w:r>
      <w:r w:rsidRPr="009D1A3F">
        <w:t xml:space="preserve"> años anteriormente) si la mutilación se considera grave (</w:t>
      </w:r>
      <w:r>
        <w:t xml:space="preserve">véase el </w:t>
      </w:r>
      <w:r w:rsidRPr="009D1A3F">
        <w:t>artículo</w:t>
      </w:r>
      <w:r w:rsidR="008A7A7E">
        <w:t> </w:t>
      </w:r>
      <w:r w:rsidRPr="009D1A3F">
        <w:t>285). Ta</w:t>
      </w:r>
      <w:r>
        <w:t xml:space="preserve">l es el caso </w:t>
      </w:r>
      <w:r w:rsidRPr="009D1A3F">
        <w:t>cuando la operación ocasiona una enfermedad o incapacidad laboral temporal, una deficiencia,</w:t>
      </w:r>
      <w:r>
        <w:t xml:space="preserve"> </w:t>
      </w:r>
      <w:r w:rsidRPr="009D1A3F">
        <w:t>defecto o daño incurable</w:t>
      </w:r>
      <w:r>
        <w:t>,</w:t>
      </w:r>
      <w:r w:rsidRPr="009D1A3F">
        <w:t xml:space="preserve"> o la muerte o lesiones graves para la integridad física o la salud de la persona.</w:t>
      </w:r>
    </w:p>
    <w:p w:rsidR="00993E5A" w:rsidRDefault="00993E5A" w:rsidP="00993E5A">
      <w:pPr>
        <w:pStyle w:val="SingleTxtG"/>
      </w:pPr>
      <w:r>
        <w:t>55.</w:t>
      </w:r>
      <w:r>
        <w:tab/>
      </w:r>
      <w:r w:rsidRPr="009D1A3F">
        <w:t>En el caso</w:t>
      </w:r>
      <w:r>
        <w:t xml:space="preserve"> </w:t>
      </w:r>
      <w:r w:rsidRPr="009D1A3F">
        <w:t>del delito de mutilación genital femenina, por la Ley de 19 de junio de 2009 se modificó el artículo 68 del Código Penal de 1902</w:t>
      </w:r>
      <w:r>
        <w:t>, m</w:t>
      </w:r>
      <w:r w:rsidRPr="009D1A3F">
        <w:t xml:space="preserve">odificación </w:t>
      </w:r>
      <w:r>
        <w:t xml:space="preserve">que </w:t>
      </w:r>
      <w:r w:rsidRPr="009D1A3F">
        <w:t>entró en vigor inmediatamente. En la actualidad, el</w:t>
      </w:r>
      <w:r>
        <w:t xml:space="preserve"> plazo de prescripción (hasta diez</w:t>
      </w:r>
      <w:r w:rsidRPr="009D1A3F">
        <w:t xml:space="preserve"> años) empieza a contar a partir del momento en que la víctima cumple los 18 años de edad. El objetivo es impedir que el delito prescriba antes de que se considere que la víctima tiene la suficiente madurez para decidir si quiere presentar cargos. Al respecto nos remitimos a la sección relativa al artículo 2, donde se explican los nuevos derechos procesales de, </w:t>
      </w:r>
      <w:r w:rsidRPr="009D1A3F">
        <w:rPr>
          <w:iCs/>
        </w:rPr>
        <w:t>entre otras,</w:t>
      </w:r>
      <w:r w:rsidRPr="009D1A3F">
        <w:rPr>
          <w:i/>
          <w:iCs/>
        </w:rPr>
        <w:t xml:space="preserve"> </w:t>
      </w:r>
      <w:r w:rsidRPr="009D1A3F">
        <w:rPr>
          <w:iCs/>
        </w:rPr>
        <w:t>las</w:t>
      </w:r>
      <w:r w:rsidRPr="009D1A3F">
        <w:t xml:space="preserve"> víctimas de la mutilación genital femenina.</w:t>
      </w:r>
    </w:p>
    <w:p w:rsidR="00993E5A" w:rsidRPr="001347BF" w:rsidRDefault="00993E5A" w:rsidP="00993E5A">
      <w:pPr>
        <w:pStyle w:val="SingleTxtG"/>
      </w:pPr>
      <w:r>
        <w:t>56.</w:t>
      </w:r>
      <w:r>
        <w:tab/>
      </w:r>
      <w:r w:rsidRPr="001347BF">
        <w:t>El 5 de febrero de 2008 el Gobierno presentó el tercer Plan de Acción contra la mutilación genital femenina, que se aplicará en el período 2008-2011 y cuyo objetivo a largo plazo es prevenir la mutilación genital de las niñas. Al mismo tiempo, el Plan destaca que las niñas y mujeres que han sido víctimas de mutilación genital deben recibir un trato correcto y apropiado. Consta de 41 medidas, incluidas las que ya existían y las nuevas, y comprende 6 esferas prioritarias: la aplicación efectiva de la legislación, el fomento de competencias y la trasmisión de conocimientos, la prevención y la formación de la opinión pública, la disponibilidad de servicios de salud, la realización de actividades adicionales durante los períodos de vacaciones y la intensificación de la labor internacional. La coordinación de la cooperación entre la policía, las autoridades de inmigración, las legaciones del Servicio de Relaciones Exteriores, las autoridades de protección infantil, de protección familiar, de salud y de servicios sociales, y otros servicios públicos y de voluntarios es una condición necesaria para luchar con éxito contra la mutilación genital femenina. El Plan de acción está traducido al inglés y puede descargarse desde la página web del Gobierno (http://www.regjeringen.no/en/dep/hod/Subjects/the-department-of-public-health/action-plan-for-combating-female-genital.html?id=524234).</w:t>
      </w:r>
    </w:p>
    <w:p w:rsidR="00993E5A" w:rsidRDefault="00993E5A" w:rsidP="00993E5A">
      <w:pPr>
        <w:pStyle w:val="SingleTxtG"/>
      </w:pPr>
      <w:r>
        <w:t>57.</w:t>
      </w:r>
      <w:r>
        <w:tab/>
        <w:t>En 2005</w:t>
      </w:r>
      <w:r w:rsidRPr="009D1A3F">
        <w:t xml:space="preserve"> el Storting pidió al Gobierno que </w:t>
      </w:r>
      <w:r w:rsidRPr="0075758A">
        <w:rPr>
          <w:iCs/>
        </w:rPr>
        <w:t>considerase la realización de un examen ginecológico de todas las niñas, incluida la cuestión de su obligatoriedad</w:t>
      </w:r>
      <w:r w:rsidRPr="0075758A">
        <w:t>. Ni la Dirección de Salud ni el Instituto de I</w:t>
      </w:r>
      <w:r w:rsidRPr="009D1A3F">
        <w:t>nvestigación Social</w:t>
      </w:r>
      <w:r>
        <w:t xml:space="preserve"> </w:t>
      </w:r>
      <w:r w:rsidRPr="009D1A3F">
        <w:t>ni el Centro de Derechos Humanos recomendaron la obligatoriedad de ese examen. E</w:t>
      </w:r>
      <w:r>
        <w:t xml:space="preserve">ste último </w:t>
      </w:r>
      <w:r w:rsidRPr="009D1A3F">
        <w:t>consideró que la obligatoriedad de un examen ginecológico contraven</w:t>
      </w:r>
      <w:r>
        <w:t xml:space="preserve">dría </w:t>
      </w:r>
      <w:r w:rsidRPr="009D1A3F">
        <w:t xml:space="preserve">el derecho a la intimidad reconocido en </w:t>
      </w:r>
      <w:r>
        <w:t xml:space="preserve">el </w:t>
      </w:r>
      <w:r w:rsidRPr="009D1A3F">
        <w:t>Convenio para la Protección de los Derechos Humanos y de las Libertades Fundamentales y la prohibición de la discriminación establecida en la Convención sobre los Derechos del Niño. Sobre la base de esos estudios y otras consideraciones, el Gobierno estimó que era inapropiada la obligatoriedad del examen ginecológico.</w:t>
      </w:r>
    </w:p>
    <w:p w:rsidR="00993E5A" w:rsidRDefault="00993E5A" w:rsidP="00993E5A">
      <w:pPr>
        <w:pStyle w:val="SingleTxtG"/>
      </w:pPr>
      <w:r>
        <w:t>58.</w:t>
      </w:r>
      <w:r>
        <w:tab/>
      </w:r>
      <w:r w:rsidRPr="009D1A3F">
        <w:t xml:space="preserve">En cambio, el Gobierno decidió facilitar con carácter voluntario </w:t>
      </w:r>
      <w:r w:rsidRPr="00CD6F6A">
        <w:rPr>
          <w:iCs/>
        </w:rPr>
        <w:t>asesoramiento y un examen ginecológico</w:t>
      </w:r>
      <w:r w:rsidRPr="009D1A3F">
        <w:t xml:space="preserve"> a todas las niñas y mujeres originarias de zonas donde, según la Organización Mundial de la Salud, la incidencia de la mutilación genital femenina </w:t>
      </w:r>
      <w:r>
        <w:t>fuera</w:t>
      </w:r>
      <w:r w:rsidRPr="009D1A3F">
        <w:t xml:space="preserve"> del 30% o superior. Esta posibilidad será un componente del examen médico </w:t>
      </w:r>
      <w:r>
        <w:t xml:space="preserve">que se lleva acabo en los </w:t>
      </w:r>
      <w:r w:rsidRPr="009D1A3F">
        <w:t>municip</w:t>
      </w:r>
      <w:r>
        <w:t>io</w:t>
      </w:r>
      <w:r w:rsidRPr="009D1A3F">
        <w:t>s</w:t>
      </w:r>
      <w:r>
        <w:t xml:space="preserve"> y</w:t>
      </w:r>
      <w:r w:rsidRPr="009D1A3F">
        <w:t xml:space="preserve"> lo realizará un médico especialista a más tardar al año de la llegada. Por otra parte, el asesoramiento y el examen ginecológico se ofrecerán a todos los grupos de niñas afectadas (</w:t>
      </w:r>
      <w:r>
        <w:t xml:space="preserve">las </w:t>
      </w:r>
      <w:r w:rsidRPr="009D1A3F">
        <w:t xml:space="preserve">inmigrantes y </w:t>
      </w:r>
      <w:r>
        <w:t xml:space="preserve">las </w:t>
      </w:r>
      <w:r w:rsidRPr="009D1A3F">
        <w:t>nacidas en Noruega de padres inmigrantes) antes de comenzar la escolarización (5-6 años), en el quinto</w:t>
      </w:r>
      <w:r>
        <w:t xml:space="preserve"> </w:t>
      </w:r>
      <w:r w:rsidRPr="009D1A3F">
        <w:t>grado de primaria (10-11 años)</w:t>
      </w:r>
      <w:r>
        <w:t xml:space="preserve"> </w:t>
      </w:r>
      <w:r w:rsidRPr="009D1A3F">
        <w:t>y en décimo grado (15-16 años). El examen ginecológico sólo puede llevarse a cabo con el consentimiento válido del paciente o de su progenitor o tutor, de acuerdo con lo dispuesto en la Ley de derechos del paciente.</w:t>
      </w:r>
    </w:p>
    <w:p w:rsidR="00993E5A" w:rsidRPr="009D1A3F" w:rsidRDefault="00993E5A" w:rsidP="00993E5A">
      <w:pPr>
        <w:pStyle w:val="SingleTxtG"/>
      </w:pPr>
      <w:r>
        <w:t>59.</w:t>
      </w:r>
      <w:r>
        <w:tab/>
      </w:r>
      <w:r w:rsidRPr="009D1A3F">
        <w:t xml:space="preserve">La mutilación genital femenina es una agresión grave, que hay que </w:t>
      </w:r>
      <w:r>
        <w:t>calific</w:t>
      </w:r>
      <w:r w:rsidRPr="009D1A3F">
        <w:t xml:space="preserve">ar </w:t>
      </w:r>
      <w:r>
        <w:t xml:space="preserve">de </w:t>
      </w:r>
      <w:r w:rsidRPr="0075758A">
        <w:rPr>
          <w:iCs/>
        </w:rPr>
        <w:t>"trato inhumano</w:t>
      </w:r>
      <w:r w:rsidRPr="009D1A3F">
        <w:rPr>
          <w:iCs/>
        </w:rPr>
        <w:t>", por lo que</w:t>
      </w:r>
      <w:r w:rsidRPr="009D1A3F">
        <w:t xml:space="preserve"> tanto la legislación nacional como </w:t>
      </w:r>
      <w:r>
        <w:t xml:space="preserve">la </w:t>
      </w:r>
      <w:r w:rsidRPr="009D1A3F">
        <w:t>internacional (entre otros, el</w:t>
      </w:r>
      <w:r>
        <w:t xml:space="preserve"> </w:t>
      </w:r>
      <w:r w:rsidRPr="009D1A3F">
        <w:rPr>
          <w:bCs/>
        </w:rPr>
        <w:t>Pacto Internacional de Derechos Civiles y Políticos</w:t>
      </w:r>
      <w:r w:rsidRPr="009D1A3F">
        <w:t>) prohíbe que se aplique a ninguna persona. Asimismo, en el proyecto de la nueva ley de inmigración,</w:t>
      </w:r>
      <w:r>
        <w:t xml:space="preserve"> </w:t>
      </w:r>
      <w:r w:rsidRPr="009D1A3F">
        <w:t>que fue aprobado</w:t>
      </w:r>
      <w:r>
        <w:t xml:space="preserve"> </w:t>
      </w:r>
      <w:r w:rsidRPr="009D1A3F">
        <w:t>el 15</w:t>
      </w:r>
      <w:r w:rsidR="008A7A7E">
        <w:t> </w:t>
      </w:r>
      <w:r w:rsidRPr="009D1A3F">
        <w:t>de mayo de 2008</w:t>
      </w:r>
      <w:r>
        <w:t xml:space="preserve"> y cuya entrada en vigor está</w:t>
      </w:r>
      <w:r w:rsidRPr="009D1A3F">
        <w:t xml:space="preserve"> prevista el 1º de enero de</w:t>
      </w:r>
      <w:r>
        <w:t xml:space="preserve"> </w:t>
      </w:r>
      <w:r w:rsidRPr="009D1A3F">
        <w:t>2010 (en lo sucesivo, "Ley de inmigración de 2008"), se afirma bien claro que la posibilidad de ser víctima de</w:t>
      </w:r>
      <w:r>
        <w:t xml:space="preserve"> </w:t>
      </w:r>
      <w:r w:rsidRPr="009D1A3F">
        <w:t xml:space="preserve">mutilación genital femenina </w:t>
      </w:r>
      <w:r w:rsidRPr="00CD6F6A">
        <w:rPr>
          <w:iCs/>
        </w:rPr>
        <w:t>puede ser motivo</w:t>
      </w:r>
      <w:r w:rsidRPr="009D1A3F">
        <w:rPr>
          <w:iCs/>
        </w:rPr>
        <w:t xml:space="preserve"> </w:t>
      </w:r>
      <w:r w:rsidRPr="009D1A3F">
        <w:t>para que Noruega brinde</w:t>
      </w:r>
      <w:r w:rsidRPr="009D1A3F">
        <w:rPr>
          <w:iCs/>
          <w:u w:val="single"/>
        </w:rPr>
        <w:t xml:space="preserve"> </w:t>
      </w:r>
      <w:r w:rsidRPr="0075758A">
        <w:rPr>
          <w:iCs/>
        </w:rPr>
        <w:t>protección</w:t>
      </w:r>
      <w:r w:rsidRPr="009D1A3F">
        <w:t>.</w:t>
      </w:r>
    </w:p>
    <w:p w:rsidR="00993E5A" w:rsidRPr="009D1A3F" w:rsidRDefault="00993E5A" w:rsidP="00993E5A">
      <w:pPr>
        <w:pStyle w:val="SingleTxtG"/>
      </w:pPr>
      <w:r>
        <w:t>60.</w:t>
      </w:r>
      <w:r>
        <w:tab/>
      </w:r>
      <w:r w:rsidRPr="009D1A3F">
        <w:t>En los casos de inmigración</w:t>
      </w:r>
      <w:r>
        <w:t xml:space="preserve"> en los que se corre el riesgo </w:t>
      </w:r>
      <w:r w:rsidRPr="009D1A3F">
        <w:t xml:space="preserve">de ser víctima de mutilación genital femenina en el país de origen, Noruega ha venido concediendo el asilo, la protección subsidiaria o la residencia por motivos humanitarios según el resultado de la evaluación individual. En un informe actualizado recientemente, la Junta de Apelaciones de Inmigración de Noruega señala que se ha pronunciado sobre 103 casos </w:t>
      </w:r>
      <w:r>
        <w:t xml:space="preserve">en los que el riesgo </w:t>
      </w:r>
      <w:r w:rsidRPr="009D1A3F">
        <w:t xml:space="preserve">de ser víctima de mutilación genital femenina era un aspecto relevante. A 23 personas se les ha concedido el asilo o </w:t>
      </w:r>
      <w:r>
        <w:t xml:space="preserve">protección subsidiaria porque corrían dicho riesgo </w:t>
      </w:r>
      <w:r w:rsidRPr="009D1A3F">
        <w:t xml:space="preserve">en caso de ser devueltas a su país de origen. La Junta ha desestimado 11 recursos presentados por nacionales de Egipto, Nigeria, el Camerún y </w:t>
      </w:r>
      <w:r>
        <w:t xml:space="preserve">el </w:t>
      </w:r>
      <w:r w:rsidRPr="009D1A3F">
        <w:t xml:space="preserve">Níger al considerar que apenas </w:t>
      </w:r>
      <w:r>
        <w:t>exist</w:t>
      </w:r>
      <w:r w:rsidRPr="009D1A3F">
        <w:t xml:space="preserve">ía </w:t>
      </w:r>
      <w:r>
        <w:t xml:space="preserve">tal </w:t>
      </w:r>
      <w:r w:rsidRPr="009D1A3F">
        <w:t>riesgo. En los recursos restantes, muchos de ellos presentados</w:t>
      </w:r>
      <w:r>
        <w:t xml:space="preserve"> por familiares de personas a la</w:t>
      </w:r>
      <w:r w:rsidRPr="009D1A3F">
        <w:t>s que se ha</w:t>
      </w:r>
      <w:r>
        <w:t xml:space="preserve">bía </w:t>
      </w:r>
      <w:r w:rsidRPr="009D1A3F">
        <w:t>concedido asilo o protección subsidiaria, la Comisión autorizó la residencia por motivos humanitarios.</w:t>
      </w:r>
    </w:p>
    <w:p w:rsidR="00993E5A" w:rsidRDefault="00993E5A" w:rsidP="00993E5A">
      <w:pPr>
        <w:pStyle w:val="H23G"/>
      </w:pPr>
      <w:r>
        <w:tab/>
      </w:r>
      <w:r>
        <w:tab/>
      </w:r>
      <w:r w:rsidRPr="009D1A3F">
        <w:t>Medidas coercitivas en los centros penitenciarios durante el cumplimiento</w:t>
      </w:r>
      <w:r>
        <w:br/>
      </w:r>
      <w:r w:rsidRPr="009D1A3F">
        <w:t>de la pena</w:t>
      </w:r>
    </w:p>
    <w:p w:rsidR="00993E5A" w:rsidRPr="009D1A3F" w:rsidRDefault="00993E5A" w:rsidP="00993E5A">
      <w:pPr>
        <w:pStyle w:val="SingleTxtG"/>
        <w:spacing w:after="240"/>
      </w:pPr>
      <w:r w:rsidRPr="009D1A3F">
        <w:t>61.</w:t>
      </w:r>
      <w:r>
        <w:tab/>
      </w:r>
      <w:r w:rsidRPr="009D1A3F">
        <w:t>Las cifras que se recogen en el cuadro indican el uso de medidas coercitivas en Noruega en la última década. Cabe señalar que la población penitenciaria era mayor en 2008 que en 1998 (</w:t>
      </w:r>
      <w:r>
        <w:t xml:space="preserve">véase </w:t>
      </w:r>
      <w:r w:rsidRPr="009D1A3F">
        <w:t>el párrafo 64 del documento básico).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66"/>
        <w:gridCol w:w="1080"/>
        <w:gridCol w:w="1080"/>
        <w:gridCol w:w="1080"/>
        <w:gridCol w:w="1080"/>
        <w:gridCol w:w="1080"/>
        <w:gridCol w:w="1204"/>
      </w:tblGrid>
      <w:tr w:rsidR="00993E5A" w:rsidRPr="00644498" w:rsidTr="003825AF">
        <w:tblPrEx>
          <w:tblCellMar>
            <w:top w:w="0" w:type="dxa"/>
            <w:bottom w:w="0" w:type="dxa"/>
          </w:tblCellMar>
        </w:tblPrEx>
        <w:trPr>
          <w:trHeight w:val="240"/>
          <w:tblHeader/>
        </w:trPr>
        <w:tc>
          <w:tcPr>
            <w:tcW w:w="766" w:type="dxa"/>
            <w:tcBorders>
              <w:top w:val="single" w:sz="4" w:space="0" w:color="auto"/>
              <w:bottom w:val="single" w:sz="12" w:space="0" w:color="auto"/>
            </w:tcBorders>
            <w:shd w:val="clear" w:color="auto" w:fill="auto"/>
            <w:vAlign w:val="bottom"/>
          </w:tcPr>
          <w:p w:rsidR="00993E5A" w:rsidRPr="00644498" w:rsidRDefault="00993E5A" w:rsidP="003825AF">
            <w:pPr>
              <w:pStyle w:val="SingleTxtG"/>
              <w:spacing w:before="80" w:after="80" w:line="200" w:lineRule="exact"/>
              <w:ind w:left="0" w:right="0"/>
              <w:jc w:val="left"/>
              <w:rPr>
                <w:i/>
                <w:sz w:val="16"/>
              </w:rPr>
            </w:pPr>
            <w:r w:rsidRPr="00644498">
              <w:rPr>
                <w:i/>
                <w:sz w:val="16"/>
              </w:rPr>
              <w:t>Año</w:t>
            </w:r>
          </w:p>
        </w:tc>
        <w:tc>
          <w:tcPr>
            <w:tcW w:w="1080" w:type="dxa"/>
            <w:tcBorders>
              <w:top w:val="single" w:sz="4" w:space="0" w:color="auto"/>
              <w:bottom w:val="single" w:sz="12" w:space="0" w:color="auto"/>
            </w:tcBorders>
            <w:shd w:val="clear" w:color="auto" w:fill="auto"/>
            <w:vAlign w:val="bottom"/>
          </w:tcPr>
          <w:p w:rsidR="00993E5A" w:rsidRPr="00644498" w:rsidRDefault="00993E5A" w:rsidP="003825AF">
            <w:pPr>
              <w:pStyle w:val="SingleTxtG"/>
              <w:spacing w:before="80" w:after="80" w:line="200" w:lineRule="exact"/>
              <w:ind w:left="113" w:right="0"/>
              <w:jc w:val="right"/>
              <w:rPr>
                <w:i/>
                <w:sz w:val="16"/>
              </w:rPr>
            </w:pPr>
            <w:r w:rsidRPr="00644498">
              <w:rPr>
                <w:i/>
                <w:sz w:val="16"/>
              </w:rPr>
              <w:t>Celdas de seguridad</w:t>
            </w:r>
          </w:p>
        </w:tc>
        <w:tc>
          <w:tcPr>
            <w:tcW w:w="1080" w:type="dxa"/>
            <w:tcBorders>
              <w:top w:val="single" w:sz="4" w:space="0" w:color="auto"/>
              <w:bottom w:val="single" w:sz="12" w:space="0" w:color="auto"/>
            </w:tcBorders>
            <w:shd w:val="clear" w:color="auto" w:fill="auto"/>
            <w:vAlign w:val="bottom"/>
          </w:tcPr>
          <w:p w:rsidR="00993E5A" w:rsidRPr="00644498" w:rsidRDefault="00993E5A" w:rsidP="003825AF">
            <w:pPr>
              <w:pStyle w:val="SingleTxtG"/>
              <w:spacing w:before="80" w:after="80" w:line="200" w:lineRule="exact"/>
              <w:ind w:left="113" w:right="0"/>
              <w:jc w:val="right"/>
              <w:rPr>
                <w:i/>
                <w:sz w:val="16"/>
              </w:rPr>
            </w:pPr>
            <w:r w:rsidRPr="00644498">
              <w:rPr>
                <w:i/>
                <w:sz w:val="16"/>
              </w:rPr>
              <w:t xml:space="preserve">Camas de seguridad </w:t>
            </w:r>
          </w:p>
        </w:tc>
        <w:tc>
          <w:tcPr>
            <w:tcW w:w="1080" w:type="dxa"/>
            <w:tcBorders>
              <w:top w:val="single" w:sz="4" w:space="0" w:color="auto"/>
              <w:bottom w:val="single" w:sz="12" w:space="0" w:color="auto"/>
            </w:tcBorders>
            <w:shd w:val="clear" w:color="auto" w:fill="auto"/>
            <w:vAlign w:val="bottom"/>
          </w:tcPr>
          <w:p w:rsidR="00993E5A" w:rsidRPr="00644498" w:rsidRDefault="00993E5A" w:rsidP="003825AF">
            <w:pPr>
              <w:pStyle w:val="SingleTxtG"/>
              <w:spacing w:before="80" w:after="80" w:line="200" w:lineRule="exact"/>
              <w:ind w:left="40" w:right="0"/>
              <w:jc w:val="right"/>
              <w:rPr>
                <w:i/>
                <w:sz w:val="16"/>
              </w:rPr>
            </w:pPr>
            <w:r w:rsidRPr="00644498">
              <w:rPr>
                <w:i/>
                <w:sz w:val="16"/>
              </w:rPr>
              <w:t>Gases (lacrimógenos)</w:t>
            </w:r>
          </w:p>
        </w:tc>
        <w:tc>
          <w:tcPr>
            <w:tcW w:w="1080" w:type="dxa"/>
            <w:tcBorders>
              <w:top w:val="single" w:sz="4" w:space="0" w:color="auto"/>
              <w:bottom w:val="single" w:sz="12" w:space="0" w:color="auto"/>
            </w:tcBorders>
            <w:shd w:val="clear" w:color="auto" w:fill="auto"/>
            <w:vAlign w:val="bottom"/>
          </w:tcPr>
          <w:p w:rsidR="00993E5A" w:rsidRPr="00644498" w:rsidRDefault="00993E5A" w:rsidP="003825AF">
            <w:pPr>
              <w:pStyle w:val="SingleTxtG"/>
              <w:spacing w:before="80" w:after="80" w:line="200" w:lineRule="exact"/>
              <w:ind w:left="113" w:right="0"/>
              <w:jc w:val="right"/>
              <w:rPr>
                <w:i/>
                <w:sz w:val="16"/>
              </w:rPr>
            </w:pPr>
            <w:r w:rsidRPr="00644498">
              <w:rPr>
                <w:i/>
                <w:sz w:val="16"/>
              </w:rPr>
              <w:t>Porras</w:t>
            </w:r>
          </w:p>
        </w:tc>
        <w:tc>
          <w:tcPr>
            <w:tcW w:w="1080" w:type="dxa"/>
            <w:tcBorders>
              <w:top w:val="single" w:sz="4" w:space="0" w:color="auto"/>
              <w:bottom w:val="single" w:sz="12" w:space="0" w:color="auto"/>
            </w:tcBorders>
            <w:shd w:val="clear" w:color="auto" w:fill="auto"/>
            <w:vAlign w:val="bottom"/>
          </w:tcPr>
          <w:p w:rsidR="00993E5A" w:rsidRPr="00644498" w:rsidRDefault="00993E5A" w:rsidP="003825AF">
            <w:pPr>
              <w:pStyle w:val="SingleTxtG"/>
              <w:spacing w:before="80" w:after="80" w:line="200" w:lineRule="exact"/>
              <w:ind w:left="113" w:right="0"/>
              <w:jc w:val="right"/>
              <w:rPr>
                <w:i/>
                <w:sz w:val="16"/>
              </w:rPr>
            </w:pPr>
            <w:r w:rsidRPr="00644498">
              <w:rPr>
                <w:i/>
                <w:sz w:val="16"/>
              </w:rPr>
              <w:t>Esposas</w:t>
            </w:r>
          </w:p>
        </w:tc>
        <w:tc>
          <w:tcPr>
            <w:tcW w:w="1204" w:type="dxa"/>
            <w:tcBorders>
              <w:top w:val="single" w:sz="4" w:space="0" w:color="auto"/>
              <w:bottom w:val="single" w:sz="12" w:space="0" w:color="auto"/>
            </w:tcBorders>
            <w:shd w:val="clear" w:color="auto" w:fill="auto"/>
            <w:vAlign w:val="bottom"/>
          </w:tcPr>
          <w:p w:rsidR="00993E5A" w:rsidRPr="00644498" w:rsidRDefault="00993E5A" w:rsidP="003825AF">
            <w:pPr>
              <w:pStyle w:val="SingleTxtG"/>
              <w:spacing w:before="80" w:after="80" w:line="200" w:lineRule="exact"/>
              <w:ind w:left="113" w:right="0"/>
              <w:jc w:val="right"/>
              <w:rPr>
                <w:i/>
                <w:sz w:val="16"/>
              </w:rPr>
            </w:pPr>
            <w:r w:rsidRPr="00644498">
              <w:rPr>
                <w:i/>
                <w:sz w:val="16"/>
              </w:rPr>
              <w:t>Escudos de protección</w:t>
            </w:r>
          </w:p>
        </w:tc>
      </w:tr>
      <w:tr w:rsidR="00993E5A" w:rsidRPr="00644498" w:rsidTr="003825AF">
        <w:tblPrEx>
          <w:tblCellMar>
            <w:top w:w="0" w:type="dxa"/>
            <w:bottom w:w="0" w:type="dxa"/>
          </w:tblCellMar>
        </w:tblPrEx>
        <w:trPr>
          <w:trHeight w:val="240"/>
        </w:trPr>
        <w:tc>
          <w:tcPr>
            <w:tcW w:w="766" w:type="dxa"/>
            <w:tcBorders>
              <w:top w:val="single" w:sz="12" w:space="0" w:color="auto"/>
            </w:tcBorders>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1998</w:t>
            </w:r>
          </w:p>
        </w:tc>
        <w:tc>
          <w:tcPr>
            <w:tcW w:w="1080" w:type="dxa"/>
            <w:tcBorders>
              <w:top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292</w:t>
            </w:r>
          </w:p>
        </w:tc>
        <w:tc>
          <w:tcPr>
            <w:tcW w:w="1080" w:type="dxa"/>
            <w:tcBorders>
              <w:top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14</w:t>
            </w:r>
          </w:p>
        </w:tc>
        <w:tc>
          <w:tcPr>
            <w:tcW w:w="1080" w:type="dxa"/>
            <w:tcBorders>
              <w:top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w:t>
            </w:r>
          </w:p>
        </w:tc>
        <w:tc>
          <w:tcPr>
            <w:tcW w:w="1080" w:type="dxa"/>
            <w:tcBorders>
              <w:top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tcBorders>
              <w:top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6</w:t>
            </w:r>
          </w:p>
        </w:tc>
        <w:tc>
          <w:tcPr>
            <w:tcW w:w="1204" w:type="dxa"/>
            <w:tcBorders>
              <w:top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1999</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302</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18</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48</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282</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6</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5</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2001</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359</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16</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9</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2002</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351</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21</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12</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2003</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343</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21</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220</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6</w:t>
            </w: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2004</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339</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15</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4</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146</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18</w:t>
            </w: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2005</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283</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15</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600</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17</w:t>
            </w: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2006</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336</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16</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5</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398</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30</w:t>
            </w:r>
          </w:p>
        </w:tc>
      </w:tr>
      <w:tr w:rsidR="00993E5A" w:rsidRPr="00644498" w:rsidTr="003825AF">
        <w:tblPrEx>
          <w:tblCellMar>
            <w:top w:w="0" w:type="dxa"/>
            <w:bottom w:w="0" w:type="dxa"/>
          </w:tblCellMar>
        </w:tblPrEx>
        <w:trPr>
          <w:trHeight w:val="240"/>
        </w:trPr>
        <w:tc>
          <w:tcPr>
            <w:tcW w:w="766" w:type="dxa"/>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2007</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275</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15</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w:t>
            </w:r>
          </w:p>
        </w:tc>
        <w:tc>
          <w:tcPr>
            <w:tcW w:w="1080"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401</w:t>
            </w:r>
          </w:p>
        </w:tc>
        <w:tc>
          <w:tcPr>
            <w:tcW w:w="1204" w:type="dxa"/>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30</w:t>
            </w:r>
          </w:p>
        </w:tc>
      </w:tr>
      <w:tr w:rsidR="00993E5A" w:rsidRPr="00644498" w:rsidTr="003825AF">
        <w:tblPrEx>
          <w:tblCellMar>
            <w:top w:w="0" w:type="dxa"/>
            <w:bottom w:w="0" w:type="dxa"/>
          </w:tblCellMar>
        </w:tblPrEx>
        <w:trPr>
          <w:trHeight w:val="240"/>
        </w:trPr>
        <w:tc>
          <w:tcPr>
            <w:tcW w:w="766" w:type="dxa"/>
            <w:tcBorders>
              <w:bottom w:val="single" w:sz="12" w:space="0" w:color="auto"/>
            </w:tcBorders>
            <w:shd w:val="clear" w:color="auto" w:fill="auto"/>
          </w:tcPr>
          <w:p w:rsidR="00993E5A" w:rsidRPr="00644498" w:rsidRDefault="00993E5A" w:rsidP="003825AF">
            <w:pPr>
              <w:pStyle w:val="SingleTxtG"/>
              <w:spacing w:before="40" w:after="40" w:line="220" w:lineRule="exact"/>
              <w:ind w:left="0" w:right="0"/>
              <w:jc w:val="left"/>
              <w:rPr>
                <w:sz w:val="18"/>
              </w:rPr>
            </w:pPr>
            <w:r w:rsidRPr="00644498">
              <w:rPr>
                <w:sz w:val="18"/>
              </w:rPr>
              <w:t>2008</w:t>
            </w:r>
          </w:p>
        </w:tc>
        <w:tc>
          <w:tcPr>
            <w:tcW w:w="1080" w:type="dxa"/>
            <w:tcBorders>
              <w:bottom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328</w:t>
            </w:r>
          </w:p>
        </w:tc>
        <w:tc>
          <w:tcPr>
            <w:tcW w:w="1080" w:type="dxa"/>
            <w:tcBorders>
              <w:bottom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10</w:t>
            </w:r>
          </w:p>
        </w:tc>
        <w:tc>
          <w:tcPr>
            <w:tcW w:w="1080" w:type="dxa"/>
            <w:tcBorders>
              <w:bottom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w:t>
            </w:r>
          </w:p>
        </w:tc>
        <w:tc>
          <w:tcPr>
            <w:tcW w:w="1080" w:type="dxa"/>
            <w:tcBorders>
              <w:bottom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0</w:t>
            </w:r>
          </w:p>
        </w:tc>
        <w:tc>
          <w:tcPr>
            <w:tcW w:w="1080" w:type="dxa"/>
            <w:tcBorders>
              <w:bottom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109</w:t>
            </w:r>
          </w:p>
        </w:tc>
        <w:tc>
          <w:tcPr>
            <w:tcW w:w="1204" w:type="dxa"/>
            <w:tcBorders>
              <w:bottom w:val="single" w:sz="12" w:space="0" w:color="auto"/>
            </w:tcBorders>
            <w:shd w:val="clear" w:color="auto" w:fill="auto"/>
            <w:vAlign w:val="bottom"/>
          </w:tcPr>
          <w:p w:rsidR="00993E5A" w:rsidRPr="00644498" w:rsidRDefault="00993E5A" w:rsidP="003825AF">
            <w:pPr>
              <w:pStyle w:val="SingleTxtG"/>
              <w:spacing w:before="40" w:after="40" w:line="220" w:lineRule="exact"/>
              <w:ind w:left="113" w:right="0"/>
              <w:jc w:val="right"/>
              <w:rPr>
                <w:sz w:val="18"/>
              </w:rPr>
            </w:pPr>
            <w:r w:rsidRPr="00644498">
              <w:rPr>
                <w:sz w:val="18"/>
              </w:rPr>
              <w:t>20</w:t>
            </w:r>
          </w:p>
        </w:tc>
      </w:tr>
    </w:tbl>
    <w:p w:rsidR="00993E5A" w:rsidRPr="009D1A3F" w:rsidRDefault="00993E5A" w:rsidP="00993E5A">
      <w:pPr>
        <w:pStyle w:val="H23G"/>
      </w:pPr>
      <w:r>
        <w:tab/>
      </w:r>
      <w:r>
        <w:tab/>
      </w:r>
      <w:r w:rsidRPr="009D1A3F">
        <w:t>Medidas coercitivas y privación de la libertad en la atención médica</w:t>
      </w:r>
    </w:p>
    <w:p w:rsidR="00993E5A" w:rsidRPr="009D1A3F" w:rsidRDefault="00993E5A" w:rsidP="00993E5A">
      <w:pPr>
        <w:pStyle w:val="SingleTxtG"/>
        <w:jc w:val="left"/>
        <w:rPr>
          <w:i/>
        </w:rPr>
      </w:pPr>
      <w:r>
        <w:rPr>
          <w:i/>
        </w:rPr>
        <w:t xml:space="preserve">Atención </w:t>
      </w:r>
      <w:r w:rsidRPr="009D1A3F">
        <w:rPr>
          <w:i/>
        </w:rPr>
        <w:t xml:space="preserve">médica para pacientes que se resisten a recibir dicha atención y </w:t>
      </w:r>
      <w:r>
        <w:rPr>
          <w:i/>
        </w:rPr>
        <w:t>están</w:t>
      </w:r>
      <w:r>
        <w:rPr>
          <w:i/>
        </w:rPr>
        <w:br/>
      </w:r>
      <w:r w:rsidRPr="009D1A3F">
        <w:rPr>
          <w:i/>
        </w:rPr>
        <w:t>privados de la capacidad necesaria para dar su consentimiento</w:t>
      </w:r>
    </w:p>
    <w:p w:rsidR="00993E5A" w:rsidRPr="009D1A3F" w:rsidRDefault="00993E5A" w:rsidP="00993E5A">
      <w:pPr>
        <w:pStyle w:val="SingleTxtG"/>
      </w:pPr>
      <w:r>
        <w:t>62.</w:t>
      </w:r>
      <w:r>
        <w:tab/>
      </w:r>
      <w:r w:rsidRPr="009D1A3F">
        <w:t xml:space="preserve">Se ha añadido a </w:t>
      </w:r>
      <w:r>
        <w:t xml:space="preserve">la </w:t>
      </w:r>
      <w:r w:rsidRPr="009D1A3F">
        <w:t>Ley de derechos del paciente un nuevo capítulo (4 A) relativo a</w:t>
      </w:r>
      <w:r>
        <w:t xml:space="preserve"> la atención </w:t>
      </w:r>
      <w:r w:rsidRPr="009D1A3F">
        <w:t xml:space="preserve">médica para pacientes que se resisten a recibir dicha atención y </w:t>
      </w:r>
      <w:r>
        <w:t xml:space="preserve">están </w:t>
      </w:r>
      <w:r w:rsidRPr="009D1A3F">
        <w:t>privados de la capacidad necesaria para dar su consentimiento. Se trata de pacientes que, a causa de una enfermedad física o mental, demencia senil o retraso mental son claramente incapaces de comprender lo que implica el consentimiento. El nuevo capítulo entró en vigor el 1º de enero de 2009. Los criterios para evaluar si un paciente tiene la capacidad necesaria para dar su consentimiento se establecen en el capítulo 4 de l</w:t>
      </w:r>
      <w:r>
        <w:t>a ley. Esta nueva disposición legislativa</w:t>
      </w:r>
      <w:r w:rsidRPr="009D1A3F">
        <w:t xml:space="preserve"> se limita a la atención médica de carácter somático</w:t>
      </w:r>
      <w:r>
        <w:t>, ya que, e</w:t>
      </w:r>
      <w:r w:rsidRPr="009D1A3F">
        <w:t xml:space="preserve">n la esfera de las enfermedades mentales, las medidas coercitivas se regulan separadamente en la Ley de atención de </w:t>
      </w:r>
      <w:r>
        <w:t xml:space="preserve">la </w:t>
      </w:r>
      <w:r w:rsidRPr="009D1A3F">
        <w:t>salud mental.</w:t>
      </w:r>
    </w:p>
    <w:p w:rsidR="00993E5A" w:rsidRPr="009D1A3F" w:rsidRDefault="00993E5A" w:rsidP="00993E5A">
      <w:pPr>
        <w:pStyle w:val="SingleTxtG"/>
      </w:pPr>
      <w:r>
        <w:t>63.</w:t>
      </w:r>
      <w:r>
        <w:tab/>
      </w:r>
      <w:r w:rsidRPr="009D1A3F">
        <w:t xml:space="preserve">El propósito de las nuevas disposiciones es proporcionar la atención médica necesaria a fin de evitar perjuicios importantes en la salud, así como prevenir y limitar el uso de la fuerza. La atención médica siempre debe </w:t>
      </w:r>
      <w:r>
        <w:t>pre</w:t>
      </w:r>
      <w:r w:rsidRPr="009D1A3F">
        <w:t>st</w:t>
      </w:r>
      <w:r>
        <w:t>a</w:t>
      </w:r>
      <w:r w:rsidRPr="009D1A3F">
        <w:t>rse garantizando el re</w:t>
      </w:r>
      <w:r>
        <w:t xml:space="preserve">speto de la integridad </w:t>
      </w:r>
      <w:r w:rsidRPr="009D1A3F">
        <w:t>física</w:t>
      </w:r>
      <w:r>
        <w:t xml:space="preserve"> y mental</w:t>
      </w:r>
      <w:r w:rsidRPr="009D1A3F">
        <w:t xml:space="preserve"> de la persona y, en la medida de lo posible, reconociendo el derecho de libertad de elección del paciente.</w:t>
      </w:r>
    </w:p>
    <w:p w:rsidR="00993E5A" w:rsidRPr="009D1A3F" w:rsidRDefault="00993E5A" w:rsidP="00993E5A">
      <w:pPr>
        <w:pStyle w:val="SingleTxtG"/>
      </w:pPr>
      <w:r>
        <w:t>64.</w:t>
      </w:r>
      <w:r>
        <w:tab/>
      </w:r>
      <w:r w:rsidRPr="009D1A3F">
        <w:t xml:space="preserve">Antes de proporcionar la atención médica objetada por </w:t>
      </w:r>
      <w:r>
        <w:t xml:space="preserve">el </w:t>
      </w:r>
      <w:r w:rsidRPr="009D1A3F">
        <w:t>paciente</w:t>
      </w:r>
      <w:r>
        <w:t>, debe haberse intentado ganar</w:t>
      </w:r>
      <w:r w:rsidRPr="009D1A3F">
        <w:t xml:space="preserve"> su confianza, a menos que sea evidente que sería en vano. Si el paciente persiste en su negativa o si el personal sa</w:t>
      </w:r>
      <w:r>
        <w:t xml:space="preserve">nitario </w:t>
      </w:r>
      <w:r w:rsidRPr="009D1A3F">
        <w:t xml:space="preserve">sabe que es muy probable que la persona en cuestión mantenga su oposición, se puede adoptar una decisión administrativa sobre la atención médica cuando </w:t>
      </w:r>
      <w:r>
        <w:t xml:space="preserve">el hecho de </w:t>
      </w:r>
      <w:r w:rsidRPr="009D1A3F">
        <w:t xml:space="preserve">no proporcionarla pueda provocar perjuicios importantes en la salud del paciente, se considere que es necesaria dicha atención y las medidas sean proporcionadas con la </w:t>
      </w:r>
      <w:r>
        <w:t>necesidad de atención médica. Aun cuando concurra</w:t>
      </w:r>
      <w:r w:rsidRPr="009D1A3F">
        <w:t>n estas circunstancias,</w:t>
      </w:r>
      <w:r w:rsidR="00A748AA">
        <w:t xml:space="preserve"> sólo</w:t>
      </w:r>
      <w:r w:rsidRPr="009D1A3F">
        <w:t xml:space="preserve"> se puede proporcionar atención médica cuando, tras un examen general, resulta evidente que es la mejor solución para el paciente.</w:t>
      </w:r>
    </w:p>
    <w:p w:rsidR="00993E5A" w:rsidRPr="009D1A3F" w:rsidRDefault="00993E5A" w:rsidP="00993E5A">
      <w:pPr>
        <w:pStyle w:val="SingleTxtG"/>
      </w:pPr>
      <w:r>
        <w:t>65.</w:t>
      </w:r>
      <w:r>
        <w:tab/>
      </w:r>
      <w:r w:rsidRPr="009D1A3F">
        <w:t>Las decisiones administrativas relacionadas con la atención médica en virtud de ese capítulo sólo pueden ado</w:t>
      </w:r>
      <w:r>
        <w:t>ptarse por un año cada vez. La l</w:t>
      </w:r>
      <w:r w:rsidRPr="009D1A3F">
        <w:t xml:space="preserve">ey también </w:t>
      </w:r>
      <w:r>
        <w:t xml:space="preserve">contiene </w:t>
      </w:r>
      <w:r w:rsidRPr="009D1A3F">
        <w:t xml:space="preserve">disposiciones relativas, entre otras cosas, al derecho del paciente y otros a obtener información sobre la decisión y </w:t>
      </w:r>
      <w:r>
        <w:t>al derecho a recurrir es</w:t>
      </w:r>
      <w:r w:rsidRPr="009D1A3F">
        <w:t xml:space="preserve">a decisión. Si no se recurre la decisión de tratamiento médico y éste no se suspende, el consejo de condado de la Inspección de Salud deberá evaluar por iniciativa propia, transcurridos tres meses desde la adopción de la decisión, si sigue siendo necesario </w:t>
      </w:r>
      <w:r>
        <w:t>dicho</w:t>
      </w:r>
      <w:r w:rsidRPr="009D1A3F">
        <w:t xml:space="preserve"> tratamiento.</w:t>
      </w:r>
    </w:p>
    <w:p w:rsidR="00993E5A" w:rsidRPr="009D1A3F" w:rsidRDefault="00993E5A" w:rsidP="00993E5A">
      <w:pPr>
        <w:pStyle w:val="H4G"/>
      </w:pPr>
      <w:r>
        <w:tab/>
      </w:r>
      <w:r>
        <w:tab/>
      </w:r>
      <w:r w:rsidRPr="009D1A3F">
        <w:t>Uso de medidas coercitivas en el caso de personas con retraso mental</w:t>
      </w:r>
    </w:p>
    <w:p w:rsidR="00993E5A" w:rsidRPr="009D1A3F" w:rsidRDefault="00993E5A" w:rsidP="00993E5A">
      <w:pPr>
        <w:pStyle w:val="SingleTxtG"/>
      </w:pPr>
      <w:r>
        <w:t>66.</w:t>
      </w:r>
      <w:r>
        <w:tab/>
      </w:r>
      <w:r w:rsidRPr="009D1A3F">
        <w:t xml:space="preserve">Como </w:t>
      </w:r>
      <w:r>
        <w:t>se menciona en los párrafos 70 y</w:t>
      </w:r>
      <w:r w:rsidRPr="009D1A3F">
        <w:t xml:space="preserve"> 71 del quinto informe periódico de Noruega, el Storting incorporó con carácter permanente, </w:t>
      </w:r>
      <w:r>
        <w:t xml:space="preserve">en virtud de </w:t>
      </w:r>
      <w:r w:rsidRPr="009D1A3F">
        <w:t>la Ley</w:t>
      </w:r>
      <w:r>
        <w:t xml:space="preserve"> Nº</w:t>
      </w:r>
      <w:r w:rsidRPr="009D1A3F">
        <w:t xml:space="preserve"> 134, de 19 de diciembre de 2003, </w:t>
      </w:r>
      <w:r>
        <w:t>el</w:t>
      </w:r>
      <w:r w:rsidRPr="009D1A3F">
        <w:t xml:space="preserve"> capítulo 4 A</w:t>
      </w:r>
      <w:r>
        <w:t xml:space="preserve"> </w:t>
      </w:r>
      <w:r w:rsidRPr="009D1A3F">
        <w:t>a la Ley relativa a los servicios sociales.</w:t>
      </w:r>
      <w:r>
        <w:t xml:space="preserve"> </w:t>
      </w:r>
      <w:r w:rsidRPr="009D1A3F">
        <w:t xml:space="preserve">Ese capítulo contiene disposiciones sobre los derechos y sobre la restricción y el control del uso de la fuerza y de medidas coercitivas en el caso de ciertas categorías de personas con retraso mental. </w:t>
      </w:r>
    </w:p>
    <w:p w:rsidR="00993E5A" w:rsidRPr="009D1A3F" w:rsidRDefault="00993E5A" w:rsidP="00993E5A">
      <w:pPr>
        <w:pStyle w:val="SingleTxtG"/>
      </w:pPr>
      <w:r>
        <w:t>67.</w:t>
      </w:r>
      <w:r>
        <w:tab/>
      </w:r>
      <w:r w:rsidRPr="009D1A3F">
        <w:t xml:space="preserve">Las oficinas de los gobernadores de condado y la Junta de Inspección de Salud </w:t>
      </w:r>
      <w:r>
        <w:t xml:space="preserve">de Noruega </w:t>
      </w:r>
      <w:r w:rsidRPr="009D1A3F">
        <w:t>siguen muy de cerca el uso de medidas coercitivas</w:t>
      </w:r>
      <w:r>
        <w:t xml:space="preserve">, y la </w:t>
      </w:r>
      <w:r w:rsidRPr="009D1A3F">
        <w:t>Dirección de Salud está evaluando la legislación.</w:t>
      </w:r>
      <w:r>
        <w:t xml:space="preserve"> </w:t>
      </w:r>
      <w:r w:rsidRPr="009D1A3F">
        <w:t xml:space="preserve">El Instituto de Investigación Nordland examinó el uso de </w:t>
      </w:r>
      <w:r>
        <w:t xml:space="preserve">dichas </w:t>
      </w:r>
      <w:r w:rsidRPr="009D1A3F">
        <w:t>medidas y sus conclusiones se exponen en el estudio del Instituto Nº 1/200</w:t>
      </w:r>
      <w:r>
        <w:t>8.</w:t>
      </w:r>
    </w:p>
    <w:p w:rsidR="00993E5A" w:rsidRPr="009D1A3F" w:rsidRDefault="00993E5A" w:rsidP="00993E5A">
      <w:pPr>
        <w:pStyle w:val="H4G"/>
      </w:pPr>
      <w:r>
        <w:tab/>
      </w:r>
      <w:r>
        <w:tab/>
      </w:r>
      <w:r w:rsidRPr="009D1A3F">
        <w:t>Privación de libertad en relación con la atención de la salud mental</w:t>
      </w:r>
    </w:p>
    <w:p w:rsidR="00993E5A" w:rsidRPr="009D1A3F" w:rsidRDefault="00993E5A" w:rsidP="00993E5A">
      <w:pPr>
        <w:pStyle w:val="SingleTxtG"/>
      </w:pPr>
      <w:r>
        <w:t>68.</w:t>
      </w:r>
      <w:r>
        <w:tab/>
      </w:r>
      <w:r w:rsidRPr="009D1A3F">
        <w:t xml:space="preserve">Se hace referencia a esta cuestión en los párrafos 87 a 97 del quinto informe periódico de Noruega. </w:t>
      </w:r>
      <w:r>
        <w:t>E</w:t>
      </w:r>
      <w:r w:rsidRPr="009D1A3F">
        <w:t>l 1º de enero de 2007</w:t>
      </w:r>
      <w:r>
        <w:t xml:space="preserve"> entraron en vigor a</w:t>
      </w:r>
      <w:r w:rsidRPr="009D1A3F">
        <w:t>lgunas modificaciones de la Ley de atención de la</w:t>
      </w:r>
      <w:r>
        <w:t xml:space="preserve"> salud mental, entre </w:t>
      </w:r>
      <w:r w:rsidRPr="009D1A3F">
        <w:t xml:space="preserve">las </w:t>
      </w:r>
      <w:r>
        <w:t>que cabe destacar las siguientes.</w:t>
      </w:r>
    </w:p>
    <w:p w:rsidR="00993E5A" w:rsidRPr="009D1A3F" w:rsidRDefault="00993E5A" w:rsidP="00993E5A">
      <w:pPr>
        <w:pStyle w:val="SingleTxtG"/>
      </w:pPr>
      <w:r>
        <w:t>69.</w:t>
      </w:r>
      <w:r>
        <w:tab/>
      </w:r>
      <w:r w:rsidRPr="00C04A3B">
        <w:rPr>
          <w:i/>
          <w:iCs/>
        </w:rPr>
        <w:t>Prohibición de pasar de la atención voluntaria de la salud mental a la obligatoria</w:t>
      </w:r>
      <w:r w:rsidRPr="009D1A3F">
        <w:rPr>
          <w:i/>
          <w:iCs/>
        </w:rPr>
        <w:t xml:space="preserve">. </w:t>
      </w:r>
      <w:r w:rsidRPr="009D1A3F">
        <w:t>De conformidad con el artículo 3.4</w:t>
      </w:r>
      <w:r>
        <w:t>,</w:t>
      </w:r>
      <w:r w:rsidRPr="009D1A3F">
        <w:t xml:space="preserve"> la prohibición no se aplica e</w:t>
      </w:r>
      <w:r>
        <w:t>n los casos en que dar de alta a</w:t>
      </w:r>
      <w:r w:rsidRPr="009D1A3F">
        <w:t xml:space="preserve">l paciente constituya un riesgo grave y manifiesto para su propia vida </w:t>
      </w:r>
      <w:r>
        <w:t>o</w:t>
      </w:r>
      <w:r w:rsidRPr="009D1A3F">
        <w:t xml:space="preserve"> la de los demás. En relación con la supervisión, hay que enviar un informe escrito a la comisión de inspección </w:t>
      </w:r>
      <w:r>
        <w:t>para señalar que se ha tomado l</w:t>
      </w:r>
      <w:r w:rsidRPr="009D1A3F">
        <w:t xml:space="preserve">a decisión </w:t>
      </w:r>
      <w:r>
        <w:t>de realizar dicho cambio</w:t>
      </w:r>
      <w:r w:rsidRPr="009D1A3F">
        <w:t>.</w:t>
      </w:r>
    </w:p>
    <w:p w:rsidR="00993E5A" w:rsidRPr="009D1A3F" w:rsidRDefault="00993E5A" w:rsidP="00993E5A">
      <w:pPr>
        <w:pStyle w:val="SingleTxtG"/>
      </w:pPr>
      <w:r>
        <w:t>70.</w:t>
      </w:r>
      <w:r>
        <w:tab/>
      </w:r>
      <w:r w:rsidRPr="00C04A3B">
        <w:rPr>
          <w:i/>
        </w:rPr>
        <w:t>Segregación</w:t>
      </w:r>
      <w:r w:rsidRPr="009D1A3F">
        <w:t>. Con arreglo al artículo 4.3</w:t>
      </w:r>
      <w:r>
        <w:t>,</w:t>
      </w:r>
      <w:r w:rsidRPr="009D1A3F">
        <w:t xml:space="preserve"> se adoptará una decisión administra</w:t>
      </w:r>
      <w:r>
        <w:t xml:space="preserve">tiva sobre la segregación si </w:t>
      </w:r>
      <w:r w:rsidRPr="009D1A3F">
        <w:t>ésta se mantiene durante más de 24 horas. Antes de la modificación el plazo era de 48 horas</w:t>
      </w:r>
      <w:r>
        <w:t>.</w:t>
      </w:r>
    </w:p>
    <w:p w:rsidR="00993E5A" w:rsidRPr="009D1A3F" w:rsidRDefault="00993E5A" w:rsidP="00993E5A">
      <w:pPr>
        <w:pStyle w:val="SingleTxtG"/>
      </w:pPr>
      <w:r>
        <w:t>71.</w:t>
      </w:r>
      <w:r>
        <w:tab/>
      </w:r>
      <w:r w:rsidRPr="00C04A3B">
        <w:rPr>
          <w:i/>
        </w:rPr>
        <w:t>Tr</w:t>
      </w:r>
      <w:r w:rsidRPr="00C04A3B">
        <w:rPr>
          <w:bCs/>
          <w:i/>
        </w:rPr>
        <w:t>astorno</w:t>
      </w:r>
      <w:r w:rsidRPr="002C05E4">
        <w:rPr>
          <w:bCs/>
        </w:rPr>
        <w:t xml:space="preserve"> </w:t>
      </w:r>
      <w:r w:rsidRPr="00C04A3B">
        <w:rPr>
          <w:bCs/>
          <w:i/>
        </w:rPr>
        <w:t>alimentario grave</w:t>
      </w:r>
      <w:r w:rsidRPr="009D1A3F">
        <w:t>. Según el artículo 4.4, puede administrarse alimentación, como parte del tratamiento,</w:t>
      </w:r>
      <w:r>
        <w:t xml:space="preserve"> </w:t>
      </w:r>
      <w:r w:rsidRPr="009D1A3F">
        <w:t>a un paciente con un trastorno alimentario grave sin necesidad de su consentimiento siempre que se considere que es absolutamente necesario</w:t>
      </w:r>
      <w:r>
        <w:t>.</w:t>
      </w:r>
    </w:p>
    <w:p w:rsidR="00993E5A" w:rsidRPr="009D1A3F" w:rsidRDefault="00993E5A" w:rsidP="00993E5A">
      <w:pPr>
        <w:pStyle w:val="H4G"/>
      </w:pPr>
      <w:r>
        <w:tab/>
      </w:r>
      <w:r>
        <w:tab/>
      </w:r>
      <w:r w:rsidRPr="009D1A3F">
        <w:t>Medidas coercitivas en la atención de la salud mental: cambios en la práctica</w:t>
      </w:r>
    </w:p>
    <w:p w:rsidR="00993E5A" w:rsidRPr="009D1A3F" w:rsidRDefault="00993E5A" w:rsidP="00993E5A">
      <w:pPr>
        <w:pStyle w:val="SingleTxtG"/>
      </w:pPr>
      <w:r>
        <w:t>72.</w:t>
      </w:r>
      <w:r>
        <w:tab/>
        <w:t>Desde 2006 las autoridades han prestado especial atención a l</w:t>
      </w:r>
      <w:r w:rsidRPr="009D1A3F">
        <w:t>os métodos coercitivos en el tratamiento de las enfermedades mentales,</w:t>
      </w:r>
      <w:r>
        <w:t xml:space="preserve"> </w:t>
      </w:r>
      <w:r w:rsidRPr="009D1A3F">
        <w:t>en los servicios de urgencias y en las medidas de seguridad</w:t>
      </w:r>
      <w:r>
        <w:t xml:space="preserve">, </w:t>
      </w:r>
      <w:r w:rsidRPr="009D1A3F">
        <w:t>aunque es necesario un mayor seguimiento por parte de las autoridades de salud y</w:t>
      </w:r>
      <w:r>
        <w:t xml:space="preserve"> d</w:t>
      </w:r>
      <w:r w:rsidRPr="009D1A3F">
        <w:t>el propio sistema de administración de tratamientos.</w:t>
      </w:r>
    </w:p>
    <w:p w:rsidR="00993E5A" w:rsidRPr="009D1A3F" w:rsidRDefault="00993E5A" w:rsidP="00993E5A">
      <w:pPr>
        <w:pStyle w:val="SingleTxtG"/>
      </w:pPr>
      <w:r>
        <w:t>73.</w:t>
      </w:r>
      <w:r>
        <w:tab/>
      </w:r>
      <w:r w:rsidRPr="009D1A3F">
        <w:t xml:space="preserve">Aunque la validez de los datos sea cuestionable, las estadísticas internacionales indican una elevada frecuencia en el uso de la coerción en la atención de la salud mental en Noruega en comparación con otros países. Las variaciones en los datos comunicados entre las regiones del sistema de salud de Noruega y dentro de </w:t>
      </w:r>
      <w:r>
        <w:t xml:space="preserve">ellas </w:t>
      </w:r>
      <w:r w:rsidRPr="009D1A3F">
        <w:t>muestran claramente que hay posibilidades de reducir el número de hospitalizaciones forzosas y tratamientos con métodos coercitivos.</w:t>
      </w:r>
    </w:p>
    <w:p w:rsidR="00993E5A" w:rsidRPr="009D1A3F" w:rsidRDefault="00993E5A" w:rsidP="00993E5A">
      <w:pPr>
        <w:pStyle w:val="SingleTxtG"/>
      </w:pPr>
      <w:r>
        <w:t>74.</w:t>
      </w:r>
      <w:r>
        <w:tab/>
      </w:r>
      <w:r w:rsidRPr="009D1A3F">
        <w:t xml:space="preserve">En junio de 2006 se puso en marcha el plan de acción para el control y </w:t>
      </w:r>
      <w:r>
        <w:t xml:space="preserve">la </w:t>
      </w:r>
      <w:r w:rsidRPr="009D1A3F">
        <w:t>reducción del uso de métodos coercitivos en la atención de la salud mental</w:t>
      </w:r>
      <w:r>
        <w:t xml:space="preserve">, que </w:t>
      </w:r>
      <w:r w:rsidRPr="009D1A3F">
        <w:t xml:space="preserve">tiene cuatro objetivos principales: el aumento </w:t>
      </w:r>
      <w:r>
        <w:t>d</w:t>
      </w:r>
      <w:r w:rsidRPr="009D1A3F">
        <w:t xml:space="preserve">el número de casos de tratamientos voluntarios, el establecimiento de salvaguardias en el uso de los métodos coercitivos, </w:t>
      </w:r>
      <w:r>
        <w:t xml:space="preserve">y </w:t>
      </w:r>
      <w:r w:rsidRPr="009D1A3F">
        <w:t xml:space="preserve">la mejora de los conocimientos y de la documentación en el uso de </w:t>
      </w:r>
      <w:r>
        <w:t xml:space="preserve">dichos </w:t>
      </w:r>
      <w:r w:rsidRPr="009D1A3F">
        <w:t>métodos.</w:t>
      </w:r>
    </w:p>
    <w:p w:rsidR="00993E5A" w:rsidRPr="009D1A3F" w:rsidRDefault="00993E5A" w:rsidP="00993E5A">
      <w:pPr>
        <w:pStyle w:val="SingleTxtG"/>
      </w:pPr>
      <w:r>
        <w:t>75.</w:t>
      </w:r>
      <w:r>
        <w:tab/>
      </w:r>
      <w:r w:rsidRPr="009D1A3F">
        <w:t>En el año 2008 se creó en la Universidad de Tromsø</w:t>
      </w:r>
      <w:r>
        <w:t xml:space="preserve"> </w:t>
      </w:r>
      <w:r w:rsidRPr="009D1A3F">
        <w:t>una red nacional para el fomento del conocimiento y la investigación sobre el uso de métodos coercitivos en</w:t>
      </w:r>
      <w:r>
        <w:t xml:space="preserve"> la atención de la salud mental. El proyecto "Alternativas a los métodos coercitivos orientada</w:t>
      </w:r>
      <w:r w:rsidRPr="009D1A3F">
        <w:t>s al usuario"</w:t>
      </w:r>
      <w:r>
        <w:t xml:space="preserve">, que finalizó en 2008, </w:t>
      </w:r>
      <w:r w:rsidRPr="009D1A3F">
        <w:t>fue llevado a cabo por el departamento de investigación en servicios de salud del instituto de investigación SINTEF, en cooperación con seis servicios de urgencias</w:t>
      </w:r>
      <w:r>
        <w:t xml:space="preserve">, y </w:t>
      </w:r>
      <w:r w:rsidRPr="009D1A3F">
        <w:t>puso de manifiesto prometedoras posibilidades para reducir los tratamientos con métodos coercitivos en los hospitales. También se han adoptado medidas par</w:t>
      </w:r>
      <w:r>
        <w:t>a mejorar la documentación de lo</w:t>
      </w:r>
      <w:r w:rsidRPr="009D1A3F">
        <w:t>s métodos coercitivos, por ejemplo, las nuevas directrices para la consignación de las decisiones adoptadas en el historial electrónico del paciente. Un grupo de trabajo independiente determinó la necesidad de que en la Ley de atención de la salud mental figurase un criterio en relación con el tratamiento</w:t>
      </w:r>
      <w:r>
        <w:t xml:space="preserve">, y </w:t>
      </w:r>
      <w:r w:rsidRPr="009D1A3F">
        <w:t xml:space="preserve">revisó y elaboró el plan de acción antes mencionado. El grupo expresó su preocupación por la cantidad y la variedad de formas de métodos coercitivos empleados en Noruega y propuso que las autoridades de salud y las unidades clínicas adoptasen varias medidas. El Ministerio de Salud y Servicios Asistenciales ha puesto en marcha un proceso </w:t>
      </w:r>
      <w:r>
        <w:t xml:space="preserve">de </w:t>
      </w:r>
      <w:r w:rsidRPr="009D1A3F">
        <w:t>seguimiento del informe.</w:t>
      </w:r>
    </w:p>
    <w:p w:rsidR="00993E5A" w:rsidRPr="009D1A3F" w:rsidRDefault="00993E5A" w:rsidP="00F12156">
      <w:pPr>
        <w:pStyle w:val="H4G"/>
      </w:pPr>
      <w:r>
        <w:tab/>
      </w:r>
      <w:r>
        <w:tab/>
      </w:r>
      <w:r w:rsidRPr="009D1A3F">
        <w:t>Protección del personal de centros psiquiátricos que denuncia irregularidades</w:t>
      </w:r>
    </w:p>
    <w:p w:rsidR="00993E5A" w:rsidRPr="009D1A3F" w:rsidRDefault="00993E5A" w:rsidP="00993E5A">
      <w:pPr>
        <w:pStyle w:val="SingleTxtG"/>
      </w:pPr>
      <w:r>
        <w:t>76.</w:t>
      </w:r>
      <w:r>
        <w:tab/>
      </w:r>
      <w:r w:rsidRPr="009D1A3F">
        <w:t xml:space="preserve">En un informe paralelo al quinto informe </w:t>
      </w:r>
      <w:r>
        <w:t xml:space="preserve">periódico </w:t>
      </w:r>
      <w:r w:rsidRPr="009D1A3F">
        <w:t>de Noruega varias organizaciones de derechos humanos del país recomendaron que el personal de las institucion</w:t>
      </w:r>
      <w:r>
        <w:t>es psiquiátricas que denunciase irregularidades debía</w:t>
      </w:r>
      <w:r w:rsidRPr="009D1A3F">
        <w:t xml:space="preserve"> tener una mayor protección contra posibles sanciones.</w:t>
      </w:r>
    </w:p>
    <w:p w:rsidR="007A4B8D" w:rsidRPr="007C1851" w:rsidRDefault="00993E5A" w:rsidP="007A4B8D">
      <w:pPr>
        <w:pStyle w:val="SingleTxtG"/>
      </w:pPr>
      <w:r>
        <w:t>77.</w:t>
      </w:r>
      <w:r>
        <w:tab/>
      </w:r>
      <w:r w:rsidRPr="009D1A3F">
        <w:t>El 1º de enero de 2007 entraron en vigor nuevas disposiciones generales de la Ley sobre el entorno laboral relativas a la protección de los denunciantes de irregularidades</w:t>
      </w:r>
      <w:r>
        <w:t xml:space="preserve"> que </w:t>
      </w:r>
      <w:r w:rsidRPr="009D1A3F">
        <w:t xml:space="preserve">se aplican a todas las relaciones laborales. Con arreglo a su artículo 4.2, todo empleado tiene derecho a denunciar </w:t>
      </w:r>
      <w:r>
        <w:t xml:space="preserve">las </w:t>
      </w:r>
      <w:r w:rsidRPr="009D1A3F">
        <w:t>condici</w:t>
      </w:r>
      <w:r>
        <w:t>ones</w:t>
      </w:r>
      <w:r w:rsidRPr="009D1A3F">
        <w:t xml:space="preserve"> censurable</w:t>
      </w:r>
      <w:r>
        <w:t>s</w:t>
      </w:r>
      <w:r w:rsidRPr="009D1A3F">
        <w:t xml:space="preserve"> en la empresa. El empleado tiene que seguir el procedimiento adecuado para plantear el asunto. Sea como fuere, al empleado, cuando </w:t>
      </w:r>
      <w:r w:rsidR="007A4B8D">
        <w:t>quiera</w:t>
      </w:r>
      <w:r w:rsidR="007A4B8D" w:rsidRPr="007C1851">
        <w:t xml:space="preserve"> denunciar unas malas condiciones, le asiste el derecho de denunciar</w:t>
      </w:r>
      <w:r w:rsidR="007A4B8D">
        <w:t xml:space="preserve"> </w:t>
      </w:r>
      <w:r w:rsidR="007A4B8D" w:rsidRPr="007C1851">
        <w:t>en cumplimiento del deber de denunciar condiciones o modos de funcionamiento censurables en la empresa. Los mismos principios se aplican en las denuncias ante las autoridades de supervisión u otras autoridades públicas. Con a arreglo a lo dispuesto en la Ley, la carga de la prueba recae sobre el empleador cuando se ha denunciado una vulneración de sus disposiciones.</w:t>
      </w:r>
    </w:p>
    <w:p w:rsidR="007A4B8D" w:rsidRPr="007C1851" w:rsidRDefault="007A4B8D" w:rsidP="007A4B8D">
      <w:pPr>
        <w:pStyle w:val="SingleTxtG"/>
      </w:pPr>
      <w:r>
        <w:t>78.</w:t>
      </w:r>
      <w:r>
        <w:tab/>
      </w:r>
      <w:r w:rsidRPr="007C1851">
        <w:t xml:space="preserve">El artículo 5.2 dispone que está prohibido tomar represalias contra todo empleado que denuncie unos hechos de conformidad con el artículo 2.4. Si el empleado presenta información con motivos fundados para suponer </w:t>
      </w:r>
      <w:r>
        <w:t>que se han tomado</w:t>
      </w:r>
      <w:r w:rsidRPr="007C1851">
        <w:t xml:space="preserve"> represalias, se presumirá que estas son reales, a menos que el empleador demuestre lo contrario. Este principio se aplica por tanto a las represalias adoptadas contra todo empleado que haga saber que se acogerá al der</w:t>
      </w:r>
      <w:r>
        <w:t>echo a denunciar reconocido en e</w:t>
      </w:r>
      <w:r w:rsidRPr="007C1851">
        <w:t>l artículo 4.2, por ejemplo, al proporcionar información. Toda víctima de represalias en contravención de esas disposiciones podrá exigir una indemnización con independencia de cuál se</w:t>
      </w:r>
      <w:r>
        <w:t>a</w:t>
      </w:r>
      <w:r w:rsidRPr="007C1851">
        <w:t xml:space="preserve"> la infracción del empleador.</w:t>
      </w:r>
    </w:p>
    <w:p w:rsidR="007A4B8D" w:rsidRDefault="007A4B8D" w:rsidP="007A4B8D">
      <w:pPr>
        <w:pStyle w:val="H23G"/>
      </w:pPr>
      <w:r>
        <w:tab/>
      </w:r>
      <w:r>
        <w:tab/>
      </w:r>
      <w:r w:rsidRPr="007C1851">
        <w:t xml:space="preserve">Hijos de personas aquejadas de enfermedad mental, toxicomanía </w:t>
      </w:r>
      <w:r>
        <w:t>o</w:t>
      </w:r>
      <w:r w:rsidRPr="007C1851">
        <w:t xml:space="preserve"> </w:t>
      </w:r>
      <w:r>
        <w:br/>
      </w:r>
      <w:r w:rsidRPr="007C1851">
        <w:t>enfermedades graves</w:t>
      </w:r>
    </w:p>
    <w:p w:rsidR="007A4B8D" w:rsidRPr="007C1851" w:rsidRDefault="007A4B8D" w:rsidP="007A4B8D">
      <w:pPr>
        <w:pStyle w:val="SingleTxtG"/>
      </w:pPr>
      <w:r>
        <w:t>79.</w:t>
      </w:r>
      <w:r>
        <w:tab/>
      </w:r>
      <w:r w:rsidRPr="007C1851">
        <w:t xml:space="preserve">Los hijos de personas aquejadas de enfermedad mental, toxicomanía </w:t>
      </w:r>
      <w:r>
        <w:t>o</w:t>
      </w:r>
      <w:r w:rsidRPr="007C1851">
        <w:t xml:space="preserve"> enfermedades graves son general</w:t>
      </w:r>
      <w:r>
        <w:t>mente</w:t>
      </w:r>
      <w:r w:rsidRPr="007C1851">
        <w:t xml:space="preserve"> un grupo vulnerable, por lo que es preciso que los servicios asistenciales les presten una atención especial y continuada. </w:t>
      </w:r>
      <w:r>
        <w:t>Para afianzar la condición jurídica de los hijos de los pacientes mencionados</w:t>
      </w:r>
      <w:r w:rsidRPr="007C1851">
        <w:t xml:space="preserve">, el Gobierno ha </w:t>
      </w:r>
      <w:r>
        <w:t>empezado a introducir</w:t>
      </w:r>
      <w:r w:rsidRPr="007C1851">
        <w:t xml:space="preserve"> modificaciones </w:t>
      </w:r>
      <w:r>
        <w:t>en</w:t>
      </w:r>
      <w:r w:rsidRPr="007C1851">
        <w:t xml:space="preserve"> la Ley de derechos del paciente, que está previsto que entren en vigor en</w:t>
      </w:r>
      <w:r w:rsidR="00F12156">
        <w:t> </w:t>
      </w:r>
      <w:r w:rsidRPr="007C1851">
        <w:t>2010.</w:t>
      </w:r>
    </w:p>
    <w:p w:rsidR="007A4B8D" w:rsidRPr="007C1851" w:rsidRDefault="007A4B8D" w:rsidP="007A4B8D">
      <w:pPr>
        <w:pStyle w:val="H23G"/>
      </w:pPr>
      <w:r>
        <w:tab/>
      </w:r>
      <w:r>
        <w:tab/>
      </w:r>
      <w:r w:rsidRPr="007C1851">
        <w:t>Tratamientos experimentales y e</w:t>
      </w:r>
      <w:r>
        <w:t>nsayos clínicos</w:t>
      </w:r>
    </w:p>
    <w:p w:rsidR="007A4B8D" w:rsidRPr="007C1851" w:rsidRDefault="007A4B8D" w:rsidP="007A4B8D">
      <w:pPr>
        <w:pStyle w:val="SingleTxtG"/>
      </w:pPr>
      <w:r>
        <w:t>80.</w:t>
      </w:r>
      <w:r>
        <w:tab/>
      </w:r>
      <w:r w:rsidRPr="007C1851">
        <w:t xml:space="preserve">El 5 de junio de 2008 el Storting aprobó </w:t>
      </w:r>
      <w:r>
        <w:t xml:space="preserve">la </w:t>
      </w:r>
      <w:r w:rsidRPr="007C1851">
        <w:t xml:space="preserve">Ley Nº 44, de 20 de junio 2008, sobre investigación en salud e investigación médica (Ley de investigación en salud), que entró </w:t>
      </w:r>
      <w:r>
        <w:t>en vigor el 1º de julio de 2009, y cuyo</w:t>
      </w:r>
      <w:r w:rsidRPr="007C1851">
        <w:t xml:space="preserve"> objetivo es promover una investigación de calidad y éticamente correcta en las esferas de las ciencias de la salud y la medicina. La Ley es de aplicación en todas las investigaciones en salud y médicas con seres humanos, material biológico humano o datos personales de salud. Todo proyecto de investigación debe obtener previamente la autorización de un comité de ética para la investigación en salud e investigación médica.</w:t>
      </w:r>
    </w:p>
    <w:p w:rsidR="007A4B8D" w:rsidRPr="007C1851" w:rsidRDefault="007A4B8D" w:rsidP="007A4B8D">
      <w:pPr>
        <w:pStyle w:val="SingleTxtG"/>
      </w:pPr>
      <w:r>
        <w:t>81.</w:t>
      </w:r>
      <w:r>
        <w:tab/>
      </w:r>
      <w:r w:rsidRPr="007C1851">
        <w:t xml:space="preserve">Con arreglo a la Ley de investigación en salud, debe obtenerse el consentimiento de los participantes en la investigación </w:t>
      </w:r>
      <w:r>
        <w:t>correspondiente</w:t>
      </w:r>
      <w:r w:rsidRPr="007C1851">
        <w:t xml:space="preserve">, salvo disposición </w:t>
      </w:r>
      <w:r>
        <w:t>en contrario de la ley (art.</w:t>
      </w:r>
      <w:r w:rsidRPr="007C1851">
        <w:t xml:space="preserve"> 13). El consentimiento debe ser voluntario, expreso</w:t>
      </w:r>
      <w:r>
        <w:t>,</w:t>
      </w:r>
      <w:r w:rsidRPr="007C1851">
        <w:t xml:space="preserve"> documentado</w:t>
      </w:r>
      <w:r>
        <w:t xml:space="preserve"> y con conocimiento de causa</w:t>
      </w:r>
      <w:r w:rsidRPr="007C1851">
        <w:t>. El paciente debe recibir información sobre el objetivo, los métodos, los riesgos, las</w:t>
      </w:r>
      <w:r>
        <w:t xml:space="preserve"> </w:t>
      </w:r>
      <w:r w:rsidRPr="007C1851">
        <w:t>molestias, las consecuencias y cualquier otra información de importancia para la validez de la autorización. En cualquier momento el participante en un proyecto de investigación puede retractarse de su consentimiento.</w:t>
      </w:r>
    </w:p>
    <w:p w:rsidR="007A4B8D" w:rsidRPr="007C1851" w:rsidRDefault="007A4B8D" w:rsidP="007A4B8D">
      <w:pPr>
        <w:pStyle w:val="SingleTxtG"/>
      </w:pPr>
      <w:r>
        <w:t>82.</w:t>
      </w:r>
      <w:r>
        <w:tab/>
      </w:r>
      <w:r w:rsidRPr="007C1851">
        <w:t xml:space="preserve">En el caso del participante en una investigación que esté legalmente incapacitado física o mentalmente para dar su consentimiento o sea menor de edad, hay que obtener de una persona legalmente capacitada para representarlo su consentimiento </w:t>
      </w:r>
      <w:r>
        <w:t>voluntario, expreso, documentado y con conocimiento de causa</w:t>
      </w:r>
      <w:r w:rsidRPr="007C1851">
        <w:t xml:space="preserve">. La investigación se puede llevar a cabo, cuando se trata de personas privadas de capacidad para dar su consentimiento, sólo si los posibles riesgos o perjuicios son insignificantes, si la persona afectada no se opone y si hay motivos fundados para suponer que los resultados de la investigación pueden ser de utilidad para el interesado </w:t>
      </w:r>
      <w:r>
        <w:t>o para</w:t>
      </w:r>
      <w:r w:rsidRPr="007C1851">
        <w:t xml:space="preserve"> otras personas aquejadas </w:t>
      </w:r>
      <w:r>
        <w:t xml:space="preserve">de la misma </w:t>
      </w:r>
      <w:r w:rsidRPr="007C1851">
        <w:t>enfermedad, lesión</w:t>
      </w:r>
      <w:r>
        <w:t>,</w:t>
      </w:r>
      <w:r w:rsidRPr="007C1851">
        <w:t xml:space="preserve"> o dolencia</w:t>
      </w:r>
      <w:r>
        <w:t xml:space="preserve">, o </w:t>
      </w:r>
      <w:r w:rsidRPr="007C1851">
        <w:t>del mismo trastorno</w:t>
      </w:r>
      <w:r>
        <w:t xml:space="preserve"> asociado a la edad.</w:t>
      </w:r>
      <w:r w:rsidRPr="007C1851">
        <w:t xml:space="preserve"> En el caso de los menores de edad, se </w:t>
      </w:r>
      <w:r>
        <w:t xml:space="preserve">exige </w:t>
      </w:r>
      <w:r w:rsidRPr="007C1851">
        <w:t>además que no se lleven a cabo investigaciones de</w:t>
      </w:r>
      <w:r>
        <w:t>l mismo</w:t>
      </w:r>
      <w:r w:rsidRPr="007C1851">
        <w:t xml:space="preserve"> tipo con </w:t>
      </w:r>
      <w:r>
        <w:t>personas que no sean menores</w:t>
      </w:r>
      <w:r w:rsidRPr="007C1851">
        <w:t>. Y en el caso de las personas privadas de capacidad para otorgar su consentimiento</w:t>
      </w:r>
      <w:r>
        <w:t>,</w:t>
      </w:r>
      <w:r w:rsidRPr="007C1851">
        <w:t xml:space="preserve"> se requiere que no existan motivos fundados para creer que la persona afectada se hubiese opuesto a participar en el proyecto de investig</w:t>
      </w:r>
      <w:r>
        <w:t>ación de haber estado capacitada</w:t>
      </w:r>
      <w:r w:rsidRPr="007C1851">
        <w:t xml:space="preserve"> para dar su consentimiento, y que ese tipo de investigación </w:t>
      </w:r>
      <w:r>
        <w:t xml:space="preserve">no se podría </w:t>
      </w:r>
      <w:r w:rsidRPr="007C1851">
        <w:t>realizar con personas capacitada</w:t>
      </w:r>
      <w:r>
        <w:t>s para otorgarlo</w:t>
      </w:r>
      <w:r w:rsidRPr="007C1851">
        <w:t>.</w:t>
      </w:r>
    </w:p>
    <w:p w:rsidR="007A4B8D" w:rsidRPr="007C1851" w:rsidRDefault="007A4B8D" w:rsidP="007A4B8D">
      <w:pPr>
        <w:pStyle w:val="H23G"/>
      </w:pPr>
      <w:r>
        <w:tab/>
      </w:r>
      <w:r>
        <w:tab/>
      </w:r>
      <w:r w:rsidRPr="007C1851">
        <w:t>Delitos sexuales</w:t>
      </w:r>
    </w:p>
    <w:p w:rsidR="007A4B8D" w:rsidRPr="007C1851" w:rsidRDefault="007A4B8D" w:rsidP="007A4B8D">
      <w:pPr>
        <w:pStyle w:val="SingleTxtG"/>
      </w:pPr>
      <w:r>
        <w:t>83.</w:t>
      </w:r>
      <w:r>
        <w:tab/>
      </w:r>
      <w:r w:rsidRPr="007C1851">
        <w:t xml:space="preserve">La violación plantea una especial dificultad para el ordenamiento jurídico y los servicios de salud. Tanto la frecuencia de las denuncias de violación como la cantidad de casos de violación denunciados que culminan con una condena son bajas. Se calcula que el 90% de las violaciones o las tentativas de violación nunca llegan a conocimiento de la policía. En los últimos cinco años, el número de denuncias de violación se ha </w:t>
      </w:r>
      <w:r>
        <w:t>incrementado un 34%</w:t>
      </w:r>
      <w:r w:rsidRPr="007C1851">
        <w:t>. En opinión del Gobierno, no hay motivo alguno para suponer que el incremento obedezca a un aumento del número de violaciones</w:t>
      </w:r>
      <w:r>
        <w:t>,</w:t>
      </w:r>
      <w:r w:rsidRPr="007C1851">
        <w:t xml:space="preserve"> </w:t>
      </w:r>
      <w:r>
        <w:t>sino</w:t>
      </w:r>
      <w:r w:rsidRPr="007C1851">
        <w:t xml:space="preserve"> que probable</w:t>
      </w:r>
      <w:r>
        <w:t>mente</w:t>
      </w:r>
      <w:r w:rsidRPr="007C1851">
        <w:t xml:space="preserve"> se deba a que un mayor número de víctimas denunciaron los hechos ante la policía y a que actualmente hay mayor transparencia de la que había hace unos años</w:t>
      </w:r>
      <w:r>
        <w:t xml:space="preserve"> con respecto a la violación</w:t>
      </w:r>
      <w:r w:rsidRPr="007C1851">
        <w:t xml:space="preserve">. En 2008 se presentaron 1.067 denuncias. El objetivo es aumentar el porcentaje de las denuncias de violaciones </w:t>
      </w:r>
      <w:r>
        <w:t xml:space="preserve">tanto </w:t>
      </w:r>
      <w:r w:rsidRPr="007C1851">
        <w:t xml:space="preserve">consumadas </w:t>
      </w:r>
      <w:r>
        <w:t>como en grado de</w:t>
      </w:r>
      <w:r w:rsidRPr="007C1851">
        <w:t xml:space="preserve"> tenta</w:t>
      </w:r>
      <w:r>
        <w:t>tivas</w:t>
      </w:r>
      <w:r w:rsidRPr="007C1851">
        <w:t>.</w:t>
      </w:r>
    </w:p>
    <w:p w:rsidR="007A4B8D" w:rsidRPr="007C1851" w:rsidRDefault="007A4B8D" w:rsidP="007A4B8D">
      <w:pPr>
        <w:pStyle w:val="SingleTxtG"/>
      </w:pPr>
      <w:r>
        <w:t>84.</w:t>
      </w:r>
      <w:r>
        <w:tab/>
      </w:r>
      <w:r w:rsidRPr="007C1851">
        <w:t>A fin mejorar la situación de las víctimas de violación, el Gobierno creó en 2006</w:t>
      </w:r>
      <w:r>
        <w:t xml:space="preserve"> </w:t>
      </w:r>
      <w:r w:rsidRPr="007C1851">
        <w:t xml:space="preserve">un comité para estudiar </w:t>
      </w:r>
      <w:r>
        <w:t>su</w:t>
      </w:r>
      <w:r w:rsidRPr="007C1851">
        <w:t xml:space="preserve"> situación </w:t>
      </w:r>
      <w:r>
        <w:t>(el Comité sobre la Violación)</w:t>
      </w:r>
      <w:r w:rsidRPr="007C1851">
        <w:t>. El Comité prese</w:t>
      </w:r>
      <w:r>
        <w:t>ntó su informe en enero de 2008,</w:t>
      </w:r>
      <w:r w:rsidRPr="007C1851">
        <w:t xml:space="preserve"> </w:t>
      </w:r>
      <w:r>
        <w:t>y</w:t>
      </w:r>
      <w:r w:rsidRPr="007C1851">
        <w:t xml:space="preserve"> sugiere </w:t>
      </w:r>
      <w:r>
        <w:t xml:space="preserve">la adopción de </w:t>
      </w:r>
      <w:r w:rsidRPr="007C1851">
        <w:t xml:space="preserve">medidas preventivas y </w:t>
      </w:r>
      <w:r>
        <w:t>de</w:t>
      </w:r>
      <w:r w:rsidRPr="007C1851">
        <w:t xml:space="preserve"> medidas para garantizar que los organismos oficiales atiendan a las víctimas mejor y de forma más coordinada. Los ministerios competentes son los encargados de dar curso a las propuestas formuladas por este comité. Además, el Gobierno ha mejorado la atención prestada por los servicios de salud a las víctimas de una violación </w:t>
      </w:r>
      <w:r>
        <w:t>u</w:t>
      </w:r>
      <w:r w:rsidRPr="007C1851">
        <w:t xml:space="preserve"> otros abusos sexuales</w:t>
      </w:r>
      <w:r>
        <w:t>, entre otro</w:t>
      </w:r>
      <w:r w:rsidRPr="007C1851">
        <w:t xml:space="preserve">s </w:t>
      </w:r>
      <w:r>
        <w:t>medios</w:t>
      </w:r>
      <w:r w:rsidRPr="007C1851">
        <w:t>, con la creación de centros de urgencia en todos los condados para casos de violación y violencia contra la mujer. Al respecto, nos remitimos también a lo recogido en la sección sobre el artículo 2 en relación con las medidas de protección de la v</w:t>
      </w:r>
      <w:r>
        <w:t>íctima y la asistencia jurídica</w:t>
      </w:r>
      <w:r w:rsidRPr="007C1851">
        <w:t>.</w:t>
      </w:r>
    </w:p>
    <w:p w:rsidR="007A4B8D" w:rsidRPr="007C1851" w:rsidRDefault="007A4B8D" w:rsidP="007A4B8D">
      <w:pPr>
        <w:pStyle w:val="SingleTxtG"/>
      </w:pPr>
      <w:r>
        <w:t>85.</w:t>
      </w:r>
      <w:r>
        <w:tab/>
      </w:r>
      <w:r w:rsidRPr="007C1851">
        <w:t>El 27 de octubre de 2007, el Ministro de Justicia</w:t>
      </w:r>
      <w:r>
        <w:t xml:space="preserve"> </w:t>
      </w:r>
      <w:r w:rsidRPr="007C1851">
        <w:t xml:space="preserve">de Noruega firmó el Convenio del Consejo de Europa para la protección de los niños contra la explotación y el abuso sexual. El capítulo 26 del Código Penal de 2005 (delitos sexuales) se ajusta a las obligaciones establecidas en el Convenio. Las disposiciones establecen una diferencia entre los delitos sexuales cometidos contra adultos </w:t>
      </w:r>
      <w:r>
        <w:t>y</w:t>
      </w:r>
      <w:r w:rsidRPr="007C1851">
        <w:t xml:space="preserve"> los cometidos contra niños. Además, cuando se trata de un delito sexual cuya víctima es menor de 14 años cualquier conducta sexual será calificada de violación, independientemente de las circunstancias.</w:t>
      </w:r>
    </w:p>
    <w:p w:rsidR="007A4B8D" w:rsidRDefault="007A4B8D" w:rsidP="007A4B8D">
      <w:pPr>
        <w:pStyle w:val="SingleTxtG"/>
      </w:pPr>
      <w:r w:rsidRPr="007C1851">
        <w:t>86.</w:t>
      </w:r>
      <w:r>
        <w:tab/>
      </w:r>
      <w:r w:rsidRPr="007C1851">
        <w:t xml:space="preserve">Con arreglo al Código Penal de 2005, cuando la violación consista en acceso carnal (por vía vaginal, anal o bucal, la introducción de objetos por </w:t>
      </w:r>
      <w:r>
        <w:t>la vagina o el recto</w:t>
      </w:r>
      <w:r w:rsidRPr="007C1851">
        <w:t xml:space="preserve"> y, si es cometida contra un menor de 14 años, la introducción del pene en y entre los labios mayores y los labios menores), la pena mínima con la que se castiga es de tres años de prisión, mientras que en el Código Penal de 1902 </w:t>
      </w:r>
      <w:r>
        <w:t>dicha</w:t>
      </w:r>
      <w:r w:rsidRPr="007C1851">
        <w:t xml:space="preserve"> pena era de dos años de prisión. En la exposición de motivos se dice claramente que el Gobierno considera que las penas impuestas </w:t>
      </w:r>
      <w:r>
        <w:t xml:space="preserve">actualmente </w:t>
      </w:r>
      <w:r w:rsidRPr="007C1851">
        <w:t xml:space="preserve">por los tribunales son demasiado bajas </w:t>
      </w:r>
      <w:r>
        <w:t>en los casos</w:t>
      </w:r>
      <w:r w:rsidRPr="007C1851">
        <w:t xml:space="preserve"> de delitos sexuales. En cuanto a la jurisprudencia, el Gobierno sugiere que en general se eleven considerablemente las penas.</w:t>
      </w:r>
    </w:p>
    <w:p w:rsidR="007A4B8D" w:rsidRPr="007C1851" w:rsidRDefault="007A4B8D" w:rsidP="007A4B8D">
      <w:pPr>
        <w:pStyle w:val="H23G"/>
      </w:pPr>
      <w:r>
        <w:tab/>
      </w:r>
      <w:r>
        <w:tab/>
      </w:r>
      <w:r w:rsidRPr="007C1851">
        <w:t xml:space="preserve">Violencia </w:t>
      </w:r>
      <w:r>
        <w:t>contra los allegados</w:t>
      </w:r>
    </w:p>
    <w:p w:rsidR="007A4B8D" w:rsidRPr="007C1851" w:rsidRDefault="007A4B8D" w:rsidP="007A4B8D">
      <w:pPr>
        <w:pStyle w:val="SingleTxtG"/>
      </w:pPr>
      <w:r>
        <w:t>87.</w:t>
      </w:r>
      <w:r>
        <w:tab/>
      </w:r>
      <w:r w:rsidRPr="007C1851">
        <w:t xml:space="preserve">Al respecto, cabe referirse al párrafo 10 de las observaciones finales del Comité relativo </w:t>
      </w:r>
      <w:r>
        <w:t xml:space="preserve">a </w:t>
      </w:r>
      <w:r w:rsidRPr="007C1851">
        <w:t>la violencia doméstica, así como al apartado relativo al artículo 2 del presente informe en relación con la protección de la v</w:t>
      </w:r>
      <w:r>
        <w:t>íctima y la asistencia jurídica</w:t>
      </w:r>
      <w:r w:rsidRPr="007C1851">
        <w:t>.</w:t>
      </w:r>
    </w:p>
    <w:p w:rsidR="007A4B8D" w:rsidRPr="007C1851" w:rsidRDefault="007A4B8D" w:rsidP="007A4B8D">
      <w:pPr>
        <w:pStyle w:val="H4G"/>
      </w:pPr>
      <w:r>
        <w:tab/>
      </w:r>
      <w:r>
        <w:tab/>
      </w:r>
      <w:r w:rsidRPr="007C1851">
        <w:t xml:space="preserve">Alcance de la violencia de género y la violencia </w:t>
      </w:r>
      <w:r>
        <w:t>contra los allegados</w:t>
      </w:r>
    </w:p>
    <w:p w:rsidR="007A4B8D" w:rsidRPr="007C1851" w:rsidRDefault="007A4B8D" w:rsidP="007A4B8D">
      <w:pPr>
        <w:pStyle w:val="SingleTxtG"/>
      </w:pPr>
      <w:r>
        <w:t>88.</w:t>
      </w:r>
      <w:r>
        <w:tab/>
        <w:t>N</w:t>
      </w:r>
      <w:r w:rsidRPr="007C1851">
        <w:t>o se conoce con exactitud</w:t>
      </w:r>
      <w:r>
        <w:t xml:space="preserve"> e</w:t>
      </w:r>
      <w:r w:rsidRPr="007C1851">
        <w:t>l alcance de la violencia doméstica de que son víctimas las</w:t>
      </w:r>
      <w:r>
        <w:t xml:space="preserve"> mujeres y los niños en Noruega</w:t>
      </w:r>
      <w:r w:rsidRPr="007C1851">
        <w:t xml:space="preserve">. Lo mismo cabe decir de los malos tratos a mujeres, el maltrato físico de niños, los niños testigos de actos violentos y el abuso sexual de niños. Sin embargo, varios estudios indican claramente que este tipo de violencia está mucho más extendida y es también mucho más peligrosa de lo supuesto inicialmente. De las 32 víctimas de asesinato registradas en Noruega en 2008, </w:t>
      </w:r>
      <w:r>
        <w:t>6</w:t>
      </w:r>
      <w:r w:rsidRPr="007C1851">
        <w:t xml:space="preserve"> fueron mujeres asesinadas por su </w:t>
      </w:r>
      <w:r w:rsidRPr="00714338">
        <w:rPr>
          <w:iCs/>
        </w:rPr>
        <w:t>pareja</w:t>
      </w:r>
      <w:r w:rsidRPr="007C1851">
        <w:t xml:space="preserve">. En el período de 1997 a 2008 el número de mujeres asesinadas por sus </w:t>
      </w:r>
      <w:r w:rsidRPr="00714338">
        <w:rPr>
          <w:iCs/>
        </w:rPr>
        <w:t>parejas</w:t>
      </w:r>
      <w:r w:rsidRPr="007C1851">
        <w:t xml:space="preserve"> fue de 82</w:t>
      </w:r>
      <w:r>
        <w:t>,</w:t>
      </w:r>
      <w:r w:rsidRPr="007C1851">
        <w:t xml:space="preserve"> </w:t>
      </w:r>
      <w:r>
        <w:t>lo que</w:t>
      </w:r>
      <w:r w:rsidRPr="007C1851">
        <w:t xml:space="preserve"> representa entre el 20% y el 30% de los asesinatos cometidos cada año.</w:t>
      </w:r>
    </w:p>
    <w:p w:rsidR="007A4B8D" w:rsidRPr="007C1851" w:rsidRDefault="007A4B8D" w:rsidP="007A4B8D">
      <w:pPr>
        <w:pStyle w:val="SingleTxtG"/>
      </w:pPr>
      <w:r>
        <w:t>89.</w:t>
      </w:r>
      <w:r>
        <w:tab/>
      </w:r>
      <w:r w:rsidRPr="007C1851">
        <w:t xml:space="preserve">Un estudio nacional realizado en 2005 puso de relieve que en Noruega aproximadamente el 9% de las mujeres mayores de 15 años habían sido víctimas de actos graves de violencia a manos de su pareja actual o anterior una o más veces en su vida. Entre los actos graves de violencia figuraban la tentativa de estrangulamiento, el uso de armas y los golpes </w:t>
      </w:r>
      <w:r>
        <w:t>en</w:t>
      </w:r>
      <w:r w:rsidRPr="007C1851">
        <w:t xml:space="preserve"> la cabeza con un objeto o </w:t>
      </w:r>
      <w:r>
        <w:t xml:space="preserve">contra </w:t>
      </w:r>
      <w:r w:rsidRPr="007C1851">
        <w:t>una pared. Apenas un 2% de los varones habían sido víctimas de un acto grave de violencia.</w:t>
      </w:r>
    </w:p>
    <w:p w:rsidR="007A4B8D" w:rsidRPr="007C1851" w:rsidRDefault="007A4B8D" w:rsidP="007A4B8D">
      <w:pPr>
        <w:pStyle w:val="SingleTxtG"/>
      </w:pPr>
      <w:r>
        <w:t>90.</w:t>
      </w:r>
      <w:r>
        <w:tab/>
      </w:r>
      <w:r w:rsidRPr="007C1851">
        <w:t>El número de niños que buscan refugio con su madre en un centro de</w:t>
      </w:r>
      <w:r>
        <w:t xml:space="preserve"> </w:t>
      </w:r>
      <w:r w:rsidRPr="007C1851">
        <w:t xml:space="preserve">acogida de urgencia es indicativo del número de </w:t>
      </w:r>
      <w:r>
        <w:t>los</w:t>
      </w:r>
      <w:r w:rsidRPr="007C1851">
        <w:t xml:space="preserve"> que crecen en un ambiente de violencia doméstica. En 2008, de un total de alrededor de 3.250 personas que pasaron una o más noches en un centro de acogida de urgencia 1.500 eran niños.</w:t>
      </w:r>
    </w:p>
    <w:p w:rsidR="007A4B8D" w:rsidRPr="007C1851" w:rsidRDefault="007A4B8D" w:rsidP="007A4B8D">
      <w:pPr>
        <w:pStyle w:val="H4G"/>
      </w:pPr>
      <w:r>
        <w:tab/>
      </w:r>
      <w:r>
        <w:tab/>
      </w:r>
      <w:r w:rsidRPr="007C1851">
        <w:t xml:space="preserve">Medidas para </w:t>
      </w:r>
      <w:r>
        <w:t>combatir</w:t>
      </w:r>
      <w:r w:rsidRPr="007C1851">
        <w:t xml:space="preserve"> la violencia </w:t>
      </w:r>
      <w:r>
        <w:t>contra los allegados</w:t>
      </w:r>
    </w:p>
    <w:p w:rsidR="007A4B8D" w:rsidRPr="007C1851" w:rsidRDefault="007A4B8D" w:rsidP="007A4B8D">
      <w:pPr>
        <w:pStyle w:val="SingleTxtG"/>
      </w:pPr>
      <w:r>
        <w:t>91.</w:t>
      </w:r>
      <w:r>
        <w:tab/>
      </w:r>
      <w:r w:rsidRPr="007C1851">
        <w:t>El Gobierno se ha comprometido a luchar contra la violencia en las relaciones de pareja</w:t>
      </w:r>
      <w:r>
        <w:t xml:space="preserve"> y</w:t>
      </w:r>
      <w:r w:rsidRPr="007C1851">
        <w:t xml:space="preserve"> </w:t>
      </w:r>
      <w:r>
        <w:t>e</w:t>
      </w:r>
      <w:r w:rsidRPr="007C1851">
        <w:t xml:space="preserve">n diciembre de 2007 puso en marcha un tercer plan de acción contra </w:t>
      </w:r>
      <w:r>
        <w:t>ese tipo de</w:t>
      </w:r>
      <w:r w:rsidRPr="007C1851">
        <w:t xml:space="preserve"> violencia para el período 2008-2011 (</w:t>
      </w:r>
      <w:r>
        <w:t>"</w:t>
      </w:r>
      <w:r w:rsidRPr="007C1851">
        <w:t>The Turning Point</w:t>
      </w:r>
      <w:r>
        <w:t>"</w:t>
      </w:r>
      <w:r w:rsidRPr="007C1851">
        <w:t>). El plan, que consta de 50</w:t>
      </w:r>
      <w:r w:rsidR="007650C5">
        <w:t> </w:t>
      </w:r>
      <w:r w:rsidRPr="007C1851">
        <w:t xml:space="preserve">medidas, fue elaborado en colaboración por </w:t>
      </w:r>
      <w:r>
        <w:t>5</w:t>
      </w:r>
      <w:r w:rsidRPr="007C1851">
        <w:t xml:space="preserve"> ministerios y se basa en la necesidad de considerar la labor de lucha contra </w:t>
      </w:r>
      <w:r>
        <w:t>dicha</w:t>
      </w:r>
      <w:r w:rsidRPr="007C1851">
        <w:t xml:space="preserve"> violencia desde una perspectiva integrada e intersectorial. </w:t>
      </w:r>
      <w:r>
        <w:t>T</w:t>
      </w:r>
      <w:r w:rsidRPr="007C1851">
        <w:t>iene los siguientes objetivos:</w:t>
      </w:r>
    </w:p>
    <w:p w:rsidR="007A4B8D" w:rsidRPr="007C1851" w:rsidRDefault="007A4B8D" w:rsidP="007A4B8D">
      <w:pPr>
        <w:pStyle w:val="SingleTxtG"/>
      </w:pPr>
      <w:r>
        <w:tab/>
        <w:t>a)</w:t>
      </w:r>
      <w:r>
        <w:tab/>
      </w:r>
      <w:r w:rsidRPr="007C1851">
        <w:t>Proporcionar a las víctimas la ayuda y protección necesarias;</w:t>
      </w:r>
    </w:p>
    <w:p w:rsidR="007A4B8D" w:rsidRPr="007C1851" w:rsidRDefault="007A4B8D" w:rsidP="007A4B8D">
      <w:pPr>
        <w:pStyle w:val="SingleTxtG"/>
      </w:pPr>
      <w:r>
        <w:tab/>
        <w:t>b)</w:t>
      </w:r>
      <w:r>
        <w:tab/>
      </w:r>
      <w:r w:rsidRPr="007C1851">
        <w:t>Romper la espiral de violencia reforzando los servicios de atención ofrecidos al agresor;</w:t>
      </w:r>
    </w:p>
    <w:p w:rsidR="007A4B8D" w:rsidRPr="007C1851" w:rsidRDefault="007A4B8D" w:rsidP="007A4B8D">
      <w:pPr>
        <w:pStyle w:val="SingleTxtG"/>
      </w:pPr>
      <w:r>
        <w:tab/>
        <w:t>c)</w:t>
      </w:r>
      <w:r>
        <w:tab/>
      </w:r>
      <w:r w:rsidRPr="007C1851">
        <w:t>Ofrecer a las víctimas un servicio de facilitación para que puedan conversar con el agresor;</w:t>
      </w:r>
    </w:p>
    <w:p w:rsidR="007A4B8D" w:rsidRPr="007C1851" w:rsidRDefault="007A4B8D" w:rsidP="007A4B8D">
      <w:pPr>
        <w:pStyle w:val="SingleTxtG"/>
      </w:pPr>
      <w:r>
        <w:tab/>
        <w:t>d)</w:t>
      </w:r>
      <w:r>
        <w:tab/>
      </w:r>
      <w:r w:rsidRPr="007C1851">
        <w:t>Mejorar los conocimientos y la cooperación en el sistema de apoyo;</w:t>
      </w:r>
    </w:p>
    <w:p w:rsidR="007A4B8D" w:rsidRPr="007C1851" w:rsidRDefault="007A4B8D" w:rsidP="007A4B8D">
      <w:pPr>
        <w:pStyle w:val="SingleTxtG"/>
      </w:pPr>
      <w:r>
        <w:tab/>
        <w:t>e)</w:t>
      </w:r>
      <w:r>
        <w:tab/>
      </w:r>
      <w:r w:rsidRPr="007C1851">
        <w:t>Llevar a cabo actividades de investigación y desarrollo;</w:t>
      </w:r>
    </w:p>
    <w:p w:rsidR="007A4B8D" w:rsidRPr="007C1851" w:rsidRDefault="007A4B8D" w:rsidP="007A4B8D">
      <w:pPr>
        <w:pStyle w:val="SingleTxtG"/>
      </w:pPr>
      <w:r>
        <w:tab/>
        <w:t>f)</w:t>
      </w:r>
      <w:r>
        <w:tab/>
      </w:r>
      <w:r w:rsidRPr="007C1851">
        <w:t>Conseguir que la cuestión de la violencia en las relaciones de pareja tenga una mayor resonancia;</w:t>
      </w:r>
    </w:p>
    <w:p w:rsidR="007A4B8D" w:rsidRPr="007C1851" w:rsidRDefault="007A4B8D" w:rsidP="007A4B8D">
      <w:pPr>
        <w:pStyle w:val="SingleTxtG"/>
      </w:pPr>
      <w:r>
        <w:tab/>
        <w:t>g)</w:t>
      </w:r>
      <w:r>
        <w:tab/>
      </w:r>
      <w:r w:rsidRPr="007C1851">
        <w:t>Prevenir la violencia en las relaciones de pareja mediante cambios en las actitudes.</w:t>
      </w:r>
    </w:p>
    <w:p w:rsidR="007A4B8D" w:rsidRPr="007C1851" w:rsidRDefault="007A4B8D" w:rsidP="007A4B8D">
      <w:pPr>
        <w:pStyle w:val="SingleTxtG"/>
      </w:pPr>
      <w:r>
        <w:t>92.</w:t>
      </w:r>
      <w:r>
        <w:tab/>
      </w:r>
      <w:r w:rsidRPr="007C1851">
        <w:t>Desde el 1º de enero de 20</w:t>
      </w:r>
      <w:r>
        <w:t xml:space="preserve">06 está vigente una sanción </w:t>
      </w:r>
      <w:r w:rsidRPr="007C1851">
        <w:t>penal especial para la violencia en las relaciones de pareja</w:t>
      </w:r>
      <w:r>
        <w:t xml:space="preserve"> que</w:t>
      </w:r>
      <w:r w:rsidRPr="007C1851">
        <w:t xml:space="preserve"> incluye también el maltrato psicológico.</w:t>
      </w:r>
    </w:p>
    <w:p w:rsidR="007A4B8D" w:rsidRPr="007C1851" w:rsidRDefault="007A4B8D" w:rsidP="007A4B8D">
      <w:pPr>
        <w:pStyle w:val="SingleTxtG"/>
      </w:pPr>
      <w:r>
        <w:t>93.</w:t>
      </w:r>
      <w:r>
        <w:tab/>
      </w:r>
      <w:r w:rsidRPr="007C1851">
        <w:t>Las disposiciones pertinentes del Código Penal de 2005 aborda</w:t>
      </w:r>
      <w:r>
        <w:t>n</w:t>
      </w:r>
      <w:r w:rsidRPr="007C1851">
        <w:t xml:space="preserve"> de manera mucho más seria que antes la violencia que tiene lugar en la intimidad. La pena por malos tratos en las relaciones de pareja se incrementa de tres a seis años y</w:t>
      </w:r>
      <w:r>
        <w:t>,</w:t>
      </w:r>
      <w:r w:rsidRPr="007C1851">
        <w:t xml:space="preserve"> cuando es un delito grave de </w:t>
      </w:r>
      <w:r>
        <w:t>maltrato,</w:t>
      </w:r>
      <w:r w:rsidRPr="007C1851">
        <w:t xml:space="preserve"> de </w:t>
      </w:r>
      <w:r>
        <w:t>6</w:t>
      </w:r>
      <w:r w:rsidRPr="007C1851">
        <w:t xml:space="preserve"> a 15 años. En este marco jurídico, también se propone </w:t>
      </w:r>
      <w:r>
        <w:t xml:space="preserve">un endurecimiento de las sentencias y </w:t>
      </w:r>
      <w:r w:rsidRPr="007C1851">
        <w:t>que se considere como circunstancia agravante al fijar la condena si un niño ha sido testigo de la violencia.</w:t>
      </w:r>
    </w:p>
    <w:p w:rsidR="007A4B8D" w:rsidRPr="007C1851" w:rsidRDefault="007A4B8D" w:rsidP="007A4B8D">
      <w:pPr>
        <w:pStyle w:val="SingleTxtG"/>
      </w:pPr>
      <w:r>
        <w:t>94.</w:t>
      </w:r>
      <w:r>
        <w:tab/>
      </w:r>
      <w:r w:rsidRPr="007C1851">
        <w:t xml:space="preserve">En todos los distritos policiales se ha creado el puesto a tiempo completo de coordinador en cuestiones de violencia en </w:t>
      </w:r>
      <w:r>
        <w:t>la</w:t>
      </w:r>
      <w:r w:rsidRPr="007C1851">
        <w:t xml:space="preserve"> familia</w:t>
      </w:r>
      <w:r>
        <w:t>, cuya</w:t>
      </w:r>
      <w:r w:rsidRPr="007C1851">
        <w:t xml:space="preserve"> función es ayudar a que la policía pueda conocer a la víctima de la violencia, así como a su familia y amistades, con conocimiento de causa y comprensión</w:t>
      </w:r>
      <w:r>
        <w:t>,</w:t>
      </w:r>
      <w:r w:rsidRPr="007C1851">
        <w:t xml:space="preserve"> tanto desde un punto de vista profesional como humano. En distritos </w:t>
      </w:r>
      <w:r>
        <w:t>de</w:t>
      </w:r>
      <w:r w:rsidRPr="007C1851">
        <w:t xml:space="preserve"> policía más grandes, se están constituyendo equipos independientes para ocuparse de los casos de violencia y malos tratos en las relaciones de pareja.</w:t>
      </w:r>
    </w:p>
    <w:p w:rsidR="007A4B8D" w:rsidRPr="007C1851" w:rsidRDefault="007A4B8D" w:rsidP="007A4B8D">
      <w:pPr>
        <w:pStyle w:val="SingleTxtG"/>
      </w:pPr>
      <w:r>
        <w:t>95.</w:t>
      </w:r>
      <w:r>
        <w:tab/>
      </w:r>
      <w:r w:rsidRPr="007C1851">
        <w:t>Hasta ahora la mayoría de los centros de acogida de Noruega han sido instituciones privadas que contaban entre su personal</w:t>
      </w:r>
      <w:r>
        <w:t xml:space="preserve"> con</w:t>
      </w:r>
      <w:r w:rsidRPr="007C1851">
        <w:t xml:space="preserve"> trabajadores voluntarios (</w:t>
      </w:r>
      <w:r>
        <w:t>véase</w:t>
      </w:r>
      <w:r w:rsidRPr="007C1851">
        <w:rPr>
          <w:i/>
        </w:rPr>
        <w:t xml:space="preserve"> </w:t>
      </w:r>
      <w:r w:rsidRPr="007C1851">
        <w:t xml:space="preserve">el párrafo 75 del quinto informe </w:t>
      </w:r>
      <w:r>
        <w:t xml:space="preserve">periódico </w:t>
      </w:r>
      <w:r w:rsidRPr="007C1851">
        <w:t xml:space="preserve">de Noruega). En la primavera de 2009, el Storting aprobó una nueva ley que impone a los municipios la obligación legal de proporcionar a las víctimas de la violencia </w:t>
      </w:r>
      <w:r>
        <w:t>contra personas allegadas</w:t>
      </w:r>
      <w:r w:rsidRPr="007C1851">
        <w:t xml:space="preserve"> servicios de acogida y una asistencia coordinada. La Ley </w:t>
      </w:r>
      <w:r>
        <w:t>destaca</w:t>
      </w:r>
      <w:r w:rsidRPr="007C1851">
        <w:t xml:space="preserve"> que es responsabilidad de las autoridades públicas velar por que las víctimas de la violencia doméstica reciban protección y asistencia.</w:t>
      </w:r>
    </w:p>
    <w:p w:rsidR="007A4B8D" w:rsidRPr="007C1851" w:rsidRDefault="007A4B8D" w:rsidP="007A4B8D">
      <w:pPr>
        <w:pStyle w:val="SingleTxtG"/>
      </w:pPr>
      <w:r>
        <w:t>96.</w:t>
      </w:r>
      <w:r>
        <w:tab/>
      </w:r>
      <w:r w:rsidRPr="007C1851">
        <w:t>El Gobierno ha emprendido un estudio sobre una serie de casos de parricidio</w:t>
      </w:r>
      <w:r>
        <w:t xml:space="preserve"> para</w:t>
      </w:r>
      <w:r w:rsidRPr="007C1851">
        <w:t xml:space="preserve"> mejorar los conocimientos básicos sobre factores de riesgo y posibles indicios. Este estudio permitirá formular</w:t>
      </w:r>
      <w:r>
        <w:t xml:space="preserve"> </w:t>
      </w:r>
      <w:r w:rsidRPr="007C1851">
        <w:t xml:space="preserve">medidas de protección mejores y más precisas, así como mejores estrategias de prevención. Como parte de la labor preventiva, en estos momentos se llevan a cabo dos proyectos experimentales para probar la herramienta de registro denominada </w:t>
      </w:r>
      <w:r>
        <w:t>"</w:t>
      </w:r>
      <w:r w:rsidRPr="007C1851">
        <w:t>Guía de evalu</w:t>
      </w:r>
      <w:r>
        <w:t>ación de la agresión conyugal – Versión para la p</w:t>
      </w:r>
      <w:r w:rsidRPr="007C1851">
        <w:t>olicía</w:t>
      </w:r>
      <w:r>
        <w:t>"</w:t>
      </w:r>
      <w:r w:rsidRPr="007C1851">
        <w:t>. Se trata de una herramienta que la policía puede utilizar para evaluar los factores de riesgo de posibles actos graves de violencia conyugal.</w:t>
      </w:r>
    </w:p>
    <w:p w:rsidR="007A4B8D" w:rsidRPr="007C1851" w:rsidRDefault="007A4B8D" w:rsidP="007A4B8D">
      <w:pPr>
        <w:pStyle w:val="SingleTxtG"/>
      </w:pPr>
      <w:r>
        <w:t>97.</w:t>
      </w:r>
      <w:r>
        <w:tab/>
      </w:r>
      <w:r w:rsidRPr="007C1851">
        <w:t xml:space="preserve">Se han aplicado o lo están siendo en estos momentos las 22 medidas formuladas en el plan estratégico de lucha contra los abusos sexuales y </w:t>
      </w:r>
      <w:r>
        <w:t xml:space="preserve">el </w:t>
      </w:r>
      <w:r w:rsidRPr="007C1851">
        <w:t xml:space="preserve">maltrato físico </w:t>
      </w:r>
      <w:r>
        <w:t>de niños</w:t>
      </w:r>
      <w:r w:rsidRPr="007C1851">
        <w:t xml:space="preserve"> (2005</w:t>
      </w:r>
      <w:r w:rsidR="007650C5">
        <w:noBreakHyphen/>
      </w:r>
      <w:r w:rsidRPr="007C1851">
        <w:t xml:space="preserve">2009). Este plan se centra en prevenir y detectar los </w:t>
      </w:r>
      <w:r>
        <w:t>malos tratos</w:t>
      </w:r>
      <w:r w:rsidRPr="007C1851">
        <w:t xml:space="preserve">, proporcionar asistencia y mejorar la investigación y las competencias profesionales. El Ministerio de la Infancia y la Igualdad financia el proyecto (2004-2009) </w:t>
      </w:r>
      <w:r>
        <w:t>"</w:t>
      </w:r>
      <w:r w:rsidRPr="007C1851">
        <w:t>Niños que viven con la violencia familiar</w:t>
      </w:r>
      <w:r>
        <w:t>",</w:t>
      </w:r>
      <w:r w:rsidRPr="007C1851">
        <w:t xml:space="preserve"> </w:t>
      </w:r>
      <w:r>
        <w:t>u</w:t>
      </w:r>
      <w:r w:rsidRPr="007C1851">
        <w:t xml:space="preserve">no de </w:t>
      </w:r>
      <w:r>
        <w:t>cuyos</w:t>
      </w:r>
      <w:r w:rsidRPr="007C1851">
        <w:t xml:space="preserve"> objetivos básicos es el perfeccionamiento profesional de los servicios de </w:t>
      </w:r>
      <w:r>
        <w:t>bienestar</w:t>
      </w:r>
      <w:r w:rsidRPr="007C1851">
        <w:t xml:space="preserve"> infantil y </w:t>
      </w:r>
      <w:r>
        <w:t>ofrecer así</w:t>
      </w:r>
      <w:r w:rsidRPr="007C1851">
        <w:t xml:space="preserve"> una ayuda adecuada a un mayor número de niños afectados.</w:t>
      </w:r>
    </w:p>
    <w:p w:rsidR="007A4B8D" w:rsidRPr="007C1851" w:rsidRDefault="007A4B8D" w:rsidP="007A4B8D">
      <w:pPr>
        <w:pStyle w:val="SingleTxtG"/>
        <w:rPr>
          <w:lang w:val="es-AR"/>
        </w:rPr>
      </w:pPr>
      <w:r>
        <w:t>98.</w:t>
      </w:r>
      <w:r>
        <w:tab/>
      </w:r>
      <w:r w:rsidRPr="007C1851">
        <w:t xml:space="preserve">En abril de 2006 </w:t>
      </w:r>
      <w:r>
        <w:t xml:space="preserve">entró </w:t>
      </w:r>
      <w:r w:rsidRPr="007C1851">
        <w:rPr>
          <w:lang w:val="es-AR"/>
        </w:rPr>
        <w:t xml:space="preserve">en vigor </w:t>
      </w:r>
      <w:r w:rsidRPr="007C1851">
        <w:t>la reforma</w:t>
      </w:r>
      <w:r w:rsidRPr="007C1851">
        <w:rPr>
          <w:lang w:val="es-AR"/>
        </w:rPr>
        <w:t xml:space="preserve"> de la Ley sobre la infancia, que permite una mejor protección del niño en los casos de tutela en que se sospecha </w:t>
      </w:r>
      <w:r>
        <w:rPr>
          <w:lang w:val="es-AR"/>
        </w:rPr>
        <w:t xml:space="preserve">que existe </w:t>
      </w:r>
      <w:r w:rsidRPr="007C1851">
        <w:rPr>
          <w:lang w:val="es-AR"/>
        </w:rPr>
        <w:t xml:space="preserve">violencia y </w:t>
      </w:r>
      <w:r>
        <w:rPr>
          <w:lang w:val="es-AR"/>
        </w:rPr>
        <w:t>maltrato</w:t>
      </w:r>
      <w:r w:rsidRPr="007C1851">
        <w:rPr>
          <w:lang w:val="es-AR"/>
        </w:rPr>
        <w:t xml:space="preserve">. En la ley se recalca que si el acceso no se ajusta al interés superior del niño el tribunal debe denegarlo. Además, se hace hincapié en que en las decisiones relativas a la </w:t>
      </w:r>
      <w:r w:rsidRPr="007C1851">
        <w:t>patria potestad</w:t>
      </w:r>
      <w:r w:rsidRPr="007C1851">
        <w:rPr>
          <w:lang w:val="es-AR"/>
        </w:rPr>
        <w:t xml:space="preserve">, la residencia permanente y el acceso se tendrá en cuenta que el niño no debe ser sometido a violencia ni ser tratado de manera que su salud física o mental sea dañada o puesta </w:t>
      </w:r>
      <w:r>
        <w:rPr>
          <w:lang w:val="es-AR"/>
        </w:rPr>
        <w:t>en</w:t>
      </w:r>
      <w:r w:rsidRPr="007C1851">
        <w:rPr>
          <w:lang w:val="es-AR"/>
        </w:rPr>
        <w:t xml:space="preserve"> peligro. De acuerdo con la reforma que entró en vigor el 1º de enero de 2007, la legislación exige a los poderes públicos que designen una persona supervisora en aquellos casos particulares en que la supervisión es una condición para el acceso. El Ministerio de la Infancia y la Igualdad supervisará en la práctica el funcionamiento de esta medida. En esa misma fecha entraron</w:t>
      </w:r>
      <w:r>
        <w:rPr>
          <w:lang w:val="es-AR"/>
        </w:rPr>
        <w:t xml:space="preserve"> </w:t>
      </w:r>
      <w:r w:rsidRPr="007C1851">
        <w:rPr>
          <w:lang w:val="es-AR"/>
        </w:rPr>
        <w:t xml:space="preserve">también en vigor las </w:t>
      </w:r>
      <w:r w:rsidRPr="007C1851">
        <w:t>modificaciones</w:t>
      </w:r>
      <w:r w:rsidRPr="007C1851">
        <w:rPr>
          <w:lang w:val="es-AR"/>
        </w:rPr>
        <w:t xml:space="preserve"> que disponen que el progenitor que esté </w:t>
      </w:r>
      <w:r w:rsidRPr="007C1851">
        <w:t>imputado</w:t>
      </w:r>
      <w:r w:rsidRPr="007C1851">
        <w:rPr>
          <w:lang w:val="es-AR"/>
        </w:rPr>
        <w:t xml:space="preserve">, acusado o </w:t>
      </w:r>
      <w:r w:rsidRPr="007C1851">
        <w:t>condenado</w:t>
      </w:r>
      <w:r w:rsidRPr="007C1851">
        <w:rPr>
          <w:lang w:val="es-AR"/>
        </w:rPr>
        <w:t xml:space="preserve"> por haber causado la muerte del otro progenitor </w:t>
      </w:r>
      <w:r w:rsidRPr="007C1851">
        <w:t>quedará automáticamente privado de la patria potestad del hijo</w:t>
      </w:r>
      <w:r w:rsidRPr="007C1851">
        <w:rPr>
          <w:lang w:val="es-AR"/>
        </w:rPr>
        <w:t>.</w:t>
      </w:r>
    </w:p>
    <w:p w:rsidR="007A4B8D" w:rsidRPr="007C1851" w:rsidRDefault="007A4B8D" w:rsidP="007A4B8D">
      <w:pPr>
        <w:pStyle w:val="SingleTxtG"/>
        <w:rPr>
          <w:lang w:val="es-AR"/>
        </w:rPr>
      </w:pPr>
      <w:r>
        <w:t>99.</w:t>
      </w:r>
      <w:r>
        <w:tab/>
      </w:r>
      <w:r w:rsidRPr="007C1851">
        <w:t xml:space="preserve">En el Libro Blanco Nº 104 (2008-2009) se </w:t>
      </w:r>
      <w:r w:rsidRPr="00BE42D1">
        <w:rPr>
          <w:iCs/>
        </w:rPr>
        <w:t>sugiere que en la Ley sobre la infancia se prohíba todo acto de violencia contra los niños</w:t>
      </w:r>
      <w:r w:rsidRPr="007C1851">
        <w:t xml:space="preserve">, incluso como método correctivo en </w:t>
      </w:r>
      <w:r>
        <w:t>su crianza</w:t>
      </w:r>
      <w:r w:rsidRPr="007C1851">
        <w:t>.</w:t>
      </w:r>
    </w:p>
    <w:p w:rsidR="007A4B8D" w:rsidRDefault="007A4B8D" w:rsidP="007A4B8D">
      <w:pPr>
        <w:pStyle w:val="SingleTxtG"/>
      </w:pPr>
      <w:r>
        <w:t>100.</w:t>
      </w:r>
      <w:r>
        <w:tab/>
      </w:r>
      <w:r w:rsidRPr="007C1851">
        <w:t>El Ministro de Justicia y Policía</w:t>
      </w:r>
      <w:r>
        <w:t xml:space="preserve"> de Noruega</w:t>
      </w:r>
      <w:r w:rsidRPr="007C1851">
        <w:t xml:space="preserve">, </w:t>
      </w:r>
      <w:r>
        <w:t xml:space="preserve">Sr. </w:t>
      </w:r>
      <w:r w:rsidRPr="007C1851">
        <w:t xml:space="preserve">Knut Storberget, organizó </w:t>
      </w:r>
      <w:r w:rsidRPr="00BE42D1">
        <w:rPr>
          <w:iCs/>
        </w:rPr>
        <w:t>en Tromsø</w:t>
      </w:r>
      <w:r>
        <w:rPr>
          <w:iCs/>
        </w:rPr>
        <w:t>, los días</w:t>
      </w:r>
      <w:r w:rsidRPr="007C1851">
        <w:rPr>
          <w:iCs/>
        </w:rPr>
        <w:t xml:space="preserve"> 18 </w:t>
      </w:r>
      <w:r>
        <w:rPr>
          <w:iCs/>
        </w:rPr>
        <w:t>y</w:t>
      </w:r>
      <w:r w:rsidRPr="007C1851">
        <w:rPr>
          <w:iCs/>
        </w:rPr>
        <w:t xml:space="preserve"> 19 </w:t>
      </w:r>
      <w:r>
        <w:rPr>
          <w:iCs/>
        </w:rPr>
        <w:t xml:space="preserve">de </w:t>
      </w:r>
      <w:r w:rsidRPr="007C1851">
        <w:rPr>
          <w:iCs/>
        </w:rPr>
        <w:t xml:space="preserve">junio de </w:t>
      </w:r>
      <w:r w:rsidRPr="007C1851">
        <w:t>2009</w:t>
      </w:r>
      <w:r>
        <w:t xml:space="preserve">, </w:t>
      </w:r>
      <w:r w:rsidRPr="007C1851">
        <w:t xml:space="preserve">la </w:t>
      </w:r>
      <w:r w:rsidRPr="00BE42D1">
        <w:rPr>
          <w:iCs/>
        </w:rPr>
        <w:t>29ª Conferencia de Ministros d</w:t>
      </w:r>
      <w:r>
        <w:rPr>
          <w:iCs/>
        </w:rPr>
        <w:t>e Justicia del Consejo de Europa</w:t>
      </w:r>
      <w:r w:rsidRPr="007C1851">
        <w:t xml:space="preserve">. Los Ministros de Justicia examinaron los medios para luchar contra la violencia doméstica mediante la identificación de los problemas y la formulación y promoción de un enfoque común para romper el silencio de las víctimas, brindarles apoyo y </w:t>
      </w:r>
      <w:r>
        <w:t>potenciar sus derechos</w:t>
      </w:r>
      <w:r w:rsidRPr="007C1851">
        <w:t>. Noruega también se adhiere a la labor que realiza el Comité ad hoc del Consejo de Europa</w:t>
      </w:r>
      <w:r>
        <w:t xml:space="preserve"> </w:t>
      </w:r>
      <w:r w:rsidRPr="007C1851">
        <w:t>sobre la prevención y lucha contra la violencia contra</w:t>
      </w:r>
      <w:r>
        <w:t xml:space="preserve"> la mujer y la violencia doméstica </w:t>
      </w:r>
      <w:r w:rsidRPr="007C1851">
        <w:t xml:space="preserve">y apoya firmemente la aprobación de un </w:t>
      </w:r>
      <w:r w:rsidRPr="007B6A65">
        <w:rPr>
          <w:iCs/>
        </w:rPr>
        <w:t>nuevo convenio del Consejo de Europa</w:t>
      </w:r>
      <w:r w:rsidRPr="007B6A65">
        <w:t xml:space="preserve"> s</w:t>
      </w:r>
      <w:r w:rsidRPr="007C1851">
        <w:t>obre la violencia contra la mujer</w:t>
      </w:r>
      <w:r>
        <w:t>, incluida la</w:t>
      </w:r>
      <w:r w:rsidRPr="007C1851">
        <w:t xml:space="preserve"> violencia doméstica</w:t>
      </w:r>
      <w:r>
        <w:t>.</w:t>
      </w:r>
    </w:p>
    <w:p w:rsidR="007A4B8D" w:rsidRPr="007C1851" w:rsidRDefault="007A4B8D" w:rsidP="007A4B8D">
      <w:pPr>
        <w:pStyle w:val="H23G"/>
      </w:pPr>
      <w:r>
        <w:tab/>
      </w:r>
      <w:r>
        <w:tab/>
      </w:r>
      <w:r w:rsidRPr="007C1851">
        <w:t>Acoso y violencia en la escuela</w:t>
      </w:r>
    </w:p>
    <w:p w:rsidR="007A4B8D" w:rsidRDefault="007A4B8D" w:rsidP="007A4B8D">
      <w:pPr>
        <w:pStyle w:val="SingleTxtG"/>
      </w:pPr>
      <w:r>
        <w:t>101.</w:t>
      </w:r>
      <w:r>
        <w:tab/>
      </w:r>
      <w:r w:rsidRPr="007C1851">
        <w:t>La última campaña nacional contra el acoso se inició en 2009 cuando el Gobierno y los principales interlocutores nacionales firmaron un manifiesto contra el acoso</w:t>
      </w:r>
      <w:r>
        <w:t>, e</w:t>
      </w:r>
      <w:r w:rsidRPr="007C1851">
        <w:t xml:space="preserve">n el </w:t>
      </w:r>
      <w:r>
        <w:t>que</w:t>
      </w:r>
      <w:r w:rsidRPr="007C1851">
        <w:t xml:space="preserve"> se comprometieron a trabajar activamente, tanto </w:t>
      </w:r>
      <w:r>
        <w:t xml:space="preserve">de manera </w:t>
      </w:r>
      <w:r w:rsidRPr="007C1851">
        <w:t xml:space="preserve">conjunta como independiente, en favor de sus grupos de beneficiarios definidos, para garantizar que los niños y los jóvenes no </w:t>
      </w:r>
      <w:r>
        <w:t>estuvieran</w:t>
      </w:r>
      <w:r w:rsidRPr="007C1851">
        <w:t xml:space="preserve"> expuestos a palabras o acciones ofensivas tales como el acoso, </w:t>
      </w:r>
      <w:r>
        <w:t xml:space="preserve">la </w:t>
      </w:r>
      <w:r w:rsidRPr="007C1851">
        <w:t xml:space="preserve">violencia, el racismo, la homofobia, la discriminación o </w:t>
      </w:r>
      <w:r>
        <w:t xml:space="preserve">la </w:t>
      </w:r>
      <w:r w:rsidRPr="007C1851">
        <w:t>exclusión. Se puede obtener más información en el cuarto informe periódico que Noruega presentó al Comité de los Derechos del Niño (anexo 8), en</w:t>
      </w:r>
      <w:r>
        <w:t xml:space="preserve"> particular en los párrafos 359, </w:t>
      </w:r>
      <w:r w:rsidRPr="007C1851">
        <w:t>360 y 399 a 403.</w:t>
      </w:r>
    </w:p>
    <w:p w:rsidR="007A4B8D" w:rsidRPr="007C1851" w:rsidRDefault="007A4B8D" w:rsidP="007A4B8D">
      <w:pPr>
        <w:pStyle w:val="H23G"/>
      </w:pPr>
      <w:r>
        <w:tab/>
      </w:r>
      <w:r>
        <w:tab/>
      </w:r>
      <w:r w:rsidRPr="007C1851">
        <w:t>Procedimientos de asilo</w:t>
      </w:r>
    </w:p>
    <w:p w:rsidR="007A4B8D" w:rsidRPr="007C1851" w:rsidRDefault="007A4B8D" w:rsidP="007A4B8D">
      <w:pPr>
        <w:pStyle w:val="H4G"/>
      </w:pPr>
      <w:r>
        <w:tab/>
      </w:r>
      <w:r>
        <w:tab/>
      </w:r>
      <w:r w:rsidRPr="007C1851">
        <w:t>Práctica noruega y recomendaciones del ACNUR</w:t>
      </w:r>
    </w:p>
    <w:p w:rsidR="007A4B8D" w:rsidRPr="007C1851" w:rsidRDefault="007A4B8D" w:rsidP="007A4B8D">
      <w:pPr>
        <w:pStyle w:val="SingleTxtG"/>
        <w:rPr>
          <w:i/>
        </w:rPr>
      </w:pPr>
      <w:r>
        <w:t>102.</w:t>
      </w:r>
      <w:r>
        <w:tab/>
      </w:r>
      <w:r w:rsidRPr="007C1851">
        <w:t xml:space="preserve">En el párrafo 11 de las observaciones finales del Comité se hace referencia a esta cuestión. Se ha incorporado al Reglamento de inmigración una nueva normativa en relación con la </w:t>
      </w:r>
      <w:r w:rsidRPr="007C1851">
        <w:rPr>
          <w:bCs/>
        </w:rPr>
        <w:t>llamada alternativa de la reubicación interna</w:t>
      </w:r>
      <w:r>
        <w:rPr>
          <w:bCs/>
        </w:rPr>
        <w:t>,</w:t>
      </w:r>
      <w:r w:rsidRPr="007C1851">
        <w:t xml:space="preserve"> </w:t>
      </w:r>
      <w:r>
        <w:t>que</w:t>
      </w:r>
      <w:r w:rsidRPr="007C1851">
        <w:t xml:space="preserve"> dispone que el derecho a que se reconozca la condición de refugiado con arreglo a la Ley de inmigración no se aplicará si el solicitante</w:t>
      </w:r>
      <w:r>
        <w:t xml:space="preserve"> </w:t>
      </w:r>
      <w:r w:rsidRPr="007C1851">
        <w:t>puede obtener una protección eficaz en otras partes de su país de origen distinta</w:t>
      </w:r>
      <w:r>
        <w:t>s</w:t>
      </w:r>
      <w:r w:rsidRPr="007C1851">
        <w:t xml:space="preserve"> de la</w:t>
      </w:r>
      <w:r>
        <w:t xml:space="preserve"> zona de la que ha huido</w:t>
      </w:r>
      <w:r w:rsidRPr="007C1851">
        <w:t>, siempre que la situación en la zona de repatriación no justifique la concesión de un permiso de residencia por manifiestos motivos humanitarios.</w:t>
      </w:r>
    </w:p>
    <w:p w:rsidR="007A4B8D" w:rsidRPr="007C1851" w:rsidRDefault="007A4B8D" w:rsidP="007A4B8D">
      <w:pPr>
        <w:pStyle w:val="SingleTxtG"/>
        <w:rPr>
          <w:i/>
        </w:rPr>
      </w:pPr>
      <w:r>
        <w:t>103.</w:t>
      </w:r>
      <w:r>
        <w:tab/>
      </w:r>
      <w:r w:rsidRPr="007C1851">
        <w:t xml:space="preserve">La Ley de inmigración de 2008 (anexo 3) regula la eventualidad de un nuevo procedimiento en relación con la repatriación de un solicitante de asilo </w:t>
      </w:r>
      <w:r>
        <w:t xml:space="preserve">que vaya en </w:t>
      </w:r>
      <w:r w:rsidRPr="007C1851">
        <w:t>contra</w:t>
      </w:r>
      <w:r>
        <w:t xml:space="preserve"> de</w:t>
      </w:r>
      <w:r w:rsidRPr="007C1851">
        <w:t xml:space="preserve"> las recomendaciones del ACNUR. Si se adopta un procedimiento contrario a las recomendaciones del ACNUR en materia de protección</w:t>
      </w:r>
      <w:r>
        <w:t>,</w:t>
      </w:r>
      <w:r w:rsidRPr="007C1851">
        <w:t xml:space="preserve"> los cambios, en principio, deberán ser examinados por el Pleno de la Junta de Apelaciones de Inmigración, excepto si el nuevo procedimiento se basa en las instrucciones cursadas por el Mi</w:t>
      </w:r>
      <w:r>
        <w:t>nisterio de Trabajo e Inclusión Social.</w:t>
      </w:r>
    </w:p>
    <w:p w:rsidR="007A4B8D" w:rsidRPr="007C1851" w:rsidRDefault="007A4B8D" w:rsidP="007A4B8D">
      <w:pPr>
        <w:pStyle w:val="H4G"/>
      </w:pPr>
      <w:r>
        <w:tab/>
      </w:r>
      <w:r>
        <w:tab/>
      </w:r>
      <w:r w:rsidRPr="007C1851">
        <w:t xml:space="preserve">El Reglamento </w:t>
      </w:r>
      <w:r>
        <w:t>"</w:t>
      </w:r>
      <w:r w:rsidRPr="007C1851">
        <w:t>Dublín II</w:t>
      </w:r>
      <w:r>
        <w:t>"</w:t>
      </w:r>
      <w:r w:rsidRPr="007C1851">
        <w:t xml:space="preserve"> de la Unión Europea</w:t>
      </w:r>
    </w:p>
    <w:p w:rsidR="007A4B8D" w:rsidRPr="007C1851" w:rsidRDefault="007A4B8D" w:rsidP="007A4B8D">
      <w:pPr>
        <w:pStyle w:val="SingleTxtG"/>
      </w:pPr>
      <w:r>
        <w:t>104.</w:t>
      </w:r>
      <w:r>
        <w:tab/>
      </w:r>
      <w:r w:rsidRPr="007C1851">
        <w:t xml:space="preserve">Noruega ha incorporado el Reglamento </w:t>
      </w:r>
      <w:r w:rsidRPr="007C1851">
        <w:rPr>
          <w:bCs/>
        </w:rPr>
        <w:t>de</w:t>
      </w:r>
      <w:r w:rsidRPr="007C1851">
        <w:t xml:space="preserve"> la Unión Europea</w:t>
      </w:r>
      <w:r>
        <w:t xml:space="preserve"> </w:t>
      </w:r>
      <w:r w:rsidRPr="007C1851">
        <w:t>por el que se establecen los criterios y mecanismos de determinación del Estado miembro responsable del examen de una solicitud de asilo presentada en uno de los Estados miembros por un nacional de un tercer país (</w:t>
      </w:r>
      <w:r>
        <w:rPr>
          <w:bCs/>
        </w:rPr>
        <w:t>Reglamento "</w:t>
      </w:r>
      <w:r w:rsidRPr="007C1851">
        <w:rPr>
          <w:bCs/>
        </w:rPr>
        <w:t>Dublín II</w:t>
      </w:r>
      <w:r>
        <w:rPr>
          <w:bCs/>
        </w:rPr>
        <w:t>"), que</w:t>
      </w:r>
      <w:r w:rsidRPr="007C1851">
        <w:t xml:space="preserve"> permite a Noruega, como a todos los demás Estados para los que es vinculante, evaluar con arreglo a criterios concretos a qué Estado parte donde es de aplicación el Reglamento le incumbe examinar las solicitudes de asilo presentadas en su territorio. El Reglamento tiene por objeto garantizar que cada solicitud sea examinada una sola vez por un Estado miembro y, por lo tanto, impedir que los solicitantes de asilo lo </w:t>
      </w:r>
      <w:r>
        <w:t>pidan</w:t>
      </w:r>
      <w:r w:rsidRPr="007C1851">
        <w:t xml:space="preserve"> en varios Estados miembros. La práctica noruega en relación con este Reglamento se basa en la convicción de que otros Estados miembros cumplen con las obligaciones internacionales contraídas, por ejemplo, en virtud de la </w:t>
      </w:r>
      <w:bookmarkStart w:id="66" w:name="hit1"/>
      <w:bookmarkEnd w:id="66"/>
      <w:r w:rsidRPr="007C1851">
        <w:rPr>
          <w:lang w:val="es-ES_tradnl"/>
        </w:rPr>
        <w:t xml:space="preserve">Convención sobre los </w:t>
      </w:r>
      <w:bookmarkStart w:id="67" w:name="hit_last"/>
      <w:bookmarkEnd w:id="67"/>
      <w:r w:rsidRPr="007C1851">
        <w:rPr>
          <w:lang w:val="es-ES_tradnl"/>
        </w:rPr>
        <w:t xml:space="preserve">refugiados </w:t>
      </w:r>
      <w:r w:rsidRPr="007C1851">
        <w:t>de las Naciones Unidas.</w:t>
      </w:r>
    </w:p>
    <w:p w:rsidR="007A4B8D" w:rsidRPr="007C1851" w:rsidRDefault="007A4B8D" w:rsidP="007A4B8D">
      <w:pPr>
        <w:pStyle w:val="SingleTxtG"/>
      </w:pPr>
      <w:r>
        <w:t>105.</w:t>
      </w:r>
      <w:r>
        <w:tab/>
      </w:r>
      <w:r w:rsidRPr="007C1851">
        <w:t>En los últimos años se ha registrado un considerable aumento</w:t>
      </w:r>
      <w:r>
        <w:t xml:space="preserve"> </w:t>
      </w:r>
      <w:r w:rsidRPr="007C1851">
        <w:t xml:space="preserve">de las solicitudes de asilo </w:t>
      </w:r>
      <w:r>
        <w:t xml:space="preserve">en </w:t>
      </w:r>
      <w:r w:rsidRPr="007C1851">
        <w:t>Noruega (</w:t>
      </w:r>
      <w:r>
        <w:t xml:space="preserve">un </w:t>
      </w:r>
      <w:r w:rsidRPr="007C1851">
        <w:t xml:space="preserve">121% entre 2007 y 2008). El Gobierno ha tomado medidas para limitar el número de solicitantes de asilo que no necesitan protección y, además, para evitar que </w:t>
      </w:r>
      <w:r>
        <w:t>el país</w:t>
      </w:r>
      <w:r w:rsidRPr="007C1851">
        <w:t xml:space="preserve"> reciba un número desproporcionado de </w:t>
      </w:r>
      <w:r>
        <w:t xml:space="preserve">los </w:t>
      </w:r>
      <w:r w:rsidRPr="007C1851">
        <w:t>solicitant</w:t>
      </w:r>
      <w:r>
        <w:t>es de asilo que llegan a Europa</w:t>
      </w:r>
      <w:r w:rsidRPr="007C1851">
        <w:t xml:space="preserve"> a tal fin</w:t>
      </w:r>
      <w:r>
        <w:t>,</w:t>
      </w:r>
      <w:r w:rsidRPr="007C1851">
        <w:t xml:space="preserve"> ha </w:t>
      </w:r>
      <w:r>
        <w:t>introducido algunos</w:t>
      </w:r>
      <w:r w:rsidRPr="007C1851">
        <w:t xml:space="preserve"> cambios en el procedimiento para tramitar los casos previstos en el Reglamento de Dublín. En primer lugar</w:t>
      </w:r>
      <w:r>
        <w:t>,</w:t>
      </w:r>
      <w:r w:rsidRPr="007C1851">
        <w:t xml:space="preserve"> Noruega ha</w:t>
      </w:r>
      <w:r>
        <w:t>bía</w:t>
      </w:r>
      <w:r w:rsidRPr="007C1851">
        <w:t xml:space="preserve"> hecho un uso más amplio de la cláusula de excepción prevista en </w:t>
      </w:r>
      <w:r>
        <w:t>dicho Reglamento</w:t>
      </w:r>
      <w:r w:rsidRPr="007C1851">
        <w:t>, lo que significa</w:t>
      </w:r>
      <w:r>
        <w:t>ba</w:t>
      </w:r>
      <w:r w:rsidRPr="007C1851">
        <w:t xml:space="preserve"> que </w:t>
      </w:r>
      <w:r>
        <w:t xml:space="preserve">éste </w:t>
      </w:r>
      <w:r w:rsidRPr="007C1851">
        <w:t>no se aplica</w:t>
      </w:r>
      <w:r>
        <w:t>ba</w:t>
      </w:r>
      <w:r w:rsidRPr="007C1851">
        <w:t xml:space="preserve"> en los casos en que el solicitante </w:t>
      </w:r>
      <w:r>
        <w:t>tenía</w:t>
      </w:r>
      <w:r w:rsidRPr="007C1851">
        <w:t xml:space="preserve"> un cónyuge o pareja de hecho, hijo</w:t>
      </w:r>
      <w:r>
        <w:t>s, hermanos o padres que residieran</w:t>
      </w:r>
      <w:r w:rsidRPr="007C1851">
        <w:t xml:space="preserve"> en </w:t>
      </w:r>
      <w:r>
        <w:t>el país</w:t>
      </w:r>
      <w:r w:rsidRPr="007C1851">
        <w:t>. En la actualidad, tiene una práctica más restrictiva. Por regla general, el grado de parentesco más allá de la familia nuclear no es motivo para invocar la cláusula de excepción en los casos tramitados con arreglo al procedimiento del Reglamento de</w:t>
      </w:r>
      <w:r>
        <w:t xml:space="preserve"> </w:t>
      </w:r>
      <w:r w:rsidRPr="007C1851">
        <w:t>Dublín.</w:t>
      </w:r>
    </w:p>
    <w:p w:rsidR="007A4B8D" w:rsidRPr="007C1851" w:rsidRDefault="007A4B8D" w:rsidP="007A4B8D">
      <w:pPr>
        <w:pStyle w:val="SingleTxtG"/>
      </w:pPr>
      <w:r>
        <w:t>106.</w:t>
      </w:r>
      <w:r>
        <w:tab/>
      </w:r>
      <w:r w:rsidRPr="007C1851">
        <w:t xml:space="preserve">En segundo lugar, Noruega ha cambiado sus prácticas en materia de solicitudes de asilo de menores no acompañados. Anteriormente, no aplicaba el Reglamento de Dublín, </w:t>
      </w:r>
      <w:r>
        <w:t xml:space="preserve">por </w:t>
      </w:r>
      <w:r w:rsidRPr="007C1851">
        <w:t xml:space="preserve">lo que todas las solicitudes de asilo de menores no acompañados se examinaban en cuanto al fondo en </w:t>
      </w:r>
      <w:r>
        <w:t xml:space="preserve">el país, que </w:t>
      </w:r>
      <w:r w:rsidRPr="007C1851">
        <w:t>ha experimentado una afluencia masiva de solicitantes menores de edad (de 403 menores no acompañados en 2007 a 1.647 hasta el 30 de septiembre de 2009). Desde octubre de 2008</w:t>
      </w:r>
      <w:r>
        <w:t>,</w:t>
      </w:r>
      <w:r w:rsidRPr="007C1851">
        <w:t xml:space="preserve"> Noruega aplica el Reglamento de Dublín en los casos de menores no acompañados cuando </w:t>
      </w:r>
      <w:r>
        <w:t>éstos</w:t>
      </w:r>
      <w:r w:rsidRPr="007C1851">
        <w:t xml:space="preserve"> no tiene</w:t>
      </w:r>
      <w:r>
        <w:t>n</w:t>
      </w:r>
      <w:r w:rsidRPr="007C1851">
        <w:t xml:space="preserve"> familiares residentes en el país y ya ha</w:t>
      </w:r>
      <w:r>
        <w:t>n</w:t>
      </w:r>
      <w:r w:rsidRPr="007C1851">
        <w:t xml:space="preserve"> solicitado asilo en otro Estado miembro.</w:t>
      </w:r>
    </w:p>
    <w:p w:rsidR="007A4B8D" w:rsidRPr="007C1851" w:rsidRDefault="007A4B8D" w:rsidP="007A4B8D">
      <w:pPr>
        <w:pStyle w:val="SingleTxtG"/>
      </w:pPr>
      <w:r>
        <w:t>107.</w:t>
      </w:r>
      <w:r>
        <w:tab/>
      </w:r>
      <w:r w:rsidRPr="007C1851">
        <w:t>A fines de 2007 y principios de 2008 Noruega suspendió los traslados a Grecia debido a las denuncias sobre la situación de los solicitantes de asilo en ese país. Tras una evaluación individual, Noruega aplica ahora</w:t>
      </w:r>
      <w:r>
        <w:t xml:space="preserve"> </w:t>
      </w:r>
      <w:r w:rsidRPr="007C1851">
        <w:t xml:space="preserve">el Reglamento de Dublín en los casos en que Grecia es el Estado miembro responsable. Sin embargo, hay una pequeña posibilidad de invocar la cláusula de excepción en los procedimientos de Dublín cuando Grecia es </w:t>
      </w:r>
      <w:r>
        <w:t xml:space="preserve">el </w:t>
      </w:r>
      <w:r w:rsidRPr="007C1851">
        <w:t>Estado miembro responsable con arreglo al Reglamento, aunque el recurso a esta posibilidad es muy limitado.</w:t>
      </w:r>
    </w:p>
    <w:p w:rsidR="007A4B8D" w:rsidRPr="007C1851" w:rsidRDefault="007A4B8D" w:rsidP="007A4B8D">
      <w:pPr>
        <w:pStyle w:val="SingleTxtG"/>
      </w:pPr>
      <w:r w:rsidRPr="007C1851">
        <w:t>108.</w:t>
      </w:r>
      <w:r>
        <w:tab/>
      </w:r>
      <w:r w:rsidRPr="007C1851">
        <w:t>Hasta agosto de 2009</w:t>
      </w:r>
      <w:r>
        <w:t>,</w:t>
      </w:r>
      <w:r w:rsidRPr="007C1851">
        <w:t xml:space="preserve"> Noruega tampoco había trasladado a familias con hijos a Grecia, </w:t>
      </w:r>
      <w:r>
        <w:t xml:space="preserve">pero </w:t>
      </w:r>
      <w:r w:rsidRPr="007C1851">
        <w:t xml:space="preserve">el Gobierno decidió revisar esa práctica y cursó instrucciones a la Dirección de Inmigración para que reanudase los traslados de familias con niños. Ello significa que el Reglamento de Dublín se va a aplicar a este grupo, tras una evaluación individual de cada caso, teniendo en cuenta que en Grecia la capacidad de gestionar la situación de los solicitantes de asilo difiere de familia </w:t>
      </w:r>
      <w:r>
        <w:t>a</w:t>
      </w:r>
      <w:r w:rsidRPr="007C1851">
        <w:t xml:space="preserve"> familia y está relacionada con el grado de</w:t>
      </w:r>
      <w:r w:rsidR="007650C5">
        <w:t xml:space="preserve"> </w:t>
      </w:r>
      <w:r w:rsidRPr="007C1851">
        <w:t>vulnerabilidad.</w:t>
      </w:r>
    </w:p>
    <w:p w:rsidR="007A4B8D" w:rsidRPr="007C1851" w:rsidRDefault="007A4B8D" w:rsidP="007A4B8D">
      <w:pPr>
        <w:pStyle w:val="H4G"/>
      </w:pPr>
      <w:r>
        <w:tab/>
      </w:r>
      <w:r>
        <w:tab/>
      </w:r>
      <w:r w:rsidRPr="007C1851">
        <w:t>Protocolo de Estambul</w:t>
      </w:r>
    </w:p>
    <w:p w:rsidR="007A4B8D" w:rsidRPr="007C1851" w:rsidRDefault="007A4B8D" w:rsidP="007A4B8D">
      <w:pPr>
        <w:pStyle w:val="SingleTxtG"/>
      </w:pPr>
      <w:r>
        <w:t>109.</w:t>
      </w:r>
      <w:r>
        <w:tab/>
      </w:r>
      <w:r w:rsidRPr="007C1851">
        <w:t>Se considera que el procedimiento de asilo de Noruega se ajusta al Protocolo de Estambul.</w:t>
      </w:r>
      <w:r>
        <w:t xml:space="preserve"> </w:t>
      </w:r>
      <w:r w:rsidRPr="007C1851">
        <w:t>Hasta la fecha,</w:t>
      </w:r>
      <w:r>
        <w:t xml:space="preserve"> la Dirección de Inmigración del país </w:t>
      </w:r>
      <w:r w:rsidRPr="007C1851">
        <w:t xml:space="preserve">no ha tomado medidas concretas de capacitación en relación con </w:t>
      </w:r>
      <w:r>
        <w:t>dicho Protocolo</w:t>
      </w:r>
      <w:r w:rsidRPr="007C1851">
        <w:t>.</w:t>
      </w:r>
      <w:r>
        <w:t xml:space="preserve"> </w:t>
      </w:r>
      <w:r w:rsidRPr="007C1851">
        <w:t>En la medida en</w:t>
      </w:r>
      <w:r>
        <w:t xml:space="preserve"> que los métodos formulados en é</w:t>
      </w:r>
      <w:r w:rsidRPr="007C1851">
        <w:t>l son aplicables a los procedimientos de asilo, la Dirección considera que se observan dichos métodos en la mayoría de los supuestos. Se imparte al personal correspondiente la capacitación necesaria, por ejemplo, mediante la organización de cursos para nuevos funcionarios sobre la realización de entrevistas a solicitantes de asilo.</w:t>
      </w:r>
    </w:p>
    <w:p w:rsidR="007A4B8D" w:rsidRPr="007C1851" w:rsidRDefault="007A4B8D" w:rsidP="007A4B8D">
      <w:pPr>
        <w:pStyle w:val="SingleTxtG"/>
      </w:pPr>
      <w:r w:rsidRPr="007C1851">
        <w:t>110.</w:t>
      </w:r>
      <w:r>
        <w:tab/>
      </w:r>
      <w:r w:rsidRPr="007C1851">
        <w:t>La Junta de Apelaciones de Inmigración ha incluido el Protocolo de Estambul en su programa de formación en derechos humanos</w:t>
      </w:r>
      <w:r>
        <w:t>,</w:t>
      </w:r>
      <w:r w:rsidRPr="007C1851">
        <w:t xml:space="preserve"> programa </w:t>
      </w:r>
      <w:r>
        <w:t xml:space="preserve">que </w:t>
      </w:r>
      <w:r w:rsidRPr="007C1851">
        <w:t>se basa en un documento interno sobre la prohibición de la tortura. En este documento se hace referencia al Protocolo de Estambul, junto a las convenciones universales y regionales de derechos humanos.</w:t>
      </w:r>
    </w:p>
    <w:p w:rsidR="007A4B8D" w:rsidRPr="007C1851" w:rsidRDefault="007A4B8D" w:rsidP="007A4B8D">
      <w:pPr>
        <w:pStyle w:val="SingleTxtG"/>
      </w:pPr>
      <w:r>
        <w:t>111.</w:t>
      </w:r>
      <w:r>
        <w:tab/>
      </w:r>
      <w:r w:rsidRPr="007C1851">
        <w:t xml:space="preserve">En cuanto a la suficiencia de pruebas dignas de crédito que acrediten </w:t>
      </w:r>
      <w:r>
        <w:t>que una persona ha sido víctima</w:t>
      </w:r>
      <w:r w:rsidRPr="007C1851">
        <w:t xml:space="preserve"> de tortura, la Junta de Apelaciones de Inmigración ha preparado y ha proporcionado a todo el personal que se ocupa de los casos</w:t>
      </w:r>
      <w:r>
        <w:t xml:space="preserve"> </w:t>
      </w:r>
      <w:r w:rsidRPr="007C1851">
        <w:t>una lista de comprobación</w:t>
      </w:r>
      <w:r>
        <w:t xml:space="preserve">, </w:t>
      </w:r>
      <w:r w:rsidRPr="007C1851">
        <w:t xml:space="preserve">en </w:t>
      </w:r>
      <w:r>
        <w:t>la que</w:t>
      </w:r>
      <w:r w:rsidRPr="007C1851">
        <w:t xml:space="preserve"> se hace referencia a los instrumentos nacionales y al Protocolo de Estambul.</w:t>
      </w:r>
    </w:p>
    <w:p w:rsidR="007A4B8D" w:rsidRPr="007C1851" w:rsidRDefault="007A4B8D" w:rsidP="007A4B8D">
      <w:pPr>
        <w:pStyle w:val="H23G"/>
      </w:pPr>
      <w:r>
        <w:tab/>
      </w:r>
      <w:r>
        <w:tab/>
      </w:r>
      <w:r w:rsidRPr="007C1851">
        <w:t>Solicitantes de asilo, refugiados y atención médica</w:t>
      </w:r>
    </w:p>
    <w:p w:rsidR="007A4B8D" w:rsidRPr="007C1851" w:rsidRDefault="007A4B8D" w:rsidP="00BF7D4C">
      <w:pPr>
        <w:pStyle w:val="SingleTxtG"/>
      </w:pPr>
      <w:r>
        <w:t>112.</w:t>
      </w:r>
      <w:r>
        <w:tab/>
      </w:r>
      <w:r w:rsidRPr="007C1851">
        <w:t xml:space="preserve">En </w:t>
      </w:r>
      <w:r>
        <w:t>2003</w:t>
      </w:r>
      <w:r w:rsidRPr="007C1851">
        <w:t xml:space="preserve"> la Dirección de Salud de Noruega cursó directrices nacionales sobre las condiciones en las que los solicitantes de asilo y los refugiados </w:t>
      </w:r>
      <w:r>
        <w:t>podían</w:t>
      </w:r>
      <w:r w:rsidRPr="007C1851">
        <w:t xml:space="preserve"> acogerse a los servicios de salud. El documento está siendo revisado</w:t>
      </w:r>
      <w:r>
        <w:t xml:space="preserve"> y</w:t>
      </w:r>
      <w:r w:rsidRPr="007C1851">
        <w:t xml:space="preserve"> </w:t>
      </w:r>
      <w:r>
        <w:t>e</w:t>
      </w:r>
      <w:r w:rsidRPr="007C1851">
        <w:t xml:space="preserve">n la nueva edición se recalcará la necesidad de ofrecer a las personas </w:t>
      </w:r>
      <w:r>
        <w:t>de</w:t>
      </w:r>
      <w:r w:rsidRPr="007C1851">
        <w:t xml:space="preserve"> las que se sospeche </w:t>
      </w:r>
      <w:r>
        <w:t xml:space="preserve">que puedan </w:t>
      </w:r>
      <w:r w:rsidRPr="007C1851">
        <w:t>ser víctimas de tortura</w:t>
      </w:r>
      <w:r>
        <w:t>s</w:t>
      </w:r>
      <w:r w:rsidRPr="007C1851">
        <w:t xml:space="preserve"> la posibilidad de </w:t>
      </w:r>
      <w:r>
        <w:t>ser atendidos o examinados por</w:t>
      </w:r>
      <w:r w:rsidRPr="007C1851">
        <w:t xml:space="preserve"> un médico o un </w:t>
      </w:r>
      <w:r>
        <w:t>enfermero</w:t>
      </w:r>
      <w:r w:rsidRPr="007C1851">
        <w:t>. Cuando proceda, se enviará a la persona a un servicio médico especializado.</w:t>
      </w:r>
    </w:p>
    <w:p w:rsidR="007A4B8D" w:rsidRPr="007C1851" w:rsidRDefault="007A4B8D" w:rsidP="00BF7D4C">
      <w:pPr>
        <w:pStyle w:val="SingleTxtG"/>
      </w:pPr>
      <w:r>
        <w:t>113.</w:t>
      </w:r>
      <w:r>
        <w:tab/>
      </w:r>
      <w:r w:rsidRPr="007C1851">
        <w:t>La Dirección de Salud, además, inició la preparación de información</w:t>
      </w:r>
      <w:r>
        <w:t xml:space="preserve"> destinada</w:t>
      </w:r>
      <w:r w:rsidRPr="007C1851">
        <w:t xml:space="preserve"> </w:t>
      </w:r>
      <w:r>
        <w:t>al</w:t>
      </w:r>
      <w:r w:rsidRPr="007C1851">
        <w:t xml:space="preserve"> personal de los centros de acogida para solicitantes de asilo. Los contenidos del Protocolo de Estambul figurarán entre los materiales didácticos.</w:t>
      </w:r>
    </w:p>
    <w:p w:rsidR="007A4B8D" w:rsidRPr="007C1851" w:rsidRDefault="007A4B8D" w:rsidP="00BF7D4C">
      <w:pPr>
        <w:pStyle w:val="SingleTxtG"/>
      </w:pPr>
      <w:r w:rsidRPr="007C1851">
        <w:t>114.</w:t>
      </w:r>
      <w:r>
        <w:tab/>
      </w:r>
      <w:r w:rsidRPr="007C1851">
        <w:t>En los últimos años se ha</w:t>
      </w:r>
      <w:r>
        <w:t>n</w:t>
      </w:r>
      <w:r w:rsidRPr="007C1851">
        <w:t xml:space="preserve"> creado cinco centros de competencia especializados en violencia, estrés postraumático y prevención del suicidio</w:t>
      </w:r>
      <w:r>
        <w:t>, cuya labor primordial</w:t>
      </w:r>
      <w:r w:rsidRPr="007C1851">
        <w:t xml:space="preserve">, </w:t>
      </w:r>
      <w:r>
        <w:t xml:space="preserve">es </w:t>
      </w:r>
      <w:r w:rsidRPr="007C1851">
        <w:t>entre otras</w:t>
      </w:r>
      <w:r>
        <w:t xml:space="preserve"> cosas</w:t>
      </w:r>
      <w:r w:rsidRPr="007C1851">
        <w:t xml:space="preserve"> apoyar, </w:t>
      </w:r>
      <w:r>
        <w:t>orientar y supervisar</w:t>
      </w:r>
      <w:r w:rsidRPr="007C1851">
        <w:t xml:space="preserve"> tanto </w:t>
      </w:r>
      <w:r>
        <w:t xml:space="preserve">los </w:t>
      </w:r>
      <w:r w:rsidRPr="007C1851">
        <w:t>servicios de atención primaria de</w:t>
      </w:r>
      <w:r>
        <w:t xml:space="preserve"> la</w:t>
      </w:r>
      <w:r w:rsidRPr="007C1851">
        <w:t xml:space="preserve"> salud como los servicios de salud especializados. Además contribuyen a la creación de una red de competencias y cooperación en cada región.</w:t>
      </w:r>
    </w:p>
    <w:p w:rsidR="007A4B8D" w:rsidRPr="007C1851" w:rsidRDefault="007A4B8D" w:rsidP="00BF7D4C">
      <w:pPr>
        <w:pStyle w:val="SingleTxtG"/>
      </w:pPr>
      <w:r>
        <w:t>115.</w:t>
      </w:r>
      <w:r>
        <w:tab/>
      </w:r>
      <w:r w:rsidRPr="007C1851">
        <w:t xml:space="preserve">Las autoridades </w:t>
      </w:r>
      <w:r>
        <w:t xml:space="preserve">sanitarias </w:t>
      </w:r>
      <w:r w:rsidRPr="007C1851">
        <w:t>regionales de salud son las responsables de crear los servicios de salud especializados en estrés traumático.</w:t>
      </w:r>
    </w:p>
    <w:p w:rsidR="007A4B8D" w:rsidRPr="007C1851" w:rsidRDefault="007A4B8D" w:rsidP="007A4B8D">
      <w:pPr>
        <w:pStyle w:val="H23G"/>
      </w:pPr>
      <w:r>
        <w:tab/>
      </w:r>
      <w:r>
        <w:tab/>
      </w:r>
      <w:r w:rsidRPr="007C1851">
        <w:t xml:space="preserve">Protocolo Facultativo de la Convención contra la Tortura y Otros Tratos </w:t>
      </w:r>
      <w:r>
        <w:br/>
      </w:r>
      <w:r w:rsidRPr="007C1851">
        <w:t>o Penas C</w:t>
      </w:r>
      <w:r>
        <w:t>rueles, Inhumanos o Degradantes</w:t>
      </w:r>
    </w:p>
    <w:p w:rsidR="007A4B8D" w:rsidRPr="007C1851" w:rsidRDefault="007A4B8D" w:rsidP="007A4B8D">
      <w:pPr>
        <w:pStyle w:val="SingleTxtG"/>
      </w:pPr>
      <w:r>
        <w:t>116.</w:t>
      </w:r>
      <w:r>
        <w:tab/>
      </w:r>
      <w:r w:rsidRPr="007C1851">
        <w:t>El Ministerio de Justicia está estudiando la posibilidad de ratificar el Protocolo Facultativo de la Convención contra la Tortura y Otros Tratos o Penas C</w:t>
      </w:r>
      <w:r>
        <w:t>rueles, Inhumanos o Degradantes</w:t>
      </w:r>
      <w:r w:rsidRPr="007C1851">
        <w:t>.</w:t>
      </w:r>
    </w:p>
    <w:p w:rsidR="007A4B8D" w:rsidRPr="007C1851" w:rsidRDefault="007A4B8D" w:rsidP="007A4B8D">
      <w:pPr>
        <w:pStyle w:val="H1G"/>
      </w:pPr>
      <w:r>
        <w:tab/>
        <w:t>H.</w:t>
      </w:r>
      <w:r>
        <w:tab/>
      </w:r>
      <w:r w:rsidRPr="007C1851">
        <w:t>Artículo 8</w:t>
      </w:r>
    </w:p>
    <w:p w:rsidR="007A4B8D" w:rsidRPr="007C1851" w:rsidRDefault="007A4B8D" w:rsidP="007A4B8D">
      <w:pPr>
        <w:pStyle w:val="H23G"/>
      </w:pPr>
      <w:r>
        <w:tab/>
      </w:r>
      <w:r>
        <w:tab/>
      </w:r>
      <w:r w:rsidRPr="007C1851">
        <w:t>Trata de seres humanos</w:t>
      </w:r>
    </w:p>
    <w:p w:rsidR="007A4B8D" w:rsidRPr="007C1851" w:rsidRDefault="007A4B8D" w:rsidP="007A4B8D">
      <w:pPr>
        <w:pStyle w:val="SingleTxtG"/>
      </w:pPr>
      <w:r w:rsidRPr="007C1851">
        <w:t>117.</w:t>
      </w:r>
      <w:r w:rsidR="00BF7D4C">
        <w:tab/>
      </w:r>
      <w:r w:rsidRPr="007C1851">
        <w:t xml:space="preserve">En los párrafos 84 y 85 del quinto informe periódico de Noruega y en el párrafo 12 de las observaciones finales del Comité se hace referencia a la trata de seres humanos. Después de la presentación del último informe, el Gobierno ha puesto en marcha </w:t>
      </w:r>
      <w:r w:rsidRPr="00206298">
        <w:rPr>
          <w:iCs/>
        </w:rPr>
        <w:t xml:space="preserve">dos planes de acción sobre la </w:t>
      </w:r>
      <w:r w:rsidRPr="00206298">
        <w:t>trata</w:t>
      </w:r>
      <w:r>
        <w:t>, de los que e</w:t>
      </w:r>
      <w:r w:rsidRPr="007C1851">
        <w:t xml:space="preserve">l vigente </w:t>
      </w:r>
      <w:r>
        <w:t>hoy día</w:t>
      </w:r>
      <w:r w:rsidRPr="007C1851">
        <w:t xml:space="preserve"> se inició en 2006 y expira en 2009. </w:t>
      </w:r>
      <w:r>
        <w:t>Asimismo, e</w:t>
      </w:r>
      <w:r w:rsidRPr="007C1851">
        <w:t xml:space="preserve">n 2008 Noruega </w:t>
      </w:r>
      <w:r w:rsidRPr="00B223A2">
        <w:rPr>
          <w:iCs/>
        </w:rPr>
        <w:t>ratificó el Convenio del Consejo de Europa sobre la lucha contra la trata de seres humanos</w:t>
      </w:r>
      <w:r w:rsidRPr="007C1851">
        <w:t>, que, entre otras cosas, impone la obligación de adoptar medidas para prevenir la trata.</w:t>
      </w:r>
    </w:p>
    <w:p w:rsidR="007A4B8D" w:rsidRPr="007C1851" w:rsidRDefault="007A4B8D" w:rsidP="007A4B8D">
      <w:pPr>
        <w:pStyle w:val="SingleTxtG"/>
      </w:pPr>
      <w:r>
        <w:t>118.</w:t>
      </w:r>
      <w:r>
        <w:tab/>
      </w:r>
      <w:r w:rsidRPr="007C1851">
        <w:t>Sobre la base del vigente plan de acción, se han instrumentado varias medidas. Desde el 1º de julio de 2008, se reconoce a las víctimas de la trata el derecho a la asistencia letrada con cargo al Estado (</w:t>
      </w:r>
      <w:r>
        <w:t>véase</w:t>
      </w:r>
      <w:r w:rsidRPr="007C1851">
        <w:t xml:space="preserve"> la sección relativa al artículo 2 sobre la protección de la víctimas). Con el fin de luchar contra la trata de seres humanos, la Ley Nº 104, de 12 de diciembre de 2008, </w:t>
      </w:r>
      <w:r w:rsidRPr="006F0579">
        <w:t>tipifica como delito pagar a una persona para que realice un</w:t>
      </w:r>
      <w:r w:rsidRPr="006F0579">
        <w:rPr>
          <w:iCs/>
        </w:rPr>
        <w:t xml:space="preserve"> acto sexual</w:t>
      </w:r>
      <w:r w:rsidRPr="007C1851">
        <w:rPr>
          <w:i/>
          <w:iCs/>
        </w:rPr>
        <w:t xml:space="preserve"> </w:t>
      </w:r>
      <w:r w:rsidRPr="007C1851">
        <w:t>(</w:t>
      </w:r>
      <w:r>
        <w:t>véase</w:t>
      </w:r>
      <w:r w:rsidRPr="007C1851">
        <w:t xml:space="preserve"> el nuevo artículo 202a del Código Penal de 1902). Esta modificación entró en vigor el 1º de enero de 2009.</w:t>
      </w:r>
    </w:p>
    <w:p w:rsidR="007A4B8D" w:rsidRPr="007C1851" w:rsidRDefault="007A4B8D" w:rsidP="007A4B8D">
      <w:pPr>
        <w:pStyle w:val="SingleTxtG"/>
      </w:pPr>
      <w:r>
        <w:t>119.</w:t>
      </w:r>
      <w:r>
        <w:tab/>
      </w:r>
      <w:r w:rsidRPr="007C1851">
        <w:t xml:space="preserve">En diciembre de 2006, </w:t>
      </w:r>
      <w:r w:rsidRPr="006F0579">
        <w:rPr>
          <w:iCs/>
        </w:rPr>
        <w:t xml:space="preserve">se amplió </w:t>
      </w:r>
      <w:r w:rsidRPr="006F0579">
        <w:t>el denominado periodo de reflexión</w:t>
      </w:r>
      <w:r w:rsidRPr="006F0579">
        <w:rPr>
          <w:iCs/>
        </w:rPr>
        <w:t xml:space="preserve"> de 45 días a 6 </w:t>
      </w:r>
      <w:r w:rsidRPr="006F0579">
        <w:t>meses</w:t>
      </w:r>
      <w:r w:rsidRPr="007C1851">
        <w:t>. Ello implica que se podrá conceder a las personas que se hallan en Noruega de manera irregular un permiso de residencia temporal por un período de 6 meses</w:t>
      </w:r>
      <w:r>
        <w:t>, p</w:t>
      </w:r>
      <w:r w:rsidRPr="007C1851">
        <w:t xml:space="preserve">ara </w:t>
      </w:r>
      <w:r>
        <w:t>lo que</w:t>
      </w:r>
      <w:r w:rsidRPr="007C1851">
        <w:t xml:space="preserve"> es necesario que la presunta víctima de la trata esté dispuesta a recibir ayuda y considerar la posibilidad de presentar una denuncia contra los </w:t>
      </w:r>
      <w:r>
        <w:t>traficantes</w:t>
      </w:r>
      <w:r w:rsidRPr="007C1851">
        <w:t xml:space="preserve"> de seres humanos. Si la víctima ha denunciado a los autores, la policía ha iniciado una investigación y la víctima ha cooperado con la policía</w:t>
      </w:r>
      <w:r>
        <w:t>,</w:t>
      </w:r>
      <w:r w:rsidRPr="007C1851">
        <w:t xml:space="preserve"> se puede conceder un </w:t>
      </w:r>
      <w:r w:rsidRPr="006F0579">
        <w:rPr>
          <w:iCs/>
        </w:rPr>
        <w:t>permiso de residencia</w:t>
      </w:r>
      <w:r w:rsidRPr="007C1851">
        <w:t xml:space="preserve"> de hasta un año de </w:t>
      </w:r>
      <w:r>
        <w:t>validez,</w:t>
      </w:r>
      <w:r w:rsidRPr="007C1851">
        <w:t xml:space="preserve"> </w:t>
      </w:r>
      <w:r>
        <w:t>que</w:t>
      </w:r>
      <w:r w:rsidRPr="007C1851">
        <w:t xml:space="preserve"> podrá ser prorrogado, pero no es un motivo válido para solicitar un permiso de residencia permanente. El 15 de mayo de 2008, se reformó la normativa para incluir a más categorías de personas, entre ellas, ciudadanos de la Unión Europea y el Espacio Económico Europeo, así como extranjeros con permiso de residencia en otros Estados partes en el Tratado de Schengen.</w:t>
      </w:r>
    </w:p>
    <w:p w:rsidR="007A4B8D" w:rsidRPr="007C1851" w:rsidRDefault="007A4B8D" w:rsidP="007A4B8D">
      <w:pPr>
        <w:pStyle w:val="SingleTxtG"/>
      </w:pPr>
      <w:r>
        <w:t>120.</w:t>
      </w:r>
      <w:r>
        <w:tab/>
      </w:r>
      <w:r w:rsidRPr="007C1851">
        <w:t>Además, en noviembre de 2008 se adoptó una nueva instrucción que conlleva la concesión de oficio de un permiso de residencia a las víctimas de la trata que declaren como testigos en las causas judiciales instruidas contra autores de un delito de este tipo. La finalidad de esta normativa es ayudar a las víctimas de la trata a interponer una acción judicial contra los autores y proteger a las víctimas de posibles represalias. Las normas relativas a los permisos para las víctimas de la trata ya figuran en el nuevo Reglamento de inmigración (que se prevé que entre en vigor el 1º de enero de 2010).</w:t>
      </w:r>
    </w:p>
    <w:p w:rsidR="007A4B8D" w:rsidRPr="007C1851" w:rsidRDefault="007A4B8D" w:rsidP="007A4B8D">
      <w:pPr>
        <w:pStyle w:val="SingleTxtG"/>
      </w:pPr>
      <w:r>
        <w:t>121.</w:t>
      </w:r>
      <w:r>
        <w:tab/>
      </w:r>
      <w:r w:rsidRPr="007C1851">
        <w:t xml:space="preserve">Por último, la protección jurídica de las víctimas de la trata </w:t>
      </w:r>
      <w:r>
        <w:t xml:space="preserve">ha </w:t>
      </w:r>
      <w:r w:rsidRPr="007C1851">
        <w:t>mejorad</w:t>
      </w:r>
      <w:r>
        <w:t>o</w:t>
      </w:r>
      <w:r w:rsidRPr="007C1851">
        <w:t xml:space="preserve"> gracias a la Ley de inmigración de 2008. Un aspecto aun más importante es que la ley dispone que se considerará a las antiguas víctimas de la trata como miembros de un grupo social especial, de conformidad con la </w:t>
      </w:r>
      <w:bookmarkStart w:id="68" w:name="hit3"/>
      <w:bookmarkEnd w:id="68"/>
      <w:r w:rsidRPr="007C1851">
        <w:t>Convención sobre los Refugiados. Por otra parte, la nueva ley dispone que la condición de víctima de la trata se considera una razón válida para la concesión de un permiso de residencia por motivos humanitarios.</w:t>
      </w:r>
    </w:p>
    <w:p w:rsidR="007A4B8D" w:rsidRPr="007C1851" w:rsidRDefault="007A4B8D" w:rsidP="007A4B8D">
      <w:pPr>
        <w:pStyle w:val="H1G"/>
      </w:pPr>
      <w:bookmarkStart w:id="69" w:name="_Toc278809814"/>
      <w:bookmarkStart w:id="70" w:name="_Toc278878477"/>
      <w:r>
        <w:tab/>
      </w:r>
      <w:r w:rsidRPr="007C1851">
        <w:t>I.</w:t>
      </w:r>
      <w:r w:rsidRPr="007C1851">
        <w:tab/>
        <w:t>Artículo 9</w:t>
      </w:r>
      <w:bookmarkEnd w:id="69"/>
      <w:bookmarkEnd w:id="70"/>
    </w:p>
    <w:p w:rsidR="007A4B8D" w:rsidRPr="007C1851" w:rsidRDefault="007A4B8D" w:rsidP="007A4B8D">
      <w:pPr>
        <w:pStyle w:val="H23G"/>
      </w:pPr>
      <w:bookmarkStart w:id="71" w:name="_Toc246693234"/>
      <w:r w:rsidRPr="007C1851">
        <w:tab/>
      </w:r>
      <w:r w:rsidRPr="007C1851">
        <w:tab/>
      </w:r>
      <w:bookmarkEnd w:id="71"/>
      <w:r w:rsidRPr="007C1851">
        <w:t>Prisión provisional</w:t>
      </w:r>
    </w:p>
    <w:p w:rsidR="007A4B8D" w:rsidRPr="007C1851" w:rsidRDefault="007A4B8D" w:rsidP="007A4B8D">
      <w:pPr>
        <w:pStyle w:val="SingleTxtG"/>
      </w:pPr>
      <w:r w:rsidRPr="007C1851">
        <w:t>122.</w:t>
      </w:r>
      <w:r w:rsidRPr="007C1851">
        <w:tab/>
      </w:r>
      <w:r w:rsidRPr="007B6A65">
        <w:t xml:space="preserve">A las personas detenidas se les aplican dos tipos distintos de plazos, uno de los cuales se establece para reducir el tiempo de la detención policial tras </w:t>
      </w:r>
      <w:r>
        <w:t>el arresto</w:t>
      </w:r>
      <w:r w:rsidRPr="007B6A65">
        <w:t xml:space="preserve"> </w:t>
      </w:r>
      <w:r>
        <w:t>(véase el a</w:t>
      </w:r>
      <w:r w:rsidRPr="007B6A65">
        <w:t>rtículo 7 del Pacto</w:t>
      </w:r>
      <w:r>
        <w:t>)</w:t>
      </w:r>
      <w:r w:rsidRPr="007B6A65">
        <w:t xml:space="preserve">. Salvo que sea imposible por razones prácticas, deberá decretarse el ingreso en prisión en 48 horas, después de que se dicte una orden de prisión provisional. El otro plazo guarda relación con el derecho a comparecer ante un juez después del arresto. Si el ministerio público desea encarcelar a la persona detenida, ésta debe comparecer ante el juez a más tardar el tercer día </w:t>
      </w:r>
      <w:r>
        <w:t>a partir de</w:t>
      </w:r>
      <w:r w:rsidRPr="007B6A65">
        <w:t xml:space="preserve"> la detención </w:t>
      </w:r>
      <w:r>
        <w:t>(véase el a</w:t>
      </w:r>
      <w:r w:rsidRPr="007B6A65">
        <w:t>rtículo 9</w:t>
      </w:r>
      <w:r>
        <w:t>,</w:t>
      </w:r>
      <w:r w:rsidRPr="007B6A65">
        <w:t xml:space="preserve"> párr</w:t>
      </w:r>
      <w:r>
        <w:t>.</w:t>
      </w:r>
      <w:r w:rsidRPr="007B6A65">
        <w:t xml:space="preserve"> 3</w:t>
      </w:r>
      <w:r>
        <w:t>,</w:t>
      </w:r>
      <w:r w:rsidRPr="007B6A65">
        <w:t xml:space="preserve"> del Pacto</w:t>
      </w:r>
      <w:r>
        <w:t>)</w:t>
      </w:r>
      <w:r w:rsidRPr="007B6A65">
        <w:t xml:space="preserve">. Incluso cuando no es posible que la persona detenida comparezca ante el juez </w:t>
      </w:r>
      <w:r>
        <w:t>en el plazo máximo de tres</w:t>
      </w:r>
      <w:r w:rsidRPr="007B6A65">
        <w:t xml:space="preserve"> día</w:t>
      </w:r>
      <w:r>
        <w:t>s</w:t>
      </w:r>
      <w:r w:rsidRPr="007B6A65">
        <w:t xml:space="preserve"> </w:t>
      </w:r>
      <w:r>
        <w:t xml:space="preserve">a partir de </w:t>
      </w:r>
      <w:r w:rsidRPr="007B6A65">
        <w:t xml:space="preserve">la detención, </w:t>
      </w:r>
      <w:r>
        <w:t xml:space="preserve">se la </w:t>
      </w:r>
      <w:r w:rsidRPr="007B6A65">
        <w:t>deberá trasladar</w:t>
      </w:r>
      <w:r>
        <w:t xml:space="preserve"> </w:t>
      </w:r>
      <w:r w:rsidRPr="007B6A65">
        <w:t xml:space="preserve">desde el lugar de la detención policial a la prisión en el segundo día </w:t>
      </w:r>
      <w:r>
        <w:t xml:space="preserve">a partir de </w:t>
      </w:r>
      <w:r w:rsidRPr="007B6A65">
        <w:t>la detención, salvo que sea imposible por razones prácticas.</w:t>
      </w:r>
    </w:p>
    <w:p w:rsidR="007A4B8D" w:rsidRPr="007C1851" w:rsidRDefault="007A4B8D" w:rsidP="007A4B8D">
      <w:pPr>
        <w:pStyle w:val="H4G"/>
      </w:pPr>
      <w:r w:rsidRPr="007C1851">
        <w:tab/>
      </w:r>
      <w:r w:rsidRPr="007C1851">
        <w:tab/>
      </w:r>
      <w:bookmarkStart w:id="72" w:name="_Toc278878479"/>
      <w:r w:rsidRPr="007C1851">
        <w:t>Detención policial (a la espera de juicio)</w:t>
      </w:r>
      <w:bookmarkEnd w:id="72"/>
    </w:p>
    <w:p w:rsidR="007A4B8D" w:rsidRDefault="007A4B8D" w:rsidP="007A4B8D">
      <w:pPr>
        <w:pStyle w:val="SingleTxtG"/>
      </w:pPr>
      <w:r w:rsidRPr="007C1851">
        <w:t>123.</w:t>
      </w:r>
      <w:r w:rsidRPr="007C1851">
        <w:tab/>
      </w:r>
      <w:r>
        <w:t>Al respecto, cabe referirse</w:t>
      </w:r>
      <w:r w:rsidRPr="007C1851">
        <w:t xml:space="preserve"> a los párrafos 62 y 63 del quinto informe periódico de Noruega. Salvo que sea imposible por razones prácticas, deberá decretarse el ingreso en prisión en 48 horas, después de que se dicte una orden de prisión provisional </w:t>
      </w:r>
      <w:r>
        <w:t>(véase el</w:t>
      </w:r>
      <w:r w:rsidRPr="007C1851">
        <w:t xml:space="preserve"> reglamento de 30 de junio de 2</w:t>
      </w:r>
      <w:r>
        <w:t>006 sobre la detención policial, artículo 3-</w:t>
      </w:r>
      <w:r w:rsidRPr="007C1851">
        <w:t>1</w:t>
      </w:r>
      <w:r>
        <w:t>)</w:t>
      </w:r>
      <w:r w:rsidRPr="007C1851">
        <w:t xml:space="preserve">. La utilización de la detención policial en Noruega ha suscitado críticas, </w:t>
      </w:r>
      <w:r w:rsidRPr="00DD4CE6">
        <w:t>por ejemplo</w:t>
      </w:r>
      <w:r w:rsidRPr="007C1851">
        <w:t xml:space="preserve"> del Comité de las Na</w:t>
      </w:r>
      <w:r>
        <w:t xml:space="preserve">ciones Unidas contra la Tortura, que </w:t>
      </w:r>
      <w:r w:rsidRPr="007C1851">
        <w:t>se han basado en que no siempre se traslada a los detenidos desde el lugar de la detención policial a una celda ordinaria de una cárcel en el plazo de dos días después del arresto. En 2008, un total de 21.907 personas e</w:t>
      </w:r>
      <w:r>
        <w:t>stuvieron en detención policial</w:t>
      </w:r>
      <w:r w:rsidRPr="007C1851">
        <w:t xml:space="preserve"> </w:t>
      </w:r>
      <w:r>
        <w:t>de las que</w:t>
      </w:r>
      <w:r w:rsidRPr="007C1851">
        <w:t xml:space="preserve"> 1.365 (6,23%) permanecieron </w:t>
      </w:r>
      <w:r>
        <w:t>en esa situación durante más de 48 horas</w:t>
      </w:r>
      <w:r w:rsidRPr="007C1851">
        <w:t>.</w:t>
      </w:r>
    </w:p>
    <w:p w:rsidR="007A4B8D" w:rsidRDefault="007A4B8D" w:rsidP="007A4B8D">
      <w:pPr>
        <w:pStyle w:val="SingleTxtG"/>
      </w:pPr>
      <w:r w:rsidRPr="007C1851">
        <w:t>124.</w:t>
      </w:r>
      <w:r w:rsidRPr="007C1851">
        <w:tab/>
        <w:t>La razón principal de la duración excesiva de la detención policial ha sido la falta de celdas disponibles en las cárceles ordinarias para ejecutar las órdenes de prisión provisional, hecho parcialmente atribuible a que no siempre se pueden encontrar celdas vacantes en cárceles situadas a una distancia razonable del distrito policial afectado. Ello se debe en parte a que, durante años, las cárceles noruegas han tenido problemas de capacidad, pero también a factores geográficos. En algunas zonas de Noruega, la distancia considerable entre los centros de detención policial, las prisiones ordinarias y los tribunales dificulta que se le pueda facilitar a la persona arrestada el transporte necesario y en tiempo oportuno. No obstante, se ha seguido de cerca la situación y se ha llevado a cabo una labor considerable para reducir el tiempo de detención policial.</w:t>
      </w:r>
    </w:p>
    <w:p w:rsidR="007A4B8D" w:rsidRPr="007C1851" w:rsidRDefault="007A4B8D" w:rsidP="007A4B8D">
      <w:pPr>
        <w:pStyle w:val="SingleTxtG"/>
      </w:pPr>
      <w:r w:rsidRPr="007C1851">
        <w:t>125.</w:t>
      </w:r>
      <w:r w:rsidRPr="007C1851">
        <w:tab/>
        <w:t xml:space="preserve">También se ha dado prioridad a resolver los problemas de capacidad de las cárceles noruegas </w:t>
      </w:r>
      <w:r>
        <w:t>(</w:t>
      </w:r>
      <w:r w:rsidRPr="007C1851">
        <w:t xml:space="preserve">véase en el artículo 10 el apartado sobre </w:t>
      </w:r>
      <w:r>
        <w:t xml:space="preserve">la </w:t>
      </w:r>
      <w:r w:rsidRPr="007C1851">
        <w:t>eliminación de colas penitenciarias</w:t>
      </w:r>
      <w:r>
        <w:t>), por lo que h</w:t>
      </w:r>
      <w:r w:rsidRPr="007C1851">
        <w:t>oy</w:t>
      </w:r>
      <w:r>
        <w:t xml:space="preserve"> día</w:t>
      </w:r>
      <w:r w:rsidRPr="007C1851">
        <w:t xml:space="preserve"> las prisiones tienen capacidad para albergar a personas detenidas. Por lo tanto, el Gobierno cree que, en los próximos años, se garantizará el derecho a ser trasladado del lugar de la detención policial a una celda ordinaria de una cárcel, de conformidad con los reglamentos. No obstante, para evaluar la necesidad de medidas concretas, Noruega ha adoptado una herramienta mejorada para el registro de estadísticas sobre el uso de la detención policial. Se seguirá de cerca la situación y, si no pueden detectarse mejoras, el Gobierno se asegurará de que se tomen las medidas adecuadas.</w:t>
      </w:r>
    </w:p>
    <w:p w:rsidR="007A4B8D" w:rsidRDefault="007A4B8D" w:rsidP="007A4B8D">
      <w:pPr>
        <w:pStyle w:val="H4G"/>
      </w:pPr>
      <w:r w:rsidRPr="007C1851">
        <w:tab/>
      </w:r>
      <w:r w:rsidRPr="007C1851">
        <w:tab/>
      </w:r>
      <w:bookmarkStart w:id="73" w:name="_Toc278878480"/>
      <w:r w:rsidRPr="007C1851">
        <w:t>El derecho a comparecer en breve pl</w:t>
      </w:r>
      <w:r w:rsidR="00BF7D4C">
        <w:t>azo ante un juez/duración de la</w:t>
      </w:r>
      <w:r>
        <w:br/>
      </w:r>
      <w:r w:rsidRPr="007C1851">
        <w:t>prisión provisional</w:t>
      </w:r>
      <w:bookmarkEnd w:id="73"/>
    </w:p>
    <w:p w:rsidR="007A4B8D" w:rsidRDefault="007A4B8D" w:rsidP="007A4B8D">
      <w:pPr>
        <w:pStyle w:val="SingleTxtG"/>
      </w:pPr>
      <w:r w:rsidRPr="007C1851">
        <w:t>126.</w:t>
      </w:r>
      <w:r w:rsidRPr="007C1851">
        <w:tab/>
        <w:t xml:space="preserve">Se </w:t>
      </w:r>
      <w:r>
        <w:t>hace referencia a esta cuestión en el</w:t>
      </w:r>
      <w:r w:rsidRPr="007C1851">
        <w:t xml:space="preserve"> párrafo 86 del quinto informe periódico de Noruega, relativo a las modificaciones </w:t>
      </w:r>
      <w:r>
        <w:t xml:space="preserve">introducidas </w:t>
      </w:r>
      <w:r w:rsidRPr="007C1851">
        <w:t>en el artículo 183 de</w:t>
      </w:r>
      <w:r>
        <w:t xml:space="preserve"> la Ley de procedimiento penal, que</w:t>
      </w:r>
      <w:r w:rsidRPr="007C1851">
        <w:t xml:space="preserve"> entraron en vigor el 1º de julio de 2006. El plazo para poner a disposición judicial al detenido al que el ministerio fiscal desea encausar es, ahora, cuanto antes y, a más tardar, el tercer día </w:t>
      </w:r>
      <w:r>
        <w:t xml:space="preserve">a partir de </w:t>
      </w:r>
      <w:r w:rsidRPr="007C1851">
        <w:t>la detención.</w:t>
      </w:r>
    </w:p>
    <w:p w:rsidR="007A4B8D" w:rsidRPr="007C1851" w:rsidRDefault="007A4B8D" w:rsidP="007A4B8D">
      <w:pPr>
        <w:pStyle w:val="SingleTxtG"/>
      </w:pPr>
      <w:r w:rsidRPr="007C1851">
        <w:t>127.</w:t>
      </w:r>
      <w:r w:rsidRPr="007C1851">
        <w:tab/>
        <w:t xml:space="preserve">Para verificar la eficacia de las modificaciones anteriormente mencionadas, el Ministerio de Justicia y Policía está recabando estadísticas y datos de, entre otras fuentes, la Oficina Central de Estadística y la Dirección Nacional de Policía. La evaluación de las modificaciones no ha terminado y, por lo tanto, es prematuro sacar conclusiones. Las estadísticas recopiladas hasta la fecha señalan que ha </w:t>
      </w:r>
      <w:r w:rsidRPr="004F3DCF">
        <w:t>aumentado</w:t>
      </w:r>
      <w:r w:rsidRPr="007C1851">
        <w:t xml:space="preserve"> el número de personas en detención policial por un período superior a 48 horas (antes de pasar a disposición judicial). Además, </w:t>
      </w:r>
      <w:r>
        <w:t>indican</w:t>
      </w:r>
      <w:r w:rsidRPr="007C1851">
        <w:t xml:space="preserve"> que se ha </w:t>
      </w:r>
      <w:r w:rsidRPr="004F3DCF">
        <w:t>reducido</w:t>
      </w:r>
      <w:r w:rsidRPr="007C1851">
        <w:t xml:space="preserve"> el número de personas que pasan menos de 15 días en prisión provisional. No obstante, el número de órdenes de prisión provisional de una duración de entre 15 y 29 días parece haber </w:t>
      </w:r>
      <w:r w:rsidRPr="004F3DCF">
        <w:t>aumentado</w:t>
      </w:r>
      <w:r w:rsidRPr="007C1851">
        <w:t>, un incremento que duplica con creces las órdenes de prisión provisional de una duración inferior a 15 días y con el que no se contaba.</w:t>
      </w:r>
    </w:p>
    <w:p w:rsidR="007A4B8D" w:rsidRPr="007C1851" w:rsidRDefault="007A4B8D" w:rsidP="007A4B8D">
      <w:pPr>
        <w:pStyle w:val="SingleTxtG"/>
      </w:pPr>
      <w:r w:rsidRPr="007C1851">
        <w:t>128.</w:t>
      </w:r>
      <w:r w:rsidRPr="007C1851">
        <w:tab/>
        <w:t>En opinión del Ministerio, las modificaciones han logrado, hasta cierto punto, los resultados deseados. Aunque parece haber aumentado el número de personas en prisión provisional por un plazo de entre 15 y 29 días, la mayoría de personas en este grupo han sido condenadas y han ingresado en prisión para cumplir condena. En estos casos, el tiempo pasado en prisión provisional se descuenta de la condena.</w:t>
      </w:r>
    </w:p>
    <w:p w:rsidR="007A4B8D" w:rsidRPr="007C1851" w:rsidRDefault="007A4B8D" w:rsidP="007A4B8D">
      <w:pPr>
        <w:pStyle w:val="SingleTxtG"/>
      </w:pPr>
      <w:r w:rsidRPr="007C1851">
        <w:t>129.</w:t>
      </w:r>
      <w:r w:rsidRPr="007C1851">
        <w:tab/>
        <w:t xml:space="preserve">Aunque estas conclusiones se basan en datos limitados, al Ministerio le preocupa el aumento aparente en el número total de días de prisión provisional. El Ministerio seguirá revisando la evolución de este indicador en los próximos años para poder extraer unas conclusiones más sólidas. En una carta de </w:t>
      </w:r>
      <w:r>
        <w:t xml:space="preserve">fecha </w:t>
      </w:r>
      <w:r w:rsidRPr="007C1851">
        <w:t>17 de junio de 2009, el Ministerio de Justicia y Policía pidió a la Dirección Nacional de Policía que recopilara nuevas estadísticas para revisar la utilización de la prisión provisional.</w:t>
      </w:r>
    </w:p>
    <w:p w:rsidR="007A4B8D" w:rsidRPr="007C1851" w:rsidRDefault="007A4B8D" w:rsidP="007A4B8D">
      <w:pPr>
        <w:pStyle w:val="SingleTxtG"/>
      </w:pPr>
      <w:r w:rsidRPr="007C1851">
        <w:t>130.</w:t>
      </w:r>
      <w:r w:rsidRPr="007C1851">
        <w:tab/>
        <w:t xml:space="preserve">En los últimos años, los tribunales han impuesto requisitos cada vez más estrictos en el avance de las investigaciones </w:t>
      </w:r>
      <w:r>
        <w:t>destinadas a</w:t>
      </w:r>
      <w:r w:rsidRPr="007C1851">
        <w:t xml:space="preserve"> aprobar la prórroga de la prisión provisional. Asimismo, a los tribunales se les exige, por ley, que fijen con antelación la fecha de la vista principal en los casos en los que el acusado se halla en prisión provisional</w:t>
      </w:r>
      <w:r>
        <w:t>, cuya duración</w:t>
      </w:r>
      <w:r w:rsidRPr="007C1851">
        <w:t xml:space="preserve"> ayuda a reducir </w:t>
      </w:r>
      <w:r>
        <w:t>estas medidas</w:t>
      </w:r>
      <w:r w:rsidRPr="007C1851">
        <w:t>. El Ministerio también es de la opinión que los casos suelen estar mejor preparados cuando se presentan ante el Tribunal y que la labor de los jueces, la defensa y en especial la policía es algo más eficaz.</w:t>
      </w:r>
    </w:p>
    <w:p w:rsidR="007A4B8D" w:rsidRPr="007C1851" w:rsidRDefault="007A4B8D" w:rsidP="007A4B8D">
      <w:pPr>
        <w:pStyle w:val="H4G"/>
      </w:pPr>
      <w:r w:rsidRPr="007C1851">
        <w:tab/>
      </w:r>
      <w:r w:rsidRPr="007C1851">
        <w:tab/>
        <w:t>Prisión provisional en régimen de aislamiento</w:t>
      </w:r>
    </w:p>
    <w:p w:rsidR="007A4B8D" w:rsidRDefault="007A4B8D" w:rsidP="007A4B8D">
      <w:pPr>
        <w:pStyle w:val="SingleTxtG"/>
      </w:pPr>
      <w:r w:rsidRPr="007C1851">
        <w:t>131.</w:t>
      </w:r>
      <w:r w:rsidRPr="007C1851">
        <w:tab/>
      </w:r>
      <w:r>
        <w:t>Esta cuestión se trata en el</w:t>
      </w:r>
      <w:r w:rsidRPr="007C1851">
        <w:t xml:space="preserve"> párrafo 13 de las observaciones finales del Comité, relativo a las disposiciones sobre prisión provisional en régimen de aislamiento, y </w:t>
      </w:r>
      <w:r>
        <w:t>en</w:t>
      </w:r>
      <w:r w:rsidRPr="007C1851">
        <w:t xml:space="preserve"> los párrafos 55 a 60 del quinto informe</w:t>
      </w:r>
      <w:r>
        <w:t xml:space="preserve"> periódico</w:t>
      </w:r>
      <w:r w:rsidRPr="007C1851">
        <w:t xml:space="preserve"> de Noruega. El artículo 186 a) de la Ley de procedimiento penal establece claramente que</w:t>
      </w:r>
      <w:r w:rsidR="00A748AA">
        <w:t xml:space="preserve"> sólo</w:t>
      </w:r>
      <w:r w:rsidRPr="007C1851">
        <w:t xml:space="preserve"> pueden imponerse períodos más largos en régimen de aislamiento en casos excepcionales, y únicamente para delitos graves. El artículo 46 de la Ley de ejecución de las penas establece que el sistema penitenciario deberá dar prioridad a iniciativas destinadas a reducir los efectos negativos del aislamiento.</w:t>
      </w:r>
    </w:p>
    <w:p w:rsidR="007A4B8D" w:rsidRPr="007C1851" w:rsidRDefault="007A4B8D" w:rsidP="007A4B8D">
      <w:pPr>
        <w:pStyle w:val="SingleTxtG"/>
      </w:pPr>
      <w:r w:rsidRPr="007C1851">
        <w:t>132.</w:t>
      </w:r>
      <w:r w:rsidRPr="007C1851">
        <w:tab/>
        <w:t>Durante los debates sobre las enmiendas a la Ley de procedimiento penal se estudió la posibilidad de establecer un plazo máximo para la prisión provisional en régimen de aislamiento. El Ministerio de Justicia y Policía consideró que, en casos excepcionales, podrían ser necesarios períodos más largos de aislamiento y, por lo tanto, decidió no imponer un plazo máximo absoluto</w:t>
      </w:r>
      <w:r>
        <w:t>,</w:t>
      </w:r>
      <w:r w:rsidRPr="007C1851">
        <w:t xml:space="preserve"> opinión</w:t>
      </w:r>
      <w:r>
        <w:t xml:space="preserve"> que </w:t>
      </w:r>
      <w:r w:rsidRPr="007C1851">
        <w:t xml:space="preserve">hizo suya </w:t>
      </w:r>
      <w:r>
        <w:t>el Storting</w:t>
      </w:r>
      <w:r w:rsidRPr="007C1851">
        <w:t xml:space="preserve">. Los períodos más largos de aislamiento son posibles, especialmente, en casos de delincuencia transnacional o en </w:t>
      </w:r>
      <w:r>
        <w:t>los</w:t>
      </w:r>
      <w:r w:rsidRPr="007C1851">
        <w:t xml:space="preserve"> que comporten investigaciones en el extranjero, </w:t>
      </w:r>
      <w:r>
        <w:t>en que</w:t>
      </w:r>
      <w:r w:rsidRPr="007C1851">
        <w:t xml:space="preserve"> existe peligro de alteración de las pruebas.</w:t>
      </w:r>
    </w:p>
    <w:p w:rsidR="007A4B8D" w:rsidRPr="007C1851" w:rsidRDefault="007A4B8D" w:rsidP="007A4B8D">
      <w:pPr>
        <w:pStyle w:val="SingleTxtG"/>
      </w:pPr>
      <w:r w:rsidRPr="007C1851">
        <w:t>133.</w:t>
      </w:r>
      <w:r w:rsidRPr="007C1851">
        <w:tab/>
        <w:t>De un total de 3.344 personas en prisión provisional cuya reclusión acabó en 2008, 423 estuvieron durante un período de tiempo en régimen de aislamiento total y 122 en régimen de aislamiento parcial. De los casos de reclusión en régimen de aislamiento total, el 7% lo estuvieron por un período inferior a 7 días y el 94% por un período inferior a 6</w:t>
      </w:r>
      <w:r w:rsidR="00BF7D4C">
        <w:t> </w:t>
      </w:r>
      <w:r w:rsidRPr="007C1851">
        <w:t xml:space="preserve">semanas. En 2008, 6 personas estuvieron en régimen de aislamiento total por un período de entre 60 y 89 días, y una persona estuvo en régimen de aislamiento parcial por un período </w:t>
      </w:r>
      <w:r>
        <w:t>de entre 90 y 182 días. En 2008</w:t>
      </w:r>
      <w:r w:rsidRPr="007C1851">
        <w:t xml:space="preserve"> nadie estuvo en régimen de aislamiento total por un período superior a 90 días.</w:t>
      </w:r>
    </w:p>
    <w:p w:rsidR="007A4B8D" w:rsidRDefault="007A4B8D" w:rsidP="007A4B8D">
      <w:pPr>
        <w:pStyle w:val="SingleTxtG"/>
      </w:pPr>
      <w:r>
        <w:t>134.</w:t>
      </w:r>
      <w:r>
        <w:tab/>
        <w:t>En 2008</w:t>
      </w:r>
      <w:r w:rsidRPr="007C1851">
        <w:t xml:space="preserve"> el régimen de aislamiento total se emple</w:t>
      </w:r>
      <w:r>
        <w:t>ó</w:t>
      </w:r>
      <w:r w:rsidRPr="007C1851">
        <w:t xml:space="preserve"> en combinación con otras formas de restricción, como se muestra en el cuadro siguiente.</w:t>
      </w:r>
    </w:p>
    <w:tbl>
      <w:tblPr>
        <w:tblStyle w:val="TableGrid"/>
        <w:tblW w:w="7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657"/>
        <w:gridCol w:w="657"/>
        <w:gridCol w:w="657"/>
        <w:gridCol w:w="657"/>
        <w:gridCol w:w="657"/>
        <w:gridCol w:w="657"/>
        <w:gridCol w:w="658"/>
      </w:tblGrid>
      <w:tr w:rsidR="007A4B8D" w:rsidRPr="00F81300" w:rsidTr="003825AF">
        <w:tc>
          <w:tcPr>
            <w:tcW w:w="2866" w:type="dxa"/>
            <w:vMerge w:val="restart"/>
            <w:tcBorders>
              <w:top w:val="single" w:sz="4" w:space="0" w:color="auto"/>
            </w:tcBorders>
            <w:shd w:val="clear" w:color="auto" w:fill="auto"/>
            <w:vAlign w:val="bottom"/>
          </w:tcPr>
          <w:p w:rsidR="007A4B8D" w:rsidRPr="00F81300" w:rsidRDefault="007A4B8D" w:rsidP="003825AF">
            <w:pPr>
              <w:pStyle w:val="SingleTxtG"/>
              <w:spacing w:before="80" w:after="80" w:line="200" w:lineRule="exact"/>
              <w:ind w:left="0" w:right="0"/>
              <w:jc w:val="left"/>
              <w:rPr>
                <w:i/>
                <w:sz w:val="16"/>
              </w:rPr>
            </w:pPr>
            <w:r w:rsidRPr="007D6641">
              <w:rPr>
                <w:i/>
                <w:sz w:val="16"/>
              </w:rPr>
              <w:t>Régimen de aislamiento total</w:t>
            </w:r>
          </w:p>
        </w:tc>
        <w:tc>
          <w:tcPr>
            <w:tcW w:w="4600" w:type="dxa"/>
            <w:gridSpan w:val="7"/>
            <w:tcBorders>
              <w:top w:val="single" w:sz="4" w:space="0" w:color="auto"/>
              <w:bottom w:val="single" w:sz="4" w:space="0" w:color="auto"/>
            </w:tcBorders>
            <w:shd w:val="clear" w:color="auto" w:fill="auto"/>
            <w:vAlign w:val="bottom"/>
          </w:tcPr>
          <w:p w:rsidR="007A4B8D" w:rsidRPr="007D6641" w:rsidRDefault="007A4B8D" w:rsidP="003825AF">
            <w:pPr>
              <w:pStyle w:val="SingleTxtG"/>
              <w:spacing w:before="80" w:after="80" w:line="200" w:lineRule="exact"/>
              <w:ind w:left="0" w:right="0"/>
              <w:jc w:val="center"/>
              <w:rPr>
                <w:i/>
                <w:sz w:val="16"/>
                <w:szCs w:val="16"/>
              </w:rPr>
            </w:pPr>
            <w:r w:rsidRPr="007D6641">
              <w:rPr>
                <w:i/>
                <w:sz w:val="16"/>
                <w:szCs w:val="16"/>
              </w:rPr>
              <w:t>Número de días sin restricciones</w:t>
            </w:r>
          </w:p>
        </w:tc>
      </w:tr>
      <w:tr w:rsidR="007A4B8D" w:rsidRPr="00F81300" w:rsidTr="003825AF">
        <w:tc>
          <w:tcPr>
            <w:tcW w:w="2866" w:type="dxa"/>
            <w:vMerge/>
            <w:tcBorders>
              <w:bottom w:val="single" w:sz="12" w:space="0" w:color="auto"/>
            </w:tcBorders>
            <w:shd w:val="clear" w:color="auto" w:fill="auto"/>
            <w:vAlign w:val="bottom"/>
          </w:tcPr>
          <w:p w:rsidR="007A4B8D" w:rsidRPr="00F81300" w:rsidRDefault="007A4B8D" w:rsidP="003825AF">
            <w:pPr>
              <w:pStyle w:val="SingleTxtG"/>
              <w:spacing w:before="80" w:after="80" w:line="200" w:lineRule="exact"/>
              <w:ind w:left="0" w:right="0"/>
              <w:jc w:val="left"/>
              <w:rPr>
                <w:i/>
                <w:sz w:val="16"/>
              </w:rPr>
            </w:pPr>
          </w:p>
        </w:tc>
        <w:tc>
          <w:tcPr>
            <w:tcW w:w="657" w:type="dxa"/>
            <w:tcBorders>
              <w:top w:val="single" w:sz="4" w:space="0" w:color="auto"/>
            </w:tcBorders>
            <w:shd w:val="clear" w:color="auto" w:fill="auto"/>
          </w:tcPr>
          <w:p w:rsidR="007A4B8D" w:rsidRPr="007D6641" w:rsidRDefault="007A4B8D" w:rsidP="003825AF">
            <w:pPr>
              <w:pStyle w:val="SingleTxtG"/>
              <w:spacing w:before="80" w:after="80" w:line="200" w:lineRule="exact"/>
              <w:ind w:left="0" w:right="0"/>
              <w:jc w:val="right"/>
              <w:rPr>
                <w:i/>
                <w:sz w:val="16"/>
              </w:rPr>
            </w:pPr>
            <w:r w:rsidRPr="007D6641">
              <w:rPr>
                <w:i/>
                <w:sz w:val="16"/>
              </w:rPr>
              <w:t>&lt;7</w:t>
            </w:r>
          </w:p>
        </w:tc>
        <w:tc>
          <w:tcPr>
            <w:tcW w:w="657" w:type="dxa"/>
            <w:tcBorders>
              <w:top w:val="single" w:sz="4" w:space="0" w:color="auto"/>
            </w:tcBorders>
            <w:shd w:val="clear" w:color="auto" w:fill="auto"/>
          </w:tcPr>
          <w:p w:rsidR="007A4B8D" w:rsidRPr="007D6641" w:rsidRDefault="007A4B8D" w:rsidP="003825AF">
            <w:pPr>
              <w:pStyle w:val="SingleTxtG"/>
              <w:spacing w:before="80" w:after="80" w:line="200" w:lineRule="exact"/>
              <w:ind w:left="0" w:right="0"/>
              <w:jc w:val="right"/>
              <w:rPr>
                <w:i/>
                <w:sz w:val="16"/>
              </w:rPr>
            </w:pPr>
            <w:r w:rsidRPr="007D6641">
              <w:rPr>
                <w:i/>
                <w:sz w:val="16"/>
              </w:rPr>
              <w:t>7</w:t>
            </w:r>
            <w:r>
              <w:rPr>
                <w:i/>
                <w:sz w:val="16"/>
              </w:rPr>
              <w:t>-</w:t>
            </w:r>
            <w:r w:rsidRPr="007D6641">
              <w:rPr>
                <w:i/>
                <w:sz w:val="16"/>
              </w:rPr>
              <w:t>13</w:t>
            </w:r>
          </w:p>
        </w:tc>
        <w:tc>
          <w:tcPr>
            <w:tcW w:w="657" w:type="dxa"/>
            <w:tcBorders>
              <w:top w:val="single" w:sz="4" w:space="0" w:color="auto"/>
            </w:tcBorders>
            <w:shd w:val="clear" w:color="auto" w:fill="auto"/>
          </w:tcPr>
          <w:p w:rsidR="007A4B8D" w:rsidRPr="007D6641" w:rsidRDefault="007A4B8D" w:rsidP="003825AF">
            <w:pPr>
              <w:pStyle w:val="SingleTxtG"/>
              <w:spacing w:before="80" w:after="80" w:line="200" w:lineRule="exact"/>
              <w:ind w:left="0" w:right="0"/>
              <w:jc w:val="right"/>
              <w:rPr>
                <w:i/>
                <w:sz w:val="16"/>
              </w:rPr>
            </w:pPr>
            <w:r w:rsidRPr="007D6641">
              <w:rPr>
                <w:i/>
                <w:sz w:val="16"/>
              </w:rPr>
              <w:t>14</w:t>
            </w:r>
            <w:r>
              <w:rPr>
                <w:i/>
                <w:sz w:val="16"/>
              </w:rPr>
              <w:t>-</w:t>
            </w:r>
            <w:r w:rsidRPr="007D6641">
              <w:rPr>
                <w:i/>
                <w:sz w:val="16"/>
              </w:rPr>
              <w:t>29</w:t>
            </w:r>
          </w:p>
        </w:tc>
        <w:tc>
          <w:tcPr>
            <w:tcW w:w="657" w:type="dxa"/>
            <w:tcBorders>
              <w:top w:val="single" w:sz="4" w:space="0" w:color="auto"/>
            </w:tcBorders>
            <w:shd w:val="clear" w:color="auto" w:fill="auto"/>
          </w:tcPr>
          <w:p w:rsidR="007A4B8D" w:rsidRPr="007D6641" w:rsidRDefault="007A4B8D" w:rsidP="003825AF">
            <w:pPr>
              <w:pStyle w:val="SingleTxtG"/>
              <w:spacing w:before="80" w:after="80" w:line="200" w:lineRule="exact"/>
              <w:ind w:left="0" w:right="0"/>
              <w:jc w:val="right"/>
              <w:rPr>
                <w:i/>
                <w:sz w:val="16"/>
              </w:rPr>
            </w:pPr>
            <w:r w:rsidRPr="007D6641">
              <w:rPr>
                <w:i/>
                <w:sz w:val="16"/>
              </w:rPr>
              <w:t>30</w:t>
            </w:r>
            <w:r>
              <w:rPr>
                <w:i/>
                <w:sz w:val="16"/>
              </w:rPr>
              <w:t>-</w:t>
            </w:r>
            <w:r w:rsidRPr="007D6641">
              <w:rPr>
                <w:i/>
                <w:sz w:val="16"/>
              </w:rPr>
              <w:t>41</w:t>
            </w:r>
          </w:p>
        </w:tc>
        <w:tc>
          <w:tcPr>
            <w:tcW w:w="657" w:type="dxa"/>
            <w:tcBorders>
              <w:top w:val="single" w:sz="4" w:space="0" w:color="auto"/>
            </w:tcBorders>
            <w:shd w:val="clear" w:color="auto" w:fill="auto"/>
          </w:tcPr>
          <w:p w:rsidR="007A4B8D" w:rsidRPr="007D6641" w:rsidRDefault="007A4B8D" w:rsidP="003825AF">
            <w:pPr>
              <w:pStyle w:val="SingleTxtG"/>
              <w:spacing w:before="80" w:after="80" w:line="200" w:lineRule="exact"/>
              <w:ind w:left="0" w:right="0"/>
              <w:jc w:val="right"/>
              <w:rPr>
                <w:i/>
                <w:sz w:val="16"/>
              </w:rPr>
            </w:pPr>
            <w:r w:rsidRPr="007D6641">
              <w:rPr>
                <w:i/>
                <w:sz w:val="16"/>
              </w:rPr>
              <w:t>42</w:t>
            </w:r>
            <w:r>
              <w:rPr>
                <w:i/>
                <w:sz w:val="16"/>
              </w:rPr>
              <w:t>-</w:t>
            </w:r>
            <w:r w:rsidRPr="007D6641">
              <w:rPr>
                <w:i/>
                <w:sz w:val="16"/>
              </w:rPr>
              <w:t>59</w:t>
            </w:r>
          </w:p>
        </w:tc>
        <w:tc>
          <w:tcPr>
            <w:tcW w:w="657" w:type="dxa"/>
            <w:tcBorders>
              <w:top w:val="single" w:sz="4" w:space="0" w:color="auto"/>
            </w:tcBorders>
            <w:shd w:val="clear" w:color="auto" w:fill="auto"/>
          </w:tcPr>
          <w:p w:rsidR="007A4B8D" w:rsidRPr="007D6641" w:rsidRDefault="007A4B8D" w:rsidP="003825AF">
            <w:pPr>
              <w:pStyle w:val="SingleTxtG"/>
              <w:spacing w:before="80" w:after="80" w:line="200" w:lineRule="exact"/>
              <w:ind w:left="0" w:right="0"/>
              <w:jc w:val="right"/>
              <w:rPr>
                <w:i/>
                <w:sz w:val="16"/>
              </w:rPr>
            </w:pPr>
            <w:r w:rsidRPr="007D6641">
              <w:rPr>
                <w:i/>
                <w:sz w:val="16"/>
              </w:rPr>
              <w:t>60</w:t>
            </w:r>
            <w:r>
              <w:rPr>
                <w:i/>
                <w:sz w:val="16"/>
              </w:rPr>
              <w:t>-</w:t>
            </w:r>
            <w:r w:rsidRPr="007D6641">
              <w:rPr>
                <w:i/>
                <w:sz w:val="16"/>
              </w:rPr>
              <w:t>89</w:t>
            </w:r>
          </w:p>
        </w:tc>
        <w:tc>
          <w:tcPr>
            <w:tcW w:w="658" w:type="dxa"/>
            <w:tcBorders>
              <w:top w:val="single" w:sz="4" w:space="0" w:color="auto"/>
            </w:tcBorders>
            <w:shd w:val="clear" w:color="auto" w:fill="auto"/>
          </w:tcPr>
          <w:p w:rsidR="007A4B8D" w:rsidRPr="007D6641" w:rsidRDefault="007A4B8D" w:rsidP="003825AF">
            <w:pPr>
              <w:pStyle w:val="SingleTxtG"/>
              <w:spacing w:before="80" w:after="80" w:line="200" w:lineRule="exact"/>
              <w:ind w:left="0" w:right="0"/>
              <w:jc w:val="right"/>
              <w:rPr>
                <w:b/>
                <w:i/>
                <w:sz w:val="16"/>
              </w:rPr>
            </w:pPr>
            <w:r w:rsidRPr="007D6641">
              <w:rPr>
                <w:b/>
                <w:i/>
                <w:sz w:val="16"/>
              </w:rPr>
              <w:t>En total</w:t>
            </w:r>
          </w:p>
        </w:tc>
      </w:tr>
      <w:tr w:rsidR="007A4B8D" w:rsidRPr="00F81300" w:rsidTr="003825AF">
        <w:tc>
          <w:tcPr>
            <w:tcW w:w="2866"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left"/>
              <w:rPr>
                <w:sz w:val="18"/>
              </w:rPr>
            </w:pPr>
            <w:r w:rsidRPr="007D6641">
              <w:rPr>
                <w:sz w:val="18"/>
              </w:rPr>
              <w:t xml:space="preserve">Sin acceso a cartas, visitas, radio, televisión o periódicos </w:t>
            </w:r>
          </w:p>
        </w:tc>
        <w:tc>
          <w:tcPr>
            <w:tcW w:w="657"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2</w:t>
            </w:r>
          </w:p>
        </w:tc>
        <w:tc>
          <w:tcPr>
            <w:tcW w:w="657"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5</w:t>
            </w:r>
          </w:p>
        </w:tc>
        <w:tc>
          <w:tcPr>
            <w:tcW w:w="657"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15</w:t>
            </w:r>
          </w:p>
        </w:tc>
        <w:tc>
          <w:tcPr>
            <w:tcW w:w="657"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7"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7"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2</w:t>
            </w:r>
          </w:p>
        </w:tc>
        <w:tc>
          <w:tcPr>
            <w:tcW w:w="658" w:type="dxa"/>
            <w:tcBorders>
              <w:top w:val="single" w:sz="12" w:space="0" w:color="auto"/>
            </w:tcBorders>
            <w:shd w:val="clear" w:color="auto" w:fill="auto"/>
          </w:tcPr>
          <w:p w:rsidR="007A4B8D" w:rsidRPr="007D6641" w:rsidRDefault="007A4B8D" w:rsidP="003825AF">
            <w:pPr>
              <w:pStyle w:val="SingleTxtG"/>
              <w:spacing w:before="40" w:after="40" w:line="220" w:lineRule="exact"/>
              <w:ind w:left="0" w:right="0"/>
              <w:jc w:val="right"/>
              <w:rPr>
                <w:b/>
                <w:sz w:val="18"/>
              </w:rPr>
            </w:pPr>
            <w:r w:rsidRPr="007D6641">
              <w:rPr>
                <w:b/>
                <w:sz w:val="18"/>
              </w:rPr>
              <w:t>24</w:t>
            </w:r>
          </w:p>
        </w:tc>
      </w:tr>
      <w:tr w:rsidR="007A4B8D" w:rsidRPr="00F81300" w:rsidTr="003825AF">
        <w:tc>
          <w:tcPr>
            <w:tcW w:w="2866" w:type="dxa"/>
            <w:shd w:val="clear" w:color="auto" w:fill="auto"/>
          </w:tcPr>
          <w:p w:rsidR="007A4B8D" w:rsidRPr="007D6641" w:rsidRDefault="007A4B8D" w:rsidP="003825AF">
            <w:pPr>
              <w:pStyle w:val="SingleTxtG"/>
              <w:spacing w:before="40" w:after="40" w:line="220" w:lineRule="exact"/>
              <w:ind w:left="0" w:right="0"/>
              <w:jc w:val="left"/>
              <w:rPr>
                <w:sz w:val="18"/>
              </w:rPr>
            </w:pPr>
            <w:r w:rsidRPr="007D6641">
              <w:rPr>
                <w:sz w:val="18"/>
              </w:rPr>
              <w:t xml:space="preserve">Sin acceso a cartas, visitas </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14</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33</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185</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8</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14</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4</w:t>
            </w:r>
          </w:p>
        </w:tc>
        <w:tc>
          <w:tcPr>
            <w:tcW w:w="658" w:type="dxa"/>
            <w:shd w:val="clear" w:color="auto" w:fill="auto"/>
          </w:tcPr>
          <w:p w:rsidR="007A4B8D" w:rsidRPr="007D6641" w:rsidRDefault="007A4B8D" w:rsidP="003825AF">
            <w:pPr>
              <w:pStyle w:val="SingleTxtG"/>
              <w:spacing w:before="40" w:after="40" w:line="220" w:lineRule="exact"/>
              <w:ind w:left="0" w:right="0"/>
              <w:jc w:val="right"/>
              <w:rPr>
                <w:b/>
                <w:sz w:val="18"/>
              </w:rPr>
            </w:pPr>
            <w:r w:rsidRPr="007D6641">
              <w:rPr>
                <w:b/>
                <w:sz w:val="18"/>
              </w:rPr>
              <w:t>258</w:t>
            </w:r>
          </w:p>
        </w:tc>
      </w:tr>
      <w:tr w:rsidR="007A4B8D" w:rsidRPr="00F81300" w:rsidTr="003825AF">
        <w:tc>
          <w:tcPr>
            <w:tcW w:w="2866" w:type="dxa"/>
            <w:shd w:val="clear" w:color="auto" w:fill="auto"/>
          </w:tcPr>
          <w:p w:rsidR="007A4B8D" w:rsidRPr="007D6641" w:rsidRDefault="007A4B8D" w:rsidP="003825AF">
            <w:pPr>
              <w:pStyle w:val="SingleTxtG"/>
              <w:spacing w:before="40" w:after="40" w:line="220" w:lineRule="exact"/>
              <w:ind w:left="0" w:right="0"/>
              <w:jc w:val="left"/>
              <w:rPr>
                <w:sz w:val="18"/>
              </w:rPr>
            </w:pPr>
            <w:r w:rsidRPr="007D6641">
              <w:rPr>
                <w:sz w:val="18"/>
              </w:rPr>
              <w:t>Control de cartas y visitas/sin acceso a radio, televisión o periódicos</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7</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8" w:type="dxa"/>
            <w:shd w:val="clear" w:color="auto" w:fill="auto"/>
          </w:tcPr>
          <w:p w:rsidR="007A4B8D" w:rsidRPr="007D6641" w:rsidRDefault="007A4B8D" w:rsidP="003825AF">
            <w:pPr>
              <w:pStyle w:val="SingleTxtG"/>
              <w:spacing w:before="40" w:after="40" w:line="220" w:lineRule="exact"/>
              <w:ind w:left="0" w:right="0"/>
              <w:jc w:val="right"/>
              <w:rPr>
                <w:b/>
                <w:sz w:val="18"/>
              </w:rPr>
            </w:pPr>
            <w:r w:rsidRPr="007D6641">
              <w:rPr>
                <w:b/>
                <w:sz w:val="18"/>
              </w:rPr>
              <w:t>7</w:t>
            </w:r>
          </w:p>
        </w:tc>
      </w:tr>
      <w:tr w:rsidR="007A4B8D" w:rsidRPr="00F81300" w:rsidTr="003825AF">
        <w:tc>
          <w:tcPr>
            <w:tcW w:w="2866" w:type="dxa"/>
            <w:shd w:val="clear" w:color="auto" w:fill="auto"/>
          </w:tcPr>
          <w:p w:rsidR="007A4B8D" w:rsidRPr="007D6641" w:rsidRDefault="007A4B8D" w:rsidP="003825AF">
            <w:pPr>
              <w:pStyle w:val="SingleTxtG"/>
              <w:spacing w:before="40" w:after="40" w:line="220" w:lineRule="exact"/>
              <w:ind w:left="0" w:right="0"/>
              <w:jc w:val="left"/>
              <w:rPr>
                <w:sz w:val="18"/>
              </w:rPr>
            </w:pPr>
            <w:r w:rsidRPr="007D6641">
              <w:rPr>
                <w:sz w:val="18"/>
              </w:rPr>
              <w:t>Control de cartas y visitas</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2</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7</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35</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2</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5</w:t>
            </w:r>
          </w:p>
        </w:tc>
        <w:tc>
          <w:tcPr>
            <w:tcW w:w="657" w:type="dxa"/>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8" w:type="dxa"/>
            <w:shd w:val="clear" w:color="auto" w:fill="auto"/>
          </w:tcPr>
          <w:p w:rsidR="007A4B8D" w:rsidRPr="007D6641" w:rsidRDefault="007A4B8D" w:rsidP="003825AF">
            <w:pPr>
              <w:pStyle w:val="SingleTxtG"/>
              <w:spacing w:before="40" w:after="40" w:line="220" w:lineRule="exact"/>
              <w:ind w:left="0" w:right="0"/>
              <w:jc w:val="right"/>
              <w:rPr>
                <w:b/>
                <w:sz w:val="18"/>
              </w:rPr>
            </w:pPr>
            <w:r w:rsidRPr="007D6641">
              <w:rPr>
                <w:b/>
                <w:sz w:val="18"/>
              </w:rPr>
              <w:t>51</w:t>
            </w:r>
          </w:p>
        </w:tc>
      </w:tr>
      <w:tr w:rsidR="007A4B8D" w:rsidRPr="00F81300" w:rsidTr="003825AF">
        <w:tc>
          <w:tcPr>
            <w:tcW w:w="2866"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left"/>
              <w:rPr>
                <w:sz w:val="18"/>
              </w:rPr>
            </w:pPr>
            <w:r w:rsidRPr="007D6641">
              <w:rPr>
                <w:sz w:val="18"/>
              </w:rPr>
              <w:t xml:space="preserve">Régimen de aislamiento total no combinado con otras restricciones </w:t>
            </w:r>
          </w:p>
        </w:tc>
        <w:tc>
          <w:tcPr>
            <w:tcW w:w="657"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10</w:t>
            </w:r>
          </w:p>
        </w:tc>
        <w:tc>
          <w:tcPr>
            <w:tcW w:w="657"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12</w:t>
            </w:r>
          </w:p>
        </w:tc>
        <w:tc>
          <w:tcPr>
            <w:tcW w:w="657"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41</w:t>
            </w:r>
          </w:p>
        </w:tc>
        <w:tc>
          <w:tcPr>
            <w:tcW w:w="657"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1</w:t>
            </w:r>
          </w:p>
        </w:tc>
        <w:tc>
          <w:tcPr>
            <w:tcW w:w="657"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7"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right"/>
              <w:rPr>
                <w:sz w:val="18"/>
              </w:rPr>
            </w:pPr>
            <w:r w:rsidRPr="007D6641">
              <w:rPr>
                <w:sz w:val="18"/>
              </w:rPr>
              <w:t>0</w:t>
            </w:r>
          </w:p>
        </w:tc>
        <w:tc>
          <w:tcPr>
            <w:tcW w:w="658" w:type="dxa"/>
            <w:tcBorders>
              <w:bottom w:val="single" w:sz="4" w:space="0" w:color="auto"/>
            </w:tcBorders>
            <w:shd w:val="clear" w:color="auto" w:fill="auto"/>
          </w:tcPr>
          <w:p w:rsidR="007A4B8D" w:rsidRPr="007D6641" w:rsidRDefault="007A4B8D" w:rsidP="003825AF">
            <w:pPr>
              <w:pStyle w:val="SingleTxtG"/>
              <w:spacing w:before="40" w:after="40" w:line="220" w:lineRule="exact"/>
              <w:ind w:left="0" w:right="0"/>
              <w:jc w:val="right"/>
              <w:rPr>
                <w:b/>
                <w:sz w:val="18"/>
              </w:rPr>
            </w:pPr>
            <w:r w:rsidRPr="007D6641">
              <w:rPr>
                <w:b/>
                <w:sz w:val="18"/>
              </w:rPr>
              <w:t>64</w:t>
            </w:r>
          </w:p>
        </w:tc>
      </w:tr>
      <w:tr w:rsidR="007A4B8D" w:rsidRPr="00F81300" w:rsidTr="003825AF">
        <w:tc>
          <w:tcPr>
            <w:tcW w:w="2866"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284" w:right="0"/>
              <w:jc w:val="left"/>
              <w:rPr>
                <w:b/>
                <w:sz w:val="18"/>
              </w:rPr>
            </w:pPr>
            <w:r w:rsidRPr="007D6641">
              <w:rPr>
                <w:b/>
                <w:sz w:val="18"/>
              </w:rPr>
              <w:t xml:space="preserve">En total </w:t>
            </w:r>
          </w:p>
        </w:tc>
        <w:tc>
          <w:tcPr>
            <w:tcW w:w="657"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0" w:right="0"/>
              <w:jc w:val="right"/>
              <w:rPr>
                <w:b/>
                <w:sz w:val="18"/>
              </w:rPr>
            </w:pPr>
            <w:r w:rsidRPr="007D6641">
              <w:rPr>
                <w:b/>
                <w:sz w:val="18"/>
              </w:rPr>
              <w:t>28</w:t>
            </w:r>
          </w:p>
        </w:tc>
        <w:tc>
          <w:tcPr>
            <w:tcW w:w="657"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0" w:right="0"/>
              <w:jc w:val="right"/>
              <w:rPr>
                <w:b/>
                <w:sz w:val="18"/>
              </w:rPr>
            </w:pPr>
            <w:r w:rsidRPr="007D6641">
              <w:rPr>
                <w:b/>
                <w:sz w:val="18"/>
              </w:rPr>
              <w:t>57</w:t>
            </w:r>
          </w:p>
        </w:tc>
        <w:tc>
          <w:tcPr>
            <w:tcW w:w="657"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0" w:right="0"/>
              <w:jc w:val="right"/>
              <w:rPr>
                <w:b/>
                <w:sz w:val="18"/>
              </w:rPr>
            </w:pPr>
            <w:r w:rsidRPr="007D6641">
              <w:rPr>
                <w:b/>
                <w:sz w:val="18"/>
              </w:rPr>
              <w:t>283</w:t>
            </w:r>
          </w:p>
        </w:tc>
        <w:tc>
          <w:tcPr>
            <w:tcW w:w="657"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0" w:right="0"/>
              <w:jc w:val="right"/>
              <w:rPr>
                <w:b/>
                <w:sz w:val="18"/>
              </w:rPr>
            </w:pPr>
            <w:r w:rsidRPr="007D6641">
              <w:rPr>
                <w:b/>
                <w:sz w:val="18"/>
              </w:rPr>
              <w:t>11</w:t>
            </w:r>
          </w:p>
        </w:tc>
        <w:tc>
          <w:tcPr>
            <w:tcW w:w="657"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0" w:right="0"/>
              <w:jc w:val="right"/>
              <w:rPr>
                <w:b/>
                <w:sz w:val="18"/>
              </w:rPr>
            </w:pPr>
            <w:r w:rsidRPr="007D6641">
              <w:rPr>
                <w:b/>
                <w:sz w:val="18"/>
              </w:rPr>
              <w:t>19</w:t>
            </w:r>
          </w:p>
        </w:tc>
        <w:tc>
          <w:tcPr>
            <w:tcW w:w="657"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0" w:right="0"/>
              <w:jc w:val="right"/>
              <w:rPr>
                <w:b/>
                <w:sz w:val="18"/>
              </w:rPr>
            </w:pPr>
            <w:r w:rsidRPr="007D6641">
              <w:rPr>
                <w:b/>
                <w:sz w:val="18"/>
              </w:rPr>
              <w:t>6</w:t>
            </w:r>
          </w:p>
        </w:tc>
        <w:tc>
          <w:tcPr>
            <w:tcW w:w="658" w:type="dxa"/>
            <w:tcBorders>
              <w:top w:val="single" w:sz="4" w:space="0" w:color="auto"/>
              <w:bottom w:val="single" w:sz="12" w:space="0" w:color="auto"/>
            </w:tcBorders>
            <w:shd w:val="clear" w:color="auto" w:fill="auto"/>
          </w:tcPr>
          <w:p w:rsidR="007A4B8D" w:rsidRPr="007D6641" w:rsidRDefault="007A4B8D" w:rsidP="003825AF">
            <w:pPr>
              <w:pStyle w:val="SingleTxtG"/>
              <w:spacing w:before="80" w:after="80" w:line="220" w:lineRule="exact"/>
              <w:ind w:left="0" w:right="0"/>
              <w:jc w:val="right"/>
              <w:rPr>
                <w:b/>
                <w:sz w:val="18"/>
              </w:rPr>
            </w:pPr>
            <w:r w:rsidRPr="007D6641">
              <w:rPr>
                <w:b/>
                <w:sz w:val="18"/>
              </w:rPr>
              <w:t>404</w:t>
            </w:r>
          </w:p>
        </w:tc>
      </w:tr>
    </w:tbl>
    <w:p w:rsidR="007A4B8D" w:rsidRPr="007C1851" w:rsidRDefault="007A4B8D" w:rsidP="007A4B8D">
      <w:pPr>
        <w:pStyle w:val="SingleTxtG"/>
        <w:spacing w:before="240"/>
      </w:pPr>
      <w:r w:rsidRPr="007C1851">
        <w:t>135.</w:t>
      </w:r>
      <w:r w:rsidRPr="007C1851">
        <w:tab/>
        <w:t>Durante los primeros nueve meses de 2009, nadie ha estado en régimen de aislamiento total por un período superior a 90 días, y solamente una persona ha estado en régimen de aislamiento total durante un período de</w:t>
      </w:r>
      <w:r>
        <w:t xml:space="preserve"> entre</w:t>
      </w:r>
      <w:r w:rsidRPr="007C1851">
        <w:t xml:space="preserve"> 60 </w:t>
      </w:r>
      <w:r>
        <w:t>y</w:t>
      </w:r>
      <w:r w:rsidRPr="007C1851">
        <w:t xml:space="preserve"> 89 días.</w:t>
      </w:r>
    </w:p>
    <w:p w:rsidR="007A4B8D" w:rsidRPr="007C1851" w:rsidRDefault="007A4B8D" w:rsidP="007A4B8D">
      <w:pPr>
        <w:pStyle w:val="SingleTxtG"/>
      </w:pPr>
      <w:r w:rsidRPr="007C1851">
        <w:t>136.</w:t>
      </w:r>
      <w:r w:rsidRPr="007C1851">
        <w:tab/>
        <w:t>El marco legal para la prisión provisional en general y</w:t>
      </w:r>
      <w:r>
        <w:t>, en particular,</w:t>
      </w:r>
      <w:r w:rsidRPr="007C1851">
        <w:t xml:space="preserve"> la imposición de restricciones durante el período de la </w:t>
      </w:r>
      <w:r>
        <w:t>prisión provisional en especial</w:t>
      </w:r>
      <w:r w:rsidRPr="007C1851">
        <w:t xml:space="preserve"> ha</w:t>
      </w:r>
      <w:r>
        <w:t>n</w:t>
      </w:r>
      <w:r w:rsidRPr="007C1851">
        <w:t xml:space="preserve"> sufrido modificaciones sustantivas durante los últimos años. El artículo 186 a) de la Ley de procedimiento penal entró en vigor el 1º de octubre de 2002. El Ministerio de Justicia y Policía vigilará su aplicación, y la práctica real se evaluará como un elemento más de las futuras revisiones de </w:t>
      </w:r>
      <w:r>
        <w:t>dicha ley</w:t>
      </w:r>
      <w:r w:rsidRPr="007C1851">
        <w:t>.</w:t>
      </w:r>
    </w:p>
    <w:p w:rsidR="007A4B8D" w:rsidRPr="007C1851" w:rsidRDefault="007A4B8D" w:rsidP="007A4B8D">
      <w:pPr>
        <w:pStyle w:val="H4G"/>
      </w:pPr>
      <w:r w:rsidRPr="007C1851">
        <w:tab/>
      </w:r>
      <w:r w:rsidRPr="007C1851">
        <w:tab/>
      </w:r>
      <w:bookmarkStart w:id="74" w:name="_Toc278878482"/>
      <w:r w:rsidRPr="007C1851">
        <w:t xml:space="preserve">Mejora </w:t>
      </w:r>
      <w:r>
        <w:t>de</w:t>
      </w:r>
      <w:r w:rsidRPr="007C1851">
        <w:t xml:space="preserve"> las condiciones </w:t>
      </w:r>
      <w:r>
        <w:t>de</w:t>
      </w:r>
      <w:r w:rsidRPr="007C1851">
        <w:t xml:space="preserve"> los presos en prisión provisional</w:t>
      </w:r>
      <w:bookmarkEnd w:id="74"/>
    </w:p>
    <w:p w:rsidR="007A4B8D" w:rsidRPr="007C1851" w:rsidRDefault="007A4B8D" w:rsidP="007A4B8D">
      <w:pPr>
        <w:pStyle w:val="SingleTxtG"/>
      </w:pPr>
      <w:r w:rsidRPr="007C1851">
        <w:t>137.</w:t>
      </w:r>
      <w:r w:rsidRPr="007C1851">
        <w:tab/>
        <w:t xml:space="preserve">En julio de 2006 se aprobó una nueva ley sobre el uso de las instalaciones de detención policial. Un aspecto clave de este nuevo reglamento era la necesidad de evitar muertes durante la detención y, en general, de mejorar las condiciones </w:t>
      </w:r>
      <w:r>
        <w:t>de</w:t>
      </w:r>
      <w:r w:rsidRPr="007C1851">
        <w:t xml:space="preserve"> las personas en prisión provisional</w:t>
      </w:r>
      <w:r>
        <w:t>. El nuevo reglamento estableció</w:t>
      </w:r>
      <w:r w:rsidRPr="007C1851">
        <w:t xml:space="preserve"> un mecanismo de control central y varios de índole local. El mecanismo central lo componen representantes de la Dirección Nacional de Policía y de la oficina perti</w:t>
      </w:r>
      <w:r>
        <w:t>nente de la Fiscalía del Estado, que</w:t>
      </w:r>
      <w:r w:rsidRPr="007C1851">
        <w:t xml:space="preserve"> </w:t>
      </w:r>
      <w:r>
        <w:t>l</w:t>
      </w:r>
      <w:r w:rsidRPr="007C1851">
        <w:t>levan a cabo visitas de inspección para velar por que los centros de detención estén equipados y se empleen de acuerdo con todas las leyes pertinentes, especialmente en lo relativo al estado de salud del preso. Además, cada distrito policial debe establecer un mecanismo local de control, que también se encarga de velar por que los presos reciban información adecuada sobre sus derechos.</w:t>
      </w:r>
    </w:p>
    <w:p w:rsidR="007A4B8D" w:rsidRDefault="007A4B8D" w:rsidP="007A4B8D">
      <w:pPr>
        <w:pStyle w:val="SingleTxtG"/>
      </w:pPr>
      <w:r>
        <w:t>138.</w:t>
      </w:r>
      <w:r>
        <w:tab/>
        <w:t>La L</w:t>
      </w:r>
      <w:r w:rsidRPr="007C1851">
        <w:t>ey de 2006 establece que una persona que no es capaz de cuidar de sí misma a causa de un</w:t>
      </w:r>
      <w:r>
        <w:t xml:space="preserve"> estado de</w:t>
      </w:r>
      <w:r w:rsidRPr="007C1851">
        <w:t xml:space="preserve"> intoxicación debe ser examinada por un médico antes de su ingreso en una celda policial. Durante la detención policial, todo preso tiene derecho a ponerse en contacto con un médico para recibir la asistencia médica necesaria. En cualquier caso, debe comprobarse cada media hora como mínimo el estado de los presos que están enfermos o que parecen sufrir una intoxicación.</w:t>
      </w:r>
    </w:p>
    <w:p w:rsidR="007A4B8D" w:rsidRPr="007C1851" w:rsidRDefault="007A4B8D" w:rsidP="007A4B8D">
      <w:pPr>
        <w:pStyle w:val="SingleTxtG"/>
      </w:pPr>
      <w:r>
        <w:t>139.</w:t>
      </w:r>
      <w:r>
        <w:tab/>
        <w:t>En 2008</w:t>
      </w:r>
      <w:r w:rsidRPr="007C1851">
        <w:t xml:space="preserve"> el Ministerio de Justicia y Policía nombró a una comisión para estudiar diversos mecanismos de control en relación con la policía. </w:t>
      </w:r>
      <w:r>
        <w:t>E</w:t>
      </w:r>
      <w:r w:rsidRPr="007C1851">
        <w:t>n mayo de 2009</w:t>
      </w:r>
      <w:r>
        <w:t xml:space="preserve"> l</w:t>
      </w:r>
      <w:r w:rsidRPr="007C1851">
        <w:t>a comisión presentó su informe</w:t>
      </w:r>
      <w:r>
        <w:t>, una de cuyas</w:t>
      </w:r>
      <w:r w:rsidRPr="007C1851">
        <w:t xml:space="preserve"> conclusi</w:t>
      </w:r>
      <w:r>
        <w:t>ones</w:t>
      </w:r>
      <w:r w:rsidRPr="007C1851">
        <w:t xml:space="preserve"> importante</w:t>
      </w:r>
      <w:r>
        <w:t>s</w:t>
      </w:r>
      <w:r w:rsidRPr="007C1851">
        <w:t xml:space="preserve"> fue que los nuevos mecanismos de control para los centros de detención representaban un paso importante en la denuncia y la prevención de incidentes no deseados. La comisión recomendó que en los mecanismos de control hubiera representantes de la sociedad civil</w:t>
      </w:r>
      <w:r>
        <w:t xml:space="preserve"> y que se</w:t>
      </w:r>
      <w:r w:rsidRPr="007C1851">
        <w:t xml:space="preserve"> elabora</w:t>
      </w:r>
      <w:r>
        <w:t>ra</w:t>
      </w:r>
      <w:r w:rsidRPr="007C1851">
        <w:t xml:space="preserve"> una carpeta con información por escrito para los presos.</w:t>
      </w:r>
    </w:p>
    <w:p w:rsidR="007A4B8D" w:rsidRPr="007C1851" w:rsidRDefault="007A4B8D" w:rsidP="007A4B8D">
      <w:pPr>
        <w:pStyle w:val="SingleTxtG"/>
      </w:pPr>
      <w:r w:rsidRPr="007C1851">
        <w:t>140.</w:t>
      </w:r>
      <w:r w:rsidRPr="007C1851">
        <w:tab/>
        <w:t xml:space="preserve">Para más detalles sobre </w:t>
      </w:r>
      <w:r>
        <w:t>atención</w:t>
      </w:r>
      <w:r w:rsidRPr="007C1851">
        <w:t xml:space="preserve"> de la salud y casos de muerte en las prisiones, se remite al artículo 10.</w:t>
      </w:r>
    </w:p>
    <w:p w:rsidR="007A4B8D" w:rsidRDefault="007A4B8D" w:rsidP="007A4B8D">
      <w:pPr>
        <w:pStyle w:val="H23G"/>
      </w:pPr>
      <w:bookmarkStart w:id="75" w:name="_Toc246693235"/>
      <w:r w:rsidRPr="007C1851">
        <w:tab/>
      </w:r>
      <w:r w:rsidRPr="007C1851">
        <w:tab/>
      </w:r>
      <w:bookmarkStart w:id="76" w:name="_Toc278878483"/>
      <w:r w:rsidRPr="007C1851">
        <w:t xml:space="preserve">Encarcelamiento de </w:t>
      </w:r>
      <w:r>
        <w:t>ciudadanos</w:t>
      </w:r>
      <w:r w:rsidRPr="007C1851">
        <w:t xml:space="preserve"> extranjeros</w:t>
      </w:r>
      <w:bookmarkEnd w:id="75"/>
      <w:bookmarkEnd w:id="76"/>
    </w:p>
    <w:p w:rsidR="007A4B8D" w:rsidRPr="007C1851" w:rsidRDefault="007A4B8D" w:rsidP="007A4B8D">
      <w:pPr>
        <w:pStyle w:val="SingleTxtG"/>
      </w:pPr>
      <w:r w:rsidRPr="007C1851">
        <w:t>141.</w:t>
      </w:r>
      <w:r w:rsidRPr="007C1851">
        <w:tab/>
        <w:t xml:space="preserve">Se </w:t>
      </w:r>
      <w:r>
        <w:t>hace referencia</w:t>
      </w:r>
      <w:r w:rsidRPr="007C1851">
        <w:t xml:space="preserve"> a los párrafos 105 a 111 del quinto informe </w:t>
      </w:r>
      <w:r>
        <w:t xml:space="preserve">periódico </w:t>
      </w:r>
      <w:r w:rsidRPr="007C1851">
        <w:t>de Noruega. Fundamentalmente, la Ley de inmigración de 2008 mantiene los artículos 37 (detención a efectos de identificación) y 41 (detención a efectos de la ejecución de ciertas decisiones) en la Ley de inmigración actual, aunque hay algunas disposiciones nuevas.</w:t>
      </w:r>
    </w:p>
    <w:p w:rsidR="007A4B8D" w:rsidRDefault="007A4B8D" w:rsidP="007A4B8D">
      <w:pPr>
        <w:pStyle w:val="SingleTxtG"/>
      </w:pPr>
      <w:r w:rsidRPr="007C1851">
        <w:t>142.</w:t>
      </w:r>
      <w:r w:rsidRPr="007C1851">
        <w:tab/>
        <w:t>Se</w:t>
      </w:r>
      <w:r>
        <w:t xml:space="preserve">gún el artículo 106, párrafo 1 </w:t>
      </w:r>
      <w:r w:rsidRPr="007C1851">
        <w:t>b</w:t>
      </w:r>
      <w:r>
        <w:t>)</w:t>
      </w:r>
      <w:r w:rsidRPr="007C1851">
        <w:t xml:space="preserve">, </w:t>
      </w:r>
      <w:r>
        <w:t xml:space="preserve">se </w:t>
      </w:r>
      <w:r w:rsidRPr="007C1851">
        <w:t xml:space="preserve">puede arrestar a un </w:t>
      </w:r>
      <w:r>
        <w:t>ciudadano</w:t>
      </w:r>
      <w:r w:rsidRPr="007C1851">
        <w:t xml:space="preserve"> extranjero y decretar prisión provisional si es </w:t>
      </w:r>
      <w:r w:rsidRPr="00FC6981">
        <w:t>sumamente probable</w:t>
      </w:r>
      <w:r w:rsidRPr="007C1851">
        <w:rPr>
          <w:i/>
        </w:rPr>
        <w:t xml:space="preserve"> </w:t>
      </w:r>
      <w:r w:rsidRPr="007C1851">
        <w:t xml:space="preserve">que </w:t>
      </w:r>
      <w:r>
        <w:t>esa</w:t>
      </w:r>
      <w:r w:rsidRPr="007C1851">
        <w:t xml:space="preserve"> </w:t>
      </w:r>
      <w:r>
        <w:t xml:space="preserve">persona </w:t>
      </w:r>
      <w:r w:rsidRPr="007C1851">
        <w:t xml:space="preserve">no acate una decisión que le insta a abandonar el Reino. </w:t>
      </w:r>
      <w:r>
        <w:t>De conformidad con</w:t>
      </w:r>
      <w:r w:rsidRPr="007C1851">
        <w:t xml:space="preserve"> la Ley de inmigración vigente, la condición para la detención y la </w:t>
      </w:r>
      <w:r>
        <w:t>prisión preventiva</w:t>
      </w:r>
      <w:r w:rsidRPr="007C1851">
        <w:t xml:space="preserve"> es que es </w:t>
      </w:r>
      <w:r w:rsidRPr="00FC6981">
        <w:t>necesaria</w:t>
      </w:r>
      <w:r w:rsidRPr="007C1851">
        <w:t xml:space="preserve"> para garantizar el acatamiento. No debería </w:t>
      </w:r>
      <w:r>
        <w:t>recurrirse a tales medidas</w:t>
      </w:r>
      <w:r w:rsidRPr="007C1851">
        <w:t xml:space="preserve"> si, en su lugar, se puede ordenar la entrega del pasaporte, la obligación de presentarse ante la autoridad o de permanecer en un lugar de residencia concreto </w:t>
      </w:r>
      <w:r>
        <w:t>(véase el</w:t>
      </w:r>
      <w:r w:rsidRPr="007C1851">
        <w:t xml:space="preserve"> quinto informe </w:t>
      </w:r>
      <w:r>
        <w:t>periódico de Noruega, párr.</w:t>
      </w:r>
      <w:r w:rsidRPr="007C1851">
        <w:t xml:space="preserve"> 109</w:t>
      </w:r>
      <w:r>
        <w:t>)</w:t>
      </w:r>
      <w:r w:rsidRPr="007C1851">
        <w:t>.</w:t>
      </w:r>
    </w:p>
    <w:p w:rsidR="007A4B8D" w:rsidRPr="007C1851" w:rsidRDefault="007A4B8D" w:rsidP="007A4B8D">
      <w:pPr>
        <w:pStyle w:val="SingleTxtG"/>
      </w:pPr>
      <w:r w:rsidRPr="007C1851">
        <w:t>143.</w:t>
      </w:r>
      <w:r w:rsidRPr="007C1851">
        <w:tab/>
        <w:t xml:space="preserve">Un </w:t>
      </w:r>
      <w:r>
        <w:t>ciudadano</w:t>
      </w:r>
      <w:r w:rsidRPr="007C1851">
        <w:t xml:space="preserve"> extranjero que sea detenido y retenido en prisión provisional con arreglo al artículo 106, párrafo 1, debería, como normal general, ser trasladado a un centro de retención para extranjeros (</w:t>
      </w:r>
      <w:r>
        <w:t xml:space="preserve">en </w:t>
      </w:r>
      <w:r w:rsidRPr="00FC6981">
        <w:t>Trandum</w:t>
      </w:r>
      <w:r w:rsidRPr="007C1851">
        <w:t>). El artículo 107 de la Ley de inmigración de 2008 ma</w:t>
      </w:r>
      <w:r>
        <w:t>ntiene el artículo 37 d) de la L</w:t>
      </w:r>
      <w:r w:rsidRPr="007C1851">
        <w:t xml:space="preserve">ey de inmigración vigente. El artículo 37 d) fue modificado en 2007 con el fin de fijar unos derechos claros y concretos para los </w:t>
      </w:r>
      <w:r>
        <w:t>ciudadanos</w:t>
      </w:r>
      <w:r w:rsidRPr="007C1851">
        <w:t xml:space="preserve"> extranjeros y unos límites </w:t>
      </w:r>
      <w:r>
        <w:t>precisos al</w:t>
      </w:r>
      <w:r w:rsidRPr="007C1851">
        <w:t xml:space="preserve"> control y el uso de la fuerza por parte de la policía.</w:t>
      </w:r>
    </w:p>
    <w:p w:rsidR="007A4B8D" w:rsidRDefault="007A4B8D" w:rsidP="007A4B8D">
      <w:pPr>
        <w:pStyle w:val="SingleTxtG"/>
      </w:pPr>
      <w:r w:rsidRPr="007C1851">
        <w:t>144.</w:t>
      </w:r>
      <w:r w:rsidRPr="007C1851">
        <w:tab/>
        <w:t>Según el artículo 106, párrafo 2</w:t>
      </w:r>
      <w:r>
        <w:t>,</w:t>
      </w:r>
      <w:r w:rsidRPr="007C1851">
        <w:t xml:space="preserve"> de la Ley de inmigración de 2008, la detención la ordena </w:t>
      </w:r>
      <w:r w:rsidRPr="007E2E2C">
        <w:t xml:space="preserve">el jefe de la policía o la persona autorizada por </w:t>
      </w:r>
      <w:r>
        <w:t>éste</w:t>
      </w:r>
      <w:r w:rsidRPr="007E2E2C">
        <w:t>.</w:t>
      </w:r>
      <w:r w:rsidRPr="007C1851">
        <w:t xml:space="preserve"> Con arreglo a la Ley de inmigración vigente, la orden de detención la cursa la </w:t>
      </w:r>
      <w:r w:rsidRPr="007E2E2C">
        <w:t>fiscalía</w:t>
      </w:r>
      <w:r>
        <w:t>. De conformidad c</w:t>
      </w:r>
      <w:r w:rsidRPr="007C1851">
        <w:t xml:space="preserve">on </w:t>
      </w:r>
      <w:r>
        <w:t>e</w:t>
      </w:r>
      <w:r w:rsidRPr="007C1851">
        <w:t xml:space="preserve">l artículo 106, </w:t>
      </w:r>
      <w:r>
        <w:t>párrafo 1</w:t>
      </w:r>
      <w:r w:rsidRPr="007C1851">
        <w:t xml:space="preserve"> b) y c), una orden de prisión provisional no puede superar las cuatro semanas. El período total de prisión provisional no puede superar las 12 semanas, salvo que haya motivos concretos para lo contrario. Según la Ley de inmigración vigente, la detención se decreta por un período de dos semanas cada vez, y el período total de detención no puede superar las seis semanas. Con arre</w:t>
      </w:r>
      <w:r>
        <w:t xml:space="preserve">glo al artículo 106, párrafo 1 </w:t>
      </w:r>
      <w:r w:rsidRPr="007C1851">
        <w:t xml:space="preserve">a), en el momento de revisar la decisión puede decretarse prisión provisional por un período superior a las cuatro semanas si hay motivos </w:t>
      </w:r>
      <w:r>
        <w:t>concretos para creer que, pasado</w:t>
      </w:r>
      <w:r w:rsidRPr="007C1851">
        <w:t xml:space="preserve"> </w:t>
      </w:r>
      <w:r>
        <w:t>este período</w:t>
      </w:r>
      <w:r w:rsidRPr="007C1851">
        <w:t>, una revisión será irrelevante.</w:t>
      </w:r>
    </w:p>
    <w:p w:rsidR="007A4B8D" w:rsidRDefault="007A4B8D" w:rsidP="007A4B8D">
      <w:pPr>
        <w:pStyle w:val="SingleTxtG"/>
        <w:spacing w:line="240" w:lineRule="auto"/>
      </w:pPr>
      <w:r w:rsidRPr="00892FF1">
        <w:t>145.</w:t>
      </w:r>
      <w:r w:rsidRPr="00892FF1">
        <w:tab/>
        <w:t xml:space="preserve">El cuadro siguiente recopila y actualiza las cifras de los detenidos recluidos en </w:t>
      </w:r>
      <w:r>
        <w:t xml:space="preserve">el centro de </w:t>
      </w:r>
      <w:r w:rsidRPr="00366B39">
        <w:t>Trandum</w:t>
      </w:r>
      <w:r w:rsidRPr="00892FF1">
        <w:t xml:space="preserve"> y en cárceles ordinarias. Los datos anteriores a 2007 para las prisiones ordinarias no están disponibles. Las cifras relativas a los detenidos en </w:t>
      </w:r>
      <w:r w:rsidRPr="00366B39">
        <w:t>Trandum</w:t>
      </w:r>
      <w:r w:rsidRPr="00892FF1">
        <w:t xml:space="preserve"> proceden de la propia recopilación de estadísticas de </w:t>
      </w:r>
      <w:r>
        <w:t>ese centro</w:t>
      </w:r>
      <w:r w:rsidRPr="00892FF1">
        <w:t xml:space="preserve">, mientras que la información sobre las personas detenidas en prisiones ordinarias procede del Departamento de Prisiones, Libertad Condicional y Ayuda Pospenitenciaria del Ministerio de Justicia. </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90"/>
        <w:gridCol w:w="1974"/>
        <w:gridCol w:w="1567"/>
        <w:gridCol w:w="1735"/>
        <w:gridCol w:w="1338"/>
      </w:tblGrid>
      <w:tr w:rsidR="007A4B8D" w:rsidRPr="00C46E89" w:rsidTr="00BF7D4C">
        <w:trPr>
          <w:trHeight w:val="705"/>
        </w:trPr>
        <w:tc>
          <w:tcPr>
            <w:tcW w:w="1890" w:type="dxa"/>
            <w:tcBorders>
              <w:top w:val="single" w:sz="4" w:space="0" w:color="auto"/>
              <w:bottom w:val="single" w:sz="12" w:space="0" w:color="auto"/>
            </w:tcBorders>
            <w:shd w:val="clear" w:color="auto" w:fill="auto"/>
            <w:vAlign w:val="bottom"/>
          </w:tcPr>
          <w:p w:rsidR="007A4B8D" w:rsidRPr="00C46E89" w:rsidRDefault="007A4B8D" w:rsidP="003825AF">
            <w:pPr>
              <w:spacing w:before="80" w:after="80" w:line="240" w:lineRule="auto"/>
              <w:rPr>
                <w:i/>
                <w:sz w:val="16"/>
                <w:szCs w:val="16"/>
              </w:rPr>
            </w:pPr>
            <w:r w:rsidRPr="00C46E89">
              <w:rPr>
                <w:i/>
                <w:sz w:val="16"/>
                <w:szCs w:val="16"/>
              </w:rPr>
              <w:t>Año</w:t>
            </w:r>
          </w:p>
        </w:tc>
        <w:tc>
          <w:tcPr>
            <w:tcW w:w="1974" w:type="dxa"/>
            <w:tcBorders>
              <w:top w:val="single" w:sz="4" w:space="0" w:color="auto"/>
              <w:bottom w:val="single" w:sz="12" w:space="0" w:color="auto"/>
            </w:tcBorders>
            <w:shd w:val="clear" w:color="auto" w:fill="auto"/>
            <w:vAlign w:val="bottom"/>
          </w:tcPr>
          <w:p w:rsidR="007A4B8D" w:rsidRPr="00C46E89" w:rsidRDefault="007A4B8D" w:rsidP="003825AF">
            <w:pPr>
              <w:spacing w:before="80" w:after="80" w:line="240" w:lineRule="auto"/>
              <w:jc w:val="right"/>
              <w:rPr>
                <w:i/>
                <w:sz w:val="16"/>
                <w:szCs w:val="16"/>
              </w:rPr>
            </w:pPr>
            <w:r w:rsidRPr="00C46E89">
              <w:rPr>
                <w:i/>
                <w:sz w:val="16"/>
                <w:szCs w:val="16"/>
              </w:rPr>
              <w:t>Número de detenidos</w:t>
            </w:r>
            <w:r w:rsidR="00231656">
              <w:rPr>
                <w:i/>
                <w:sz w:val="16"/>
                <w:szCs w:val="16"/>
              </w:rPr>
              <w:br/>
            </w:r>
            <w:r w:rsidRPr="00C46E89">
              <w:rPr>
                <w:i/>
                <w:sz w:val="16"/>
                <w:szCs w:val="16"/>
              </w:rPr>
              <w:t xml:space="preserve">en </w:t>
            </w:r>
            <w:r w:rsidRPr="00B25979">
              <w:rPr>
                <w:i/>
                <w:sz w:val="16"/>
                <w:szCs w:val="16"/>
              </w:rPr>
              <w:t>Trandum</w:t>
            </w:r>
          </w:p>
        </w:tc>
        <w:tc>
          <w:tcPr>
            <w:tcW w:w="1567" w:type="dxa"/>
            <w:tcBorders>
              <w:top w:val="single" w:sz="4" w:space="0" w:color="auto"/>
              <w:bottom w:val="single" w:sz="12" w:space="0" w:color="auto"/>
            </w:tcBorders>
            <w:shd w:val="clear" w:color="auto" w:fill="auto"/>
            <w:vAlign w:val="bottom"/>
          </w:tcPr>
          <w:p w:rsidR="007A4B8D" w:rsidRPr="00C46E89" w:rsidRDefault="007A4B8D" w:rsidP="003825AF">
            <w:pPr>
              <w:spacing w:before="80" w:after="80" w:line="240" w:lineRule="auto"/>
              <w:jc w:val="right"/>
              <w:rPr>
                <w:i/>
                <w:sz w:val="16"/>
                <w:szCs w:val="16"/>
              </w:rPr>
            </w:pPr>
            <w:r w:rsidRPr="00C46E89">
              <w:rPr>
                <w:i/>
                <w:sz w:val="16"/>
                <w:szCs w:val="16"/>
              </w:rPr>
              <w:t>Detenidos por</w:t>
            </w:r>
            <w:r w:rsidR="00BF7D4C">
              <w:rPr>
                <w:i/>
                <w:sz w:val="16"/>
                <w:szCs w:val="16"/>
              </w:rPr>
              <w:br/>
            </w:r>
            <w:r w:rsidRPr="00C46E89">
              <w:rPr>
                <w:i/>
                <w:sz w:val="16"/>
                <w:szCs w:val="16"/>
              </w:rPr>
              <w:t>decisión judicial</w:t>
            </w:r>
          </w:p>
        </w:tc>
        <w:tc>
          <w:tcPr>
            <w:tcW w:w="1735" w:type="dxa"/>
            <w:tcBorders>
              <w:top w:val="single" w:sz="4" w:space="0" w:color="auto"/>
              <w:bottom w:val="single" w:sz="12" w:space="0" w:color="auto"/>
            </w:tcBorders>
            <w:shd w:val="clear" w:color="auto" w:fill="auto"/>
            <w:vAlign w:val="bottom"/>
          </w:tcPr>
          <w:p w:rsidR="007A4B8D" w:rsidRPr="00C46E89" w:rsidRDefault="007A4B8D" w:rsidP="003825AF">
            <w:pPr>
              <w:spacing w:before="80" w:after="80" w:line="240" w:lineRule="auto"/>
              <w:jc w:val="right"/>
              <w:rPr>
                <w:i/>
                <w:sz w:val="16"/>
                <w:szCs w:val="16"/>
              </w:rPr>
            </w:pPr>
            <w:r w:rsidRPr="00C46E89">
              <w:rPr>
                <w:i/>
                <w:sz w:val="16"/>
                <w:szCs w:val="16"/>
              </w:rPr>
              <w:t>Número de detenidos en prisiones ordinarias</w:t>
            </w:r>
          </w:p>
        </w:tc>
        <w:tc>
          <w:tcPr>
            <w:tcW w:w="1338" w:type="dxa"/>
            <w:tcBorders>
              <w:top w:val="single" w:sz="4" w:space="0" w:color="auto"/>
              <w:bottom w:val="single" w:sz="12" w:space="0" w:color="auto"/>
            </w:tcBorders>
            <w:shd w:val="clear" w:color="auto" w:fill="auto"/>
            <w:vAlign w:val="bottom"/>
          </w:tcPr>
          <w:p w:rsidR="007A4B8D" w:rsidRPr="00C46E89" w:rsidRDefault="007A4B8D" w:rsidP="003825AF">
            <w:pPr>
              <w:spacing w:before="80" w:after="80" w:line="240" w:lineRule="auto"/>
              <w:jc w:val="right"/>
              <w:rPr>
                <w:b/>
                <w:i/>
                <w:sz w:val="16"/>
                <w:szCs w:val="16"/>
              </w:rPr>
            </w:pPr>
            <w:r w:rsidRPr="00C46E89">
              <w:rPr>
                <w:b/>
                <w:i/>
                <w:sz w:val="16"/>
                <w:szCs w:val="16"/>
              </w:rPr>
              <w:t xml:space="preserve">Número total de detenidos </w:t>
            </w:r>
          </w:p>
        </w:tc>
      </w:tr>
      <w:tr w:rsidR="007A4B8D" w:rsidRPr="00C46E89" w:rsidTr="00BF7D4C">
        <w:tc>
          <w:tcPr>
            <w:tcW w:w="1890" w:type="dxa"/>
            <w:tcBorders>
              <w:top w:val="single" w:sz="12" w:space="0" w:color="auto"/>
            </w:tcBorders>
            <w:shd w:val="clear" w:color="auto" w:fill="auto"/>
            <w:vAlign w:val="bottom"/>
          </w:tcPr>
          <w:p w:rsidR="007A4B8D" w:rsidRPr="00C46E89" w:rsidRDefault="007A4B8D" w:rsidP="003825AF">
            <w:pPr>
              <w:spacing w:before="40" w:after="40" w:line="220" w:lineRule="exact"/>
              <w:rPr>
                <w:sz w:val="18"/>
                <w:szCs w:val="18"/>
              </w:rPr>
            </w:pPr>
            <w:r w:rsidRPr="00C46E89">
              <w:rPr>
                <w:sz w:val="18"/>
                <w:szCs w:val="18"/>
              </w:rPr>
              <w:t>2003</w:t>
            </w:r>
          </w:p>
        </w:tc>
        <w:tc>
          <w:tcPr>
            <w:tcW w:w="1974" w:type="dxa"/>
            <w:tcBorders>
              <w:top w:val="single" w:sz="12" w:space="0" w:color="auto"/>
            </w:tcBorders>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5</w:t>
            </w:r>
            <w:r>
              <w:rPr>
                <w:sz w:val="18"/>
                <w:szCs w:val="18"/>
              </w:rPr>
              <w:t xml:space="preserve"> </w:t>
            </w:r>
            <w:r w:rsidRPr="00C46E89">
              <w:rPr>
                <w:sz w:val="18"/>
                <w:szCs w:val="18"/>
              </w:rPr>
              <w:t>515</w:t>
            </w:r>
          </w:p>
        </w:tc>
        <w:tc>
          <w:tcPr>
            <w:tcW w:w="1567" w:type="dxa"/>
            <w:tcBorders>
              <w:top w:val="single" w:sz="12" w:space="0" w:color="auto"/>
            </w:tcBorders>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164</w:t>
            </w:r>
          </w:p>
        </w:tc>
        <w:tc>
          <w:tcPr>
            <w:tcW w:w="1735" w:type="dxa"/>
            <w:tcBorders>
              <w:top w:val="single" w:sz="12" w:space="0" w:color="auto"/>
            </w:tcBorders>
            <w:shd w:val="clear" w:color="auto" w:fill="auto"/>
            <w:vAlign w:val="bottom"/>
          </w:tcPr>
          <w:p w:rsidR="007A4B8D" w:rsidRPr="00C46E89" w:rsidRDefault="007A4B8D" w:rsidP="003825AF">
            <w:pPr>
              <w:spacing w:before="40" w:after="40" w:line="220" w:lineRule="exact"/>
              <w:jc w:val="right"/>
              <w:rPr>
                <w:sz w:val="18"/>
                <w:szCs w:val="18"/>
              </w:rPr>
            </w:pPr>
          </w:p>
        </w:tc>
        <w:tc>
          <w:tcPr>
            <w:tcW w:w="1338" w:type="dxa"/>
            <w:tcBorders>
              <w:top w:val="single" w:sz="12" w:space="0" w:color="auto"/>
            </w:tcBorders>
            <w:shd w:val="clear" w:color="auto" w:fill="auto"/>
            <w:vAlign w:val="bottom"/>
          </w:tcPr>
          <w:p w:rsidR="007A4B8D" w:rsidRPr="00C46E89" w:rsidRDefault="007A4B8D" w:rsidP="003825AF">
            <w:pPr>
              <w:spacing w:before="40" w:after="40" w:line="220" w:lineRule="exact"/>
              <w:jc w:val="right"/>
              <w:rPr>
                <w:b/>
                <w:sz w:val="18"/>
                <w:szCs w:val="18"/>
              </w:rPr>
            </w:pPr>
          </w:p>
        </w:tc>
      </w:tr>
      <w:tr w:rsidR="007A4B8D" w:rsidRPr="00C46E89" w:rsidTr="00BF7D4C">
        <w:tc>
          <w:tcPr>
            <w:tcW w:w="1890" w:type="dxa"/>
            <w:shd w:val="clear" w:color="auto" w:fill="auto"/>
            <w:vAlign w:val="bottom"/>
          </w:tcPr>
          <w:p w:rsidR="007A4B8D" w:rsidRPr="00C46E89" w:rsidRDefault="007A4B8D" w:rsidP="003825AF">
            <w:pPr>
              <w:spacing w:before="40" w:after="40" w:line="220" w:lineRule="exact"/>
              <w:rPr>
                <w:sz w:val="18"/>
                <w:szCs w:val="18"/>
              </w:rPr>
            </w:pPr>
            <w:r w:rsidRPr="00C46E89">
              <w:rPr>
                <w:sz w:val="18"/>
                <w:szCs w:val="18"/>
              </w:rPr>
              <w:t>2004</w:t>
            </w:r>
          </w:p>
        </w:tc>
        <w:tc>
          <w:tcPr>
            <w:tcW w:w="1974"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4</w:t>
            </w:r>
            <w:r>
              <w:rPr>
                <w:sz w:val="18"/>
                <w:szCs w:val="18"/>
              </w:rPr>
              <w:t xml:space="preserve"> </w:t>
            </w:r>
            <w:r w:rsidRPr="00C46E89">
              <w:rPr>
                <w:sz w:val="18"/>
                <w:szCs w:val="18"/>
              </w:rPr>
              <w:t>365</w:t>
            </w:r>
          </w:p>
        </w:tc>
        <w:tc>
          <w:tcPr>
            <w:tcW w:w="1567"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271</w:t>
            </w:r>
          </w:p>
        </w:tc>
        <w:tc>
          <w:tcPr>
            <w:tcW w:w="1735" w:type="dxa"/>
            <w:shd w:val="clear" w:color="auto" w:fill="auto"/>
            <w:vAlign w:val="bottom"/>
          </w:tcPr>
          <w:p w:rsidR="007A4B8D" w:rsidRPr="00C46E89" w:rsidRDefault="007A4B8D" w:rsidP="003825AF">
            <w:pPr>
              <w:spacing w:before="40" w:after="40" w:line="220" w:lineRule="exact"/>
              <w:jc w:val="right"/>
              <w:rPr>
                <w:sz w:val="18"/>
                <w:szCs w:val="18"/>
              </w:rPr>
            </w:pPr>
          </w:p>
        </w:tc>
        <w:tc>
          <w:tcPr>
            <w:tcW w:w="1338" w:type="dxa"/>
            <w:shd w:val="clear" w:color="auto" w:fill="auto"/>
            <w:vAlign w:val="bottom"/>
          </w:tcPr>
          <w:p w:rsidR="007A4B8D" w:rsidRPr="00C46E89" w:rsidRDefault="007A4B8D" w:rsidP="003825AF">
            <w:pPr>
              <w:spacing w:before="40" w:after="40" w:line="220" w:lineRule="exact"/>
              <w:jc w:val="right"/>
              <w:rPr>
                <w:b/>
                <w:sz w:val="18"/>
                <w:szCs w:val="18"/>
              </w:rPr>
            </w:pPr>
          </w:p>
        </w:tc>
      </w:tr>
      <w:tr w:rsidR="007A4B8D" w:rsidRPr="00C46E89" w:rsidTr="00BF7D4C">
        <w:tc>
          <w:tcPr>
            <w:tcW w:w="1890" w:type="dxa"/>
            <w:shd w:val="clear" w:color="auto" w:fill="auto"/>
            <w:vAlign w:val="bottom"/>
          </w:tcPr>
          <w:p w:rsidR="007A4B8D" w:rsidRPr="00C46E89" w:rsidRDefault="007A4B8D" w:rsidP="003825AF">
            <w:pPr>
              <w:spacing w:before="40" w:after="40" w:line="220" w:lineRule="exact"/>
              <w:rPr>
                <w:sz w:val="18"/>
                <w:szCs w:val="18"/>
              </w:rPr>
            </w:pPr>
            <w:r w:rsidRPr="00C46E89">
              <w:rPr>
                <w:sz w:val="18"/>
                <w:szCs w:val="18"/>
              </w:rPr>
              <w:t>2005</w:t>
            </w:r>
          </w:p>
        </w:tc>
        <w:tc>
          <w:tcPr>
            <w:tcW w:w="1974"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2</w:t>
            </w:r>
            <w:r>
              <w:rPr>
                <w:sz w:val="18"/>
                <w:szCs w:val="18"/>
              </w:rPr>
              <w:t xml:space="preserve"> </w:t>
            </w:r>
            <w:r w:rsidRPr="00C46E89">
              <w:rPr>
                <w:sz w:val="18"/>
                <w:szCs w:val="18"/>
              </w:rPr>
              <w:t>856</w:t>
            </w:r>
          </w:p>
        </w:tc>
        <w:tc>
          <w:tcPr>
            <w:tcW w:w="1567"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436</w:t>
            </w:r>
          </w:p>
        </w:tc>
        <w:tc>
          <w:tcPr>
            <w:tcW w:w="1735" w:type="dxa"/>
            <w:shd w:val="clear" w:color="auto" w:fill="auto"/>
            <w:vAlign w:val="bottom"/>
          </w:tcPr>
          <w:p w:rsidR="007A4B8D" w:rsidRPr="00C46E89" w:rsidRDefault="007A4B8D" w:rsidP="003825AF">
            <w:pPr>
              <w:spacing w:before="40" w:after="40" w:line="220" w:lineRule="exact"/>
              <w:jc w:val="right"/>
              <w:rPr>
                <w:sz w:val="18"/>
                <w:szCs w:val="18"/>
              </w:rPr>
            </w:pPr>
          </w:p>
        </w:tc>
        <w:tc>
          <w:tcPr>
            <w:tcW w:w="1338" w:type="dxa"/>
            <w:shd w:val="clear" w:color="auto" w:fill="auto"/>
            <w:vAlign w:val="bottom"/>
          </w:tcPr>
          <w:p w:rsidR="007A4B8D" w:rsidRPr="00C46E89" w:rsidRDefault="007A4B8D" w:rsidP="003825AF">
            <w:pPr>
              <w:spacing w:before="40" w:after="40" w:line="220" w:lineRule="exact"/>
              <w:jc w:val="right"/>
              <w:rPr>
                <w:b/>
                <w:sz w:val="18"/>
                <w:szCs w:val="18"/>
              </w:rPr>
            </w:pPr>
          </w:p>
        </w:tc>
      </w:tr>
      <w:tr w:rsidR="007A4B8D" w:rsidRPr="00C46E89" w:rsidTr="00BF7D4C">
        <w:tc>
          <w:tcPr>
            <w:tcW w:w="1890" w:type="dxa"/>
            <w:shd w:val="clear" w:color="auto" w:fill="auto"/>
            <w:vAlign w:val="bottom"/>
          </w:tcPr>
          <w:p w:rsidR="007A4B8D" w:rsidRPr="00C46E89" w:rsidRDefault="007A4B8D" w:rsidP="003825AF">
            <w:pPr>
              <w:spacing w:before="40" w:after="40" w:line="220" w:lineRule="exact"/>
              <w:rPr>
                <w:sz w:val="18"/>
                <w:szCs w:val="18"/>
              </w:rPr>
            </w:pPr>
            <w:r w:rsidRPr="00C46E89">
              <w:rPr>
                <w:sz w:val="18"/>
                <w:szCs w:val="18"/>
              </w:rPr>
              <w:t>2006</w:t>
            </w:r>
          </w:p>
        </w:tc>
        <w:tc>
          <w:tcPr>
            <w:tcW w:w="1974"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2</w:t>
            </w:r>
            <w:r>
              <w:rPr>
                <w:sz w:val="18"/>
                <w:szCs w:val="18"/>
              </w:rPr>
              <w:t xml:space="preserve"> </w:t>
            </w:r>
            <w:r w:rsidRPr="00C46E89">
              <w:rPr>
                <w:sz w:val="18"/>
                <w:szCs w:val="18"/>
              </w:rPr>
              <w:t>093</w:t>
            </w:r>
          </w:p>
        </w:tc>
        <w:tc>
          <w:tcPr>
            <w:tcW w:w="1567"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376</w:t>
            </w:r>
          </w:p>
        </w:tc>
        <w:tc>
          <w:tcPr>
            <w:tcW w:w="1735" w:type="dxa"/>
            <w:shd w:val="clear" w:color="auto" w:fill="auto"/>
            <w:vAlign w:val="bottom"/>
          </w:tcPr>
          <w:p w:rsidR="007A4B8D" w:rsidRPr="00C46E89" w:rsidRDefault="007A4B8D" w:rsidP="003825AF">
            <w:pPr>
              <w:spacing w:before="40" w:after="40" w:line="220" w:lineRule="exact"/>
              <w:jc w:val="right"/>
              <w:rPr>
                <w:sz w:val="18"/>
                <w:szCs w:val="18"/>
              </w:rPr>
            </w:pPr>
          </w:p>
        </w:tc>
        <w:tc>
          <w:tcPr>
            <w:tcW w:w="1338" w:type="dxa"/>
            <w:shd w:val="clear" w:color="auto" w:fill="auto"/>
            <w:vAlign w:val="bottom"/>
          </w:tcPr>
          <w:p w:rsidR="007A4B8D" w:rsidRPr="00C46E89" w:rsidRDefault="007A4B8D" w:rsidP="003825AF">
            <w:pPr>
              <w:spacing w:before="40" w:after="40" w:line="220" w:lineRule="exact"/>
              <w:jc w:val="right"/>
              <w:rPr>
                <w:b/>
                <w:sz w:val="18"/>
                <w:szCs w:val="18"/>
              </w:rPr>
            </w:pPr>
          </w:p>
        </w:tc>
      </w:tr>
      <w:tr w:rsidR="007A4B8D" w:rsidRPr="00C46E89" w:rsidTr="00BF7D4C">
        <w:tc>
          <w:tcPr>
            <w:tcW w:w="1890" w:type="dxa"/>
            <w:shd w:val="clear" w:color="auto" w:fill="auto"/>
            <w:vAlign w:val="bottom"/>
          </w:tcPr>
          <w:p w:rsidR="007A4B8D" w:rsidRPr="00C46E89" w:rsidRDefault="007A4B8D" w:rsidP="003825AF">
            <w:pPr>
              <w:spacing w:before="40" w:after="40" w:line="220" w:lineRule="exact"/>
              <w:rPr>
                <w:sz w:val="18"/>
                <w:szCs w:val="18"/>
              </w:rPr>
            </w:pPr>
            <w:r w:rsidRPr="00C46E89">
              <w:rPr>
                <w:sz w:val="18"/>
                <w:szCs w:val="18"/>
              </w:rPr>
              <w:t>2007</w:t>
            </w:r>
          </w:p>
        </w:tc>
        <w:tc>
          <w:tcPr>
            <w:tcW w:w="1974"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1</w:t>
            </w:r>
            <w:r>
              <w:rPr>
                <w:sz w:val="18"/>
                <w:szCs w:val="18"/>
              </w:rPr>
              <w:t xml:space="preserve"> </w:t>
            </w:r>
            <w:r w:rsidRPr="00C46E89">
              <w:rPr>
                <w:sz w:val="18"/>
                <w:szCs w:val="18"/>
              </w:rPr>
              <w:t>724</w:t>
            </w:r>
          </w:p>
        </w:tc>
        <w:tc>
          <w:tcPr>
            <w:tcW w:w="1567"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409</w:t>
            </w:r>
          </w:p>
        </w:tc>
        <w:tc>
          <w:tcPr>
            <w:tcW w:w="1735"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152</w:t>
            </w:r>
          </w:p>
        </w:tc>
        <w:tc>
          <w:tcPr>
            <w:tcW w:w="1338" w:type="dxa"/>
            <w:shd w:val="clear" w:color="auto" w:fill="auto"/>
            <w:vAlign w:val="bottom"/>
          </w:tcPr>
          <w:p w:rsidR="007A4B8D" w:rsidRPr="00C46E89" w:rsidRDefault="007A4B8D" w:rsidP="003825AF">
            <w:pPr>
              <w:spacing w:before="40" w:after="40" w:line="220" w:lineRule="exact"/>
              <w:jc w:val="right"/>
              <w:rPr>
                <w:b/>
                <w:sz w:val="18"/>
                <w:szCs w:val="18"/>
              </w:rPr>
            </w:pPr>
            <w:r w:rsidRPr="00C46E89">
              <w:rPr>
                <w:b/>
                <w:sz w:val="18"/>
                <w:szCs w:val="18"/>
              </w:rPr>
              <w:t>1 876</w:t>
            </w:r>
          </w:p>
        </w:tc>
      </w:tr>
      <w:tr w:rsidR="007A4B8D" w:rsidRPr="00C46E89" w:rsidTr="00BF7D4C">
        <w:tc>
          <w:tcPr>
            <w:tcW w:w="1890" w:type="dxa"/>
            <w:shd w:val="clear" w:color="auto" w:fill="auto"/>
            <w:vAlign w:val="bottom"/>
          </w:tcPr>
          <w:p w:rsidR="007A4B8D" w:rsidRPr="00C46E89" w:rsidRDefault="007A4B8D" w:rsidP="003825AF">
            <w:pPr>
              <w:spacing w:before="40" w:after="40" w:line="220" w:lineRule="exact"/>
              <w:rPr>
                <w:sz w:val="18"/>
                <w:szCs w:val="18"/>
              </w:rPr>
            </w:pPr>
            <w:r w:rsidRPr="00C46E89">
              <w:rPr>
                <w:sz w:val="18"/>
                <w:szCs w:val="18"/>
              </w:rPr>
              <w:t>2008</w:t>
            </w:r>
          </w:p>
        </w:tc>
        <w:tc>
          <w:tcPr>
            <w:tcW w:w="1974"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1</w:t>
            </w:r>
            <w:r>
              <w:rPr>
                <w:sz w:val="18"/>
                <w:szCs w:val="18"/>
              </w:rPr>
              <w:t xml:space="preserve"> </w:t>
            </w:r>
            <w:r w:rsidRPr="00C46E89">
              <w:rPr>
                <w:sz w:val="18"/>
                <w:szCs w:val="18"/>
              </w:rPr>
              <w:t>882</w:t>
            </w:r>
          </w:p>
        </w:tc>
        <w:tc>
          <w:tcPr>
            <w:tcW w:w="1567"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411</w:t>
            </w:r>
          </w:p>
        </w:tc>
        <w:tc>
          <w:tcPr>
            <w:tcW w:w="1735" w:type="dxa"/>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147</w:t>
            </w:r>
          </w:p>
        </w:tc>
        <w:tc>
          <w:tcPr>
            <w:tcW w:w="1338" w:type="dxa"/>
            <w:shd w:val="clear" w:color="auto" w:fill="auto"/>
            <w:vAlign w:val="bottom"/>
          </w:tcPr>
          <w:p w:rsidR="007A4B8D" w:rsidRPr="00C46E89" w:rsidRDefault="007A4B8D" w:rsidP="003825AF">
            <w:pPr>
              <w:spacing w:before="40" w:after="40" w:line="220" w:lineRule="exact"/>
              <w:jc w:val="right"/>
              <w:rPr>
                <w:b/>
                <w:sz w:val="18"/>
                <w:szCs w:val="18"/>
              </w:rPr>
            </w:pPr>
            <w:r w:rsidRPr="00C46E89">
              <w:rPr>
                <w:b/>
                <w:sz w:val="18"/>
                <w:szCs w:val="18"/>
              </w:rPr>
              <w:t>2 029</w:t>
            </w:r>
          </w:p>
        </w:tc>
      </w:tr>
      <w:tr w:rsidR="007A4B8D" w:rsidRPr="00C46E89" w:rsidTr="00BF7D4C">
        <w:tc>
          <w:tcPr>
            <w:tcW w:w="1890" w:type="dxa"/>
            <w:tcBorders>
              <w:bottom w:val="single" w:sz="12" w:space="0" w:color="auto"/>
            </w:tcBorders>
            <w:shd w:val="clear" w:color="auto" w:fill="auto"/>
            <w:vAlign w:val="bottom"/>
          </w:tcPr>
          <w:p w:rsidR="007A4B8D" w:rsidRPr="00C46E89" w:rsidRDefault="007A4B8D" w:rsidP="003825AF">
            <w:pPr>
              <w:spacing w:before="40" w:after="40" w:line="220" w:lineRule="exact"/>
              <w:rPr>
                <w:sz w:val="18"/>
                <w:szCs w:val="18"/>
              </w:rPr>
            </w:pPr>
            <w:r>
              <w:rPr>
                <w:sz w:val="18"/>
                <w:szCs w:val="18"/>
              </w:rPr>
              <w:t>De e</w:t>
            </w:r>
            <w:r w:rsidRPr="00C46E89">
              <w:rPr>
                <w:sz w:val="18"/>
                <w:szCs w:val="18"/>
              </w:rPr>
              <w:t>nero</w:t>
            </w:r>
            <w:r>
              <w:rPr>
                <w:sz w:val="18"/>
                <w:szCs w:val="18"/>
              </w:rPr>
              <w:t xml:space="preserve"> a </w:t>
            </w:r>
            <w:r w:rsidRPr="00C46E89">
              <w:rPr>
                <w:sz w:val="18"/>
                <w:szCs w:val="18"/>
              </w:rPr>
              <w:t>mayo</w:t>
            </w:r>
            <w:r>
              <w:rPr>
                <w:sz w:val="18"/>
                <w:szCs w:val="18"/>
              </w:rPr>
              <w:t xml:space="preserve"> de 2009</w:t>
            </w:r>
          </w:p>
        </w:tc>
        <w:tc>
          <w:tcPr>
            <w:tcW w:w="1974" w:type="dxa"/>
            <w:tcBorders>
              <w:bottom w:val="single" w:sz="12" w:space="0" w:color="auto"/>
            </w:tcBorders>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955</w:t>
            </w:r>
          </w:p>
        </w:tc>
        <w:tc>
          <w:tcPr>
            <w:tcW w:w="1567" w:type="dxa"/>
            <w:tcBorders>
              <w:bottom w:val="single" w:sz="12" w:space="0" w:color="auto"/>
            </w:tcBorders>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223</w:t>
            </w:r>
          </w:p>
        </w:tc>
        <w:tc>
          <w:tcPr>
            <w:tcW w:w="1735" w:type="dxa"/>
            <w:tcBorders>
              <w:bottom w:val="single" w:sz="12" w:space="0" w:color="auto"/>
            </w:tcBorders>
            <w:shd w:val="clear" w:color="auto" w:fill="auto"/>
            <w:vAlign w:val="bottom"/>
          </w:tcPr>
          <w:p w:rsidR="007A4B8D" w:rsidRPr="00C46E89" w:rsidRDefault="007A4B8D" w:rsidP="003825AF">
            <w:pPr>
              <w:spacing w:before="40" w:after="40" w:line="220" w:lineRule="exact"/>
              <w:jc w:val="right"/>
              <w:rPr>
                <w:sz w:val="18"/>
                <w:szCs w:val="18"/>
              </w:rPr>
            </w:pPr>
            <w:r w:rsidRPr="00C46E89">
              <w:rPr>
                <w:sz w:val="18"/>
                <w:szCs w:val="18"/>
              </w:rPr>
              <w:t>89</w:t>
            </w:r>
          </w:p>
        </w:tc>
        <w:tc>
          <w:tcPr>
            <w:tcW w:w="1338" w:type="dxa"/>
            <w:tcBorders>
              <w:bottom w:val="single" w:sz="12" w:space="0" w:color="auto"/>
            </w:tcBorders>
            <w:shd w:val="clear" w:color="auto" w:fill="auto"/>
            <w:vAlign w:val="bottom"/>
          </w:tcPr>
          <w:p w:rsidR="007A4B8D" w:rsidRPr="00C46E89" w:rsidRDefault="007A4B8D" w:rsidP="003825AF">
            <w:pPr>
              <w:spacing w:before="40" w:after="40" w:line="220" w:lineRule="exact"/>
              <w:jc w:val="right"/>
              <w:rPr>
                <w:b/>
                <w:sz w:val="18"/>
                <w:szCs w:val="18"/>
              </w:rPr>
            </w:pPr>
            <w:r w:rsidRPr="00C46E89">
              <w:rPr>
                <w:b/>
                <w:sz w:val="18"/>
                <w:szCs w:val="18"/>
              </w:rPr>
              <w:t>1 044</w:t>
            </w:r>
          </w:p>
        </w:tc>
      </w:tr>
    </w:tbl>
    <w:p w:rsidR="00A82B1F" w:rsidRPr="00892FF1" w:rsidRDefault="00A82B1F" w:rsidP="00A82B1F">
      <w:pPr>
        <w:pStyle w:val="SingleTxtG"/>
        <w:spacing w:before="240"/>
      </w:pPr>
      <w:r w:rsidRPr="00892FF1">
        <w:t>146.</w:t>
      </w:r>
      <w:r w:rsidRPr="00892FF1">
        <w:tab/>
        <w:t xml:space="preserve">La segunda columna muestra el número de detenidos en </w:t>
      </w:r>
      <w:r w:rsidRPr="00366B39">
        <w:t>Trandum</w:t>
      </w:r>
      <w:r w:rsidRPr="00892FF1">
        <w:t xml:space="preserve"> desglosados por año</w:t>
      </w:r>
      <w:r>
        <w:t>, de los que la gran</w:t>
      </w:r>
      <w:r w:rsidRPr="00892FF1">
        <w:t xml:space="preserve"> mayoría están en régimen de detención policial, a la espera bien de ser deportados, </w:t>
      </w:r>
      <w:r>
        <w:t>o bien</w:t>
      </w:r>
      <w:r w:rsidRPr="00892FF1">
        <w:t xml:space="preserve"> de pasar a disposición judicial. La última columna muestra el número total de detenidos en </w:t>
      </w:r>
      <w:r w:rsidRPr="00366B39">
        <w:t>Trandum</w:t>
      </w:r>
      <w:r w:rsidRPr="00892FF1">
        <w:t xml:space="preserve"> y en prisiones ordinarias.</w:t>
      </w:r>
    </w:p>
    <w:p w:rsidR="00A82B1F" w:rsidRPr="00892FF1" w:rsidRDefault="00A82B1F" w:rsidP="00A82B1F">
      <w:pPr>
        <w:pStyle w:val="SingleTxtG"/>
      </w:pPr>
      <w:r w:rsidRPr="00892FF1">
        <w:t>147.</w:t>
      </w:r>
      <w:r w:rsidRPr="00892FF1">
        <w:tab/>
        <w:t xml:space="preserve">El cuadro siguiente muestra el número de casos en los que se ha considerado necesario el uso de la fuerza, así como las cifras de los detenidos </w:t>
      </w:r>
      <w:r>
        <w:t>con los que se empleó la fuerza</w:t>
      </w:r>
      <w:r w:rsidRPr="00892FF1">
        <w:t>. Nótese que un detenido puede haber sido sometido por la fuerza en distintas ocasiones.</w:t>
      </w:r>
    </w:p>
    <w:tbl>
      <w:tblPr>
        <w:tblStyle w:val="TableGrid"/>
        <w:tblW w:w="765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1179"/>
        <w:gridCol w:w="1033"/>
        <w:gridCol w:w="1202"/>
        <w:gridCol w:w="1977"/>
      </w:tblGrid>
      <w:tr w:rsidR="00A82B1F" w:rsidRPr="00C46E89" w:rsidTr="003825AF">
        <w:tc>
          <w:tcPr>
            <w:tcW w:w="2268" w:type="dxa"/>
            <w:tcBorders>
              <w:top w:val="single" w:sz="4" w:space="0" w:color="auto"/>
              <w:bottom w:val="single" w:sz="12" w:space="0" w:color="auto"/>
            </w:tcBorders>
            <w:shd w:val="clear" w:color="auto" w:fill="auto"/>
            <w:vAlign w:val="bottom"/>
          </w:tcPr>
          <w:p w:rsidR="00A82B1F" w:rsidRPr="00C46E89" w:rsidRDefault="00A82B1F" w:rsidP="003825AF">
            <w:pPr>
              <w:spacing w:before="80" w:after="80" w:line="200" w:lineRule="exact"/>
              <w:rPr>
                <w:i/>
                <w:sz w:val="16"/>
                <w:szCs w:val="16"/>
              </w:rPr>
            </w:pPr>
            <w:r w:rsidRPr="00C46E89">
              <w:rPr>
                <w:i/>
                <w:sz w:val="16"/>
                <w:szCs w:val="16"/>
              </w:rPr>
              <w:t>Año</w:t>
            </w:r>
          </w:p>
        </w:tc>
        <w:tc>
          <w:tcPr>
            <w:tcW w:w="1179" w:type="dxa"/>
            <w:tcBorders>
              <w:top w:val="single" w:sz="4" w:space="0" w:color="auto"/>
              <w:bottom w:val="single" w:sz="12" w:space="0" w:color="auto"/>
            </w:tcBorders>
            <w:shd w:val="clear" w:color="auto" w:fill="auto"/>
            <w:vAlign w:val="bottom"/>
          </w:tcPr>
          <w:p w:rsidR="00A82B1F" w:rsidRPr="00C46E89" w:rsidRDefault="00A82B1F" w:rsidP="003825AF">
            <w:pPr>
              <w:spacing w:before="80" w:after="80" w:line="200" w:lineRule="exact"/>
              <w:ind w:right="28"/>
              <w:jc w:val="right"/>
              <w:rPr>
                <w:i/>
                <w:sz w:val="16"/>
                <w:szCs w:val="16"/>
              </w:rPr>
            </w:pPr>
            <w:r w:rsidRPr="00C46E89">
              <w:rPr>
                <w:i/>
                <w:sz w:val="16"/>
                <w:szCs w:val="16"/>
              </w:rPr>
              <w:t>Mujeres</w:t>
            </w:r>
          </w:p>
        </w:tc>
        <w:tc>
          <w:tcPr>
            <w:tcW w:w="1033" w:type="dxa"/>
            <w:tcBorders>
              <w:top w:val="single" w:sz="4" w:space="0" w:color="auto"/>
              <w:bottom w:val="single" w:sz="12" w:space="0" w:color="auto"/>
            </w:tcBorders>
            <w:shd w:val="clear" w:color="auto" w:fill="auto"/>
            <w:vAlign w:val="bottom"/>
          </w:tcPr>
          <w:p w:rsidR="00A82B1F" w:rsidRPr="00C46E89" w:rsidRDefault="00A82B1F" w:rsidP="003825AF">
            <w:pPr>
              <w:spacing w:before="80" w:after="80" w:line="200" w:lineRule="exact"/>
              <w:jc w:val="right"/>
              <w:rPr>
                <w:i/>
                <w:sz w:val="16"/>
                <w:szCs w:val="16"/>
              </w:rPr>
            </w:pPr>
            <w:r w:rsidRPr="00C46E89">
              <w:rPr>
                <w:i/>
                <w:sz w:val="16"/>
                <w:szCs w:val="16"/>
              </w:rPr>
              <w:t>Hombres</w:t>
            </w:r>
          </w:p>
        </w:tc>
        <w:tc>
          <w:tcPr>
            <w:tcW w:w="1202" w:type="dxa"/>
            <w:tcBorders>
              <w:top w:val="single" w:sz="4" w:space="0" w:color="auto"/>
              <w:bottom w:val="single" w:sz="12" w:space="0" w:color="auto"/>
            </w:tcBorders>
            <w:shd w:val="clear" w:color="auto" w:fill="auto"/>
            <w:vAlign w:val="bottom"/>
          </w:tcPr>
          <w:p w:rsidR="00A82B1F" w:rsidRPr="00B25979" w:rsidRDefault="00A82B1F" w:rsidP="003825AF">
            <w:pPr>
              <w:spacing w:before="80" w:after="80" w:line="200" w:lineRule="exact"/>
              <w:jc w:val="right"/>
              <w:rPr>
                <w:b/>
                <w:i/>
                <w:sz w:val="16"/>
                <w:szCs w:val="16"/>
              </w:rPr>
            </w:pPr>
            <w:r w:rsidRPr="00B25979">
              <w:rPr>
                <w:b/>
                <w:i/>
                <w:sz w:val="16"/>
                <w:szCs w:val="16"/>
              </w:rPr>
              <w:t>Número total de detenidos</w:t>
            </w:r>
          </w:p>
        </w:tc>
        <w:tc>
          <w:tcPr>
            <w:tcW w:w="1977" w:type="dxa"/>
            <w:tcBorders>
              <w:top w:val="single" w:sz="4" w:space="0" w:color="auto"/>
              <w:bottom w:val="single" w:sz="12" w:space="0" w:color="auto"/>
            </w:tcBorders>
            <w:shd w:val="clear" w:color="auto" w:fill="auto"/>
            <w:vAlign w:val="bottom"/>
          </w:tcPr>
          <w:p w:rsidR="00A82B1F" w:rsidRPr="00B25979" w:rsidRDefault="00A82B1F" w:rsidP="003825AF">
            <w:pPr>
              <w:spacing w:before="80" w:after="80" w:line="200" w:lineRule="exact"/>
              <w:jc w:val="right"/>
              <w:rPr>
                <w:b/>
                <w:i/>
                <w:sz w:val="16"/>
                <w:szCs w:val="16"/>
              </w:rPr>
            </w:pPr>
            <w:r w:rsidRPr="00B25979">
              <w:rPr>
                <w:b/>
                <w:i/>
                <w:sz w:val="16"/>
                <w:szCs w:val="16"/>
              </w:rPr>
              <w:t>Número total de decisiones</w:t>
            </w:r>
            <w:r>
              <w:rPr>
                <w:b/>
                <w:i/>
                <w:sz w:val="16"/>
                <w:szCs w:val="16"/>
              </w:rPr>
              <w:br/>
            </w:r>
            <w:r w:rsidRPr="00B25979">
              <w:rPr>
                <w:b/>
                <w:i/>
                <w:sz w:val="16"/>
                <w:szCs w:val="16"/>
              </w:rPr>
              <w:t>de recurrir al uso</w:t>
            </w:r>
            <w:r>
              <w:rPr>
                <w:b/>
                <w:i/>
                <w:sz w:val="16"/>
                <w:szCs w:val="16"/>
              </w:rPr>
              <w:br/>
            </w:r>
            <w:r w:rsidRPr="00B25979">
              <w:rPr>
                <w:b/>
                <w:i/>
                <w:sz w:val="16"/>
                <w:szCs w:val="16"/>
              </w:rPr>
              <w:t>de la fuerza</w:t>
            </w:r>
          </w:p>
        </w:tc>
      </w:tr>
      <w:tr w:rsidR="00A82B1F" w:rsidRPr="00C46E89" w:rsidTr="003825AF">
        <w:tc>
          <w:tcPr>
            <w:tcW w:w="2268" w:type="dxa"/>
            <w:tcBorders>
              <w:top w:val="single" w:sz="12" w:space="0" w:color="auto"/>
            </w:tcBorders>
            <w:shd w:val="clear" w:color="auto" w:fill="auto"/>
          </w:tcPr>
          <w:p w:rsidR="00A82B1F" w:rsidRPr="002D0B22" w:rsidRDefault="00A82B1F" w:rsidP="003825AF">
            <w:pPr>
              <w:spacing w:before="40" w:after="40" w:line="220" w:lineRule="exact"/>
              <w:rPr>
                <w:sz w:val="18"/>
                <w:szCs w:val="18"/>
              </w:rPr>
            </w:pPr>
            <w:r>
              <w:rPr>
                <w:sz w:val="18"/>
                <w:szCs w:val="18"/>
              </w:rPr>
              <w:t>De m</w:t>
            </w:r>
            <w:r w:rsidRPr="002D0B22">
              <w:rPr>
                <w:sz w:val="18"/>
                <w:szCs w:val="18"/>
              </w:rPr>
              <w:t>ayo</w:t>
            </w:r>
            <w:r>
              <w:rPr>
                <w:sz w:val="18"/>
                <w:szCs w:val="18"/>
              </w:rPr>
              <w:t xml:space="preserve"> a </w:t>
            </w:r>
            <w:r w:rsidRPr="002D0B22">
              <w:rPr>
                <w:sz w:val="18"/>
                <w:szCs w:val="18"/>
              </w:rPr>
              <w:t xml:space="preserve">diciembre </w:t>
            </w:r>
            <w:r>
              <w:rPr>
                <w:sz w:val="18"/>
                <w:szCs w:val="18"/>
              </w:rPr>
              <w:t xml:space="preserve">de </w:t>
            </w:r>
            <w:r w:rsidRPr="002D0B22">
              <w:rPr>
                <w:sz w:val="18"/>
                <w:szCs w:val="18"/>
              </w:rPr>
              <w:t>2005</w:t>
            </w:r>
          </w:p>
        </w:tc>
        <w:tc>
          <w:tcPr>
            <w:tcW w:w="1179" w:type="dxa"/>
            <w:tcBorders>
              <w:top w:val="single" w:sz="12" w:space="0" w:color="auto"/>
            </w:tcBorders>
            <w:shd w:val="clear" w:color="auto" w:fill="auto"/>
          </w:tcPr>
          <w:p w:rsidR="00A82B1F" w:rsidRPr="002D0B22" w:rsidRDefault="00A82B1F" w:rsidP="003825AF">
            <w:pPr>
              <w:spacing w:before="40" w:after="40" w:line="220" w:lineRule="exact"/>
              <w:ind w:right="28"/>
              <w:jc w:val="right"/>
              <w:rPr>
                <w:sz w:val="18"/>
                <w:szCs w:val="18"/>
              </w:rPr>
            </w:pPr>
            <w:r w:rsidRPr="002D0B22">
              <w:rPr>
                <w:sz w:val="18"/>
                <w:szCs w:val="18"/>
              </w:rPr>
              <w:t>6</w:t>
            </w:r>
          </w:p>
        </w:tc>
        <w:tc>
          <w:tcPr>
            <w:tcW w:w="1033" w:type="dxa"/>
            <w:tcBorders>
              <w:top w:val="single" w:sz="12" w:space="0" w:color="auto"/>
            </w:tcBorders>
            <w:shd w:val="clear" w:color="auto" w:fill="auto"/>
            <w:vAlign w:val="bottom"/>
          </w:tcPr>
          <w:p w:rsidR="00A82B1F" w:rsidRPr="002D0B22" w:rsidRDefault="00A82B1F" w:rsidP="003825AF">
            <w:pPr>
              <w:spacing w:before="40" w:after="40" w:line="220" w:lineRule="exact"/>
              <w:jc w:val="right"/>
              <w:rPr>
                <w:sz w:val="18"/>
                <w:szCs w:val="18"/>
              </w:rPr>
            </w:pPr>
            <w:r w:rsidRPr="002D0B22">
              <w:rPr>
                <w:sz w:val="18"/>
                <w:szCs w:val="18"/>
              </w:rPr>
              <w:t>61</w:t>
            </w:r>
          </w:p>
        </w:tc>
        <w:tc>
          <w:tcPr>
            <w:tcW w:w="1202" w:type="dxa"/>
            <w:tcBorders>
              <w:top w:val="single" w:sz="12" w:space="0" w:color="auto"/>
            </w:tcBorders>
            <w:shd w:val="clear" w:color="auto" w:fill="auto"/>
            <w:vAlign w:val="bottom"/>
          </w:tcPr>
          <w:p w:rsidR="00A82B1F" w:rsidRPr="00B25979" w:rsidRDefault="00A82B1F" w:rsidP="003825AF">
            <w:pPr>
              <w:spacing w:before="40" w:after="40" w:line="220" w:lineRule="exact"/>
              <w:jc w:val="right"/>
              <w:rPr>
                <w:b/>
                <w:sz w:val="18"/>
                <w:szCs w:val="18"/>
              </w:rPr>
            </w:pPr>
            <w:r w:rsidRPr="00B25979">
              <w:rPr>
                <w:b/>
                <w:sz w:val="18"/>
                <w:szCs w:val="18"/>
              </w:rPr>
              <w:t>67</w:t>
            </w:r>
          </w:p>
        </w:tc>
        <w:tc>
          <w:tcPr>
            <w:tcW w:w="1977" w:type="dxa"/>
            <w:tcBorders>
              <w:top w:val="single" w:sz="12" w:space="0" w:color="auto"/>
            </w:tcBorders>
            <w:shd w:val="clear" w:color="auto" w:fill="auto"/>
            <w:vAlign w:val="bottom"/>
          </w:tcPr>
          <w:p w:rsidR="00A82B1F" w:rsidRPr="00B25979" w:rsidRDefault="00A82B1F" w:rsidP="003825AF">
            <w:pPr>
              <w:spacing w:before="40" w:after="40" w:line="220" w:lineRule="exact"/>
              <w:jc w:val="right"/>
              <w:rPr>
                <w:b/>
                <w:sz w:val="18"/>
                <w:szCs w:val="18"/>
              </w:rPr>
            </w:pPr>
          </w:p>
        </w:tc>
      </w:tr>
      <w:tr w:rsidR="00A82B1F" w:rsidRPr="00C46E89" w:rsidTr="003825AF">
        <w:tc>
          <w:tcPr>
            <w:tcW w:w="2268" w:type="dxa"/>
            <w:shd w:val="clear" w:color="auto" w:fill="auto"/>
          </w:tcPr>
          <w:p w:rsidR="00A82B1F" w:rsidRPr="002D0B22" w:rsidRDefault="00A82B1F" w:rsidP="003825AF">
            <w:pPr>
              <w:spacing w:before="40" w:after="40" w:line="220" w:lineRule="exact"/>
              <w:rPr>
                <w:sz w:val="18"/>
                <w:szCs w:val="18"/>
              </w:rPr>
            </w:pPr>
            <w:r w:rsidRPr="002D0B22">
              <w:rPr>
                <w:sz w:val="18"/>
                <w:szCs w:val="18"/>
              </w:rPr>
              <w:t>2006</w:t>
            </w:r>
          </w:p>
        </w:tc>
        <w:tc>
          <w:tcPr>
            <w:tcW w:w="1179" w:type="dxa"/>
            <w:shd w:val="clear" w:color="auto" w:fill="auto"/>
            <w:vAlign w:val="bottom"/>
          </w:tcPr>
          <w:p w:rsidR="00A82B1F" w:rsidRPr="002D0B22" w:rsidRDefault="00A82B1F" w:rsidP="003825AF">
            <w:pPr>
              <w:spacing w:before="40" w:after="40" w:line="220" w:lineRule="exact"/>
              <w:ind w:right="28"/>
              <w:jc w:val="right"/>
              <w:rPr>
                <w:sz w:val="18"/>
                <w:szCs w:val="18"/>
              </w:rPr>
            </w:pPr>
            <w:r w:rsidRPr="002D0B22">
              <w:rPr>
                <w:sz w:val="18"/>
                <w:szCs w:val="18"/>
              </w:rPr>
              <w:t>8</w:t>
            </w:r>
          </w:p>
        </w:tc>
        <w:tc>
          <w:tcPr>
            <w:tcW w:w="1033" w:type="dxa"/>
            <w:shd w:val="clear" w:color="auto" w:fill="auto"/>
            <w:vAlign w:val="bottom"/>
          </w:tcPr>
          <w:p w:rsidR="00A82B1F" w:rsidRPr="002D0B22" w:rsidRDefault="00A82B1F" w:rsidP="003825AF">
            <w:pPr>
              <w:spacing w:before="40" w:after="40" w:line="220" w:lineRule="exact"/>
              <w:jc w:val="right"/>
              <w:rPr>
                <w:sz w:val="18"/>
                <w:szCs w:val="18"/>
              </w:rPr>
            </w:pPr>
            <w:r w:rsidRPr="002D0B22">
              <w:rPr>
                <w:sz w:val="18"/>
                <w:szCs w:val="18"/>
              </w:rPr>
              <w:t>275</w:t>
            </w:r>
          </w:p>
        </w:tc>
        <w:tc>
          <w:tcPr>
            <w:tcW w:w="1202" w:type="dxa"/>
            <w:shd w:val="clear" w:color="auto" w:fill="auto"/>
            <w:vAlign w:val="bottom"/>
          </w:tcPr>
          <w:p w:rsidR="00A82B1F" w:rsidRPr="00B25979" w:rsidRDefault="00A82B1F" w:rsidP="003825AF">
            <w:pPr>
              <w:spacing w:before="40" w:after="40" w:line="220" w:lineRule="exact"/>
              <w:jc w:val="right"/>
              <w:rPr>
                <w:b/>
                <w:sz w:val="18"/>
                <w:szCs w:val="18"/>
              </w:rPr>
            </w:pPr>
            <w:r w:rsidRPr="00B25979">
              <w:rPr>
                <w:b/>
                <w:sz w:val="18"/>
                <w:szCs w:val="18"/>
              </w:rPr>
              <w:t>283</w:t>
            </w:r>
          </w:p>
        </w:tc>
        <w:tc>
          <w:tcPr>
            <w:tcW w:w="1977" w:type="dxa"/>
            <w:shd w:val="clear" w:color="auto" w:fill="auto"/>
            <w:vAlign w:val="bottom"/>
          </w:tcPr>
          <w:p w:rsidR="00A82B1F" w:rsidRPr="00B25979" w:rsidRDefault="00A82B1F" w:rsidP="003825AF">
            <w:pPr>
              <w:spacing w:before="40" w:after="40" w:line="220" w:lineRule="exact"/>
              <w:jc w:val="right"/>
              <w:rPr>
                <w:b/>
                <w:sz w:val="18"/>
                <w:szCs w:val="18"/>
              </w:rPr>
            </w:pPr>
          </w:p>
        </w:tc>
      </w:tr>
      <w:tr w:rsidR="00A82B1F" w:rsidRPr="00C46E89" w:rsidTr="003825AF">
        <w:tc>
          <w:tcPr>
            <w:tcW w:w="2268" w:type="dxa"/>
            <w:shd w:val="clear" w:color="auto" w:fill="auto"/>
          </w:tcPr>
          <w:p w:rsidR="00A82B1F" w:rsidRPr="002D0B22" w:rsidRDefault="00A82B1F" w:rsidP="003825AF">
            <w:pPr>
              <w:spacing w:before="40" w:after="40" w:line="220" w:lineRule="exact"/>
              <w:rPr>
                <w:sz w:val="18"/>
                <w:szCs w:val="18"/>
              </w:rPr>
            </w:pPr>
            <w:r w:rsidRPr="002D0B22">
              <w:rPr>
                <w:sz w:val="18"/>
                <w:szCs w:val="18"/>
              </w:rPr>
              <w:t>2007</w:t>
            </w:r>
          </w:p>
        </w:tc>
        <w:tc>
          <w:tcPr>
            <w:tcW w:w="1179" w:type="dxa"/>
            <w:shd w:val="clear" w:color="auto" w:fill="auto"/>
            <w:vAlign w:val="bottom"/>
          </w:tcPr>
          <w:p w:rsidR="00A82B1F" w:rsidRPr="002D0B22" w:rsidRDefault="00A82B1F" w:rsidP="003825AF">
            <w:pPr>
              <w:spacing w:before="40" w:after="40" w:line="220" w:lineRule="exact"/>
              <w:ind w:right="28"/>
              <w:jc w:val="right"/>
              <w:rPr>
                <w:sz w:val="18"/>
                <w:szCs w:val="18"/>
              </w:rPr>
            </w:pPr>
            <w:r w:rsidRPr="002D0B22">
              <w:rPr>
                <w:sz w:val="18"/>
                <w:szCs w:val="18"/>
              </w:rPr>
              <w:t>4</w:t>
            </w:r>
          </w:p>
        </w:tc>
        <w:tc>
          <w:tcPr>
            <w:tcW w:w="1033" w:type="dxa"/>
            <w:shd w:val="clear" w:color="auto" w:fill="auto"/>
            <w:vAlign w:val="bottom"/>
          </w:tcPr>
          <w:p w:rsidR="00A82B1F" w:rsidRPr="002D0B22" w:rsidRDefault="00A82B1F" w:rsidP="003825AF">
            <w:pPr>
              <w:spacing w:before="40" w:after="40" w:line="220" w:lineRule="exact"/>
              <w:jc w:val="right"/>
              <w:rPr>
                <w:sz w:val="18"/>
                <w:szCs w:val="18"/>
              </w:rPr>
            </w:pPr>
            <w:r w:rsidRPr="002D0B22">
              <w:rPr>
                <w:sz w:val="18"/>
                <w:szCs w:val="18"/>
              </w:rPr>
              <w:t>213</w:t>
            </w:r>
          </w:p>
        </w:tc>
        <w:tc>
          <w:tcPr>
            <w:tcW w:w="1202" w:type="dxa"/>
            <w:shd w:val="clear" w:color="auto" w:fill="auto"/>
            <w:vAlign w:val="bottom"/>
          </w:tcPr>
          <w:p w:rsidR="00A82B1F" w:rsidRPr="00B25979" w:rsidRDefault="00A82B1F" w:rsidP="003825AF">
            <w:pPr>
              <w:spacing w:before="40" w:after="40" w:line="220" w:lineRule="exact"/>
              <w:jc w:val="right"/>
              <w:rPr>
                <w:b/>
                <w:sz w:val="18"/>
                <w:szCs w:val="18"/>
              </w:rPr>
            </w:pPr>
            <w:r w:rsidRPr="00B25979">
              <w:rPr>
                <w:b/>
                <w:sz w:val="18"/>
                <w:szCs w:val="18"/>
              </w:rPr>
              <w:t>217</w:t>
            </w:r>
          </w:p>
        </w:tc>
        <w:tc>
          <w:tcPr>
            <w:tcW w:w="1977" w:type="dxa"/>
            <w:shd w:val="clear" w:color="auto" w:fill="auto"/>
            <w:vAlign w:val="bottom"/>
          </w:tcPr>
          <w:p w:rsidR="00A82B1F" w:rsidRPr="00B25979" w:rsidRDefault="00A82B1F" w:rsidP="003825AF">
            <w:pPr>
              <w:spacing w:before="40" w:after="40" w:line="220" w:lineRule="exact"/>
              <w:jc w:val="right"/>
              <w:rPr>
                <w:b/>
                <w:sz w:val="18"/>
                <w:szCs w:val="18"/>
              </w:rPr>
            </w:pPr>
            <w:r w:rsidRPr="00B25979">
              <w:rPr>
                <w:b/>
                <w:sz w:val="18"/>
                <w:szCs w:val="18"/>
              </w:rPr>
              <w:t>253</w:t>
            </w:r>
          </w:p>
        </w:tc>
      </w:tr>
      <w:tr w:rsidR="00A82B1F" w:rsidRPr="00C46E89" w:rsidTr="003825AF">
        <w:tc>
          <w:tcPr>
            <w:tcW w:w="2268" w:type="dxa"/>
            <w:tcBorders>
              <w:bottom w:val="single" w:sz="12" w:space="0" w:color="auto"/>
            </w:tcBorders>
            <w:shd w:val="clear" w:color="auto" w:fill="auto"/>
          </w:tcPr>
          <w:p w:rsidR="00A82B1F" w:rsidRPr="002D0B22" w:rsidRDefault="00A82B1F" w:rsidP="003825AF">
            <w:pPr>
              <w:spacing w:before="40" w:after="40" w:line="220" w:lineRule="exact"/>
              <w:rPr>
                <w:sz w:val="18"/>
                <w:szCs w:val="18"/>
              </w:rPr>
            </w:pPr>
            <w:r w:rsidRPr="002D0B22">
              <w:rPr>
                <w:sz w:val="18"/>
                <w:szCs w:val="18"/>
              </w:rPr>
              <w:t>2008</w:t>
            </w:r>
          </w:p>
        </w:tc>
        <w:tc>
          <w:tcPr>
            <w:tcW w:w="1179" w:type="dxa"/>
            <w:tcBorders>
              <w:bottom w:val="single" w:sz="12" w:space="0" w:color="auto"/>
            </w:tcBorders>
            <w:shd w:val="clear" w:color="auto" w:fill="auto"/>
            <w:vAlign w:val="bottom"/>
          </w:tcPr>
          <w:p w:rsidR="00A82B1F" w:rsidRPr="002D0B22" w:rsidRDefault="00A82B1F" w:rsidP="003825AF">
            <w:pPr>
              <w:spacing w:before="40" w:after="40" w:line="220" w:lineRule="exact"/>
              <w:ind w:right="28"/>
              <w:jc w:val="right"/>
              <w:rPr>
                <w:sz w:val="18"/>
                <w:szCs w:val="18"/>
              </w:rPr>
            </w:pPr>
            <w:r w:rsidRPr="002D0B22">
              <w:rPr>
                <w:sz w:val="18"/>
                <w:szCs w:val="18"/>
              </w:rPr>
              <w:t>6</w:t>
            </w:r>
          </w:p>
        </w:tc>
        <w:tc>
          <w:tcPr>
            <w:tcW w:w="1033" w:type="dxa"/>
            <w:tcBorders>
              <w:bottom w:val="single" w:sz="12" w:space="0" w:color="auto"/>
            </w:tcBorders>
            <w:shd w:val="clear" w:color="auto" w:fill="auto"/>
            <w:vAlign w:val="bottom"/>
          </w:tcPr>
          <w:p w:rsidR="00A82B1F" w:rsidRPr="002D0B22" w:rsidRDefault="00A82B1F" w:rsidP="003825AF">
            <w:pPr>
              <w:spacing w:before="40" w:after="40" w:line="220" w:lineRule="exact"/>
              <w:jc w:val="right"/>
              <w:rPr>
                <w:sz w:val="18"/>
                <w:szCs w:val="18"/>
              </w:rPr>
            </w:pPr>
            <w:r w:rsidRPr="002D0B22">
              <w:rPr>
                <w:sz w:val="18"/>
                <w:szCs w:val="18"/>
              </w:rPr>
              <w:t>117</w:t>
            </w:r>
          </w:p>
        </w:tc>
        <w:tc>
          <w:tcPr>
            <w:tcW w:w="1202" w:type="dxa"/>
            <w:tcBorders>
              <w:bottom w:val="single" w:sz="12" w:space="0" w:color="auto"/>
            </w:tcBorders>
            <w:shd w:val="clear" w:color="auto" w:fill="auto"/>
            <w:vAlign w:val="bottom"/>
          </w:tcPr>
          <w:p w:rsidR="00A82B1F" w:rsidRPr="00B25979" w:rsidRDefault="00A82B1F" w:rsidP="003825AF">
            <w:pPr>
              <w:spacing w:before="40" w:after="40" w:line="220" w:lineRule="exact"/>
              <w:jc w:val="right"/>
              <w:rPr>
                <w:b/>
                <w:sz w:val="18"/>
                <w:szCs w:val="18"/>
              </w:rPr>
            </w:pPr>
            <w:r w:rsidRPr="00B25979">
              <w:rPr>
                <w:b/>
                <w:sz w:val="18"/>
                <w:szCs w:val="18"/>
              </w:rPr>
              <w:t>123</w:t>
            </w:r>
          </w:p>
        </w:tc>
        <w:tc>
          <w:tcPr>
            <w:tcW w:w="1977" w:type="dxa"/>
            <w:tcBorders>
              <w:bottom w:val="single" w:sz="12" w:space="0" w:color="auto"/>
            </w:tcBorders>
            <w:shd w:val="clear" w:color="auto" w:fill="auto"/>
            <w:vAlign w:val="bottom"/>
          </w:tcPr>
          <w:p w:rsidR="00A82B1F" w:rsidRPr="00B25979" w:rsidRDefault="00A82B1F" w:rsidP="003825AF">
            <w:pPr>
              <w:spacing w:before="40" w:after="40" w:line="220" w:lineRule="exact"/>
              <w:jc w:val="right"/>
              <w:rPr>
                <w:b/>
                <w:sz w:val="18"/>
                <w:szCs w:val="18"/>
              </w:rPr>
            </w:pPr>
            <w:r w:rsidRPr="00B25979">
              <w:rPr>
                <w:b/>
                <w:sz w:val="18"/>
                <w:szCs w:val="18"/>
              </w:rPr>
              <w:t>187</w:t>
            </w:r>
          </w:p>
        </w:tc>
      </w:tr>
    </w:tbl>
    <w:p w:rsidR="00A82B1F" w:rsidRPr="00892FF1" w:rsidRDefault="00A82B1F" w:rsidP="00A82B1F">
      <w:pPr>
        <w:pStyle w:val="SingleTxtG"/>
        <w:spacing w:before="240"/>
        <w:rPr>
          <w:sz w:val="24"/>
          <w:szCs w:val="24"/>
        </w:rPr>
      </w:pPr>
      <w:r w:rsidRPr="00C46E89">
        <w:rPr>
          <w:sz w:val="18"/>
          <w:szCs w:val="24"/>
        </w:rPr>
        <w:t>148.</w:t>
      </w:r>
      <w:r w:rsidRPr="00C46E89">
        <w:rPr>
          <w:sz w:val="18"/>
          <w:szCs w:val="24"/>
        </w:rPr>
        <w:tab/>
      </w:r>
      <w:r w:rsidRPr="00C46E89">
        <w:rPr>
          <w:sz w:val="18"/>
        </w:rPr>
        <w:t xml:space="preserve">Las </w:t>
      </w:r>
      <w:r w:rsidRPr="00C46E89">
        <w:t>estadísticas</w:t>
      </w:r>
      <w:r w:rsidRPr="00C46E89">
        <w:rPr>
          <w:sz w:val="18"/>
        </w:rPr>
        <w:t xml:space="preserve"> sobre el número de detenidos con los que se re</w:t>
      </w:r>
      <w:r w:rsidRPr="0017053B">
        <w:t>currió al uso de la fuerza están disponibles a partir d</w:t>
      </w:r>
      <w:r w:rsidRPr="00C46E89">
        <w:t xml:space="preserve">e mayo de 2005. El número de decisiones </w:t>
      </w:r>
      <w:r w:rsidRPr="0017053B">
        <w:t xml:space="preserve">al respecto se añadió el 1º de enero de 2007. Las estadísticas proceden de la propia recopilación de estadísticas </w:t>
      </w:r>
      <w:r>
        <w:t>d</w:t>
      </w:r>
      <w:r w:rsidRPr="0017053B">
        <w:t>el centro de Trandum</w:t>
      </w:r>
      <w:r w:rsidRPr="00892FF1">
        <w:rPr>
          <w:sz w:val="24"/>
          <w:szCs w:val="24"/>
        </w:rPr>
        <w:t xml:space="preserve">. </w:t>
      </w:r>
    </w:p>
    <w:p w:rsidR="00A82B1F" w:rsidRPr="00892FF1" w:rsidRDefault="00A82B1F" w:rsidP="00A82B1F">
      <w:pPr>
        <w:pStyle w:val="H1G"/>
      </w:pPr>
      <w:bookmarkStart w:id="77" w:name="_Toc239660521"/>
      <w:bookmarkStart w:id="78" w:name="_Toc246693236"/>
      <w:r w:rsidRPr="00892FF1">
        <w:tab/>
      </w:r>
      <w:bookmarkStart w:id="79" w:name="_Toc278809816"/>
      <w:bookmarkStart w:id="80" w:name="_Toc278878484"/>
      <w:r w:rsidRPr="00892FF1">
        <w:t>J.</w:t>
      </w:r>
      <w:r w:rsidRPr="00892FF1">
        <w:tab/>
        <w:t>Artículo 10</w:t>
      </w:r>
      <w:bookmarkEnd w:id="77"/>
      <w:bookmarkEnd w:id="78"/>
      <w:bookmarkEnd w:id="79"/>
      <w:bookmarkEnd w:id="80"/>
    </w:p>
    <w:p w:rsidR="00A82B1F" w:rsidRPr="00892FF1" w:rsidRDefault="00A82B1F" w:rsidP="00A82B1F">
      <w:pPr>
        <w:pStyle w:val="SingleTxtG"/>
      </w:pPr>
      <w:r w:rsidRPr="00892FF1">
        <w:t>149.</w:t>
      </w:r>
      <w:r w:rsidRPr="00892FF1">
        <w:tab/>
        <w:t>Los artículos 7, 9, 17 y 24 contienen información pertinente para el artículo 10.</w:t>
      </w:r>
    </w:p>
    <w:p w:rsidR="00A82B1F" w:rsidRPr="00892FF1" w:rsidRDefault="00A82B1F" w:rsidP="00A82B1F">
      <w:pPr>
        <w:pStyle w:val="H23G"/>
      </w:pPr>
      <w:bookmarkStart w:id="81" w:name="_Toc246693237"/>
      <w:r w:rsidRPr="00892FF1">
        <w:tab/>
      </w:r>
      <w:r w:rsidRPr="00892FF1">
        <w:tab/>
      </w:r>
      <w:bookmarkStart w:id="82" w:name="_Toc278809817"/>
      <w:bookmarkStart w:id="83" w:name="_Toc278878485"/>
      <w:r>
        <w:t>Menores infractores</w:t>
      </w:r>
      <w:r w:rsidRPr="00892FF1">
        <w:t xml:space="preserve"> </w:t>
      </w:r>
      <w:bookmarkEnd w:id="81"/>
      <w:bookmarkEnd w:id="82"/>
      <w:bookmarkEnd w:id="83"/>
    </w:p>
    <w:p w:rsidR="00A82B1F" w:rsidRPr="00892FF1" w:rsidRDefault="00A82B1F" w:rsidP="00A82B1F">
      <w:pPr>
        <w:pStyle w:val="SingleTxtG"/>
      </w:pPr>
      <w:r w:rsidRPr="00892FF1">
        <w:t>150.</w:t>
      </w:r>
      <w:r w:rsidRPr="00892FF1">
        <w:tab/>
        <w:t xml:space="preserve">En Noruega, la edad de responsabilidad penal es de 15 años. Entre los 15 y los 18 años, los niños son responsables penalmente y están sujetos a las disposiciones ordinarias del Código </w:t>
      </w:r>
      <w:r>
        <w:t>P</w:t>
      </w:r>
      <w:r w:rsidRPr="00892FF1">
        <w:t>enal, aunque se aplican algunas modificaciones dada su corta edad. Además, poseen derechos especiales que deben ser protegidos, incluso cuando cometen un delito.</w:t>
      </w:r>
    </w:p>
    <w:p w:rsidR="00A82B1F" w:rsidRPr="00892FF1" w:rsidRDefault="00A82B1F" w:rsidP="00A82B1F">
      <w:pPr>
        <w:pStyle w:val="SingleTxtG"/>
      </w:pPr>
      <w:r w:rsidRPr="00892FF1">
        <w:t>151.</w:t>
      </w:r>
      <w:r w:rsidRPr="00892FF1">
        <w:tab/>
        <w:t xml:space="preserve">Noruega ha </w:t>
      </w:r>
      <w:r>
        <w:t>formulado una</w:t>
      </w:r>
      <w:r w:rsidRPr="00892FF1">
        <w:t xml:space="preserve"> reserva relativa al </w:t>
      </w:r>
      <w:r>
        <w:t>a</w:t>
      </w:r>
      <w:r w:rsidRPr="00892FF1">
        <w:t xml:space="preserve">rtículo 10, párrafos 2 b) y 3 sobre la obligación de separar a los </w:t>
      </w:r>
      <w:r>
        <w:t>menores infractores</w:t>
      </w:r>
      <w:r w:rsidRPr="00892FF1">
        <w:t xml:space="preserve"> y los convictos </w:t>
      </w:r>
      <w:r>
        <w:t xml:space="preserve">jóvenes </w:t>
      </w:r>
      <w:r w:rsidRPr="00892FF1">
        <w:t>de los presos adultos (</w:t>
      </w:r>
      <w:r>
        <w:t>véase el a</w:t>
      </w:r>
      <w:r w:rsidRPr="00892FF1">
        <w:t>rtículo 37 c)</w:t>
      </w:r>
      <w:r>
        <w:t xml:space="preserve"> de la Convención sobre los Derechos del Niño</w:t>
      </w:r>
      <w:r w:rsidRPr="00892FF1">
        <w:t xml:space="preserve">). Uno de los principios por los que se rige el Cuerpo Penitenciario noruego es que un convicto debería cumplir su condena lo más cerca posible de su domicilio, </w:t>
      </w:r>
      <w:r>
        <w:t>(véase el a</w:t>
      </w:r>
      <w:r w:rsidRPr="00892FF1">
        <w:t>rtículo 11, párrafo 1</w:t>
      </w:r>
      <w:r>
        <w:t>,</w:t>
      </w:r>
      <w:r w:rsidRPr="00892FF1">
        <w:t xml:space="preserve"> de la Ley de ejecución de las penas</w:t>
      </w:r>
      <w:r>
        <w:t>)</w:t>
      </w:r>
      <w:r w:rsidRPr="00892FF1">
        <w:t xml:space="preserve">. Además, el número de </w:t>
      </w:r>
      <w:r>
        <w:t>menores</w:t>
      </w:r>
      <w:r w:rsidRPr="00892FF1">
        <w:t xml:space="preserve"> en las prisiones de Noruega es muy reducido (por lo general, entre cinco y diez). Respetar el principio de separar a los </w:t>
      </w:r>
      <w:r>
        <w:t>menores</w:t>
      </w:r>
      <w:r w:rsidRPr="00892FF1">
        <w:t xml:space="preserve"> de la población adulta, así como el principio de proximidad, obligaría a ponerlos prácticamente en un régimen de aislamiento total. En opinión del Gobierno, esta solución se considera contraria al interés superior del niño y, por lo tanto, no sería satisfactoria (</w:t>
      </w:r>
      <w:r>
        <w:t>véase el a</w:t>
      </w:r>
      <w:r w:rsidRPr="00892FF1">
        <w:t>rtículo 37 c)</w:t>
      </w:r>
      <w:r>
        <w:t xml:space="preserve"> de la Convención sobre los Derechos del Niño</w:t>
      </w:r>
      <w:r w:rsidRPr="00892FF1">
        <w:t>). Las consideraciones anteriormente expresadas constituyen la base por la cual se mantiene la reserva.</w:t>
      </w:r>
    </w:p>
    <w:p w:rsidR="00A82B1F" w:rsidRPr="00892FF1" w:rsidRDefault="00A82B1F" w:rsidP="00A82B1F">
      <w:pPr>
        <w:pStyle w:val="SingleTxtG"/>
      </w:pPr>
      <w:r w:rsidRPr="00892FF1">
        <w:t>152.</w:t>
      </w:r>
      <w:r w:rsidRPr="00892FF1">
        <w:tab/>
        <w:t xml:space="preserve">No obstante, Noruega reconoce que persisten los problemas en relación con los </w:t>
      </w:r>
      <w:r>
        <w:t>menores</w:t>
      </w:r>
      <w:r w:rsidRPr="00892FF1">
        <w:t xml:space="preserve"> encarcelados, especialmente en el caso de los que cumplen</w:t>
      </w:r>
      <w:r>
        <w:t xml:space="preserve"> condena</w:t>
      </w:r>
      <w:r w:rsidRPr="00892FF1">
        <w:t xml:space="preserve"> junto con presos de más edad y los que </w:t>
      </w:r>
      <w:r>
        <w:t xml:space="preserve">la </w:t>
      </w:r>
      <w:r w:rsidRPr="00892FF1">
        <w:t xml:space="preserve">cumplen lejos de su hogar y de su familia, que los </w:t>
      </w:r>
      <w:r>
        <w:t>menores</w:t>
      </w:r>
      <w:r w:rsidRPr="00892FF1">
        <w:t xml:space="preserve"> están aislados en sus celdas hasta extremos inaceptables y que </w:t>
      </w:r>
      <w:r>
        <w:t>no se les hace</w:t>
      </w:r>
      <w:r w:rsidRPr="00892FF1">
        <w:t xml:space="preserve"> un seguimiento suficiente después de su puesta en libertad.</w:t>
      </w:r>
    </w:p>
    <w:p w:rsidR="00A82B1F" w:rsidRPr="00892FF1" w:rsidRDefault="00A82B1F" w:rsidP="00A82B1F">
      <w:pPr>
        <w:pStyle w:val="SingleTxtG"/>
      </w:pPr>
      <w:r w:rsidRPr="00892FF1">
        <w:t>153.</w:t>
      </w:r>
      <w:r w:rsidRPr="00892FF1">
        <w:tab/>
        <w:t xml:space="preserve">Para evitar que los </w:t>
      </w:r>
      <w:r>
        <w:t>menores</w:t>
      </w:r>
      <w:r w:rsidRPr="00892FF1">
        <w:t xml:space="preserve"> cumplan condena junto con los adultos o en régimen de aislamiento total, Noruega está creando dependencias penitenciarias separadas para </w:t>
      </w:r>
      <w:r>
        <w:t>menores infractores</w:t>
      </w:r>
      <w:r w:rsidRPr="00892FF1">
        <w:t xml:space="preserve">. Durante 2009, entrarán en funcionamiento dos prisiones especiales para </w:t>
      </w:r>
      <w:r>
        <w:t>menores, que</w:t>
      </w:r>
      <w:r w:rsidRPr="00892FF1">
        <w:t xml:space="preserve"> dispondrán de pequeños apartamentos </w:t>
      </w:r>
      <w:r>
        <w:t xml:space="preserve">en los </w:t>
      </w:r>
      <w:r w:rsidRPr="00892FF1">
        <w:t xml:space="preserve">que </w:t>
      </w:r>
      <w:r>
        <w:t xml:space="preserve">se </w:t>
      </w:r>
      <w:r w:rsidRPr="00892FF1">
        <w:t xml:space="preserve">ofrecerá alojamiento a las familias de los </w:t>
      </w:r>
      <w:r>
        <w:t>infractores</w:t>
      </w:r>
      <w:r w:rsidRPr="00892FF1">
        <w:t xml:space="preserve"> para que éstas puedan pasar tiempo con ellos mientras cumplen condena. Además, los jóvenes podrán, en mayor medida que en las prisiones ordinarias, participar en la comunidad penitenciaria</w:t>
      </w:r>
      <w:r>
        <w:t xml:space="preserve"> y</w:t>
      </w:r>
      <w:r w:rsidRPr="00892FF1">
        <w:t xml:space="preserve"> se ofrecerán programas de seguimiento multidisciplinares después de la puesta en libertad. Conviene subrayar que, con estas medidas, Noruega no desea aumentar el índice actual de reclusión de </w:t>
      </w:r>
      <w:r>
        <w:t>menores</w:t>
      </w:r>
      <w:r w:rsidRPr="00892FF1">
        <w:t xml:space="preserve">. Por el contrario, el objetivo de estas medidas es poder ofrecer una alternativa mejor al encarcelamiento ordinario en aquellos casos en los que no hay más solución que el cumplimiento de una pena de prisión para pagar por un delito cometido. </w:t>
      </w:r>
    </w:p>
    <w:p w:rsidR="00A82B1F" w:rsidRPr="00892FF1" w:rsidRDefault="00A82B1F" w:rsidP="00A82B1F">
      <w:pPr>
        <w:pStyle w:val="SingleTxtG"/>
      </w:pPr>
      <w:r w:rsidRPr="00892FF1">
        <w:t>154.</w:t>
      </w:r>
      <w:r w:rsidRPr="00892FF1">
        <w:tab/>
        <w:t xml:space="preserve">La política reciente sobre </w:t>
      </w:r>
      <w:r>
        <w:t>menores infractores</w:t>
      </w:r>
      <w:r w:rsidRPr="00892FF1">
        <w:t xml:space="preserve"> se basa en el principio de justicia restaurativa</w:t>
      </w:r>
      <w:r>
        <w:t xml:space="preserve"> de cuyo éxito es factor clave </w:t>
      </w:r>
      <w:r w:rsidRPr="00892FF1">
        <w:t>la cooperación entre los diferentes niveles de la administración pública, entre la justicia y los servicios de apoyo al niño y la policía y la fiscalía</w:t>
      </w:r>
      <w:r>
        <w:t>,</w:t>
      </w:r>
      <w:r w:rsidRPr="00892FF1">
        <w:t xml:space="preserve"> y entre el </w:t>
      </w:r>
      <w:r>
        <w:t>G</w:t>
      </w:r>
      <w:r w:rsidRPr="00892FF1">
        <w:t xml:space="preserve">obierno y el sector civil. Para este grupo, cumplir una condena en una institución de asistencia al niño y acogerse a las soluciones de una junta de mediación son alternativas </w:t>
      </w:r>
      <w:r>
        <w:t>encomiables</w:t>
      </w:r>
      <w:r w:rsidRPr="00892FF1">
        <w:t xml:space="preserve"> al cumplimiento de una pena de prisión. Asimismo, el Gobierno actual ha anunciado un aumento en la frecuencia de condenas a servicios para la comunidad</w:t>
      </w:r>
      <w:r>
        <w:t xml:space="preserve"> (véase el a</w:t>
      </w:r>
      <w:r w:rsidRPr="00892FF1">
        <w:t>rtículo 14</w:t>
      </w:r>
      <w:r>
        <w:t>)</w:t>
      </w:r>
      <w:r w:rsidRPr="00892FF1">
        <w:t xml:space="preserve">. </w:t>
      </w:r>
    </w:p>
    <w:p w:rsidR="00A82B1F" w:rsidRPr="00892FF1" w:rsidRDefault="00A82B1F" w:rsidP="00702917">
      <w:pPr>
        <w:pStyle w:val="SingleTxtG"/>
        <w:keepNext/>
        <w:keepLines/>
      </w:pPr>
      <w:r w:rsidRPr="00892FF1">
        <w:t>155.</w:t>
      </w:r>
      <w:r w:rsidRPr="00892FF1">
        <w:tab/>
        <w:t xml:space="preserve">En agosto de 2009, el Gobierno puso en marcha un </w:t>
      </w:r>
      <w:r w:rsidRPr="0015451F">
        <w:t>Plan de acción</w:t>
      </w:r>
      <w:r w:rsidRPr="00892FF1">
        <w:t xml:space="preserve"> para la prevención del delito (</w:t>
      </w:r>
      <w:r>
        <w:t>"</w:t>
      </w:r>
      <w:r w:rsidRPr="0015451F">
        <w:t>Gode krefter</w:t>
      </w:r>
      <w:r>
        <w:t>"</w:t>
      </w:r>
      <w:r w:rsidRPr="00892FF1">
        <w:t xml:space="preserve">), cuyos elementos principales son el apoyo del Estado a la </w:t>
      </w:r>
      <w:r>
        <w:t>participación</w:t>
      </w:r>
      <w:r w:rsidRPr="00892FF1">
        <w:t xml:space="preserve"> de la comunidad y el establecimiento de asociaciones locales efectivas. </w:t>
      </w:r>
      <w:r w:rsidRPr="0015451F">
        <w:t xml:space="preserve">El </w:t>
      </w:r>
      <w:r w:rsidRPr="00892FF1">
        <w:t>Plan de acción incluye</w:t>
      </w:r>
      <w:r>
        <w:t xml:space="preserve"> </w:t>
      </w:r>
      <w:r w:rsidRPr="00B25979">
        <w:t>entre otras</w:t>
      </w:r>
      <w:r w:rsidRPr="00892FF1">
        <w:t xml:space="preserve"> las medidas siguientes:</w:t>
      </w:r>
    </w:p>
    <w:p w:rsidR="00A82B1F" w:rsidRPr="00892FF1" w:rsidRDefault="00A82B1F" w:rsidP="00A82B1F">
      <w:pPr>
        <w:pStyle w:val="SingleTxtG"/>
      </w:pPr>
      <w:r w:rsidRPr="00892FF1">
        <w:tab/>
        <w:t>a)</w:t>
      </w:r>
      <w:r w:rsidRPr="00892FF1">
        <w:tab/>
        <w:t>Aumento en el uso de las soluciones ofrecidas por juntas de mediación</w:t>
      </w:r>
      <w:r>
        <w:t>.</w:t>
      </w:r>
    </w:p>
    <w:p w:rsidR="00A82B1F" w:rsidRPr="00892FF1" w:rsidRDefault="00A82B1F" w:rsidP="00A82B1F">
      <w:pPr>
        <w:pStyle w:val="SingleTxtG"/>
      </w:pPr>
      <w:bookmarkStart w:id="84" w:name="_Toc242518907"/>
      <w:r w:rsidRPr="00892FF1">
        <w:tab/>
        <w:t>b)</w:t>
      </w:r>
      <w:r w:rsidRPr="00892FF1">
        <w:tab/>
      </w:r>
      <w:r>
        <w:t>Varios</w:t>
      </w:r>
      <w:r w:rsidRPr="00892FF1">
        <w:t xml:space="preserve"> proyectos locales. Las sanciones impuestas han incluido la renuncia al enjuiciamiento basada en un </w:t>
      </w:r>
      <w:r>
        <w:t>"</w:t>
      </w:r>
      <w:r w:rsidRPr="00892FF1">
        <w:t>contrato</w:t>
      </w:r>
      <w:r>
        <w:t>"</w:t>
      </w:r>
      <w:r w:rsidRPr="00892FF1">
        <w:t xml:space="preserve"> con el </w:t>
      </w:r>
      <w:r>
        <w:t>menor infractor</w:t>
      </w:r>
      <w:r w:rsidRPr="00892FF1">
        <w:t xml:space="preserve"> y la suspensión de condenas a partir de condiciones adaptadas al individuo. En la fase de preparación de la nueva legislación propuesta en el informe NOU 2008: 15 </w:t>
      </w:r>
      <w:r>
        <w:t>"</w:t>
      </w:r>
      <w:r w:rsidRPr="0015451F">
        <w:t>Barn og straff</w:t>
      </w:r>
      <w:r>
        <w:t>"</w:t>
      </w:r>
      <w:r w:rsidRPr="00892FF1">
        <w:t xml:space="preserve"> (</w:t>
      </w:r>
      <w:r>
        <w:t>"</w:t>
      </w:r>
      <w:r w:rsidRPr="00892FF1">
        <w:t>Niños y sanciones</w:t>
      </w:r>
      <w:r>
        <w:t>"</w:t>
      </w:r>
      <w:r w:rsidRPr="00892FF1">
        <w:t>)</w:t>
      </w:r>
      <w:bookmarkEnd w:id="84"/>
      <w:r w:rsidRPr="00892FF1">
        <w:t xml:space="preserve"> se llevará a cabo un seguimiento de los resultados de estos proyectos.</w:t>
      </w:r>
    </w:p>
    <w:p w:rsidR="00A82B1F" w:rsidRPr="007A3958" w:rsidRDefault="00A82B1F" w:rsidP="00A82B1F">
      <w:pPr>
        <w:pStyle w:val="H23G"/>
        <w:rPr>
          <w:spacing w:val="-2"/>
        </w:rPr>
      </w:pPr>
      <w:bookmarkStart w:id="85" w:name="_Toc246693238"/>
      <w:r w:rsidRPr="007A3958">
        <w:rPr>
          <w:spacing w:val="-2"/>
        </w:rPr>
        <w:tab/>
      </w:r>
      <w:r w:rsidRPr="007A3958">
        <w:rPr>
          <w:spacing w:val="-2"/>
        </w:rPr>
        <w:tab/>
      </w:r>
      <w:bookmarkStart w:id="86" w:name="_Toc278809818"/>
      <w:bookmarkStart w:id="87" w:name="_Toc278878486"/>
      <w:r w:rsidRPr="007A3958">
        <w:rPr>
          <w:spacing w:val="-2"/>
        </w:rPr>
        <w:t>Vigilancia mediante dispositivos electrónicos: una alternativa al encarcelamiento</w:t>
      </w:r>
      <w:bookmarkEnd w:id="85"/>
      <w:bookmarkEnd w:id="86"/>
      <w:bookmarkEnd w:id="87"/>
    </w:p>
    <w:p w:rsidR="00A82B1F" w:rsidRPr="00892FF1" w:rsidRDefault="00A82B1F" w:rsidP="00A82B1F">
      <w:pPr>
        <w:pStyle w:val="SingleTxtG"/>
      </w:pPr>
      <w:r w:rsidRPr="00892FF1">
        <w:t>156.</w:t>
      </w:r>
      <w:r w:rsidRPr="00892FF1">
        <w:tab/>
        <w:t xml:space="preserve">Noruega estableció el 1º de septiembre de 2008 la vigilancia mediante dispositivos electrónicos como alternativa al encarcelamiento. La nueva legislación se aprobó en agosto de 2008. De entrada, se trata de un proyecto piloto de </w:t>
      </w:r>
      <w:r>
        <w:t>dos</w:t>
      </w:r>
      <w:r w:rsidRPr="00892FF1">
        <w:t xml:space="preserve"> años </w:t>
      </w:r>
      <w:r>
        <w:t xml:space="preserve">de duración </w:t>
      </w:r>
      <w:r w:rsidRPr="00892FF1">
        <w:t xml:space="preserve">limitado a 6 de los 19 condados, y </w:t>
      </w:r>
      <w:r>
        <w:t xml:space="preserve">está previsto que </w:t>
      </w:r>
      <w:r w:rsidRPr="00892FF1">
        <w:t xml:space="preserve">el número de delincuentes </w:t>
      </w:r>
      <w:r>
        <w:t>a los que se aplique en cada momento</w:t>
      </w:r>
      <w:r w:rsidRPr="00892FF1">
        <w:t xml:space="preserve"> durante este período </w:t>
      </w:r>
      <w:r>
        <w:t>sea</w:t>
      </w:r>
      <w:r w:rsidRPr="00892FF1">
        <w:t xml:space="preserve"> de 130. El objetivo de </w:t>
      </w:r>
      <w:r>
        <w:t>realizar</w:t>
      </w:r>
      <w:r w:rsidRPr="00892FF1">
        <w:t xml:space="preserve"> la vigilancia mediante dispositivos electrónicos es encontrar una alternativa humana y fiable al encarcelamiento, prevenir la reincidencia y reducir la población penitenciaria. En febrero de 2009, el número de delincuentes </w:t>
      </w:r>
      <w:r>
        <w:t>que habían participado</w:t>
      </w:r>
      <w:r w:rsidRPr="00892FF1">
        <w:t xml:space="preserve"> era de 192, </w:t>
      </w:r>
      <w:r>
        <w:t>de los que</w:t>
      </w:r>
      <w:r w:rsidR="00A748AA">
        <w:t xml:space="preserve"> sólo</w:t>
      </w:r>
      <w:r w:rsidRPr="00892FF1">
        <w:t xml:space="preserve"> 8 volvieron a la cárcel por faltas de conducta. </w:t>
      </w:r>
      <w:r>
        <w:t>Por</w:t>
      </w:r>
      <w:r w:rsidRPr="00892FF1">
        <w:t xml:space="preserve"> </w:t>
      </w:r>
      <w:r>
        <w:t xml:space="preserve">término </w:t>
      </w:r>
      <w:r w:rsidRPr="00892FF1">
        <w:t>medi</w:t>
      </w:r>
      <w:r>
        <w:t>o</w:t>
      </w:r>
      <w:r w:rsidRPr="00892FF1">
        <w:t xml:space="preserve">, unos 70 delincuentes están sometidos en cualquier momento a vigilancia mediante dispositivos electrónicos. </w:t>
      </w:r>
    </w:p>
    <w:p w:rsidR="00A82B1F" w:rsidRPr="00892FF1" w:rsidRDefault="00A82B1F" w:rsidP="00A82B1F">
      <w:pPr>
        <w:pStyle w:val="SingleTxtG"/>
      </w:pPr>
      <w:r w:rsidRPr="00892FF1">
        <w:t>157.</w:t>
      </w:r>
      <w:r w:rsidRPr="00892FF1">
        <w:tab/>
        <w:t xml:space="preserve">Se han creado unidades especiales de vigilancia mediante dispositivos electrónicos en las oficinas locales de libertad vigilada existentes. Estas unidades cuentan con una plantilla de funcionarios penitenciarios y de trabajadores sociales multidisciplinar y bien cualificada. Se pone el acento en la seguridad dinámica y en el estrecho seguimiento por parte del personal. El delincuente debe aceptar un programa de supervisión y control muy férreo, y una de las condiciones es tener un empleo adecuado. </w:t>
      </w:r>
      <w:r>
        <w:t>T</w:t>
      </w:r>
      <w:r w:rsidRPr="00892FF1">
        <w:t xml:space="preserve">ambién debe participar en un programa de motivación y prevención del delito, así como en otras actividades de rehabilitación adaptadas a sus necesidades, con el objetivo de mantener y desarrollar sus capacidades sociales y económicas y, de este modo, prevenir la reincidencia. </w:t>
      </w:r>
    </w:p>
    <w:p w:rsidR="00A82B1F" w:rsidRPr="00892FF1" w:rsidRDefault="00A82B1F" w:rsidP="00A82B1F">
      <w:pPr>
        <w:pStyle w:val="SingleTxtG"/>
      </w:pPr>
      <w:r w:rsidRPr="00892FF1">
        <w:t>158.</w:t>
      </w:r>
      <w:r w:rsidRPr="00892FF1">
        <w:tab/>
        <w:t xml:space="preserve">Durante este período </w:t>
      </w:r>
      <w:r>
        <w:t>experimental</w:t>
      </w:r>
      <w:r w:rsidRPr="00892FF1">
        <w:t xml:space="preserve">, los destinatarios del programa de vigilancia mediante dispositivos electrónicos en Noruega son delincuentes condenados a menos de cuatro meses de prisión, o aquellos condenados a una pena más larga y a los que les restan por cumplir menos de cuatro meses. En principio, todos los delincuentes de este grupo pueden cumplir su condena </w:t>
      </w:r>
      <w:r>
        <w:t>bajo</w:t>
      </w:r>
      <w:r w:rsidRPr="00892FF1">
        <w:t xml:space="preserve"> vigilancia mediante dispositivos electrónicos. No obstante, como norma general, los condenados por delitos violentos y sexuales están excluidos del programa, y los </w:t>
      </w:r>
      <w:r>
        <w:t>menores infractores</w:t>
      </w:r>
      <w:r w:rsidRPr="00892FF1">
        <w:t xml:space="preserve"> y quienes delinquen por primera vez son sus destinatarios prioritarios.</w:t>
      </w:r>
    </w:p>
    <w:p w:rsidR="00A82B1F" w:rsidRPr="00892FF1" w:rsidRDefault="00A82B1F" w:rsidP="00A82B1F">
      <w:pPr>
        <w:pStyle w:val="H23G"/>
      </w:pPr>
      <w:bookmarkStart w:id="88" w:name="_Toc246693239"/>
      <w:r w:rsidRPr="00892FF1">
        <w:tab/>
      </w:r>
      <w:r w:rsidRPr="00892FF1">
        <w:tab/>
      </w:r>
      <w:bookmarkStart w:id="89" w:name="_Toc278809819"/>
      <w:bookmarkStart w:id="90" w:name="_Toc278878487"/>
      <w:r w:rsidRPr="00892FF1">
        <w:t>Eliminación de las colas penitenciarias</w:t>
      </w:r>
      <w:bookmarkEnd w:id="88"/>
      <w:bookmarkEnd w:id="89"/>
      <w:bookmarkEnd w:id="90"/>
      <w:r w:rsidRPr="00892FF1">
        <w:t xml:space="preserve"> </w:t>
      </w:r>
    </w:p>
    <w:p w:rsidR="00A82B1F" w:rsidRPr="00892FF1" w:rsidRDefault="00A82B1F" w:rsidP="00A82B1F">
      <w:pPr>
        <w:pStyle w:val="SingleTxtG"/>
      </w:pPr>
      <w:r w:rsidRPr="00892FF1">
        <w:t>159.</w:t>
      </w:r>
      <w:r w:rsidRPr="00892FF1">
        <w:tab/>
        <w:t>El hacinamiento en las cárceles, un fenómeno común en otros países, no se ha dado en Noruega por cuanto las personas condenadas por delitos menos graves han tenido que esperar a que se liberara una celda</w:t>
      </w:r>
      <w:r>
        <w:t>, lo que</w:t>
      </w:r>
      <w:r w:rsidRPr="00892FF1">
        <w:t xml:space="preserve"> ha dado lugar a las denominadas </w:t>
      </w:r>
      <w:r>
        <w:t>"</w:t>
      </w:r>
      <w:r w:rsidRPr="00892FF1">
        <w:t>colas penitenciarias</w:t>
      </w:r>
      <w:r>
        <w:t>"</w:t>
      </w:r>
      <w:r w:rsidRPr="00892FF1">
        <w:t xml:space="preserve">, una consecuencia no deseada pero que es vista como una solución más humana y menos nociva que el hacinamiento. La percepción que se tiene de las personas que se ven obligadas a esperar más de dos meses una vez la sentencia es firme es que están </w:t>
      </w:r>
      <w:r>
        <w:t>"</w:t>
      </w:r>
      <w:r w:rsidRPr="00892FF1">
        <w:t>haciendo cola</w:t>
      </w:r>
      <w:r>
        <w:t>"</w:t>
      </w:r>
      <w:r w:rsidRPr="00892FF1">
        <w:t>. Tanto el Gobierno anterior como el actual se han fijado como objetivo prioritario la eliminación de las colas penitenciarias y han puesto en marcha iniciativas específicas con vistas a su reducción y eliminación total</w:t>
      </w:r>
      <w:r>
        <w:t>, que</w:t>
      </w:r>
      <w:r w:rsidRPr="00892FF1">
        <w:t xml:space="preserve"> pueden resumirse de la manera siguiente:</w:t>
      </w:r>
    </w:p>
    <w:p w:rsidR="00A82B1F" w:rsidRPr="00892FF1" w:rsidRDefault="00A82B1F" w:rsidP="00A82B1F">
      <w:pPr>
        <w:pStyle w:val="SingleTxtG"/>
      </w:pPr>
      <w:r w:rsidRPr="00892FF1">
        <w:tab/>
        <w:t>a)</w:t>
      </w:r>
      <w:r w:rsidRPr="00892FF1">
        <w:tab/>
        <w:t>Uso eficaz de las plazas penitenciarias disponibles. El objetivo fijado es una tasa de utilización del 94%, y se ha alcanzado hasta extremos aceptables. (Entre el 96% en 2003 y el 93% en 2008</w:t>
      </w:r>
      <w:r>
        <w:t>.</w:t>
      </w:r>
      <w:r w:rsidRPr="00892FF1">
        <w:t>)</w:t>
      </w:r>
    </w:p>
    <w:p w:rsidR="00A82B1F" w:rsidRPr="00892FF1" w:rsidRDefault="00A82B1F" w:rsidP="00A82B1F">
      <w:pPr>
        <w:pStyle w:val="SingleTxtG"/>
      </w:pPr>
      <w:r w:rsidRPr="00892FF1">
        <w:tab/>
        <w:t>b)</w:t>
      </w:r>
      <w:r w:rsidRPr="00892FF1">
        <w:tab/>
        <w:t>La creación de nuevas plazas penitenciarias, permanentes y temporales. Desde 2006 se han creado 398 nuevas plazas penitenciarias y en 2010 está prevista la inauguración de una nueva prisión con 251 plazas en la población de Halden</w:t>
      </w:r>
      <w:r>
        <w:t>.</w:t>
      </w:r>
    </w:p>
    <w:p w:rsidR="00A82B1F" w:rsidRPr="00892FF1" w:rsidRDefault="00A82B1F" w:rsidP="00A82B1F">
      <w:pPr>
        <w:pStyle w:val="SingleTxtG"/>
      </w:pPr>
      <w:r w:rsidRPr="00892FF1">
        <w:tab/>
        <w:t>c)</w:t>
      </w:r>
      <w:r w:rsidRPr="00892FF1">
        <w:tab/>
        <w:t xml:space="preserve">Como medida transitoria, se ha considerado a todos los presos para su puesta en libertad anticipada extraordinaria, en una escala móvil de hasta 20 días antes de la fecha de puesta en libertad normal. En 2008 la puesta en libertad anticipada extraordinaria permitió ahorrar 43.000 días de cárcel. </w:t>
      </w:r>
      <w:r>
        <w:t>Actualmente</w:t>
      </w:r>
      <w:r w:rsidRPr="00892FF1">
        <w:t>, se ha abandonado esta iniciativa</w:t>
      </w:r>
      <w:r>
        <w:t>.</w:t>
      </w:r>
    </w:p>
    <w:p w:rsidR="00A82B1F" w:rsidRPr="00892FF1" w:rsidRDefault="00A82B1F" w:rsidP="00A82B1F">
      <w:pPr>
        <w:pStyle w:val="SingleTxtG"/>
      </w:pPr>
      <w:r w:rsidRPr="00892FF1">
        <w:tab/>
        <w:t>d)</w:t>
      </w:r>
      <w:r w:rsidRPr="00892FF1">
        <w:tab/>
        <w:t>Celdas compartidas. Se ha recurrido hasta cierto punto a la colocación de dos reclusos en celdas diseñadas para una sola persona, por lo general con la colaboración de los reclusos afectados, y solamente en aquellas celdas en las que se consideraba aceptable la colocación de una cama suplementaria. Las celdas compartidas eran la iniciativa menos deseable y la primera que se abandonó, en abril de 2008</w:t>
      </w:r>
      <w:r>
        <w:t>.</w:t>
      </w:r>
    </w:p>
    <w:p w:rsidR="00A82B1F" w:rsidRPr="00892FF1" w:rsidRDefault="00A82B1F" w:rsidP="00A82B1F">
      <w:pPr>
        <w:pStyle w:val="SingleTxtG"/>
      </w:pPr>
      <w:r>
        <w:tab/>
      </w:r>
      <w:r w:rsidRPr="00892FF1">
        <w:t>e)</w:t>
      </w:r>
      <w:r w:rsidRPr="00892FF1">
        <w:tab/>
        <w:t xml:space="preserve">Vigilancia mediante dispositivos electrónicos. Aunque las colas penitenciarias no eran el motivo principal para la implantación de la vigilancia mediante dispositivos electrónicos, esta iniciativa contribuyó a justificar las inversiones necesarias para poner en marcha un proyecto piloto. </w:t>
      </w:r>
    </w:p>
    <w:p w:rsidR="00A82B1F" w:rsidRPr="00892FF1" w:rsidRDefault="00A82B1F" w:rsidP="00A82B1F">
      <w:pPr>
        <w:pStyle w:val="SingleTxtG"/>
      </w:pPr>
      <w:r w:rsidRPr="00892FF1">
        <w:t>160.</w:t>
      </w:r>
      <w:r w:rsidRPr="00892FF1">
        <w:tab/>
        <w:t xml:space="preserve">En la actualidad (1º de octubre de 2009), hay en Noruega 47 cárceles y 3.582 plazas penitenciarias. El 30 de junio de 2006, las colas penitenciarias alcanzaron un </w:t>
      </w:r>
      <w:r>
        <w:t>máximo</w:t>
      </w:r>
      <w:r w:rsidRPr="00892FF1">
        <w:t xml:space="preserve"> de 3.380 personas. </w:t>
      </w:r>
      <w:r>
        <w:t xml:space="preserve">A </w:t>
      </w:r>
      <w:r w:rsidRPr="00892FF1">
        <w:t>1º de octubre de 2009, la cifra se ha reducido hasta 350 personas. Se espera que esta tendencia descendente se mantenga, aunque a un ritmo inferior, y con toda probabilidad se estabilizará en un nivel ligeramente superior a cero.</w:t>
      </w:r>
    </w:p>
    <w:p w:rsidR="00A82B1F" w:rsidRPr="00892FF1" w:rsidRDefault="00A82B1F" w:rsidP="00A82B1F">
      <w:pPr>
        <w:pStyle w:val="H23G"/>
      </w:pPr>
      <w:bookmarkStart w:id="91" w:name="_Toc246693240"/>
      <w:r w:rsidRPr="00892FF1">
        <w:tab/>
      </w:r>
      <w:r w:rsidRPr="00892FF1">
        <w:tab/>
      </w:r>
      <w:bookmarkStart w:id="92" w:name="_Toc278809820"/>
      <w:bookmarkStart w:id="93" w:name="_Toc278878488"/>
      <w:r w:rsidRPr="00892FF1">
        <w:t>Educación en las cárceles</w:t>
      </w:r>
      <w:bookmarkEnd w:id="91"/>
      <w:bookmarkEnd w:id="92"/>
      <w:bookmarkEnd w:id="93"/>
    </w:p>
    <w:p w:rsidR="00A82B1F" w:rsidRPr="00892FF1" w:rsidRDefault="00A82B1F" w:rsidP="00A82B1F">
      <w:pPr>
        <w:pStyle w:val="SingleTxtG"/>
      </w:pPr>
      <w:r w:rsidRPr="00892FF1">
        <w:t>161.</w:t>
      </w:r>
      <w:r w:rsidRPr="00892FF1">
        <w:tab/>
        <w:t>En todas las prisiones se imparte enseñanza primari</w:t>
      </w:r>
      <w:r>
        <w:t>a</w:t>
      </w:r>
      <w:r w:rsidRPr="00892FF1">
        <w:t>, secundari</w:t>
      </w:r>
      <w:r>
        <w:t>a</w:t>
      </w:r>
      <w:r w:rsidRPr="00892FF1">
        <w:t xml:space="preserve"> y secundari</w:t>
      </w:r>
      <w:r>
        <w:t>a</w:t>
      </w:r>
      <w:r w:rsidRPr="00892FF1">
        <w:t xml:space="preserve"> superior, así como cursos teóricos y prácticos. Durante 2010, los presos que estén estudiando tendrán acceso restringido a Internet, para velar por que la educación que se ofrece se ajuste al marco del plan de estudios de la enseñanza pública vigente.</w:t>
      </w:r>
    </w:p>
    <w:p w:rsidR="00A82B1F" w:rsidRPr="00892FF1" w:rsidRDefault="00A82B1F" w:rsidP="00A82B1F">
      <w:pPr>
        <w:pStyle w:val="H23G"/>
      </w:pPr>
      <w:bookmarkStart w:id="94" w:name="_Toc246693241"/>
      <w:r w:rsidRPr="00892FF1">
        <w:tab/>
      </w:r>
      <w:r w:rsidRPr="00892FF1">
        <w:tab/>
      </w:r>
      <w:bookmarkStart w:id="95" w:name="_Toc278809821"/>
      <w:bookmarkStart w:id="96" w:name="_Toc278878489"/>
      <w:r w:rsidRPr="00892FF1">
        <w:t>Mujeres en las cárceles</w:t>
      </w:r>
      <w:bookmarkEnd w:id="94"/>
      <w:bookmarkEnd w:id="95"/>
      <w:bookmarkEnd w:id="96"/>
    </w:p>
    <w:p w:rsidR="00A82B1F" w:rsidRPr="00892FF1" w:rsidRDefault="00A82B1F" w:rsidP="00A82B1F">
      <w:pPr>
        <w:pStyle w:val="SingleTxtG"/>
      </w:pPr>
      <w:r w:rsidRPr="00892FF1">
        <w:t>162.</w:t>
      </w:r>
      <w:r w:rsidRPr="00892FF1">
        <w:tab/>
        <w:t xml:space="preserve">Por norma general, se aplican </w:t>
      </w:r>
      <w:r>
        <w:t xml:space="preserve">en Noruega </w:t>
      </w:r>
      <w:r w:rsidRPr="00892FF1">
        <w:t xml:space="preserve">las mismas leyes y reglamentos a los presos y a las presas. No obstante, se </w:t>
      </w:r>
      <w:r>
        <w:t>hacen</w:t>
      </w:r>
      <w:r w:rsidRPr="00892FF1">
        <w:t xml:space="preserve"> algunos ajustes especiales para </w:t>
      </w:r>
      <w:r>
        <w:t>reducir las consecuencias</w:t>
      </w:r>
      <w:r w:rsidRPr="00892FF1">
        <w:t xml:space="preserve"> de la reclusión en la vida familiar de las internas, así como en sus hijos. En general, el Gobierno se ha fijado como meta permitir que aumente el número de mujeres que cumpl</w:t>
      </w:r>
      <w:r>
        <w:t>a</w:t>
      </w:r>
      <w:r w:rsidRPr="00892FF1">
        <w:t>n condena en cárceles de baja seguridad o en centros de régimen intermedio. También deberían cumplirse más penas fuera de la cárcel.</w:t>
      </w:r>
    </w:p>
    <w:p w:rsidR="00A82B1F" w:rsidRPr="00892FF1" w:rsidRDefault="00A82B1F" w:rsidP="00A82B1F">
      <w:pPr>
        <w:pStyle w:val="H4G"/>
      </w:pPr>
      <w:r w:rsidRPr="00892FF1">
        <w:tab/>
      </w:r>
      <w:r w:rsidRPr="00892FF1">
        <w:tab/>
      </w:r>
      <w:bookmarkStart w:id="97" w:name="_Toc278878490"/>
      <w:r w:rsidRPr="00892FF1">
        <w:t>Mujeres embarazadas y mujeres lactantes</w:t>
      </w:r>
      <w:bookmarkEnd w:id="97"/>
      <w:r w:rsidRPr="00892FF1">
        <w:t xml:space="preserve"> </w:t>
      </w:r>
    </w:p>
    <w:p w:rsidR="00A82B1F" w:rsidRPr="00892FF1" w:rsidRDefault="00A82B1F" w:rsidP="00A82B1F">
      <w:pPr>
        <w:pStyle w:val="SingleTxtG"/>
      </w:pPr>
      <w:r w:rsidRPr="00892FF1">
        <w:t>163.</w:t>
      </w:r>
      <w:r w:rsidRPr="00892FF1">
        <w:tab/>
      </w:r>
      <w:r>
        <w:t>Al respecto, cabe referirse</w:t>
      </w:r>
      <w:r w:rsidRPr="00892FF1">
        <w:t xml:space="preserve"> al párrafo 16 de las observaciones finales del Comité. En Noruega no se separa a los hijos </w:t>
      </w:r>
      <w:r>
        <w:t xml:space="preserve">lactantes </w:t>
      </w:r>
      <w:r w:rsidRPr="00892FF1">
        <w:t xml:space="preserve">de las madres que tienen que cumplir una pena de prisión. Salvo que sea la propia mujer quien declare que desea cumplir la condena inmediatamente, deberá posponerse la ejecución de la pena impuesta a una mujer embarazada o que ha dado a luz menos de seis semanas antes de la condena, </w:t>
      </w:r>
      <w:r>
        <w:t>(véase el a</w:t>
      </w:r>
      <w:r w:rsidRPr="00892FF1">
        <w:t xml:space="preserve">rtículo 459 de la Ley de procedimiento penal y el </w:t>
      </w:r>
      <w:r>
        <w:t>a</w:t>
      </w:r>
      <w:r w:rsidRPr="00892FF1">
        <w:t>rtículo 29-4 de las Instrucciones del Ministerio Fiscal</w:t>
      </w:r>
      <w:r>
        <w:t>)</w:t>
      </w:r>
      <w:r w:rsidRPr="00892FF1">
        <w:t xml:space="preserve">. Esto también se aplica a las madres lactantes, salvo que el bebé tenga más de </w:t>
      </w:r>
      <w:r>
        <w:t>9</w:t>
      </w:r>
      <w:r w:rsidRPr="00892FF1">
        <w:t xml:space="preserve"> meses. Por lo tanto, las solicitudes para un permiso por lactancia son prácticamente inexistentes. Si las autoridades penitenciarias tuvieran que pronunciarse sobre una solicitud como ésa, la nacionalidad de la interna no sería un criterio para denegarle el permiso por lactancia. Aun así, en otras evaluaciones, como el riesgo de fuga, la nacionalidad sí que podría ser un f</w:t>
      </w:r>
      <w:r>
        <w:t>actor de peso. Por último, debe</w:t>
      </w:r>
      <w:r w:rsidRPr="00892FF1">
        <w:t xml:space="preserve"> subrayarse que</w:t>
      </w:r>
      <w:r>
        <w:t>,</w:t>
      </w:r>
      <w:r w:rsidRPr="00892FF1">
        <w:t xml:space="preserve"> si hubiera que encarcelar a una madre lactante, por ejemplo por razones de seguridad, se tomarían todas las medidas posibles para velar por que se amamantara adecuadamente al niño. </w:t>
      </w:r>
    </w:p>
    <w:p w:rsidR="00A82B1F" w:rsidRPr="00892FF1" w:rsidRDefault="00A82B1F" w:rsidP="00A82B1F">
      <w:pPr>
        <w:pStyle w:val="SingleTxtG"/>
      </w:pPr>
      <w:r w:rsidRPr="00892FF1">
        <w:t>164.</w:t>
      </w:r>
      <w:r w:rsidRPr="00892FF1">
        <w:tab/>
        <w:t xml:space="preserve">En la actualidad no hay unidades penitenciarias especiales en Noruega en las que las madres puedan cumplir la condena con sus hijos. No obstante, con arreglo al </w:t>
      </w:r>
      <w:r>
        <w:t>a</w:t>
      </w:r>
      <w:r w:rsidRPr="00892FF1">
        <w:t xml:space="preserve">rtículo 12 de la Ley de ejecución de las penas, puede cumplirse íntegra o parcialmente una pena en una institución, por ejemplo en una </w:t>
      </w:r>
      <w:r>
        <w:t>"</w:t>
      </w:r>
      <w:r w:rsidRPr="00892FF1">
        <w:t>Maternidad</w:t>
      </w:r>
      <w:r>
        <w:t>",</w:t>
      </w:r>
      <w:r w:rsidRPr="00892FF1">
        <w:t xml:space="preserve"> en la que las madres pueden permanecer con sus </w:t>
      </w:r>
      <w:r>
        <w:t>hijos</w:t>
      </w:r>
      <w:r w:rsidRPr="00892FF1">
        <w:t xml:space="preserve">. </w:t>
      </w:r>
    </w:p>
    <w:p w:rsidR="00A82B1F" w:rsidRPr="00892FF1" w:rsidRDefault="00A82B1F" w:rsidP="00A82B1F">
      <w:pPr>
        <w:pStyle w:val="SingleTxtG"/>
      </w:pPr>
      <w:r w:rsidRPr="00892FF1">
        <w:t>165.</w:t>
      </w:r>
      <w:r w:rsidRPr="00892FF1">
        <w:tab/>
        <w:t xml:space="preserve">Tal y como se ha mencionado anteriormente, Noruega implantó el 1º de septiembre de 2008 la vigilancia mediante dispositivos electrónicos como solución alternativa a la ejecución de una pena de prisión. Un detalle positivo hasta la fecha lo encontramos en que el porcentaje de mujeres que cumplen su condena en el hogar, sujetas a vigilancia mediante dispositivos electrónicos, </w:t>
      </w:r>
      <w:r>
        <w:t>es superior al de las que cumplen penas de cárcel, lo que no ocurre con los hombres</w:t>
      </w:r>
      <w:r w:rsidRPr="00892FF1">
        <w:t xml:space="preserve">. En 2008, el 9% de </w:t>
      </w:r>
      <w:r>
        <w:t xml:space="preserve">los </w:t>
      </w:r>
      <w:r w:rsidRPr="00892FF1">
        <w:t xml:space="preserve">presos eran mujeres, mientras que </w:t>
      </w:r>
      <w:r>
        <w:t>estas</w:t>
      </w:r>
      <w:r w:rsidRPr="00892FF1">
        <w:t xml:space="preserve"> representaban el 14% de las personas que cumplían su condena sometidas a vigilancia mediante dispositivos electrónicos. Cumplir así una condena permite a la persona condenada trabajar o estudiar y/o cuidar de la familia y de los </w:t>
      </w:r>
      <w:r>
        <w:t>hijos</w:t>
      </w:r>
      <w:r w:rsidRPr="00892FF1">
        <w:t>.</w:t>
      </w:r>
    </w:p>
    <w:p w:rsidR="00A82B1F" w:rsidRPr="00892FF1" w:rsidRDefault="00A82B1F" w:rsidP="00A82B1F">
      <w:pPr>
        <w:pStyle w:val="H23G"/>
      </w:pPr>
      <w:bookmarkStart w:id="98" w:name="_Toc246693242"/>
      <w:r w:rsidRPr="00892FF1">
        <w:tab/>
      </w:r>
      <w:r w:rsidRPr="00892FF1">
        <w:tab/>
      </w:r>
      <w:bookmarkStart w:id="99" w:name="_Toc278809822"/>
      <w:bookmarkStart w:id="100" w:name="_Toc278878491"/>
      <w:r w:rsidRPr="00892FF1">
        <w:t>Muertes en las cárceles</w:t>
      </w:r>
      <w:bookmarkEnd w:id="98"/>
      <w:bookmarkEnd w:id="99"/>
      <w:bookmarkEnd w:id="100"/>
      <w:r w:rsidRPr="00892FF1">
        <w:t xml:space="preserve"> </w:t>
      </w:r>
    </w:p>
    <w:p w:rsidR="00A82B1F" w:rsidRPr="00892FF1" w:rsidRDefault="00A82B1F" w:rsidP="00A82B1F">
      <w:pPr>
        <w:pStyle w:val="SingleTxtG"/>
      </w:pPr>
      <w:r w:rsidRPr="00892FF1">
        <w:t>166.</w:t>
      </w:r>
      <w:r w:rsidRPr="00892FF1">
        <w:tab/>
        <w:t>Las cifras siguientes indican los casos de muertes en las cárceles de Noruega durante los últimos cinco años</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4"/>
        <w:gridCol w:w="5606"/>
      </w:tblGrid>
      <w:tr w:rsidR="00A82B1F" w:rsidRPr="00C46E89" w:rsidTr="003825AF">
        <w:tc>
          <w:tcPr>
            <w:tcW w:w="1764" w:type="dxa"/>
            <w:tcBorders>
              <w:top w:val="single" w:sz="4" w:space="0" w:color="auto"/>
            </w:tcBorders>
            <w:shd w:val="clear" w:color="auto" w:fill="auto"/>
            <w:vAlign w:val="bottom"/>
          </w:tcPr>
          <w:p w:rsidR="00A82B1F" w:rsidRPr="00993D44" w:rsidRDefault="00A82B1F" w:rsidP="003825AF">
            <w:pPr>
              <w:spacing w:before="40" w:after="40" w:line="220" w:lineRule="exact"/>
              <w:rPr>
                <w:sz w:val="18"/>
                <w:szCs w:val="18"/>
              </w:rPr>
            </w:pPr>
            <w:r w:rsidRPr="00993D44">
              <w:rPr>
                <w:sz w:val="18"/>
                <w:szCs w:val="18"/>
              </w:rPr>
              <w:t>2009: 2</w:t>
            </w:r>
          </w:p>
        </w:tc>
        <w:tc>
          <w:tcPr>
            <w:tcW w:w="5606" w:type="dxa"/>
            <w:tcBorders>
              <w:top w:val="single" w:sz="4" w:space="0" w:color="auto"/>
            </w:tcBorders>
            <w:shd w:val="clear" w:color="auto" w:fill="auto"/>
            <w:vAlign w:val="bottom"/>
          </w:tcPr>
          <w:p w:rsidR="00A82B1F" w:rsidRPr="00993D44" w:rsidRDefault="00A82B1F" w:rsidP="003825AF">
            <w:pPr>
              <w:spacing w:before="40" w:after="40" w:line="220" w:lineRule="exact"/>
              <w:rPr>
                <w:sz w:val="18"/>
                <w:szCs w:val="18"/>
              </w:rPr>
            </w:pPr>
            <w:r w:rsidRPr="00993D44">
              <w:rPr>
                <w:sz w:val="18"/>
                <w:szCs w:val="18"/>
              </w:rPr>
              <w:t>Ila og Ullersmo</w:t>
            </w:r>
          </w:p>
        </w:tc>
      </w:tr>
      <w:tr w:rsidR="00A82B1F" w:rsidRPr="00C46E89" w:rsidTr="003825AF">
        <w:tc>
          <w:tcPr>
            <w:tcW w:w="1764" w:type="dxa"/>
            <w:shd w:val="clear" w:color="auto" w:fill="auto"/>
          </w:tcPr>
          <w:p w:rsidR="00A82B1F" w:rsidRPr="00993D44" w:rsidRDefault="00A82B1F" w:rsidP="003825AF">
            <w:pPr>
              <w:spacing w:before="40" w:after="40" w:line="220" w:lineRule="exact"/>
              <w:rPr>
                <w:sz w:val="18"/>
                <w:szCs w:val="18"/>
              </w:rPr>
            </w:pPr>
            <w:r w:rsidRPr="00993D44">
              <w:rPr>
                <w:sz w:val="18"/>
                <w:szCs w:val="18"/>
              </w:rPr>
              <w:t>2008: 11</w:t>
            </w:r>
          </w:p>
        </w:tc>
        <w:tc>
          <w:tcPr>
            <w:tcW w:w="5606" w:type="dxa"/>
            <w:shd w:val="clear" w:color="auto" w:fill="auto"/>
          </w:tcPr>
          <w:p w:rsidR="00A82B1F" w:rsidRPr="00993D44" w:rsidRDefault="00A82B1F" w:rsidP="003825AF">
            <w:pPr>
              <w:spacing w:before="40" w:after="40" w:line="220" w:lineRule="exact"/>
              <w:rPr>
                <w:sz w:val="18"/>
                <w:szCs w:val="18"/>
              </w:rPr>
            </w:pPr>
            <w:r w:rsidRPr="00993D44">
              <w:rPr>
                <w:sz w:val="18"/>
                <w:szCs w:val="18"/>
              </w:rPr>
              <w:t>Trondheim (5), Ullersmo (1), Tromsø (1), Skien (1), Arendal (1), Bergen (1), Oslo fengsel (2)</w:t>
            </w:r>
          </w:p>
        </w:tc>
      </w:tr>
      <w:tr w:rsidR="00A82B1F" w:rsidRPr="00C46E89" w:rsidTr="003825AF">
        <w:tc>
          <w:tcPr>
            <w:tcW w:w="1764" w:type="dxa"/>
            <w:shd w:val="clear" w:color="auto" w:fill="auto"/>
          </w:tcPr>
          <w:p w:rsidR="00A82B1F" w:rsidRPr="00993D44" w:rsidRDefault="00A82B1F" w:rsidP="003825AF">
            <w:pPr>
              <w:spacing w:before="40" w:after="40" w:line="220" w:lineRule="exact"/>
              <w:rPr>
                <w:sz w:val="18"/>
                <w:szCs w:val="18"/>
              </w:rPr>
            </w:pPr>
            <w:r w:rsidRPr="00993D44">
              <w:rPr>
                <w:sz w:val="18"/>
                <w:szCs w:val="18"/>
              </w:rPr>
              <w:t>2007: 5</w:t>
            </w:r>
          </w:p>
        </w:tc>
        <w:tc>
          <w:tcPr>
            <w:tcW w:w="5606" w:type="dxa"/>
            <w:shd w:val="clear" w:color="auto" w:fill="auto"/>
          </w:tcPr>
          <w:p w:rsidR="00A82B1F" w:rsidRPr="00993D44" w:rsidRDefault="00A82B1F" w:rsidP="003825AF">
            <w:pPr>
              <w:spacing w:before="40" w:after="40" w:line="220" w:lineRule="exact"/>
              <w:rPr>
                <w:sz w:val="18"/>
                <w:szCs w:val="18"/>
              </w:rPr>
            </w:pPr>
            <w:r w:rsidRPr="00993D44">
              <w:rPr>
                <w:sz w:val="18"/>
                <w:szCs w:val="18"/>
              </w:rPr>
              <w:t>Ila, Drammen, Bergen, Oslo (2)</w:t>
            </w:r>
          </w:p>
        </w:tc>
      </w:tr>
      <w:tr w:rsidR="00A82B1F" w:rsidRPr="00C46E89" w:rsidTr="003825AF">
        <w:tc>
          <w:tcPr>
            <w:tcW w:w="1764" w:type="dxa"/>
            <w:shd w:val="clear" w:color="auto" w:fill="auto"/>
          </w:tcPr>
          <w:p w:rsidR="00A82B1F" w:rsidRPr="00993D44" w:rsidRDefault="00A82B1F" w:rsidP="003825AF">
            <w:pPr>
              <w:spacing w:before="40" w:after="40" w:line="220" w:lineRule="exact"/>
              <w:rPr>
                <w:sz w:val="18"/>
                <w:szCs w:val="18"/>
              </w:rPr>
            </w:pPr>
            <w:r w:rsidRPr="00993D44">
              <w:rPr>
                <w:sz w:val="18"/>
                <w:szCs w:val="18"/>
              </w:rPr>
              <w:t xml:space="preserve">2006: 4 </w:t>
            </w:r>
          </w:p>
        </w:tc>
        <w:tc>
          <w:tcPr>
            <w:tcW w:w="5606" w:type="dxa"/>
            <w:shd w:val="clear" w:color="auto" w:fill="auto"/>
          </w:tcPr>
          <w:p w:rsidR="00A82B1F" w:rsidRPr="00993D44" w:rsidRDefault="00A82B1F" w:rsidP="003825AF">
            <w:pPr>
              <w:spacing w:before="40" w:after="40" w:line="220" w:lineRule="exact"/>
              <w:rPr>
                <w:sz w:val="18"/>
                <w:szCs w:val="18"/>
              </w:rPr>
            </w:pPr>
            <w:r w:rsidRPr="00993D44">
              <w:rPr>
                <w:sz w:val="18"/>
                <w:szCs w:val="18"/>
              </w:rPr>
              <w:t>Ila, Ullersmo, Ilseng, Drammen</w:t>
            </w:r>
          </w:p>
        </w:tc>
      </w:tr>
      <w:tr w:rsidR="00A82B1F" w:rsidRPr="00C46E89" w:rsidTr="003825AF">
        <w:tc>
          <w:tcPr>
            <w:tcW w:w="1764" w:type="dxa"/>
            <w:tcBorders>
              <w:bottom w:val="single" w:sz="12" w:space="0" w:color="auto"/>
            </w:tcBorders>
            <w:shd w:val="clear" w:color="auto" w:fill="auto"/>
          </w:tcPr>
          <w:p w:rsidR="00A82B1F" w:rsidRPr="00993D44" w:rsidRDefault="00A82B1F" w:rsidP="003825AF">
            <w:pPr>
              <w:spacing w:before="40" w:after="40" w:line="220" w:lineRule="exact"/>
              <w:rPr>
                <w:sz w:val="18"/>
                <w:szCs w:val="18"/>
              </w:rPr>
            </w:pPr>
            <w:r w:rsidRPr="00993D44">
              <w:rPr>
                <w:sz w:val="18"/>
                <w:szCs w:val="18"/>
              </w:rPr>
              <w:t>2005: 5</w:t>
            </w:r>
          </w:p>
        </w:tc>
        <w:tc>
          <w:tcPr>
            <w:tcW w:w="5606" w:type="dxa"/>
            <w:tcBorders>
              <w:bottom w:val="single" w:sz="12" w:space="0" w:color="auto"/>
            </w:tcBorders>
            <w:shd w:val="clear" w:color="auto" w:fill="auto"/>
          </w:tcPr>
          <w:p w:rsidR="00A82B1F" w:rsidRPr="00993D44" w:rsidRDefault="00A82B1F" w:rsidP="003825AF">
            <w:pPr>
              <w:spacing w:before="40" w:after="40" w:line="220" w:lineRule="exact"/>
              <w:rPr>
                <w:sz w:val="18"/>
                <w:szCs w:val="18"/>
              </w:rPr>
            </w:pPr>
            <w:r w:rsidRPr="00993D44">
              <w:rPr>
                <w:sz w:val="18"/>
                <w:szCs w:val="18"/>
              </w:rPr>
              <w:t>Ullersmo, Kongsvinger, Ringerike, Oslo (2)</w:t>
            </w:r>
          </w:p>
        </w:tc>
      </w:tr>
    </w:tbl>
    <w:p w:rsidR="00A82B1F" w:rsidRPr="00892FF1" w:rsidRDefault="00A82B1F" w:rsidP="00A82B1F">
      <w:pPr>
        <w:pStyle w:val="SingleTxtG"/>
        <w:spacing w:before="240"/>
      </w:pPr>
      <w:r w:rsidRPr="002D0B22">
        <w:t>167.</w:t>
      </w:r>
      <w:r w:rsidRPr="002D0B22">
        <w:tab/>
      </w:r>
      <w:r w:rsidRPr="00C46E89">
        <w:rPr>
          <w:sz w:val="18"/>
        </w:rPr>
        <w:t>Durante ese mismo período, se produje</w:t>
      </w:r>
      <w:r w:rsidRPr="00892FF1">
        <w:t xml:space="preserve">ron 30 casos más de muertes de personas que no estaban cumpliendo condena en una cárcel pero que estaban al cuidado del Cuerpo Penitenciario. Algunas de estas muertes son fruto de suicidios, mientras que otras se deben a causas naturales. Se están estudiando las muertes y pronto estará concluido el estudio. Los resultados servirán para desarrollar estrategias sobre prevención de muertes en la cárcel, así como sobre gestión de estos casos si se produjeran. </w:t>
      </w:r>
      <w:r>
        <w:t>En lo que concierne a</w:t>
      </w:r>
      <w:r w:rsidRPr="00892FF1">
        <w:t xml:space="preserve"> la situación de los </w:t>
      </w:r>
      <w:r>
        <w:t>reclusos</w:t>
      </w:r>
      <w:r w:rsidRPr="00892FF1">
        <w:t xml:space="preserve"> en prisión provisional, se </w:t>
      </w:r>
      <w:r>
        <w:t>hace referencia</w:t>
      </w:r>
      <w:r w:rsidRPr="00892FF1">
        <w:t xml:space="preserve"> al artículo 9 anterior. </w:t>
      </w:r>
    </w:p>
    <w:p w:rsidR="00A82B1F" w:rsidRPr="00892FF1" w:rsidRDefault="00A82B1F" w:rsidP="00A82B1F">
      <w:pPr>
        <w:pStyle w:val="H23G"/>
      </w:pPr>
      <w:bookmarkStart w:id="101" w:name="_Toc246693243"/>
      <w:r w:rsidRPr="00892FF1">
        <w:tab/>
      </w:r>
      <w:r w:rsidRPr="00892FF1">
        <w:tab/>
      </w:r>
      <w:bookmarkStart w:id="102" w:name="_Toc278809823"/>
      <w:bookmarkStart w:id="103" w:name="_Toc278878492"/>
      <w:r w:rsidRPr="00892FF1">
        <w:t>Atención de la salud en las cárceles</w:t>
      </w:r>
      <w:bookmarkEnd w:id="101"/>
      <w:bookmarkEnd w:id="102"/>
      <w:bookmarkEnd w:id="103"/>
    </w:p>
    <w:p w:rsidR="00A82B1F" w:rsidRPr="00892FF1" w:rsidRDefault="00A82B1F" w:rsidP="00A82B1F">
      <w:pPr>
        <w:pStyle w:val="SingleTxtG"/>
      </w:pPr>
      <w:r w:rsidRPr="00892FF1">
        <w:t>168.</w:t>
      </w:r>
      <w:r w:rsidRPr="00892FF1">
        <w:tab/>
        <w:t xml:space="preserve">Los presos tienen los mismos derechos </w:t>
      </w:r>
      <w:r>
        <w:t>como</w:t>
      </w:r>
      <w:r w:rsidRPr="00892FF1">
        <w:t xml:space="preserve"> pacientes que la población en general, limitados únicamente por restricciones de seguridad. Los estudios realizados en cárceles noruegas revelan que la frecuencia de síntomas de trastornos mentales es significativamente superior entre la población penitenciaria que entre la población en general. Ocasionalmente surgen problemas relativos a la prestación de una asistencia satisfactoria a presos con trastornos mentales graves, hecho que </w:t>
      </w:r>
      <w:r>
        <w:t>le ha valido a</w:t>
      </w:r>
      <w:r w:rsidRPr="00892FF1">
        <w:t xml:space="preserve"> Noruega críticas del Comité Europeo para la Prevención de la Tortura y de las Penas o Tratos Inhumanos o Degradantes </w:t>
      </w:r>
      <w:r>
        <w:t>(</w:t>
      </w:r>
      <w:r w:rsidRPr="00892FF1">
        <w:t>CPT).</w:t>
      </w:r>
    </w:p>
    <w:p w:rsidR="00A82B1F" w:rsidRPr="00892FF1" w:rsidRDefault="00A82B1F" w:rsidP="00A82B1F">
      <w:pPr>
        <w:pStyle w:val="SingleTxtG"/>
      </w:pPr>
      <w:r w:rsidRPr="00892FF1">
        <w:t>169.</w:t>
      </w:r>
      <w:r w:rsidRPr="00892FF1">
        <w:tab/>
        <w:t xml:space="preserve">El objetivo del Gobierno es ofrecer un tratamiento adecuado a los presos con problemas mentales así como a los </w:t>
      </w:r>
      <w:r>
        <w:t>que tienen</w:t>
      </w:r>
      <w:r w:rsidRPr="00892FF1">
        <w:t xml:space="preserve"> problemas relacionados con el abuso de sustancias</w:t>
      </w:r>
      <w:r>
        <w:t xml:space="preserve">. </w:t>
      </w:r>
      <w:r w:rsidRPr="00892FF1">
        <w:t>En la actualidad hay de cinco a seis cárceles que ofrecen, en las propias instalaciones penitenciarias, cuidados de salud a presos con trastornos mentales. En el resto de cárceles, los servicios de salud mental</w:t>
      </w:r>
      <w:r>
        <w:t xml:space="preserve"> comunitarios</w:t>
      </w:r>
      <w:r w:rsidRPr="00892FF1">
        <w:t xml:space="preserve"> se desplazan a las cárceles previa cita o se traslada al </w:t>
      </w:r>
      <w:r w:rsidR="00702917">
        <w:t>interno a una clínica exterior.</w:t>
      </w:r>
    </w:p>
    <w:p w:rsidR="00A82B1F" w:rsidRPr="00892FF1" w:rsidRDefault="00A82B1F" w:rsidP="00A82B1F">
      <w:pPr>
        <w:pStyle w:val="SingleTxtG"/>
      </w:pPr>
      <w:r w:rsidRPr="00892FF1">
        <w:t>170.</w:t>
      </w:r>
      <w:r w:rsidRPr="00892FF1">
        <w:tab/>
        <w:t xml:space="preserve">Se ha establecido una estrecha colaboración entre la justicia y las autoridades sanitarias </w:t>
      </w:r>
      <w:r>
        <w:t>destinada a mejorar</w:t>
      </w:r>
      <w:r w:rsidRPr="00892FF1">
        <w:t xml:space="preserve"> la disponibilidad del programa de tratamiento para presos con trastornos mentales. En la actualidad también se está examinando la necesidad de crear departamentos de recursos independientes para este grupo de presos.</w:t>
      </w:r>
    </w:p>
    <w:p w:rsidR="00A82B1F" w:rsidRPr="00892FF1" w:rsidRDefault="00A82B1F" w:rsidP="00A82B1F">
      <w:pPr>
        <w:pStyle w:val="SingleTxtG"/>
      </w:pPr>
      <w:r w:rsidRPr="00892FF1">
        <w:t>171.</w:t>
      </w:r>
      <w:r w:rsidRPr="00892FF1">
        <w:tab/>
        <w:t>Las autoridades judiciales y sanitarias están tomando medidas especiales para dar respuesta a determinados problemas de salud entre los presos. Algunos ejemplos son:</w:t>
      </w:r>
    </w:p>
    <w:p w:rsidR="00A82B1F" w:rsidRPr="00892FF1" w:rsidRDefault="00A82B1F" w:rsidP="00A82B1F">
      <w:pPr>
        <w:pStyle w:val="SingleTxtG"/>
      </w:pPr>
      <w:r w:rsidRPr="00892FF1">
        <w:tab/>
        <w:t>a)</w:t>
      </w:r>
      <w:r w:rsidRPr="00892FF1">
        <w:tab/>
        <w:t xml:space="preserve">Durante 2009 se crearán en las prisiones de Noruega un total de </w:t>
      </w:r>
      <w:r>
        <w:t>nueve</w:t>
      </w:r>
      <w:r w:rsidRPr="00892FF1">
        <w:t xml:space="preserve"> unidades para tratar el abuso de sustancias;</w:t>
      </w:r>
    </w:p>
    <w:p w:rsidR="00A82B1F" w:rsidRPr="00892FF1" w:rsidRDefault="00A82B1F" w:rsidP="00A82B1F">
      <w:pPr>
        <w:pStyle w:val="SingleTxtG"/>
      </w:pPr>
      <w:r w:rsidRPr="00892FF1">
        <w:tab/>
        <w:t>b)</w:t>
      </w:r>
      <w:r w:rsidRPr="00892FF1">
        <w:tab/>
        <w:t xml:space="preserve">Se </w:t>
      </w:r>
      <w:r>
        <w:t>incrementarán</w:t>
      </w:r>
      <w:r w:rsidRPr="00892FF1">
        <w:t xml:space="preserve"> todavía más la</w:t>
      </w:r>
      <w:r>
        <w:t>s</w:t>
      </w:r>
      <w:r w:rsidRPr="00892FF1">
        <w:t xml:space="preserve"> posibilidad</w:t>
      </w:r>
      <w:r>
        <w:t>es</w:t>
      </w:r>
      <w:r w:rsidRPr="00892FF1">
        <w:t xml:space="preserve"> de cumplir una condena en instituciones de atención de la salud que ofre</w:t>
      </w:r>
      <w:r>
        <w:t>zcan</w:t>
      </w:r>
      <w:r w:rsidRPr="00892FF1">
        <w:t xml:space="preserve"> tratamiento para casos de toxicomanía y de </w:t>
      </w:r>
      <w:r>
        <w:t>enfermedad</w:t>
      </w:r>
      <w:r w:rsidRPr="00892FF1">
        <w:t xml:space="preserve"> mental.</w:t>
      </w:r>
    </w:p>
    <w:p w:rsidR="00A82B1F" w:rsidRPr="00892FF1" w:rsidRDefault="00A82B1F" w:rsidP="00A82B1F">
      <w:pPr>
        <w:pStyle w:val="H23G"/>
      </w:pPr>
      <w:bookmarkStart w:id="104" w:name="_Toc246693244"/>
      <w:r w:rsidRPr="00892FF1">
        <w:tab/>
      </w:r>
      <w:r w:rsidRPr="00892FF1">
        <w:tab/>
      </w:r>
      <w:bookmarkStart w:id="105" w:name="_Toc278809824"/>
      <w:bookmarkStart w:id="106" w:name="_Toc278878493"/>
      <w:r w:rsidRPr="00892FF1">
        <w:t>Criterios para suavizar las restricciones y ofrecer acuerdos favorables para</w:t>
      </w:r>
      <w:r>
        <w:br/>
      </w:r>
      <w:r w:rsidRPr="00892FF1">
        <w:t xml:space="preserve">los presos </w:t>
      </w:r>
      <w:r w:rsidR="00A748AA">
        <w:t>–</w:t>
      </w:r>
      <w:r w:rsidRPr="00892FF1">
        <w:t xml:space="preserve"> evaluaciones individuales </w:t>
      </w:r>
      <w:bookmarkEnd w:id="104"/>
      <w:bookmarkEnd w:id="105"/>
      <w:bookmarkEnd w:id="106"/>
    </w:p>
    <w:p w:rsidR="00A82B1F" w:rsidRPr="00892FF1" w:rsidRDefault="00A82B1F" w:rsidP="00A82B1F">
      <w:pPr>
        <w:pStyle w:val="SingleTxtG"/>
      </w:pPr>
      <w:r w:rsidRPr="00892FF1">
        <w:t>172.</w:t>
      </w:r>
      <w:r w:rsidRPr="00892FF1">
        <w:tab/>
        <w:t xml:space="preserve">La carta de </w:t>
      </w:r>
      <w:r>
        <w:t xml:space="preserve">fecha </w:t>
      </w:r>
      <w:r w:rsidRPr="00892FF1">
        <w:t>29 de julio de 2004 (</w:t>
      </w:r>
      <w:r>
        <w:t>"</w:t>
      </w:r>
      <w:r w:rsidRPr="00892FF1">
        <w:t xml:space="preserve">Aplicación de castigos y de la prisión provisional para personas implicadas en </w:t>
      </w:r>
      <w:r>
        <w:t>la delincuencia</w:t>
      </w:r>
      <w:r w:rsidRPr="00892FF1">
        <w:t xml:space="preserve"> organizad</w:t>
      </w:r>
      <w:r>
        <w:t>a"</w:t>
      </w:r>
      <w:r w:rsidRPr="00892FF1">
        <w:t xml:space="preserve">) de la Administración Central del Cuerpo Penitenciario a los Directores Regionales de la que se habla en el </w:t>
      </w:r>
      <w:r>
        <w:t>"</w:t>
      </w:r>
      <w:r w:rsidRPr="00892FF1">
        <w:t xml:space="preserve">Informe adicional al quinto informe periódico de Noruega </w:t>
      </w:r>
      <w:r>
        <w:t xml:space="preserve">relativo </w:t>
      </w:r>
      <w:r w:rsidRPr="00892FF1">
        <w:t>al Pacto Internacional de Derechos Civiles y Políticos</w:t>
      </w:r>
      <w:r>
        <w:t>"</w:t>
      </w:r>
      <w:r w:rsidRPr="00892FF1">
        <w:t xml:space="preserve"> fue objeto de no pocas críticas por parte de abogados y grupos de derechos humanos. No obstante, no todas las críticas eran legítimas. La carta se limitaba a señalar cómo había que interpretar las leyes y las normas vigentes. El contenido principal ha entrado en vigor con posterioridad a través de una nueva disposición en las Directrices Suplementarias a la Ley de ejecución de las penas, </w:t>
      </w:r>
      <w:r>
        <w:t>a</w:t>
      </w:r>
      <w:r w:rsidRPr="00892FF1">
        <w:t>rtículo 1.8.</w:t>
      </w:r>
    </w:p>
    <w:p w:rsidR="00A82B1F" w:rsidRPr="00892FF1" w:rsidRDefault="00A82B1F" w:rsidP="00A82B1F">
      <w:pPr>
        <w:pStyle w:val="SingleTxtG"/>
      </w:pPr>
      <w:r w:rsidRPr="00892FF1">
        <w:t>173.</w:t>
      </w:r>
      <w:r w:rsidRPr="00892FF1">
        <w:tab/>
        <w:t xml:space="preserve">Se estudia individualmente cada caso para determinar si el interno tiene derecho a un permiso, a la libertad condicional, etc. Este es un principio importante del derecho en Noruega, está consagrado en leyes y normas y también se subrayó en la carta anteriormente mencionada. No obstante, la buena conducta no equivale necesariamente a un riesgo bajo para la seguridad, </w:t>
      </w:r>
      <w:r>
        <w:t>y, en el caso de los convictos por delincuencia organizada</w:t>
      </w:r>
      <w:r w:rsidRPr="00892FF1">
        <w:t xml:space="preserve"> </w:t>
      </w:r>
      <w:r>
        <w:t xml:space="preserve">las evaluaciones de seguridad </w:t>
      </w:r>
      <w:r w:rsidRPr="00892FF1">
        <w:t>deberían ser exhaustivas. Al mismo tiempo, debe prestarse una atención especial para evitar las violaciones de las normas internacionales de derechos humanos.</w:t>
      </w:r>
    </w:p>
    <w:p w:rsidR="00A82B1F" w:rsidRPr="00892FF1" w:rsidRDefault="00A82B1F" w:rsidP="00A82B1F">
      <w:pPr>
        <w:pStyle w:val="H1G"/>
      </w:pPr>
      <w:bookmarkStart w:id="107" w:name="_Toc239660522"/>
      <w:bookmarkStart w:id="108" w:name="_Toc246693245"/>
      <w:r w:rsidRPr="00892FF1">
        <w:tab/>
      </w:r>
      <w:bookmarkStart w:id="109" w:name="_Toc278809825"/>
      <w:bookmarkStart w:id="110" w:name="_Toc278878494"/>
      <w:r w:rsidRPr="00892FF1">
        <w:t>K.</w:t>
      </w:r>
      <w:r w:rsidRPr="00892FF1">
        <w:tab/>
        <w:t>Artículo 11</w:t>
      </w:r>
      <w:bookmarkEnd w:id="107"/>
      <w:bookmarkEnd w:id="108"/>
      <w:bookmarkEnd w:id="109"/>
      <w:bookmarkEnd w:id="110"/>
    </w:p>
    <w:p w:rsidR="00A82B1F" w:rsidRPr="00892FF1" w:rsidRDefault="00A82B1F" w:rsidP="00A82B1F">
      <w:pPr>
        <w:pStyle w:val="SingleTxtG"/>
      </w:pPr>
      <w:r w:rsidRPr="00892FF1">
        <w:t>174.</w:t>
      </w:r>
      <w:r w:rsidRPr="00892FF1">
        <w:tab/>
        <w:t xml:space="preserve">No hay nada nuevo que señalar con arreglo a este artículo. </w:t>
      </w:r>
    </w:p>
    <w:p w:rsidR="00A82B1F" w:rsidRPr="00892FF1" w:rsidRDefault="00A82B1F" w:rsidP="00A82B1F">
      <w:pPr>
        <w:pStyle w:val="H1G"/>
      </w:pPr>
      <w:bookmarkStart w:id="111" w:name="_Toc239660523"/>
      <w:bookmarkStart w:id="112" w:name="_Toc246693246"/>
      <w:r w:rsidRPr="00892FF1">
        <w:tab/>
      </w:r>
      <w:bookmarkStart w:id="113" w:name="_Toc278809826"/>
      <w:bookmarkStart w:id="114" w:name="_Toc278878495"/>
      <w:r w:rsidRPr="00892FF1">
        <w:t>L.</w:t>
      </w:r>
      <w:r w:rsidRPr="00892FF1">
        <w:tab/>
        <w:t>Artículo 12</w:t>
      </w:r>
      <w:bookmarkEnd w:id="111"/>
      <w:bookmarkEnd w:id="112"/>
      <w:bookmarkEnd w:id="113"/>
      <w:bookmarkEnd w:id="114"/>
    </w:p>
    <w:p w:rsidR="00A82B1F" w:rsidRPr="00892FF1" w:rsidRDefault="00A82B1F" w:rsidP="00A82B1F">
      <w:pPr>
        <w:pStyle w:val="SingleTxtG"/>
      </w:pPr>
      <w:r w:rsidRPr="00892FF1">
        <w:t>175.</w:t>
      </w:r>
      <w:r w:rsidRPr="00892FF1">
        <w:tab/>
        <w:t>No hay nada nuevo que señalar con arreglo a este artículo.</w:t>
      </w:r>
    </w:p>
    <w:p w:rsidR="00A82B1F" w:rsidRPr="00892FF1" w:rsidRDefault="00A82B1F" w:rsidP="00A82B1F">
      <w:pPr>
        <w:pStyle w:val="H1G"/>
      </w:pPr>
      <w:bookmarkStart w:id="115" w:name="_Toc239660524"/>
      <w:bookmarkStart w:id="116" w:name="_Toc246693247"/>
      <w:r w:rsidRPr="00892FF1">
        <w:tab/>
      </w:r>
      <w:bookmarkStart w:id="117" w:name="_Toc278809827"/>
      <w:bookmarkStart w:id="118" w:name="_Toc278878496"/>
      <w:r w:rsidRPr="00892FF1">
        <w:t>M.</w:t>
      </w:r>
      <w:r w:rsidRPr="00892FF1">
        <w:tab/>
        <w:t>Artículo 13</w:t>
      </w:r>
      <w:bookmarkEnd w:id="115"/>
      <w:bookmarkEnd w:id="116"/>
      <w:bookmarkEnd w:id="117"/>
      <w:bookmarkEnd w:id="118"/>
    </w:p>
    <w:p w:rsidR="00A82B1F" w:rsidRPr="00892FF1" w:rsidRDefault="00A82B1F" w:rsidP="00A82B1F">
      <w:pPr>
        <w:pStyle w:val="SingleTxtG"/>
      </w:pPr>
      <w:r w:rsidRPr="00892FF1">
        <w:t>176.</w:t>
      </w:r>
      <w:r w:rsidRPr="00892FF1">
        <w:tab/>
        <w:t xml:space="preserve">Se </w:t>
      </w:r>
      <w:r>
        <w:t>hace referenci</w:t>
      </w:r>
      <w:r w:rsidRPr="0017053B">
        <w:t>a</w:t>
      </w:r>
      <w:r w:rsidRPr="00892FF1">
        <w:t xml:space="preserve"> a los párrafos 146 a 152 del quinto informe periódico de Noruega. La Ley de inmigración de 2008 y las nuevas normas no modifican de manera sustantiva la legislación sobre procedimientos de expulsión que se </w:t>
      </w:r>
      <w:r>
        <w:t>exponía</w:t>
      </w:r>
      <w:r w:rsidRPr="00892FF1">
        <w:t xml:space="preserve"> en el informe anterior. </w:t>
      </w:r>
    </w:p>
    <w:p w:rsidR="00A82B1F" w:rsidRPr="00892FF1" w:rsidRDefault="00A82B1F" w:rsidP="00A82B1F">
      <w:pPr>
        <w:pStyle w:val="SingleTxtG"/>
      </w:pPr>
      <w:r w:rsidRPr="00892FF1">
        <w:t>177.</w:t>
      </w:r>
      <w:r w:rsidRPr="00892FF1">
        <w:tab/>
        <w:t>Ocasionalmente, se someten casos de expulsión a la consideración de</w:t>
      </w:r>
      <w:r>
        <w:t xml:space="preserve"> la Corte</w:t>
      </w:r>
      <w:r w:rsidRPr="00892FF1">
        <w:t xml:space="preserve"> Suprem</w:t>
      </w:r>
      <w:r>
        <w:t>a</w:t>
      </w:r>
      <w:r w:rsidRPr="00892FF1">
        <w:t xml:space="preserve"> de Noruega. Tal y como se señala</w:t>
      </w:r>
      <w:r>
        <w:t>ba</w:t>
      </w:r>
      <w:r w:rsidRPr="00892FF1">
        <w:t xml:space="preserve"> en el párrafo 152 del quinto informe periódico, el Tribunal juzga si el Ministerio ha alcanzado un equilibrio justo entre el interés del </w:t>
      </w:r>
      <w:r>
        <w:t>ciudadano</w:t>
      </w:r>
      <w:r w:rsidRPr="00892FF1">
        <w:t xml:space="preserve"> extranjero, por una parte, y el interés del Estado en la prevención de desórdenes o delitos, por el otro (es decir, si la expulsión es una medida desproporcionada con arreglo a los artículos 29 y 30 de la Ley de inmigración vigente (que se corresponden con el artículo 70 de la Ley de inmigración de 2008)). Pueden mencionarse dos sentencias recientes relacionadas con esta cuestión, si bien no constituyen avances o cambios significativos en la jurisprudencia. Las sentencias se pronunciaron el 30 de abril de 2009 y se publicaron en las Decisiones de</w:t>
      </w:r>
      <w:r>
        <w:t xml:space="preserve"> la Corte Suprema de Noruega de 2009, páginas</w:t>
      </w:r>
      <w:r w:rsidRPr="00892FF1">
        <w:t xml:space="preserve"> 534 y ss. y </w:t>
      </w:r>
      <w:r>
        <w:t>páginas</w:t>
      </w:r>
      <w:r w:rsidRPr="00892FF1">
        <w:t xml:space="preserve"> 546 y ss., respectivamente. </w:t>
      </w:r>
    </w:p>
    <w:p w:rsidR="00A82B1F" w:rsidRPr="00892FF1" w:rsidRDefault="00A82B1F" w:rsidP="00A82B1F">
      <w:pPr>
        <w:pStyle w:val="SingleTxtG"/>
      </w:pPr>
      <w:r w:rsidRPr="00892FF1">
        <w:t>178.</w:t>
      </w:r>
      <w:r w:rsidRPr="00892FF1">
        <w:tab/>
        <w:t>En la primera sentencia (</w:t>
      </w:r>
      <w:r>
        <w:t>págs.</w:t>
      </w:r>
      <w:r w:rsidRPr="00892FF1">
        <w:t xml:space="preserve"> 546 y ss.), </w:t>
      </w:r>
      <w:r>
        <w:t>la Corte Suprema</w:t>
      </w:r>
      <w:r w:rsidRPr="00892FF1">
        <w:t xml:space="preserve"> consideró que sería una reacción desproporcionadamente severa expulsar al </w:t>
      </w:r>
      <w:r>
        <w:t>ciudadano</w:t>
      </w:r>
      <w:r w:rsidRPr="00892FF1">
        <w:t xml:space="preserve"> extranjero e imponerle la prohibición de regresar al país durante cinco años habida cuenta de la gravedad de los delitos que motivaron la expulsión y de la relación de</w:t>
      </w:r>
      <w:r>
        <w:t xml:space="preserve"> esa persona</w:t>
      </w:r>
      <w:r w:rsidRPr="00892FF1">
        <w:t xml:space="preserve"> con el país. En este caso, el </w:t>
      </w:r>
      <w:r>
        <w:t>ciudadano</w:t>
      </w:r>
      <w:r w:rsidRPr="00892FF1">
        <w:t xml:space="preserve"> extranjero en cuestión había sido declarado culpable de varios delitos graves, incluidos delitos con violencia, estupefacientes y robo. No obstante, </w:t>
      </w:r>
      <w:r>
        <w:t xml:space="preserve">el hecho de </w:t>
      </w:r>
      <w:r w:rsidRPr="00892FF1">
        <w:t xml:space="preserve">que hubiera llegado a Noruega con </w:t>
      </w:r>
      <w:r>
        <w:t>9</w:t>
      </w:r>
      <w:r w:rsidRPr="00892FF1">
        <w:t xml:space="preserve"> años y hubiera pasado en el país la mayor parte de su infancia y toda su juventud, así como que no tuviera más vínculo con su país de origen que la nacionalidad, llevaron a determinar que la expulsión era una reacción desproporcionadamente severa. </w:t>
      </w:r>
    </w:p>
    <w:p w:rsidR="00A82B1F" w:rsidRPr="00892FF1" w:rsidRDefault="00A82B1F" w:rsidP="00A82B1F">
      <w:pPr>
        <w:pStyle w:val="SingleTxtG"/>
      </w:pPr>
      <w:r w:rsidRPr="00892FF1">
        <w:t>179.</w:t>
      </w:r>
      <w:r w:rsidRPr="00892FF1">
        <w:tab/>
        <w:t>En la segunda sentencia (</w:t>
      </w:r>
      <w:r>
        <w:t>págs.</w:t>
      </w:r>
      <w:r w:rsidRPr="00892FF1">
        <w:t xml:space="preserve"> 534 y ss.), </w:t>
      </w:r>
      <w:r>
        <w:t>la Corte Suprema</w:t>
      </w:r>
      <w:r w:rsidRPr="00892FF1">
        <w:t xml:space="preserve"> consideró (con dos votos particulares) que no sería desproporcionado expulsar </w:t>
      </w:r>
      <w:r>
        <w:t>a un ciudadano extranjero</w:t>
      </w:r>
      <w:r w:rsidRPr="00892FF1">
        <w:t xml:space="preserve"> e imponerle la prohibición de regresar al país durante dos años. En este caso, la </w:t>
      </w:r>
      <w:r>
        <w:t>ciudadana</w:t>
      </w:r>
      <w:r w:rsidRPr="00892FF1">
        <w:t xml:space="preserve"> extranjera había infringido repetida y gravemente la Ley sobre inmigración</w:t>
      </w:r>
      <w:r>
        <w:t>; además,</w:t>
      </w:r>
      <w:r w:rsidRPr="00892FF1">
        <w:t xml:space="preserve"> había llegado a Noruega siendo una adulta (21 años) y solamente había vivido en el país seis años cuando la Dirección de Inmigración la expulsó. </w:t>
      </w:r>
      <w:r>
        <w:t>La Corte</w:t>
      </w:r>
      <w:r w:rsidRPr="00892FF1">
        <w:t xml:space="preserve">, por lo tanto, concluyó por unanimidad que la relación de la </w:t>
      </w:r>
      <w:r>
        <w:t>persona</w:t>
      </w:r>
      <w:r w:rsidRPr="00892FF1">
        <w:t xml:space="preserve"> extranjera con Noruega era demasiado débil para que se considerara la expulsión como una medida de</w:t>
      </w:r>
      <w:r>
        <w:t>sproporcionada. A continuación,</w:t>
      </w:r>
      <w:r w:rsidRPr="00892FF1">
        <w:t xml:space="preserve"> evaluó si la expulsión sería una reacción desproporcionadamente severa para la familia de la </w:t>
      </w:r>
      <w:r>
        <w:t>ciudadana</w:t>
      </w:r>
      <w:r w:rsidRPr="00892FF1">
        <w:t xml:space="preserve"> extranjera, es decir sus dos hijas, </w:t>
      </w:r>
      <w:r>
        <w:t>que habían nacido</w:t>
      </w:r>
      <w:r w:rsidRPr="00892FF1">
        <w:t xml:space="preserve"> en Noruega y habían vivido toda su vida en el país (en el momento de la sentencia tenían </w:t>
      </w:r>
      <w:r>
        <w:t>5</w:t>
      </w:r>
      <w:r w:rsidRPr="00892FF1">
        <w:t xml:space="preserve"> y </w:t>
      </w:r>
      <w:r>
        <w:t>6</w:t>
      </w:r>
      <w:r w:rsidRPr="00892FF1">
        <w:t xml:space="preserve"> años). La mayoría </w:t>
      </w:r>
      <w:r>
        <w:t>de la Corte</w:t>
      </w:r>
      <w:r w:rsidRPr="00892FF1">
        <w:t xml:space="preserve"> (tres jueces) consideró que la expulsión no supondría una dificultad fuera de lo común para esa familia en comparación con otras familias separadas por una orden de expulsión y que, por lo tanto, la expulsión no suponía una reacción desproporcionadamente severa en ese caso.</w:t>
      </w:r>
    </w:p>
    <w:p w:rsidR="00A82B1F" w:rsidRPr="00892FF1" w:rsidRDefault="00A82B1F" w:rsidP="00A82B1F">
      <w:pPr>
        <w:pStyle w:val="H1G"/>
      </w:pPr>
      <w:bookmarkStart w:id="119" w:name="_Toc239660525"/>
      <w:bookmarkStart w:id="120" w:name="_Toc246693248"/>
      <w:r w:rsidRPr="00892FF1">
        <w:tab/>
      </w:r>
      <w:bookmarkStart w:id="121" w:name="_Toc278809828"/>
      <w:bookmarkStart w:id="122" w:name="_Toc278878497"/>
      <w:r w:rsidRPr="00892FF1">
        <w:t>N.</w:t>
      </w:r>
      <w:r w:rsidRPr="00892FF1">
        <w:tab/>
        <w:t>Artículo 14</w:t>
      </w:r>
      <w:bookmarkEnd w:id="119"/>
      <w:bookmarkEnd w:id="120"/>
      <w:bookmarkEnd w:id="121"/>
      <w:bookmarkEnd w:id="122"/>
    </w:p>
    <w:p w:rsidR="00A82B1F" w:rsidRPr="00892FF1" w:rsidRDefault="00A82B1F" w:rsidP="00A82B1F">
      <w:pPr>
        <w:pStyle w:val="SingleTxtG"/>
      </w:pPr>
      <w:r w:rsidRPr="00892FF1">
        <w:t>180.</w:t>
      </w:r>
      <w:r w:rsidRPr="00892FF1">
        <w:tab/>
        <w:t xml:space="preserve">Con respecto a la prisión provisional, se </w:t>
      </w:r>
      <w:r>
        <w:t>hace referencia</w:t>
      </w:r>
      <w:r w:rsidRPr="00892FF1">
        <w:t xml:space="preserve"> a la información presentada en el artículo 9 anterior.</w:t>
      </w:r>
    </w:p>
    <w:p w:rsidR="00A82B1F" w:rsidRPr="00892FF1" w:rsidRDefault="00A82B1F" w:rsidP="00A82B1F">
      <w:pPr>
        <w:pStyle w:val="H23G"/>
      </w:pPr>
      <w:bookmarkStart w:id="123" w:name="_Toc246693249"/>
      <w:r w:rsidRPr="00892FF1">
        <w:tab/>
      </w:r>
      <w:r w:rsidRPr="00892FF1">
        <w:tab/>
      </w:r>
      <w:bookmarkStart w:id="124" w:name="_Toc278809829"/>
      <w:bookmarkStart w:id="125" w:name="_Toc278878498"/>
      <w:r w:rsidRPr="00892FF1">
        <w:t>El derecho de apelación ante un tribunal superior</w:t>
      </w:r>
      <w:bookmarkEnd w:id="123"/>
      <w:bookmarkEnd w:id="124"/>
      <w:bookmarkEnd w:id="125"/>
      <w:r w:rsidRPr="00892FF1">
        <w:t xml:space="preserve"> </w:t>
      </w:r>
    </w:p>
    <w:p w:rsidR="00A82B1F" w:rsidRPr="00892FF1" w:rsidRDefault="00A82B1F" w:rsidP="00A82B1F">
      <w:pPr>
        <w:pStyle w:val="SingleTxtG"/>
      </w:pPr>
      <w:r w:rsidRPr="00892FF1">
        <w:t>181.</w:t>
      </w:r>
      <w:r w:rsidRPr="00892FF1">
        <w:tab/>
        <w:t>De acuerdo con la Ley de procedimiento penal de Noruega, el Tribunal de Apelación puede no admitir a trámite una apelación solamente si le parece evidente que la apelación no prosperará. No es necesario fundamentar la decisión de no admitir a trámite la apelación. Puede presentarse recurso ante el Comité de Apelaciones d</w:t>
      </w:r>
      <w:r>
        <w:t>e la Corte Suprema</w:t>
      </w:r>
      <w:r w:rsidRPr="00892FF1">
        <w:t xml:space="preserve">, pero solamente aduciendo errores de procedimiento. </w:t>
      </w:r>
    </w:p>
    <w:p w:rsidR="00A82B1F" w:rsidRPr="00892FF1" w:rsidRDefault="00A82B1F" w:rsidP="00A82B1F">
      <w:pPr>
        <w:pStyle w:val="SingleTxtG"/>
      </w:pPr>
      <w:r w:rsidRPr="00892FF1">
        <w:t>182.</w:t>
      </w:r>
      <w:r w:rsidRPr="00892FF1">
        <w:tab/>
        <w:t xml:space="preserve">El 17 de julio de 2008, el Comité de Derechos Humanos decidió que </w:t>
      </w:r>
      <w:r>
        <w:t>el hecho de que no fuera obligatorio</w:t>
      </w:r>
      <w:r w:rsidRPr="00892FF1">
        <w:t xml:space="preserve"> fundamentar semejante decisión violaba el derecho a que el fallo condenatorio y la pena impuesta </w:t>
      </w:r>
      <w:r>
        <w:t>fueran</w:t>
      </w:r>
      <w:r w:rsidRPr="00892FF1">
        <w:t xml:space="preserve"> sometidos a un tribunal superior</w:t>
      </w:r>
      <w:r>
        <w:t xml:space="preserve"> </w:t>
      </w:r>
      <w:r w:rsidRPr="00892FF1">
        <w:t>de conformidad con el artículo 14, párrafo 5, por cuanto el Tribunal de Apelación no indicaba en su decisión los motivos por los que no admitía a trámite su recurso de apelación</w:t>
      </w:r>
      <w:r>
        <w:t xml:space="preserve"> (véase la</w:t>
      </w:r>
      <w:r w:rsidRPr="00892FF1">
        <w:t xml:space="preserve"> comunicación N</w:t>
      </w:r>
      <w:r>
        <w:t>º</w:t>
      </w:r>
      <w:r w:rsidRPr="00892FF1">
        <w:t xml:space="preserve"> 1542/2007</w:t>
      </w:r>
      <w:r>
        <w:t>)</w:t>
      </w:r>
      <w:r w:rsidRPr="00892FF1">
        <w:t xml:space="preserve">. </w:t>
      </w:r>
    </w:p>
    <w:p w:rsidR="00A82B1F" w:rsidRPr="00892FF1" w:rsidRDefault="00A82B1F" w:rsidP="00A82B1F">
      <w:pPr>
        <w:pStyle w:val="SingleTxtG"/>
      </w:pPr>
      <w:r w:rsidRPr="00892FF1">
        <w:t>183.</w:t>
      </w:r>
      <w:r w:rsidRPr="00892FF1">
        <w:tab/>
        <w:t xml:space="preserve">A raíz de esta decisión, </w:t>
      </w:r>
      <w:r>
        <w:t>la Corte Suprema</w:t>
      </w:r>
      <w:r w:rsidRPr="00892FF1">
        <w:t xml:space="preserve"> decidió, en una sentencia de 19 de diciembre de 2008, publicada en las Decisiones d</w:t>
      </w:r>
      <w:r>
        <w:t>e la Corte Suprema</w:t>
      </w:r>
      <w:r w:rsidRPr="00892FF1">
        <w:t xml:space="preserve"> de Noruega de 2008, </w:t>
      </w:r>
      <w:r>
        <w:t>página</w:t>
      </w:r>
      <w:r w:rsidRPr="00892FF1">
        <w:t xml:space="preserve"> 1764, que el artículo 321, párrafo 2, de la Ley de procedimiento penal no se ajustaba plenamente al artículo 14, párrafo 5 del Pacto. Deben aportarse las razones que fundamentan las decisiones d</w:t>
      </w:r>
      <w:r>
        <w:t>e la Corte Suprema</w:t>
      </w:r>
      <w:r w:rsidRPr="00892FF1">
        <w:t xml:space="preserve"> para que el apelante pued</w:t>
      </w:r>
      <w:r>
        <w:t>a</w:t>
      </w:r>
      <w:r w:rsidRPr="00892FF1">
        <w:t xml:space="preserve"> ejercer su derecho de apelación. En un Libro Blanco</w:t>
      </w:r>
      <w:r>
        <w:t xml:space="preserve"> </w:t>
      </w:r>
      <w:r w:rsidRPr="00892FF1">
        <w:t xml:space="preserve">de mayo de 2009, el Ministerio de Justicia y Policía propuso enmiendas a la Ley de procedimiento penal para reflejar el deber del Tribunal de Apelación de fundamentar la decisión de no admitir a trámite una apelación. </w:t>
      </w:r>
    </w:p>
    <w:p w:rsidR="00A82B1F" w:rsidRPr="00892FF1" w:rsidRDefault="00A82B1F" w:rsidP="00A82B1F">
      <w:pPr>
        <w:pStyle w:val="H23G"/>
      </w:pPr>
      <w:bookmarkStart w:id="126" w:name="_Toc246693250"/>
      <w:r w:rsidRPr="00892FF1">
        <w:tab/>
      </w:r>
      <w:r w:rsidRPr="00892FF1">
        <w:tab/>
      </w:r>
      <w:bookmarkEnd w:id="126"/>
      <w:r w:rsidRPr="00892FF1">
        <w:t xml:space="preserve">Retirada de las reservas </w:t>
      </w:r>
    </w:p>
    <w:p w:rsidR="00A82B1F" w:rsidRPr="00892FF1" w:rsidRDefault="00A82B1F" w:rsidP="00A82B1F">
      <w:pPr>
        <w:pStyle w:val="SingleTxtG"/>
      </w:pPr>
      <w:r w:rsidRPr="00892FF1">
        <w:t>184.</w:t>
      </w:r>
      <w:r w:rsidRPr="00892FF1">
        <w:tab/>
        <w:t xml:space="preserve">No ha habido enmiendas legislativas que permitan al Gobierno retirar sus reservas al </w:t>
      </w:r>
      <w:r>
        <w:t>a</w:t>
      </w:r>
      <w:r w:rsidRPr="00892FF1">
        <w:t>rtículo 14, párrafos 5 y 7. En una sentencia de 12 de junio de 2009 (</w:t>
      </w:r>
      <w:r>
        <w:t>d</w:t>
      </w:r>
      <w:r w:rsidRPr="00892FF1">
        <w:t>ecision</w:t>
      </w:r>
      <w:r>
        <w:t>es de la Corte Suprema</w:t>
      </w:r>
      <w:r w:rsidRPr="00892FF1">
        <w:t xml:space="preserve"> de Noruega, 2009, </w:t>
      </w:r>
      <w:r>
        <w:t>pág.</w:t>
      </w:r>
      <w:r w:rsidRPr="00892FF1">
        <w:t xml:space="preserve"> 750), </w:t>
      </w:r>
      <w:r>
        <w:t>la Corte Suprema</w:t>
      </w:r>
      <w:r w:rsidRPr="00892FF1">
        <w:t xml:space="preserve"> en pleno declaró que las reservas de Noruega al artículo 14, párrafo 5, no violan el </w:t>
      </w:r>
      <w:r>
        <w:t>a</w:t>
      </w:r>
      <w:r w:rsidRPr="00892FF1">
        <w:t>rtículo 110 c) de la Constitución de Noruega, que establece que corresponde a las autoridades del Estado respetar los derechos humanos y velar por</w:t>
      </w:r>
      <w:r>
        <w:t xml:space="preserve"> ellos</w:t>
      </w:r>
      <w:r w:rsidRPr="00892FF1">
        <w:t>.</w:t>
      </w:r>
    </w:p>
    <w:p w:rsidR="00A82B1F" w:rsidRPr="00892FF1" w:rsidRDefault="00A82B1F" w:rsidP="00A82B1F">
      <w:pPr>
        <w:pStyle w:val="H1G"/>
      </w:pPr>
      <w:r>
        <w:tab/>
      </w:r>
      <w:r w:rsidRPr="00892FF1">
        <w:t>O.</w:t>
      </w:r>
      <w:r>
        <w:tab/>
      </w:r>
      <w:r w:rsidRPr="00892FF1">
        <w:t>Artículo 15</w:t>
      </w:r>
    </w:p>
    <w:p w:rsidR="00A82B1F" w:rsidRPr="0017053B" w:rsidRDefault="00A82B1F" w:rsidP="00A82B1F">
      <w:pPr>
        <w:pStyle w:val="SingleTxtG"/>
      </w:pPr>
      <w:r>
        <w:t>185.</w:t>
      </w:r>
      <w:r>
        <w:tab/>
      </w:r>
      <w:r w:rsidRPr="00892FF1">
        <w:t xml:space="preserve">El </w:t>
      </w:r>
      <w:r w:rsidRPr="000D59A8">
        <w:t>primer</w:t>
      </w:r>
      <w:r w:rsidRPr="00892FF1">
        <w:t xml:space="preserve"> </w:t>
      </w:r>
      <w:r w:rsidRPr="0017053B">
        <w:t xml:space="preserve">párrafo del artículo 3 del Código Penal de 2005, al que se hace referencia en el párrafo 163 del quinto informe </w:t>
      </w:r>
      <w:r>
        <w:t xml:space="preserve">periódico </w:t>
      </w:r>
      <w:r w:rsidRPr="0017053B">
        <w:t xml:space="preserve">de Noruega, está aprobado pero aún no ha entrado en vigor. </w:t>
      </w:r>
    </w:p>
    <w:p w:rsidR="00A82B1F" w:rsidRPr="0017053B" w:rsidRDefault="00A82B1F" w:rsidP="00A82B1F">
      <w:pPr>
        <w:pStyle w:val="H1G"/>
      </w:pPr>
      <w:r>
        <w:tab/>
      </w:r>
      <w:r w:rsidRPr="0017053B">
        <w:t>P.</w:t>
      </w:r>
      <w:r>
        <w:tab/>
      </w:r>
      <w:r w:rsidRPr="00993D44">
        <w:t>Artículo</w:t>
      </w:r>
      <w:r w:rsidRPr="0017053B">
        <w:t xml:space="preserve"> 16</w:t>
      </w:r>
    </w:p>
    <w:p w:rsidR="00A82B1F" w:rsidRPr="00993D44" w:rsidRDefault="00A82B1F" w:rsidP="00A82B1F">
      <w:pPr>
        <w:pStyle w:val="SingleTxtG"/>
      </w:pPr>
      <w:r>
        <w:t>186.</w:t>
      </w:r>
      <w:r>
        <w:tab/>
      </w:r>
      <w:r w:rsidRPr="000D59A8">
        <w:t>Hoy</w:t>
      </w:r>
      <w:r w:rsidRPr="0017053B">
        <w:t xml:space="preserve"> </w:t>
      </w:r>
      <w:r w:rsidRPr="00993D44">
        <w:t>en día, la capacidad jurídica sólo está regida por la Ley relativa a la tutela de</w:t>
      </w:r>
      <w:r w:rsidR="00702917">
        <w:t> </w:t>
      </w:r>
      <w:r w:rsidRPr="00993D44">
        <w:t>22</w:t>
      </w:r>
      <w:r w:rsidR="00702917">
        <w:t> </w:t>
      </w:r>
      <w:r w:rsidRPr="00993D44">
        <w:t xml:space="preserve">de abril de 1927, y por la Ley relativa a la incapacidad jurídica, de 28 de noviembre de 1898. En el Libro Blanco Nº 110 (2008-2009), el Gobierno ha propuesto un proyecto de ley que reemplace a la </w:t>
      </w:r>
      <w:r>
        <w:t>l</w:t>
      </w:r>
      <w:r w:rsidRPr="00993D44">
        <w:t>ey vigente relativa a la tutela. Esta nueva legislación sustituirá a las leyes vigentes de 1898 y 1927.</w:t>
      </w:r>
    </w:p>
    <w:p w:rsidR="00A82B1F" w:rsidRPr="0017053B" w:rsidRDefault="00A82B1F" w:rsidP="00A82B1F">
      <w:pPr>
        <w:pStyle w:val="SingleTxtG"/>
      </w:pPr>
      <w:r w:rsidRPr="00993D44">
        <w:t>187.</w:t>
      </w:r>
      <w:r w:rsidRPr="00993D44">
        <w:tab/>
        <w:t xml:space="preserve">La </w:t>
      </w:r>
      <w:r>
        <w:t>l</w:t>
      </w:r>
      <w:r w:rsidRPr="00993D44">
        <w:t>ey propuesta marca un cambio de actitud hacia las personas con necesidades especiales, enfermedades mentales o discapacidad, y pone de relieve que esas personas vulnerables no son meros objetos de la beneficencia y la protección social, sino también titulares de derechos</w:t>
      </w:r>
      <w:r w:rsidRPr="0017053B">
        <w:t xml:space="preserve"> capaces de reivindicarlos y de adoptar decisiones que afecten a sus vidas sobre la base de un consentimiento libre e informado, en la medida de lo posible. La </w:t>
      </w:r>
      <w:r>
        <w:t>l</w:t>
      </w:r>
      <w:r w:rsidRPr="0017053B">
        <w:t>ey que</w:t>
      </w:r>
      <w:r w:rsidRPr="00892FF1">
        <w:t xml:space="preserve"> </w:t>
      </w:r>
      <w:r w:rsidRPr="0017053B">
        <w:t xml:space="preserve">se propone también </w:t>
      </w:r>
      <w:r>
        <w:t>señala</w:t>
      </w:r>
      <w:r w:rsidRPr="0017053B">
        <w:t xml:space="preserve"> ámbitos que deben adaptarse a esas personas para que puedan ejercer de forma efectiva sus derechos. Según la propuesta, existirá la posibilidad de incapacitar jurídicamente a una persona, pero nunca más de lo necesario y siempre adaptándose a las circunstancias de la persona. Además, en los casos en los que se incapacita jurídicamente a alguien en un ámbito determinado, se hace hincapié en que la persona deberá ser escuchada y en que sus deseos y preferencias se tendrán en consideración en la medida de lo posible. La persona en cuestión tendrá derecho a un acceso efectivo a la justicia para reclamar modificaciones o la anulación de la orden de incapacidad. </w:t>
      </w:r>
    </w:p>
    <w:p w:rsidR="00A82B1F" w:rsidRPr="0017053B" w:rsidRDefault="00A82B1F" w:rsidP="00A82B1F">
      <w:pPr>
        <w:pStyle w:val="SingleTxtG"/>
      </w:pPr>
      <w:r>
        <w:t>188.</w:t>
      </w:r>
      <w:r>
        <w:tab/>
      </w:r>
      <w:r w:rsidRPr="0017053B">
        <w:t xml:space="preserve">La </w:t>
      </w:r>
      <w:r w:rsidRPr="00993D44">
        <w:t>legislación</w:t>
      </w:r>
      <w:r w:rsidRPr="0017053B">
        <w:t xml:space="preserve"> propuesta </w:t>
      </w:r>
      <w:r w:rsidRPr="000D59A8">
        <w:t>también</w:t>
      </w:r>
      <w:r w:rsidRPr="0017053B">
        <w:t xml:space="preserve"> tiene como objeto cumplir las obligaciones asumidas en virtud de la Convención sobre los derechos de las personas con discapacidad, que entró en vigor el 3 de mayo de 2008, en particular los artículos 12 y 13. </w:t>
      </w:r>
    </w:p>
    <w:p w:rsidR="00A82B1F" w:rsidRPr="00892FF1" w:rsidRDefault="00A82B1F" w:rsidP="00A82B1F">
      <w:pPr>
        <w:pStyle w:val="H1G"/>
      </w:pPr>
      <w:r>
        <w:tab/>
      </w:r>
      <w:r w:rsidRPr="00892FF1">
        <w:t>Q.</w:t>
      </w:r>
      <w:r>
        <w:tab/>
      </w:r>
      <w:r w:rsidRPr="00993D44">
        <w:t>Artículo</w:t>
      </w:r>
      <w:r w:rsidRPr="00892FF1">
        <w:t xml:space="preserve"> 17</w:t>
      </w:r>
    </w:p>
    <w:p w:rsidR="00A82B1F" w:rsidRPr="00892FF1" w:rsidRDefault="00A82B1F" w:rsidP="00A82B1F">
      <w:pPr>
        <w:pStyle w:val="H23G"/>
      </w:pPr>
      <w:r>
        <w:tab/>
      </w:r>
      <w:r>
        <w:tab/>
      </w:r>
      <w:r w:rsidRPr="00892FF1">
        <w:t>Utilización de medidas coercitivas encubiertas con fines preventivos a los</w:t>
      </w:r>
      <w:r w:rsidR="007A3958">
        <w:br/>
      </w:r>
      <w:r w:rsidRPr="00892FF1">
        <w:t>efectos</w:t>
      </w:r>
      <w:r w:rsidR="007A3958">
        <w:t xml:space="preserve"> </w:t>
      </w:r>
      <w:r w:rsidRPr="00892FF1">
        <w:t>de realizar investigaciones</w:t>
      </w:r>
    </w:p>
    <w:p w:rsidR="00A82B1F" w:rsidRPr="00892FF1" w:rsidRDefault="00A82B1F" w:rsidP="00A82B1F">
      <w:pPr>
        <w:pStyle w:val="SingleTxtG"/>
      </w:pPr>
      <w:r>
        <w:t>189.</w:t>
      </w:r>
      <w:r>
        <w:tab/>
        <w:t>En 2008</w:t>
      </w:r>
      <w:r w:rsidRPr="00892FF1">
        <w:t xml:space="preserve"> el Ministerio de Justicia y Policía designó un </w:t>
      </w:r>
      <w:r>
        <w:t>c</w:t>
      </w:r>
      <w:r w:rsidRPr="00892FF1">
        <w:t xml:space="preserve">omité para evaluar los métodos de investigación (el Comité para la evaluación de la metodología), al que confirió la tarea de realizar una evaluación retrospectiva de las normas que rigen los nuevos métodos de investigación, introducidas en la Ley de procedimiento penal y en la Ley </w:t>
      </w:r>
      <w:r>
        <w:t>de policía</w:t>
      </w:r>
      <w:r w:rsidRPr="00892FF1">
        <w:t xml:space="preserve"> en 1999, y modificadas en 2005. Esas normas autorizaban a la </w:t>
      </w:r>
      <w:r>
        <w:t>p</w:t>
      </w:r>
      <w:r w:rsidRPr="00892FF1">
        <w:t>olicía a emplear medidas coercitivas encubiertas en la investigación de delitos graves, a saber</w:t>
      </w:r>
      <w:r>
        <w:t>,</w:t>
      </w:r>
      <w:r w:rsidRPr="00892FF1">
        <w:t xml:space="preserve"> métodos de investigación lícitos que se utilizan sin que la persona objeto de la investigación esté al corriente. El Comité presentó su informe el 26 de junio de 2005, publicado en el </w:t>
      </w:r>
      <w:r>
        <w:t>i</w:t>
      </w:r>
      <w:r w:rsidRPr="00892FF1">
        <w:t>nforme oficial de Noruega NOU 2009: 15</w:t>
      </w:r>
      <w:r>
        <w:t>, u</w:t>
      </w:r>
      <w:r w:rsidRPr="00892FF1">
        <w:t xml:space="preserve">na de </w:t>
      </w:r>
      <w:r>
        <w:t>cuyas</w:t>
      </w:r>
      <w:r w:rsidRPr="00892FF1">
        <w:t xml:space="preserve"> conclusiones, respaldada por la mayoría del Comité, es que la facultad de efectuar escuchas encubiertas en residencias privadas con fines preventivos, conforme al artículo 17 d) de la Ley </w:t>
      </w:r>
      <w:r>
        <w:t>de p</w:t>
      </w:r>
      <w:r w:rsidRPr="00892FF1">
        <w:t xml:space="preserve">olicía, es anticonstitucional. El artículo 102 de la Constitución prohíbe que se registre una residencia privada, salvo en la investigación de casos penales. Tras la presentación del informe, el Gobierno decidió que, hasta nuevo aviso, la </w:t>
      </w:r>
      <w:r>
        <w:t>p</w:t>
      </w:r>
      <w:r w:rsidRPr="00892FF1">
        <w:t>olicía no deb</w:t>
      </w:r>
      <w:r>
        <w:t>ía</w:t>
      </w:r>
      <w:r w:rsidRPr="00892FF1">
        <w:t xml:space="preserve"> realizar escuchas encubiertas con fines preventivos en residencias privadas.</w:t>
      </w:r>
    </w:p>
    <w:p w:rsidR="00A82B1F" w:rsidRPr="00892FF1" w:rsidRDefault="00A82B1F" w:rsidP="00A82B1F">
      <w:pPr>
        <w:pStyle w:val="H23G"/>
      </w:pPr>
      <w:r>
        <w:tab/>
      </w:r>
      <w:r>
        <w:tab/>
      </w:r>
      <w:r w:rsidRPr="00892FF1">
        <w:t>La integridad y la persona: informe de la Comisión para la protección</w:t>
      </w:r>
      <w:r w:rsidR="007A3958">
        <w:br/>
      </w:r>
      <w:r w:rsidRPr="00892FF1">
        <w:t>de la privacidad</w:t>
      </w:r>
    </w:p>
    <w:p w:rsidR="00A82B1F" w:rsidRPr="00892FF1" w:rsidRDefault="00A82B1F" w:rsidP="00A82B1F">
      <w:pPr>
        <w:pStyle w:val="SingleTxtG"/>
      </w:pPr>
      <w:r>
        <w:t>190.</w:t>
      </w:r>
      <w:r>
        <w:tab/>
      </w:r>
      <w:r w:rsidRPr="00892FF1">
        <w:t xml:space="preserve">En enero de 2009, la Comisión para la protección de la privacidad presentó su informe NOU 2009: 1, titulado </w:t>
      </w:r>
      <w:r w:rsidRPr="00F94264">
        <w:rPr>
          <w:i/>
        </w:rPr>
        <w:t>La integridad y la persona</w:t>
      </w:r>
      <w:r>
        <w:t>, que</w:t>
      </w:r>
      <w:r w:rsidRPr="00892FF1">
        <w:t xml:space="preserve"> contiene una evaluación de carácter general sobre cómo proteger la privacidad de la persona en una época en la que los adelantos llevan consigo que cada vez se registre y utilice más información personal. Entre otras cosas, la Comisión ha explicado las dificultades que atraviesa la protección de la privacidad en la sociedad actual y ha presentado un análisis sobre cómo debe protegerse la privacidad en presencia de otros criterios y valores, con frecuencia contradictorios. Asimismo, ha evaluado las medidas vigentes de protección de la privacidad y ha propuesto nuevos principios y medidas</w:t>
      </w:r>
      <w:r>
        <w:t>, por ejemplo</w:t>
      </w:r>
      <w:r w:rsidRPr="00892FF1">
        <w:t xml:space="preserve">, que se incorpore en la Constitución de Noruega una disposición independiente relativa a la protección de la privacidad. El Ministerio de Administración Pública y Reforma está realizando un seguimiento del informe. </w:t>
      </w:r>
    </w:p>
    <w:p w:rsidR="00A82B1F" w:rsidRPr="00892FF1" w:rsidRDefault="00A82B1F" w:rsidP="00A82B1F">
      <w:pPr>
        <w:pStyle w:val="H1G"/>
      </w:pPr>
      <w:r>
        <w:tab/>
      </w:r>
      <w:r w:rsidRPr="00892FF1">
        <w:t>R.</w:t>
      </w:r>
      <w:r>
        <w:tab/>
      </w:r>
      <w:r w:rsidRPr="00892FF1">
        <w:t>Artículo 18</w:t>
      </w:r>
    </w:p>
    <w:p w:rsidR="00A82B1F" w:rsidRPr="00892FF1" w:rsidRDefault="00A82B1F" w:rsidP="00A82B1F">
      <w:pPr>
        <w:pStyle w:val="H23G"/>
      </w:pPr>
      <w:r>
        <w:tab/>
      </w:r>
      <w:r>
        <w:tab/>
      </w:r>
      <w:r w:rsidRPr="00892FF1">
        <w:t>Relación entre el Estado y la Iglesia</w:t>
      </w:r>
    </w:p>
    <w:p w:rsidR="00A82B1F" w:rsidRPr="00892FF1" w:rsidRDefault="00A82B1F" w:rsidP="00A82B1F">
      <w:pPr>
        <w:pStyle w:val="SingleTxtG"/>
      </w:pPr>
      <w:r>
        <w:t>191.</w:t>
      </w:r>
      <w:r>
        <w:tab/>
      </w:r>
      <w:r w:rsidRPr="00892FF1">
        <w:t xml:space="preserve">Se hace referencia </w:t>
      </w:r>
      <w:r>
        <w:t>a esta cuestión en el</w:t>
      </w:r>
      <w:r w:rsidRPr="00892FF1">
        <w:t xml:space="preserve"> párrafo 15 de las observaciones finales del Comité. En 2008 el Gobierno presentó un Libro Blanco </w:t>
      </w:r>
      <w:r w:rsidRPr="00F94264">
        <w:rPr>
          <w:i/>
        </w:rPr>
        <w:t>(</w:t>
      </w:r>
      <w:r w:rsidRPr="00892FF1">
        <w:rPr>
          <w:i/>
        </w:rPr>
        <w:t>St.meld. nr. 17 (2007-2008)</w:t>
      </w:r>
      <w:r w:rsidRPr="0035752B">
        <w:rPr>
          <w:i/>
        </w:rPr>
        <w:t>)</w:t>
      </w:r>
      <w:r w:rsidRPr="00892FF1">
        <w:t xml:space="preserve"> al Parlamento, relativo a la relación que habría de establecerse en el futuro entre el Estado y la Iglesia en Noruega. De conformidad con el acuerdo que concertaron el 10 de abril de 2008 todos los partidos que tenían representación parlamentaria, el Libro Blanco recomendaba que se modificara de forma integral el marco constitucional relativo a la relación entre el Estado y la Iglesia. El Parlamento ha debatido el Libro Blanco y en el documento Nº 12: 10</w:t>
      </w:r>
      <w:r w:rsidR="00702917">
        <w:t> </w:t>
      </w:r>
      <w:r w:rsidRPr="00892FF1">
        <w:t xml:space="preserve">(2007-2008) se han presentado propuestas oficiales para modificar los siete artículos de la Constitución que determinan el régimen </w:t>
      </w:r>
      <w:r>
        <w:t>de dicha relación</w:t>
      </w:r>
      <w:r w:rsidRPr="00892FF1">
        <w:t xml:space="preserve">. Ese documento incluye una propuesta para revocar la segunda oración del segundo párrafo del artículo 2, en la que se dispone que las personas que profesen la religión evangélica luterana deben educar a sus hijos en la misma fe. Además, de conformidad con el mencionado acuerdo concertado en el Parlamento, el Gobierno prevé crear </w:t>
      </w:r>
      <w:r>
        <w:t xml:space="preserve">a escala municipal salas sin denominación religiosa ni de ningún otro tipo </w:t>
      </w:r>
      <w:r w:rsidRPr="00892FF1">
        <w:t>para celebrar funerales y bodas.</w:t>
      </w:r>
      <w:r>
        <w:t xml:space="preserve"> </w:t>
      </w:r>
    </w:p>
    <w:p w:rsidR="00A82B1F" w:rsidRPr="00892FF1" w:rsidRDefault="00A82B1F" w:rsidP="00A82B1F">
      <w:pPr>
        <w:pStyle w:val="SingleTxtG"/>
      </w:pPr>
      <w:r>
        <w:t>192.</w:t>
      </w:r>
      <w:r>
        <w:tab/>
      </w:r>
      <w:r w:rsidRPr="00892FF1">
        <w:t xml:space="preserve">Con arreglo a lo dispuesto en el artículo 112 de la Constitución, las propuestas se someterán a votación durante la próxima legislatura parlamentaria, entre 2009 y 2013. </w:t>
      </w:r>
    </w:p>
    <w:p w:rsidR="00A82B1F" w:rsidRPr="00892FF1" w:rsidRDefault="00A82B1F" w:rsidP="00A82B1F">
      <w:pPr>
        <w:pStyle w:val="H23G"/>
      </w:pPr>
      <w:r>
        <w:tab/>
      </w:r>
      <w:r>
        <w:tab/>
      </w:r>
      <w:r w:rsidRPr="00892FF1">
        <w:t xml:space="preserve">Enseñanza de la religión y educación moral </w:t>
      </w:r>
      <w:r w:rsidRPr="00892FF1">
        <w:tab/>
      </w:r>
    </w:p>
    <w:p w:rsidR="00A82B1F" w:rsidRPr="00892FF1" w:rsidRDefault="00A82B1F" w:rsidP="00A82B1F">
      <w:pPr>
        <w:pStyle w:val="SingleTxtG"/>
      </w:pPr>
      <w:r>
        <w:t>193.</w:t>
      </w:r>
      <w:r>
        <w:tab/>
        <w:t>Al respecto, cabe referirse</w:t>
      </w:r>
      <w:r w:rsidRPr="00892FF1">
        <w:t xml:space="preserve"> a la Observación general Nº 22 del Comité y al párrafo 176 del quinto informe </w:t>
      </w:r>
      <w:r>
        <w:t xml:space="preserve">periódico </w:t>
      </w:r>
      <w:r w:rsidRPr="00892FF1">
        <w:t>de Noruega, así como al párrafo 4 de las observaciones finales del Comité.</w:t>
      </w:r>
    </w:p>
    <w:p w:rsidR="00A82B1F" w:rsidRPr="00892FF1" w:rsidRDefault="00A82B1F" w:rsidP="00A82B1F">
      <w:pPr>
        <w:pStyle w:val="SingleTxtG"/>
      </w:pPr>
      <w:r>
        <w:t>194.</w:t>
      </w:r>
      <w:r>
        <w:tab/>
      </w:r>
      <w:r w:rsidRPr="00892FF1">
        <w:t xml:space="preserve">La asignatura denominada </w:t>
      </w:r>
      <w:r>
        <w:t>"</w:t>
      </w:r>
      <w:r w:rsidRPr="00892FF1">
        <w:t>Nociones sobre cristianismo y educación religiosa y ética de carácter general</w:t>
      </w:r>
      <w:r>
        <w:t>"</w:t>
      </w:r>
      <w:r w:rsidRPr="00892FF1">
        <w:t xml:space="preserve">, anteriormente obligatoria, ha sido criticada </w:t>
      </w:r>
      <w:r>
        <w:t xml:space="preserve">los últimos años </w:t>
      </w:r>
      <w:r w:rsidRPr="00892FF1">
        <w:t xml:space="preserve">desde la perspectiva de los derechos humanos por grupos de padres, que han presentado quejas tanto al Comité de Derechos Humanos como al </w:t>
      </w:r>
      <w:r w:rsidRPr="00892FF1">
        <w:rPr>
          <w:lang w:val="es-ES_tradnl"/>
        </w:rPr>
        <w:t xml:space="preserve">Tribunal Europeo de Derechos Humanos. El Ministerio de Educación de Noruega, para dar curso a la opinión manifestada por el Comité de Derechos Humanos el 3 de noviembre de 2004, modificó los artículos de la Ley de educación relativos a esa asignatura, </w:t>
      </w:r>
      <w:r>
        <w:rPr>
          <w:lang w:val="es-ES_tradnl"/>
        </w:rPr>
        <w:t>introduciendo cambios</w:t>
      </w:r>
      <w:r w:rsidRPr="00892FF1">
        <w:rPr>
          <w:lang w:val="es-ES_tradnl"/>
        </w:rPr>
        <w:t xml:space="preserve"> en las normas sobre exenciones, así como un nuevo </w:t>
      </w:r>
      <w:r>
        <w:rPr>
          <w:lang w:val="es-ES_tradnl"/>
        </w:rPr>
        <w:t>programa</w:t>
      </w:r>
      <w:r w:rsidRPr="00892FF1">
        <w:rPr>
          <w:lang w:val="es-ES_tradnl"/>
        </w:rPr>
        <w:t xml:space="preserve">. </w:t>
      </w:r>
    </w:p>
    <w:p w:rsidR="00A82B1F" w:rsidRPr="00892FF1" w:rsidRDefault="00A82B1F" w:rsidP="00A82B1F">
      <w:pPr>
        <w:pStyle w:val="SingleTxtG"/>
      </w:pPr>
      <w:r>
        <w:rPr>
          <w:lang w:val="es-ES_tradnl"/>
        </w:rPr>
        <w:t>195.</w:t>
      </w:r>
      <w:r>
        <w:rPr>
          <w:lang w:val="es-ES_tradnl"/>
        </w:rPr>
        <w:tab/>
      </w:r>
      <w:r w:rsidRPr="00892FF1">
        <w:rPr>
          <w:lang w:val="es-ES_tradnl"/>
        </w:rPr>
        <w:t>En junio de 2007, el Tribunal Europeo de Derechos Humanos falló en contra del Gobierno</w:t>
      </w:r>
      <w:r>
        <w:rPr>
          <w:lang w:val="es-ES_tradnl"/>
        </w:rPr>
        <w:t xml:space="preserve"> </w:t>
      </w:r>
      <w:r w:rsidRPr="00892FF1">
        <w:rPr>
          <w:lang w:val="es-ES_tradnl"/>
        </w:rPr>
        <w:t xml:space="preserve">y dictaminó que el componente cristiano de la asignatura constituye una violación del </w:t>
      </w:r>
      <w:r w:rsidRPr="00892FF1">
        <w:t>Convenio Europeo de Derechos Humanos</w:t>
      </w:r>
      <w:r w:rsidRPr="00892FF1">
        <w:rPr>
          <w:lang w:val="es-ES_tradnl"/>
        </w:rPr>
        <w:t xml:space="preserve">, concretamente del artículo 2 del Protocolo Nº 1 del Convenio. </w:t>
      </w:r>
    </w:p>
    <w:p w:rsidR="00A82B1F" w:rsidRPr="00892FF1" w:rsidRDefault="00A82B1F" w:rsidP="00A82B1F">
      <w:pPr>
        <w:pStyle w:val="SingleTxtG"/>
      </w:pPr>
      <w:r>
        <w:rPr>
          <w:lang w:val="es-ES_tradnl"/>
        </w:rPr>
        <w:t>196.</w:t>
      </w:r>
      <w:r>
        <w:rPr>
          <w:lang w:val="es-ES_tradnl"/>
        </w:rPr>
        <w:tab/>
      </w:r>
      <w:r w:rsidRPr="00892FF1">
        <w:rPr>
          <w:lang w:val="es-ES_tradnl"/>
        </w:rPr>
        <w:t xml:space="preserve">Por consiguiente, el Gobierno ha adoptado las medidas que figuran a continuación para disipar cualquier duda sobre la conformidad de las disposiciones jurídicas y de los planes de estudio de este ámbito con el derecho internacional. En 2008 se volvieron a redactar íntegramente los artículos 2 a 4 de la Ley de educación, y la asignatura en cuestión pasó a denominarse </w:t>
      </w:r>
      <w:r>
        <w:rPr>
          <w:lang w:val="es-ES_tradnl"/>
        </w:rPr>
        <w:t>"</w:t>
      </w:r>
      <w:r w:rsidRPr="00892FF1">
        <w:rPr>
          <w:lang w:val="es-ES_tradnl"/>
        </w:rPr>
        <w:t xml:space="preserve">Religión, </w:t>
      </w:r>
      <w:r>
        <w:rPr>
          <w:lang w:val="es-ES_tradnl"/>
        </w:rPr>
        <w:t>filosofías de</w:t>
      </w:r>
      <w:r w:rsidRPr="00892FF1">
        <w:rPr>
          <w:lang w:val="es-ES_tradnl"/>
        </w:rPr>
        <w:t xml:space="preserve"> vida y ética</w:t>
      </w:r>
      <w:r>
        <w:rPr>
          <w:lang w:val="es-ES_tradnl"/>
        </w:rPr>
        <w:t>"</w:t>
      </w:r>
      <w:r w:rsidRPr="00892FF1">
        <w:rPr>
          <w:lang w:val="es-ES_tradnl"/>
        </w:rPr>
        <w:t xml:space="preserve">. La nueva formulación de los párrafos 2 a 4 pone de relieve que se debe impartir la asignatura de forma objetiva, crítica y pluralista para garantizar que las diferentes religiones y </w:t>
      </w:r>
      <w:r>
        <w:rPr>
          <w:lang w:val="es-ES_tradnl"/>
        </w:rPr>
        <w:t>filosofías de</w:t>
      </w:r>
      <w:r w:rsidRPr="00892FF1">
        <w:rPr>
          <w:lang w:val="es-ES_tradnl"/>
        </w:rPr>
        <w:t xml:space="preserve"> vida se traten en condiciones de igualdad. También se aprobó un nuevo régimen de exenciones como parte de las modificaciones de la Ley de educación. El 9 de diciembre de 2008, el Parlamento aprobó asimismo una nueva cláusula relativa a los propósitos de la Ley de educación (</w:t>
      </w:r>
      <w:r>
        <w:rPr>
          <w:lang w:val="es-ES_tradnl"/>
        </w:rPr>
        <w:t>véanse las</w:t>
      </w:r>
      <w:r w:rsidRPr="00892FF1">
        <w:rPr>
          <w:lang w:val="es-ES_tradnl"/>
        </w:rPr>
        <w:t xml:space="preserve"> observaciones formuladas por Noruega en relación con el artículo 2 del Pacto), en la que no puede seguir considerándose que la religión cristiana goce de una preferencia injustificada en comparación con otras religiones o </w:t>
      </w:r>
      <w:r>
        <w:rPr>
          <w:lang w:val="es-ES_tradnl"/>
        </w:rPr>
        <w:t>filosofías</w:t>
      </w:r>
      <w:r w:rsidRPr="00892FF1">
        <w:rPr>
          <w:lang w:val="es-ES_tradnl"/>
        </w:rPr>
        <w:t>.</w:t>
      </w:r>
    </w:p>
    <w:p w:rsidR="00A82B1F" w:rsidRPr="00892FF1" w:rsidRDefault="00A82B1F" w:rsidP="00A82B1F">
      <w:pPr>
        <w:pStyle w:val="H1G"/>
        <w:rPr>
          <w:lang w:val="es-ES_tradnl"/>
        </w:rPr>
      </w:pPr>
      <w:r>
        <w:rPr>
          <w:lang w:val="es-ES_tradnl"/>
        </w:rPr>
        <w:tab/>
      </w:r>
      <w:r w:rsidRPr="00892FF1">
        <w:rPr>
          <w:lang w:val="es-ES_tradnl"/>
        </w:rPr>
        <w:t>S.</w:t>
      </w:r>
      <w:r>
        <w:rPr>
          <w:lang w:val="es-ES_tradnl"/>
        </w:rPr>
        <w:tab/>
      </w:r>
      <w:r w:rsidRPr="00993D44">
        <w:t>Artículo</w:t>
      </w:r>
      <w:r w:rsidRPr="00892FF1">
        <w:rPr>
          <w:lang w:val="es-ES_tradnl"/>
        </w:rPr>
        <w:t xml:space="preserve"> 19</w:t>
      </w:r>
    </w:p>
    <w:p w:rsidR="00A82B1F" w:rsidRPr="00892FF1" w:rsidRDefault="00A82B1F" w:rsidP="00A82B1F">
      <w:pPr>
        <w:pStyle w:val="H23G"/>
      </w:pPr>
      <w:r>
        <w:rPr>
          <w:lang w:val="es-ES_tradnl"/>
        </w:rPr>
        <w:tab/>
      </w:r>
      <w:r>
        <w:rPr>
          <w:lang w:val="es-ES_tradnl"/>
        </w:rPr>
        <w:tab/>
        <w:t>Equilibrio</w:t>
      </w:r>
      <w:r w:rsidRPr="00892FF1">
        <w:rPr>
          <w:lang w:val="es-ES_tradnl"/>
        </w:rPr>
        <w:t xml:space="preserve"> entre la libertad de expresión y otros derechos humanos</w:t>
      </w:r>
    </w:p>
    <w:p w:rsidR="00A82B1F" w:rsidRPr="00892FF1" w:rsidRDefault="00A82B1F" w:rsidP="00A82B1F">
      <w:pPr>
        <w:pStyle w:val="SingleTxtG"/>
      </w:pPr>
      <w:r>
        <w:t>197.</w:t>
      </w:r>
      <w:r>
        <w:tab/>
      </w:r>
      <w:r w:rsidRPr="00892FF1">
        <w:t xml:space="preserve">Desde que Noruega presentara su anterior informe, se ha debatido considerablemente cómo conjugar la libertad de expresión con otros derechos humanos. Varios casos sometidos a la Corte Suprema de Noruega y al </w:t>
      </w:r>
      <w:r w:rsidRPr="00892FF1">
        <w:rPr>
          <w:lang w:val="es-ES_tradnl"/>
        </w:rPr>
        <w:t xml:space="preserve">Tribunal Europeo de Derechos Humanos ilustran que no existe una solución aplicable a todos los conflictos de esa índole, sino que cada caso debe examinarse a la luz de hechos específicos. En el presente documento se mencionan tres aspectos del debate en curso. </w:t>
      </w:r>
    </w:p>
    <w:p w:rsidR="00A82B1F" w:rsidRPr="00892FF1" w:rsidRDefault="00A82B1F" w:rsidP="00A82B1F">
      <w:pPr>
        <w:pStyle w:val="H4G"/>
      </w:pPr>
      <w:r>
        <w:rPr>
          <w:lang w:val="es-ES_tradnl"/>
        </w:rPr>
        <w:tab/>
      </w:r>
      <w:r>
        <w:rPr>
          <w:lang w:val="es-ES_tradnl"/>
        </w:rPr>
        <w:tab/>
      </w:r>
      <w:r w:rsidRPr="00892FF1">
        <w:rPr>
          <w:lang w:val="es-ES_tradnl"/>
        </w:rPr>
        <w:t>La libertad de expresión</w:t>
      </w:r>
      <w:r>
        <w:rPr>
          <w:lang w:val="es-ES_tradnl"/>
        </w:rPr>
        <w:t xml:space="preserve"> frente</w:t>
      </w:r>
      <w:r w:rsidRPr="00892FF1">
        <w:rPr>
          <w:lang w:val="es-ES_tradnl"/>
        </w:rPr>
        <w:t xml:space="preserve"> a la protección de la vida privada</w:t>
      </w:r>
    </w:p>
    <w:p w:rsidR="00A82B1F" w:rsidRPr="00892FF1" w:rsidRDefault="00A82B1F" w:rsidP="00A82B1F">
      <w:pPr>
        <w:pStyle w:val="SingleTxtG"/>
      </w:pPr>
      <w:r>
        <w:t>198.</w:t>
      </w:r>
      <w:r>
        <w:tab/>
      </w:r>
      <w:r w:rsidRPr="00892FF1">
        <w:t>Uno de los debates en curso se refiere a</w:t>
      </w:r>
      <w:r>
        <w:t>l equilibrio entre</w:t>
      </w:r>
      <w:r w:rsidRPr="00892FF1">
        <w:t xml:space="preserve"> la libertad de expresión </w:t>
      </w:r>
      <w:r>
        <w:t>y</w:t>
      </w:r>
      <w:r w:rsidRPr="00892FF1">
        <w:t xml:space="preserve"> la protección de la vida privada, en particular a la libertad de la prensa a la hora de publicar imágenes e información difamatoria o delicada. Históricamente, la legislación de Noruega ha dado mayor prelación a la protección de la vida privada que el Tribunal Europeo de Derechos Humanos, lo cual ha motivado que se impongan varias condenas por violaciones del artículo 10 del Convenio Europeo de Derechos Humanos, relativo a la libertad de expresión. </w:t>
      </w:r>
    </w:p>
    <w:p w:rsidR="00A82B1F" w:rsidRPr="00892FF1" w:rsidRDefault="00A82B1F" w:rsidP="00A82B1F">
      <w:pPr>
        <w:pStyle w:val="SingleTxtG"/>
      </w:pPr>
      <w:r>
        <w:t>199.</w:t>
      </w:r>
      <w:r>
        <w:tab/>
      </w:r>
      <w:r w:rsidRPr="00892FF1">
        <w:t xml:space="preserve">En el caso </w:t>
      </w:r>
      <w:r w:rsidRPr="00892FF1">
        <w:rPr>
          <w:i/>
        </w:rPr>
        <w:t>A</w:t>
      </w:r>
      <w:r w:rsidRPr="00B3329A">
        <w:rPr>
          <w:i/>
        </w:rPr>
        <w:t xml:space="preserve"> vs. Norway</w:t>
      </w:r>
      <w:r w:rsidRPr="00892FF1">
        <w:t xml:space="preserve">, de 9 de abril de 2009 (solicitud Nº 28070/06), el Tribunal Europeo de Derechos Humanos llegó por primera vez a la conclusión contraria y dictaminó que Noruega favorecía demasiado el derecho a la libertad de expresión en detrimento del derecho al respeto de la </w:t>
      </w:r>
      <w:r>
        <w:t>vida</w:t>
      </w:r>
      <w:r w:rsidRPr="00892FF1">
        <w:t xml:space="preserve"> privada y familiar. </w:t>
      </w:r>
    </w:p>
    <w:p w:rsidR="00A82B1F" w:rsidRPr="00892FF1" w:rsidRDefault="00A82B1F" w:rsidP="00A82B1F">
      <w:pPr>
        <w:pStyle w:val="SingleTxtG"/>
      </w:pPr>
      <w:r>
        <w:t>200.</w:t>
      </w:r>
      <w:r>
        <w:tab/>
      </w:r>
      <w:r w:rsidRPr="00892FF1">
        <w:t xml:space="preserve">TV2, una cadena nacional de televisión, y </w:t>
      </w:r>
      <w:r w:rsidRPr="00F93A28">
        <w:rPr>
          <w:i/>
        </w:rPr>
        <w:t>Fœdrelandsvennen</w:t>
      </w:r>
      <w:r w:rsidRPr="00892FF1">
        <w:t xml:space="preserve">, el principal periódico local, dieron a entender que el solicitante (A) era, casi con toda probabilidad, el autor del asesinato de dos </w:t>
      </w:r>
      <w:r>
        <w:t>niñas, y l</w:t>
      </w:r>
      <w:r w:rsidRPr="00892FF1">
        <w:t>os artículos y la crónica televisada incluían información suficiente para identificar</w:t>
      </w:r>
      <w:r>
        <w:t>le</w:t>
      </w:r>
      <w:r w:rsidRPr="00892FF1">
        <w:t xml:space="preserve">. A denunció a </w:t>
      </w:r>
      <w:r w:rsidRPr="00F93A28">
        <w:rPr>
          <w:i/>
        </w:rPr>
        <w:t>Fœdrelandsvennen</w:t>
      </w:r>
      <w:r w:rsidRPr="00892FF1">
        <w:t xml:space="preserve"> y TV2 por difamación. En lo relativo a la crónica de TV2, los tribunales nacionales fallaron a favor del demandante</w:t>
      </w:r>
      <w:r>
        <w:t xml:space="preserve"> pero</w:t>
      </w:r>
      <w:r w:rsidRPr="00892FF1">
        <w:t xml:space="preserve">, en lo referente a los artículos publicados por </w:t>
      </w:r>
      <w:r w:rsidRPr="00F93A28">
        <w:rPr>
          <w:i/>
        </w:rPr>
        <w:t>Fœdrelandsvennen</w:t>
      </w:r>
      <w:r w:rsidRPr="00892FF1">
        <w:t xml:space="preserve">, la Corte Suprema invocó los intereses del público en general y concluyó que, habida cuenta de todas las circunstancias, el periódico había publicado los artículos legítimamente. No obstante, el Tribunal Europeo de Derechos Humanos concluyó en su fallo que las publicaciones a las que se refería el caso habían socavado gravemente la reputación de A y dictaminó que Noruega había violado el artículo 8 del Convenio Europeo de Derechos Humanos, relativo al derecho al respeto de la vida privada y familiar. </w:t>
      </w:r>
    </w:p>
    <w:p w:rsidR="00A82B1F" w:rsidRPr="00892FF1" w:rsidRDefault="00A82B1F" w:rsidP="00A82B1F">
      <w:pPr>
        <w:pStyle w:val="SingleTxtG"/>
      </w:pPr>
      <w:r>
        <w:t>201.</w:t>
      </w:r>
      <w:r>
        <w:tab/>
      </w:r>
      <w:r w:rsidRPr="00892FF1">
        <w:t xml:space="preserve">Habida cuenta de los precedentes jurídicos anteriores, en los que el Tribunal Europeo de Derechos Humanos dictó que se habían cometido violaciones basándose en razonamientos contrarios, el caso </w:t>
      </w:r>
      <w:r w:rsidRPr="00B3329A">
        <w:rPr>
          <w:i/>
        </w:rPr>
        <w:t>A v</w:t>
      </w:r>
      <w:r>
        <w:rPr>
          <w:i/>
        </w:rPr>
        <w:t>s</w:t>
      </w:r>
      <w:r w:rsidRPr="00B3329A">
        <w:rPr>
          <w:i/>
        </w:rPr>
        <w:t xml:space="preserve">. </w:t>
      </w:r>
      <w:r>
        <w:rPr>
          <w:i/>
        </w:rPr>
        <w:t>Norway</w:t>
      </w:r>
      <w:r w:rsidRPr="00892FF1">
        <w:t xml:space="preserve"> no refleja necesariamente lagunas en el ordenamiento jurídico interno del país, una conclusión respaldada por el hecho de que los tribunales nacionales hubieran condenado a TV2</w:t>
      </w:r>
      <w:r>
        <w:t xml:space="preserve"> </w:t>
      </w:r>
      <w:r w:rsidRPr="00892FF1">
        <w:t xml:space="preserve">por su forma de informar sobre el mismo caso. En opinión de Noruega, el caso ilustra más bien la necesidad de conceder sumo interés a encontrar el término medio entre dos derechos que en ocasiones están en pugna. </w:t>
      </w:r>
    </w:p>
    <w:p w:rsidR="00A82B1F" w:rsidRPr="00892FF1" w:rsidRDefault="00A82B1F" w:rsidP="00A82B1F">
      <w:pPr>
        <w:pStyle w:val="SingleTxtG"/>
      </w:pPr>
      <w:r>
        <w:t>202.</w:t>
      </w:r>
      <w:r>
        <w:tab/>
      </w:r>
      <w:r w:rsidRPr="00892FF1">
        <w:t>A este respecto, cabe mencionar que recientemente, en el marco de la</w:t>
      </w:r>
      <w:r>
        <w:t xml:space="preserve"> labor</w:t>
      </w:r>
      <w:r w:rsidRPr="00892FF1">
        <w:t xml:space="preserve"> relativa al Código Penal de 2005 (pendiente de entrar en vigor), se </w:t>
      </w:r>
      <w:r>
        <w:t xml:space="preserve">ha </w:t>
      </w:r>
      <w:r w:rsidRPr="00892FF1">
        <w:t>revis</w:t>
      </w:r>
      <w:r>
        <w:t>ado</w:t>
      </w:r>
      <w:r w:rsidRPr="00892FF1">
        <w:t xml:space="preserve"> la legislación que </w:t>
      </w:r>
      <w:r>
        <w:t>originó</w:t>
      </w:r>
      <w:r w:rsidRPr="00892FF1">
        <w:t xml:space="preserve"> las condenas impuestas anteriormente por el Tribunal Europeo de Derechos Humanos. Como consecuencia, se anuló la responsabilidad penal por difamación, así como el derecho a que un tribunal falle que una declaración es nula y sin valor. Paralelamente, en la Ley sobre daños se ha incluido una nueva disposición relativa a la indemnización por daños y perjuicios en el caso de pérdidas no económicas como sanción legal por difamar. </w:t>
      </w:r>
    </w:p>
    <w:p w:rsidR="00A82B1F" w:rsidRPr="00892FF1" w:rsidRDefault="00A82B1F" w:rsidP="00A82B1F">
      <w:pPr>
        <w:pStyle w:val="H23G"/>
      </w:pPr>
      <w:r>
        <w:tab/>
      </w:r>
      <w:r>
        <w:tab/>
      </w:r>
      <w:r w:rsidRPr="00892FF1">
        <w:t xml:space="preserve">La incitación al odio y la libertad de expresión </w:t>
      </w:r>
    </w:p>
    <w:p w:rsidR="00A82B1F" w:rsidRPr="00892FF1" w:rsidRDefault="00A82B1F" w:rsidP="00A82B1F">
      <w:pPr>
        <w:pStyle w:val="SingleTxtG"/>
      </w:pPr>
      <w:r>
        <w:t>203.</w:t>
      </w:r>
      <w:r>
        <w:tab/>
      </w:r>
      <w:r w:rsidRPr="00892FF1">
        <w:t xml:space="preserve">Otro debate en curso versa sobre el derecho a manifestar opiniones que pudieran constituir una ofensa contra las convicciones religiosas y las creencias del prójimo. En 2009 el Parlamento decidió que la disposición que penalizaba la </w:t>
      </w:r>
      <w:r w:rsidRPr="00194B9D">
        <w:t>blasfemia</w:t>
      </w:r>
      <w:r w:rsidRPr="00892FF1">
        <w:t xml:space="preserve"> </w:t>
      </w:r>
      <w:r w:rsidRPr="00F93A28">
        <w:t xml:space="preserve">no </w:t>
      </w:r>
      <w:r w:rsidRPr="00892FF1">
        <w:t>se incluiría en el Código Penal, alegando que una sociedad democrática como Noruega deb</w:t>
      </w:r>
      <w:r>
        <w:t>ía</w:t>
      </w:r>
      <w:r w:rsidRPr="00892FF1">
        <w:t xml:space="preserve"> ser lo suficientemente </w:t>
      </w:r>
      <w:r>
        <w:t>sólida</w:t>
      </w:r>
      <w:r w:rsidRPr="00892FF1">
        <w:t xml:space="preserve"> como para tolerar esas ideas.</w:t>
      </w:r>
    </w:p>
    <w:p w:rsidR="00A82B1F" w:rsidRPr="00892FF1" w:rsidRDefault="00A82B1F" w:rsidP="00A82B1F">
      <w:pPr>
        <w:pStyle w:val="SingleTxtG"/>
      </w:pPr>
      <w:r>
        <w:t>204.</w:t>
      </w:r>
      <w:r>
        <w:tab/>
      </w:r>
      <w:r w:rsidRPr="00892FF1">
        <w:t>Al mismo tiempo se decidió reforzar la protección de las personas frente a los insultos y la exposición al odio como consecuencia de sus creencias religiosas (</w:t>
      </w:r>
      <w:r>
        <w:t>véase el</w:t>
      </w:r>
      <w:r w:rsidRPr="00892FF1">
        <w:t xml:space="preserve"> artículo 185 del nuevo Código Penal de 2005). Esa misma disposición ampara </w:t>
      </w:r>
      <w:r>
        <w:t>frente a</w:t>
      </w:r>
      <w:r w:rsidRPr="00892FF1">
        <w:t xml:space="preserve"> las vejaciones contra las minorías por motivos raciales (</w:t>
      </w:r>
      <w:r>
        <w:t>véase</w:t>
      </w:r>
      <w:r w:rsidRPr="00892FF1">
        <w:t xml:space="preserve"> </w:t>
      </w:r>
      <w:r>
        <w:t xml:space="preserve">el </w:t>
      </w:r>
      <w:r w:rsidRPr="00892FF1">
        <w:t>artículo 135 del Código Penal de 1902 y los párrafos 186 a 188 del quinto informe periódico de Noruega). Para mejorar la protección de las minorías contra las vejaciones por motivos raciales, en 2005 se modificó el ámbito de aplicación de la disposición, que entró en vigor el 1º de enero de 2006. Asimismo se modificó la disposición para que también abarcara las violaciones por negligencia manifiesta. La formulación que determina cuán afrentosas han de ser las palabras proferidas para que constituyan un acto punible se mantuvo intacta. En cualquier caso, la disposición debe interpretarse teniendo presentes las disposiciones relativas a la libertad de expresión. El artículo reza ahora como sigue</w:t>
      </w:r>
      <w:r>
        <w:t xml:space="preserve"> </w:t>
      </w:r>
      <w:r w:rsidRPr="00194B9D">
        <w:rPr>
          <w:i/>
        </w:rPr>
        <w:t>(traducción)</w:t>
      </w:r>
      <w:r w:rsidRPr="00892FF1">
        <w:t xml:space="preserve">: </w:t>
      </w:r>
    </w:p>
    <w:p w:rsidR="00A82B1F" w:rsidRPr="00892FF1" w:rsidRDefault="00A82B1F" w:rsidP="00A82B1F">
      <w:pPr>
        <w:pStyle w:val="SingleTxtG"/>
      </w:pPr>
      <w:r>
        <w:tab/>
        <w:t>"</w:t>
      </w:r>
      <w:r w:rsidRPr="00892FF1">
        <w:t>Toda persona que intencionadamente o por negligencia grave haga pública una manifestación discriminatoria o que incite al odio podrá ser sancionada con multas o una pena de cárcel de un máximo de tres años. Se considerará que la manifestación se realizó en público si se formuló de forma que pueda llegar fácilmente a un gran número de personas (</w:t>
      </w:r>
      <w:r>
        <w:t>véase</w:t>
      </w:r>
      <w:r w:rsidRPr="00892FF1">
        <w:t xml:space="preserve"> </w:t>
      </w:r>
      <w:r>
        <w:t xml:space="preserve">el </w:t>
      </w:r>
      <w:r w:rsidRPr="00892FF1">
        <w:t>artículo 7, Nº 2). La utilización de símbolos también se considera una manifestación. La cooperación y la instigación en tales delitos serán sancionadas con la misma pena.</w:t>
      </w:r>
    </w:p>
    <w:p w:rsidR="00A82B1F" w:rsidRPr="00892FF1" w:rsidRDefault="00A82B1F" w:rsidP="00A82B1F">
      <w:pPr>
        <w:pStyle w:val="SingleTxtG"/>
      </w:pPr>
      <w:r>
        <w:tab/>
      </w:r>
      <w:r w:rsidRPr="00892FF1">
        <w:t xml:space="preserve">Por manifestación discriminatoria o que incite al odio se entenderá la amenaza o el insulto a otra persona, o la incitación al odio, la persecución o </w:t>
      </w:r>
      <w:r>
        <w:t>e</w:t>
      </w:r>
      <w:r w:rsidRPr="00892FF1">
        <w:t>l menosprecio de una persona por los siguientes motivos:</w:t>
      </w:r>
    </w:p>
    <w:p w:rsidR="00A82B1F" w:rsidRPr="00892FF1" w:rsidRDefault="00A82B1F" w:rsidP="00A82B1F">
      <w:pPr>
        <w:pStyle w:val="SingleTxtG"/>
      </w:pPr>
      <w:r>
        <w:tab/>
      </w:r>
      <w:r w:rsidRPr="00892FF1">
        <w:t>a)</w:t>
      </w:r>
      <w:r>
        <w:tab/>
        <w:t>S</w:t>
      </w:r>
      <w:r w:rsidRPr="00892FF1">
        <w:t xml:space="preserve">u color de piel, </w:t>
      </w:r>
      <w:r>
        <w:t>u origen nacional o</w:t>
      </w:r>
      <w:r w:rsidRPr="00892FF1">
        <w:t xml:space="preserve"> étnico, </w:t>
      </w:r>
    </w:p>
    <w:p w:rsidR="00A82B1F" w:rsidRPr="00892FF1" w:rsidRDefault="00A82B1F" w:rsidP="00A82B1F">
      <w:pPr>
        <w:pStyle w:val="SingleTxtG"/>
      </w:pPr>
      <w:r>
        <w:tab/>
      </w:r>
      <w:r w:rsidRPr="00892FF1">
        <w:t>b)</w:t>
      </w:r>
      <w:r>
        <w:tab/>
        <w:t>S</w:t>
      </w:r>
      <w:r w:rsidRPr="00892FF1">
        <w:t xml:space="preserve">u religión o </w:t>
      </w:r>
      <w:r>
        <w:t>concepción de vida</w:t>
      </w:r>
      <w:r w:rsidRPr="00892FF1">
        <w:t>, o</w:t>
      </w:r>
    </w:p>
    <w:p w:rsidR="00A82B1F" w:rsidRPr="00892FF1" w:rsidRDefault="00A82B1F" w:rsidP="00A82B1F">
      <w:pPr>
        <w:pStyle w:val="SingleTxtG"/>
      </w:pPr>
      <w:r>
        <w:tab/>
      </w:r>
      <w:r w:rsidRPr="00892FF1">
        <w:t>c)</w:t>
      </w:r>
      <w:r>
        <w:tab/>
        <w:t>S</w:t>
      </w:r>
      <w:r w:rsidRPr="00892FF1">
        <w:t>u homosexualidad, estilo de vida u orientación.</w:t>
      </w:r>
      <w:r>
        <w:t>"</w:t>
      </w:r>
    </w:p>
    <w:p w:rsidR="00A82B1F" w:rsidRPr="00892FF1" w:rsidRDefault="00A82B1F" w:rsidP="00A82B1F">
      <w:pPr>
        <w:pStyle w:val="SingleTxtG"/>
        <w:rPr>
          <w:i/>
        </w:rPr>
      </w:pPr>
      <w:r w:rsidRPr="00892FF1">
        <w:rPr>
          <w:i/>
        </w:rPr>
        <w:t>El terrorismo y la libertad de expresión</w:t>
      </w:r>
    </w:p>
    <w:p w:rsidR="00A82B1F" w:rsidRPr="00892FF1" w:rsidRDefault="00A82B1F" w:rsidP="00A82B1F">
      <w:pPr>
        <w:pStyle w:val="SingleTxtG"/>
      </w:pPr>
      <w:r>
        <w:t>205.</w:t>
      </w:r>
      <w:r>
        <w:tab/>
      </w:r>
      <w:r w:rsidRPr="00892FF1">
        <w:t xml:space="preserve">El tercer debate en curso en Noruega, iniciado recientemente, versa sobre la libertad de expresión y la eliminación del terrorismo. Las iniciativas encaminadas a eliminar el terrorismo requieren que los Estados definan el límite entre la libertad de expresión y la responsabilidad penal por lanzar provocaciones públicas que pudieran incitar a la perpetración de actos terroristas. </w:t>
      </w:r>
    </w:p>
    <w:p w:rsidR="00A82B1F" w:rsidRPr="00892FF1" w:rsidRDefault="00A82B1F" w:rsidP="00A82B1F">
      <w:pPr>
        <w:pStyle w:val="SingleTxtG"/>
      </w:pPr>
      <w:r>
        <w:t>206.</w:t>
      </w:r>
      <w:r>
        <w:tab/>
      </w:r>
      <w:r w:rsidRPr="00892FF1">
        <w:t xml:space="preserve">En diciembre de 2008 entró en vigor una nueva disposición del Código Penal de 1902 en la que se prohíbe la incitación a perpetrar delitos de terrorismo, </w:t>
      </w:r>
      <w:r>
        <w:t>así como</w:t>
      </w:r>
      <w:r w:rsidRPr="00892FF1">
        <w:t xml:space="preserve"> el reclutamiento y el adiestramiento de terroristas (art</w:t>
      </w:r>
      <w:r>
        <w:t>. 147 c)</w:t>
      </w:r>
      <w:r w:rsidRPr="00892FF1">
        <w:t>). Quien viole esta disposición podrá ser condenado a una pena de cárcel de un máximo de seis años. Esta disposición aplica los artículos 5 a 7 del Convenio del Consejo de Europa para la prevención del terrorismo. Al preparar la nueva disposición, el Ministerio de Justicia de Noruega consideró que tipificar como delito las provocaciones indirectas en general vulneraría la libertad de expresión</w:t>
      </w:r>
      <w:r>
        <w:t>, por lo que</w:t>
      </w:r>
      <w:r w:rsidRPr="00892FF1">
        <w:t xml:space="preserve"> el artículo 147 c) está formulado de forma que sólo resulta aplicable para las incitaciones a perpetrar actos terroristas o relacionados con el terrorismo (provocaciones directas). Las provocaciones indirectas habrán de examinarse caso por caso para decidir en qué medida violan la disposición, no sólo prestando atención especial al artículo 5 del Convenio, sino también a la libertad de expresión. </w:t>
      </w:r>
    </w:p>
    <w:p w:rsidR="00A82B1F" w:rsidRPr="00892FF1" w:rsidRDefault="00A82B1F" w:rsidP="00A82B1F">
      <w:pPr>
        <w:pStyle w:val="H23G"/>
      </w:pPr>
      <w:r>
        <w:tab/>
      </w:r>
      <w:r>
        <w:tab/>
      </w:r>
      <w:r w:rsidRPr="00892FF1">
        <w:t>La radiodifusión de propaganda política</w:t>
      </w:r>
    </w:p>
    <w:p w:rsidR="00A82B1F" w:rsidRPr="00892FF1" w:rsidRDefault="00A82B1F" w:rsidP="00A82B1F">
      <w:pPr>
        <w:pStyle w:val="SingleTxtG"/>
      </w:pPr>
      <w:r>
        <w:t>207.</w:t>
      </w:r>
      <w:r>
        <w:tab/>
      </w:r>
      <w:r w:rsidRPr="00892FF1">
        <w:t xml:space="preserve">La Ley Nº 127, de 4 de diciembre de 1992, relativa a la radiodifusión, prohíbe en su artículo 3-1 (3) que se difundan anuncios pagados con contenido político y religioso en la televisión. El 11 de diciembre de 2008, el Tribunal Europeo de Derechos Humanos falló que el hecho de que las autoridades responsables de los medios de comunicación de Noruega hubieran sancionado a un partido político </w:t>
      </w:r>
      <w:r>
        <w:t>minoritario</w:t>
      </w:r>
      <w:r w:rsidRPr="00892FF1">
        <w:t xml:space="preserve"> por emitir tres anuncios </w:t>
      </w:r>
      <w:r>
        <w:t>durante la campaña electoral</w:t>
      </w:r>
      <w:r w:rsidRPr="00892FF1">
        <w:t xml:space="preserve"> de 2003 constituía una violación de la libertad de expresión descrita en el artículo 10 del Convenio Europeo de Derechos Humanos. </w:t>
      </w:r>
    </w:p>
    <w:p w:rsidR="00A82B1F" w:rsidRPr="00892FF1" w:rsidRDefault="00A82B1F" w:rsidP="00A82B1F">
      <w:pPr>
        <w:pStyle w:val="SingleTxtG"/>
      </w:pPr>
      <w:r>
        <w:t>208.</w:t>
      </w:r>
      <w:r>
        <w:tab/>
      </w:r>
      <w:r w:rsidRPr="00892FF1">
        <w:t xml:space="preserve">En un Libro Blanco presentado al Parlamento </w:t>
      </w:r>
      <w:r w:rsidRPr="00F93A28">
        <w:rPr>
          <w:i/>
        </w:rPr>
        <w:t>(</w:t>
      </w:r>
      <w:r w:rsidRPr="00892FF1">
        <w:rPr>
          <w:i/>
        </w:rPr>
        <w:t>St.meld nr. 18 (2008-2009</w:t>
      </w:r>
      <w:r w:rsidRPr="00F93A28">
        <w:rPr>
          <w:i/>
        </w:rPr>
        <w:t>))</w:t>
      </w:r>
      <w:r w:rsidRPr="00892FF1">
        <w:t xml:space="preserve">, el Gobierno atendió el fallo del Tribunal Europeo de Derechos Humanos y reforzó la obligación del organismo público de radiodifusión NRK de cubrir las elecciones de manera amplia e imparcial. De conformidad con los nuevos estatutos de NRK, el organismo debe incluir por regla general a todos los partidos de determinada importancia en su cobertura de las elecciones. El Gobierno también ha adoptado medidas para garantizar que los partidos de menor envergadura puedan utilizar Frikanalen, un canal de libre acceso para todas las ONG, </w:t>
      </w:r>
      <w:r>
        <w:t>a fin de</w:t>
      </w:r>
      <w:r w:rsidRPr="00892FF1">
        <w:t xml:space="preserve"> llegar a los electores. En opinión del Gobierno, estas medidas constituyen una manera más idónea de hacer frente al núcleo de los problemas manifestados en el fallo que derogar la prohibición. El Comité de Ministros del Consejo de Europa</w:t>
      </w:r>
      <w:r>
        <w:t xml:space="preserve"> </w:t>
      </w:r>
      <w:r w:rsidRPr="00892FF1">
        <w:t xml:space="preserve">examinará las medidas adoptadas por Noruega. </w:t>
      </w:r>
    </w:p>
    <w:p w:rsidR="00A82B1F" w:rsidRPr="00892FF1" w:rsidRDefault="00A82B1F" w:rsidP="00A82B1F">
      <w:pPr>
        <w:pStyle w:val="H23G"/>
      </w:pPr>
      <w:r>
        <w:tab/>
      </w:r>
      <w:r>
        <w:tab/>
      </w:r>
      <w:r w:rsidRPr="00892FF1">
        <w:t>La propiedad de los medios de comunicación y la libertad editorial</w:t>
      </w:r>
    </w:p>
    <w:p w:rsidR="00A82B1F" w:rsidRPr="00AB6BC6" w:rsidRDefault="00A82B1F" w:rsidP="00A82B1F">
      <w:pPr>
        <w:pStyle w:val="SingleTxtG"/>
      </w:pPr>
      <w:r>
        <w:t>209.</w:t>
      </w:r>
      <w:r>
        <w:tab/>
      </w:r>
      <w:r w:rsidRPr="00AB6BC6">
        <w:t xml:space="preserve">Se hace referencia </w:t>
      </w:r>
      <w:r>
        <w:t xml:space="preserve">a esta cuestión en los </w:t>
      </w:r>
      <w:r w:rsidRPr="00AB6BC6">
        <w:t xml:space="preserve">párrafos 201 a 203 del quinto informe </w:t>
      </w:r>
      <w:r>
        <w:t xml:space="preserve">periódico </w:t>
      </w:r>
      <w:r w:rsidRPr="00AB6BC6">
        <w:t xml:space="preserve">de Noruega. En 2004 se revisó la Ley sobre la propiedad de los medios de comunicación. Como </w:t>
      </w:r>
      <w:r>
        <w:t>consecuencia</w:t>
      </w:r>
      <w:r w:rsidRPr="00AB6BC6">
        <w:t xml:space="preserve">, se amplió el ámbito de aplicación de la Ley a los medios electrónicos y se introdujeron </w:t>
      </w:r>
      <w:r>
        <w:t>límites</w:t>
      </w:r>
      <w:r w:rsidRPr="00AB6BC6">
        <w:t xml:space="preserve"> nacionales a la concentración de la propiedad en varios mercados de los medios de comunicación (propiedad multimedia). Dentro del mercado de un medio de comunicación, el </w:t>
      </w:r>
      <w:r>
        <w:t xml:space="preserve">límite </w:t>
      </w:r>
      <w:r w:rsidRPr="00AB6BC6">
        <w:t>de concentración de la propiedad a escala nacional aumentó del 33</w:t>
      </w:r>
      <w:r>
        <w:t>,</w:t>
      </w:r>
      <w:r w:rsidRPr="00AB6BC6">
        <w:t xml:space="preserve">3% al 40% y se eliminaron todas las restricciones relativas a la propiedad a escala local. Al mismo tiempo se introdujeron restricciones </w:t>
      </w:r>
      <w:r>
        <w:t>regionales</w:t>
      </w:r>
      <w:r w:rsidRPr="00AB6BC6">
        <w:t xml:space="preserve"> a la concentración de la propiedad en el mercado de las publicaciones de prensa diarias. Tras otra revisión en 2006, el </w:t>
      </w:r>
      <w:r>
        <w:t>límite</w:t>
      </w:r>
      <w:r w:rsidRPr="00AB6BC6">
        <w:t xml:space="preserve"> nacional a la concentración de la propiedad en un mercado de los medios de comunicación se redujo a un tercio. </w:t>
      </w:r>
    </w:p>
    <w:p w:rsidR="00A82B1F" w:rsidRPr="00AB6BC6" w:rsidRDefault="00A82B1F" w:rsidP="00A82B1F">
      <w:pPr>
        <w:pStyle w:val="SingleTxtG"/>
      </w:pPr>
      <w:r>
        <w:t>210.</w:t>
      </w:r>
      <w:r>
        <w:tab/>
      </w:r>
      <w:r w:rsidRPr="00AB6BC6">
        <w:t>La Ley Nº 41, de 13 de junio de 2008, relativa a la libertad editorial de los medios de comunicación entró en vigor el 1º de enero de 2009</w:t>
      </w:r>
      <w:r>
        <w:t xml:space="preserve"> y su </w:t>
      </w:r>
      <w:r w:rsidRPr="00AB6BC6">
        <w:t xml:space="preserve">propósito </w:t>
      </w:r>
      <w:r>
        <w:t>es</w:t>
      </w:r>
      <w:r w:rsidRPr="00AB6BC6">
        <w:t xml:space="preserve"> garantizar la libertad editorial de los medios de comunicación, en particular </w:t>
      </w:r>
      <w:r>
        <w:t xml:space="preserve">frente a </w:t>
      </w:r>
      <w:r w:rsidRPr="00AB6BC6">
        <w:t xml:space="preserve">intervenciones de los propietarios de los medios de comunicación o de sus representantes. De conformidad con la </w:t>
      </w:r>
      <w:r>
        <w:t>l</w:t>
      </w:r>
      <w:r w:rsidRPr="00AB6BC6">
        <w:t>ey, todos los medios de comunicación de masas deben nombrar a un director editorial, quien, con arreglo a las ideas fundamentales y los objetivos del medio, tendrá libertad para dirigir el departamento de edición y el trabajo editorial, así como para orientar las opiniones del medio, incluso si el propietario o editor no las comparte.</w:t>
      </w:r>
      <w:r>
        <w:t xml:space="preserve"> </w:t>
      </w:r>
    </w:p>
    <w:p w:rsidR="00A82B1F" w:rsidRPr="00AB6BC6" w:rsidRDefault="00A82B1F" w:rsidP="00A82B1F">
      <w:pPr>
        <w:pStyle w:val="H1G"/>
      </w:pPr>
      <w:r>
        <w:tab/>
      </w:r>
      <w:r w:rsidRPr="00AB6BC6">
        <w:t>T.</w:t>
      </w:r>
      <w:r>
        <w:tab/>
      </w:r>
      <w:r w:rsidRPr="00AB6BC6">
        <w:t>Artículo 20</w:t>
      </w:r>
    </w:p>
    <w:p w:rsidR="00A82B1F" w:rsidRPr="00AB6BC6" w:rsidRDefault="00A82B1F" w:rsidP="00A82B1F">
      <w:pPr>
        <w:pStyle w:val="SingleTxtG"/>
      </w:pPr>
      <w:r>
        <w:t>211.</w:t>
      </w:r>
      <w:r>
        <w:tab/>
      </w:r>
      <w:r w:rsidRPr="00AB6BC6">
        <w:t xml:space="preserve">Delimitar adecuadamente el elemento </w:t>
      </w:r>
      <w:r w:rsidRPr="00AB6BC6">
        <w:rPr>
          <w:i/>
        </w:rPr>
        <w:t>actus reus</w:t>
      </w:r>
      <w:r w:rsidRPr="00AB6BC6">
        <w:t xml:space="preserve"> de una prohibición contra la propaganda belicista plantea serias dificultades. Además, a juicio de Noruega, si se tiene debidamente en cuenta el derecho a la libertad de expresión amparado por el Pacto, no debería existir la necesidad apremiante de prohibir por ley la propaganda belicista. Actualmente no se prevé retirar la reserva de Noruega al artículo 20, párrafo 1. </w:t>
      </w:r>
    </w:p>
    <w:p w:rsidR="00A82B1F" w:rsidRPr="00AB6BC6" w:rsidRDefault="00A82B1F" w:rsidP="00A82B1F">
      <w:pPr>
        <w:pStyle w:val="SingleTxtG"/>
      </w:pPr>
      <w:r>
        <w:t>212.</w:t>
      </w:r>
      <w:r>
        <w:tab/>
      </w:r>
      <w:r w:rsidRPr="00AB6BC6">
        <w:t>En lo relativo a la legislación en materia de odio racial y religioso, sírvanse consultar las observaciones enunciadas</w:t>
      </w:r>
      <w:r>
        <w:t xml:space="preserve"> respecto del </w:t>
      </w:r>
      <w:r w:rsidRPr="00AB6BC6">
        <w:t xml:space="preserve">artículo 19. </w:t>
      </w:r>
    </w:p>
    <w:p w:rsidR="00A82B1F" w:rsidRPr="00AB6BC6" w:rsidRDefault="00A82B1F" w:rsidP="00A82B1F">
      <w:pPr>
        <w:pStyle w:val="H1G"/>
      </w:pPr>
      <w:r>
        <w:tab/>
      </w:r>
      <w:r w:rsidRPr="00AB6BC6">
        <w:t>U.</w:t>
      </w:r>
      <w:r>
        <w:tab/>
      </w:r>
      <w:r w:rsidRPr="00AB6BC6">
        <w:t>Artículo 21</w:t>
      </w:r>
    </w:p>
    <w:p w:rsidR="00A82B1F" w:rsidRPr="00AB6BC6" w:rsidRDefault="00A82B1F" w:rsidP="00A82B1F">
      <w:pPr>
        <w:pStyle w:val="SingleTxtG"/>
      </w:pPr>
      <w:r>
        <w:t>213.</w:t>
      </w:r>
      <w:r>
        <w:tab/>
      </w:r>
      <w:r w:rsidRPr="00AB6BC6">
        <w:t xml:space="preserve">No hay novedades que comunicar respecto al presente artículo. </w:t>
      </w:r>
    </w:p>
    <w:p w:rsidR="00A82B1F" w:rsidRPr="00AB6BC6" w:rsidRDefault="00A82B1F" w:rsidP="00A82B1F">
      <w:pPr>
        <w:pStyle w:val="H1G"/>
      </w:pPr>
      <w:r>
        <w:tab/>
      </w:r>
      <w:r w:rsidRPr="00AB6BC6">
        <w:t>V.</w:t>
      </w:r>
      <w:r>
        <w:tab/>
      </w:r>
      <w:r w:rsidRPr="00AB6BC6">
        <w:t>Artículo 22</w:t>
      </w:r>
    </w:p>
    <w:p w:rsidR="00A82B1F" w:rsidRPr="00AB6BC6" w:rsidRDefault="00A82B1F" w:rsidP="00A82B1F">
      <w:pPr>
        <w:pStyle w:val="H23G"/>
      </w:pPr>
      <w:r>
        <w:tab/>
      </w:r>
      <w:r>
        <w:tab/>
      </w:r>
      <w:r w:rsidRPr="00AB6BC6">
        <w:t>La libertad de asociación</w:t>
      </w:r>
    </w:p>
    <w:p w:rsidR="00A82B1F" w:rsidRPr="00AB6BC6" w:rsidRDefault="00A82B1F" w:rsidP="00A82B1F">
      <w:pPr>
        <w:pStyle w:val="SingleTxtG"/>
      </w:pPr>
      <w:r>
        <w:t>214.</w:t>
      </w:r>
      <w:r>
        <w:tab/>
        <w:t>Al respecto, cabe referirse al quinto informe periódico d</w:t>
      </w:r>
      <w:r w:rsidRPr="00AB6BC6">
        <w:t>e Noruega. Desde que se presentara ese informe, la Corte Suprema ha emitido un nuevo fallo relativo a la libertad de asociación. El 2</w:t>
      </w:r>
      <w:r>
        <w:t>4</w:t>
      </w:r>
      <w:r w:rsidRPr="00AB6BC6">
        <w:t xml:space="preserve"> de noviembre de 2008, la Corte Suprema dictó un fallo relativo a la posibilidad de obligar a que empleados amparados por un convenio colectivo, </w:t>
      </w:r>
      <w:r>
        <w:t xml:space="preserve">que no estuvieran </w:t>
      </w:r>
      <w:r w:rsidRPr="00AB6BC6">
        <w:t>afiliados al sindicato que es parte en el convenio, pagasen una tasa para sufragar una parte proporciona</w:t>
      </w:r>
      <w:r>
        <w:t>l</w:t>
      </w:r>
      <w:r w:rsidRPr="00AB6BC6">
        <w:t xml:space="preserve"> de los gastos del sindicato relativos a la negociación, la vigilancia del cumplimiento y la continuación del convenio. La Corte Suprema determinó que la tasa impuesta por el Sindicato de la gente del mar de Noruega a los no afiliados amparados por su convenio colectivo era ilícita e injustificada. </w:t>
      </w:r>
    </w:p>
    <w:p w:rsidR="00A82B1F" w:rsidRPr="00AB6BC6" w:rsidRDefault="00A82B1F" w:rsidP="00A82B1F">
      <w:pPr>
        <w:pStyle w:val="SingleTxtG"/>
      </w:pPr>
      <w:r>
        <w:t>215.</w:t>
      </w:r>
      <w:r>
        <w:tab/>
      </w:r>
      <w:r w:rsidRPr="00AB6BC6">
        <w:t>En primer lugar, la Corte dispuso que la libertad de asociación es un derecho humano fundamental amparado por el derecho internacional (artículo 11 del Convenio Europeo de Derechos Humanos, artículo 5 de la Carta Europea revisada y artículo 22 del Pacto Internacional de Derechos Civiles y Políticos</w:t>
      </w:r>
      <w:r>
        <w:t>)</w:t>
      </w:r>
      <w:r w:rsidRPr="00AB6BC6">
        <w:t xml:space="preserve"> y parte integrante del derecho de Noruega. </w:t>
      </w:r>
      <w:r>
        <w:t>T</w:t>
      </w:r>
      <w:r w:rsidRPr="00AB6BC6">
        <w:t xml:space="preserve">ambién destacó que </w:t>
      </w:r>
      <w:r>
        <w:t xml:space="preserve">estaban incluidos </w:t>
      </w:r>
      <w:r w:rsidRPr="00AB6BC6">
        <w:t xml:space="preserve">tanto el aspecto positivo como el aspecto negativo del principio de la libertad de asociación. </w:t>
      </w:r>
    </w:p>
    <w:p w:rsidR="00A82B1F" w:rsidRPr="00AB6BC6" w:rsidRDefault="00A82B1F" w:rsidP="00A82B1F">
      <w:pPr>
        <w:pStyle w:val="SingleTxtG"/>
      </w:pPr>
      <w:r>
        <w:t>216.</w:t>
      </w:r>
      <w:r>
        <w:tab/>
      </w:r>
      <w:r w:rsidRPr="00AB6BC6">
        <w:t xml:space="preserve">En cuanto a la licitud de la tasa relativa a la supervisión de los salarios, la Corte afirmó que obligar a los trabajadores no afiliados al sindicato a pagar una tasa que sufrague los gastos del sindicato relativos a la vigilancia del cumplimiento de los derechos salariales y otras condiciones laborales no contraviene </w:t>
      </w:r>
      <w:r w:rsidRPr="00FE5DCA">
        <w:rPr>
          <w:i/>
        </w:rPr>
        <w:t>per se</w:t>
      </w:r>
      <w:r w:rsidRPr="00AB6BC6">
        <w:t xml:space="preserve"> los instrumentos internacionales pertinentes ni la legislación de Noruega, siempre y cuando se cumplan una serie de condiciones: en primer lugar, el importe de la tasa debe dedicarse únicamente a supervisar que se cumplen los derechos salariales y las condiciones laborales de los trabajadores; segundo, debe existir un medio para controlar y comprobar que ese dinero no se utiliza con otro fin, ya que, de no ser así, se estaría obligando a los trabajadores a </w:t>
      </w:r>
      <w:r>
        <w:t>apoyar a un sindicato del que no quieren ser miembros</w:t>
      </w:r>
      <w:r w:rsidRPr="00AB6BC6">
        <w:t>; por último, la tasa que se imponga a los no afiliados debe ser proporcionada. En base a estos principios, la Corte dictó que la tasa era ilícita e injustificada, ya que era demasiado elevada (idéntica a la tasa ordinaria de afiliación) y desproporcionada, y además el sindicato no pudo demostrar que el importe de la tasa sólo se dedicaba a fines legítimos, a saber</w:t>
      </w:r>
      <w:r>
        <w:t>,</w:t>
      </w:r>
      <w:r w:rsidRPr="00AB6BC6">
        <w:t xml:space="preserve"> la supervisión del cumplimiento del convenio. </w:t>
      </w:r>
    </w:p>
    <w:p w:rsidR="00A82B1F" w:rsidRPr="00AB6BC6" w:rsidRDefault="00A82B1F" w:rsidP="00A82B1F">
      <w:pPr>
        <w:pStyle w:val="H1G"/>
      </w:pPr>
      <w:r>
        <w:tab/>
      </w:r>
      <w:r w:rsidRPr="00AB6BC6">
        <w:t>W.</w:t>
      </w:r>
      <w:r>
        <w:tab/>
      </w:r>
      <w:r w:rsidRPr="00AB6BC6">
        <w:t>Artículo 23</w:t>
      </w:r>
    </w:p>
    <w:p w:rsidR="00A82B1F" w:rsidRPr="00AB6BC6" w:rsidRDefault="00A82B1F" w:rsidP="00A82B1F">
      <w:pPr>
        <w:pStyle w:val="H23G"/>
      </w:pPr>
      <w:r>
        <w:tab/>
      </w:r>
      <w:r>
        <w:tab/>
      </w:r>
      <w:r w:rsidRPr="00AB6BC6">
        <w:t>La Ley integral sobre el matrimonio</w:t>
      </w:r>
    </w:p>
    <w:p w:rsidR="00A82B1F" w:rsidRPr="004D18A8" w:rsidRDefault="00A82B1F" w:rsidP="00A82B1F">
      <w:pPr>
        <w:pStyle w:val="SingleTxtG"/>
      </w:pPr>
      <w:r>
        <w:t>217.</w:t>
      </w:r>
      <w:r>
        <w:tab/>
      </w:r>
      <w:r w:rsidRPr="00AB6BC6">
        <w:t xml:space="preserve">La Ley sobre el matrimonio fue modificada el 17 de junio de 2008 y la </w:t>
      </w:r>
      <w:r>
        <w:t xml:space="preserve">nueva </w:t>
      </w:r>
      <w:r w:rsidRPr="00AB6BC6">
        <w:t>versión entró en vigor el 1º de enero de 2009. La modif</w:t>
      </w:r>
      <w:r w:rsidRPr="004D18A8">
        <w:t xml:space="preserve">icación concede a las lesbianas y a los gays el derecho a contraer matrimonio en las mismas condiciones que los heterosexuales. </w:t>
      </w:r>
    </w:p>
    <w:p w:rsidR="00A82B1F" w:rsidRPr="00AB6BC6" w:rsidRDefault="00A82B1F" w:rsidP="00A82B1F">
      <w:pPr>
        <w:pStyle w:val="SingleTxtG"/>
      </w:pPr>
      <w:r>
        <w:t>218.</w:t>
      </w:r>
      <w:r>
        <w:tab/>
      </w:r>
      <w:r w:rsidRPr="00AB6BC6">
        <w:t xml:space="preserve">Antes de formalizar un matrimonio, las entidades nacionales encargadas del registro de la población (las oficinas tributarias) comprobarán si se cumplen las condiciones necesarias. La Iglesia de Noruega y otras comunidades religiosas tienen la facultad, aunque no la obligación, de celebrar matrimonios entre personas del mismo sexo. </w:t>
      </w:r>
    </w:p>
    <w:p w:rsidR="00A82B1F" w:rsidRPr="00AB6BC6" w:rsidRDefault="00A82B1F" w:rsidP="00A82B1F">
      <w:pPr>
        <w:pStyle w:val="SingleTxtG"/>
      </w:pPr>
      <w:r>
        <w:t>219.</w:t>
      </w:r>
      <w:r>
        <w:tab/>
      </w:r>
      <w:r w:rsidRPr="00AB6BC6">
        <w:t xml:space="preserve">El 1º de enero de 2009 se revocó la Ley de parejas </w:t>
      </w:r>
      <w:r>
        <w:t xml:space="preserve">de hecho </w:t>
      </w:r>
      <w:r w:rsidRPr="00AB6BC6">
        <w:t xml:space="preserve">de Noruega, lo </w:t>
      </w:r>
      <w:r>
        <w:t>que</w:t>
      </w:r>
      <w:r w:rsidRPr="00AB6BC6">
        <w:t xml:space="preserve"> se traduce en que ya no se pueden inscribir más parejas </w:t>
      </w:r>
      <w:r>
        <w:t xml:space="preserve">de hecho en el país ni en sus </w:t>
      </w:r>
      <w:r w:rsidRPr="00AB6BC6">
        <w:t xml:space="preserve">representaciones en el extranjero. La modificación de la Ley sobre el matrimonio incluye disposiciones para la conversión de parejas </w:t>
      </w:r>
      <w:r>
        <w:t xml:space="preserve">de hecho </w:t>
      </w:r>
      <w:r w:rsidRPr="00AB6BC6">
        <w:t xml:space="preserve">en matrimonios. Las parejas </w:t>
      </w:r>
      <w:r>
        <w:t xml:space="preserve">de hecho </w:t>
      </w:r>
      <w:r w:rsidRPr="00AB6BC6">
        <w:t>que no puedan convertirse en matrimonios permanecerán en vigor</w:t>
      </w:r>
      <w:r>
        <w:t xml:space="preserve"> y tendrán </w:t>
      </w:r>
      <w:r w:rsidRPr="00AB6BC6">
        <w:t>en esencia los mismos efectos jurídicos que los matrimonios</w:t>
      </w:r>
      <w:r>
        <w:t>. Las</w:t>
      </w:r>
      <w:r w:rsidRPr="00AB6BC6">
        <w:t xml:space="preserve"> que se hayan formalizado en </w:t>
      </w:r>
      <w:r>
        <w:t xml:space="preserve">otro país ante una </w:t>
      </w:r>
      <w:r w:rsidRPr="00AB6BC6">
        <w:t>autoridad extranjera continuarán siendo reconocidas de conformidad con la legislación</w:t>
      </w:r>
      <w:r>
        <w:t xml:space="preserve"> noruega</w:t>
      </w:r>
      <w:r w:rsidRPr="00AB6BC6">
        <w:t>.</w:t>
      </w:r>
    </w:p>
    <w:p w:rsidR="00A82B1F" w:rsidRPr="00AB6BC6" w:rsidRDefault="00A82B1F" w:rsidP="00A82B1F">
      <w:pPr>
        <w:pStyle w:val="SingleTxtG"/>
      </w:pPr>
      <w:r>
        <w:t>220.</w:t>
      </w:r>
      <w:r>
        <w:tab/>
      </w:r>
      <w:r w:rsidRPr="00AB6BC6">
        <w:t xml:space="preserve">Una modificación introducida en la Ley sobre biotecnología dispone que las lesbianas que cohabiten o estén casadas tienen derecho a ser candidatas a la reproducción asistida en los mismos términos que las parejas heterosexuales. En virtud de la Ley sobre la infancia, a la pareja o cónyuge de la madre biológica también se le conferirá la condición de madre si ha dado su consentimiento a la fecundación, si ésta se ha producido en una institución sanitaria autorizada en Noruega o en el extranjero, y si se conoce la identidad del donante de esperma. </w:t>
      </w:r>
    </w:p>
    <w:p w:rsidR="00A82B1F" w:rsidRPr="00AB6BC6" w:rsidRDefault="00A82B1F" w:rsidP="00A82B1F">
      <w:pPr>
        <w:pStyle w:val="H23G"/>
      </w:pPr>
      <w:r>
        <w:tab/>
      </w:r>
      <w:r>
        <w:tab/>
        <w:t>D</w:t>
      </w:r>
      <w:r w:rsidRPr="00AB6BC6">
        <w:t>erecho a la reunificación familiar y al asentamiento familiar</w:t>
      </w:r>
    </w:p>
    <w:p w:rsidR="00A82B1F" w:rsidRPr="00AB6BC6" w:rsidRDefault="00A82B1F" w:rsidP="00A82B1F">
      <w:pPr>
        <w:pStyle w:val="SingleTxtG"/>
      </w:pPr>
      <w:r>
        <w:t>221.</w:t>
      </w:r>
      <w:r>
        <w:tab/>
      </w:r>
      <w:r w:rsidRPr="00AB6BC6">
        <w:t xml:space="preserve">En septiembre de 2008, el Gobierno introdujo 13 medidas encaminadas </w:t>
      </w:r>
      <w:r>
        <w:t xml:space="preserve">reducir el número de los </w:t>
      </w:r>
      <w:r w:rsidRPr="00AB6BC6">
        <w:t>solicitantes de asilo que no necesitaban protección</w:t>
      </w:r>
      <w:r>
        <w:t>,</w:t>
      </w:r>
      <w:r w:rsidRPr="00AB6BC6">
        <w:t xml:space="preserve"> para poder gestionar el incremento repentino de solicitudes de asilo, ya que </w:t>
      </w:r>
      <w:r>
        <w:t>estas</w:t>
      </w:r>
      <w:r w:rsidRPr="00AB6BC6">
        <w:t xml:space="preserve"> había</w:t>
      </w:r>
      <w:r>
        <w:t>n</w:t>
      </w:r>
      <w:r w:rsidRPr="00AB6BC6">
        <w:t xml:space="preserve"> aumentado en Noruega en un 121% entre 2007 y 2008.</w:t>
      </w:r>
    </w:p>
    <w:p w:rsidR="00A82B1F" w:rsidRPr="00AB6BC6" w:rsidRDefault="00A82B1F" w:rsidP="00A82B1F">
      <w:pPr>
        <w:pStyle w:val="SingleTxtG"/>
      </w:pPr>
      <w:r>
        <w:t>222.</w:t>
      </w:r>
      <w:r>
        <w:tab/>
      </w:r>
      <w:r w:rsidRPr="00AB6BC6">
        <w:t>Una de las medidas determina que las personas a las que se les haya concedido la residencia por motivos humanitarios deben acreditar cuatro años de estudios o experiencia profesional en Noruega</w:t>
      </w:r>
      <w:r>
        <w:t xml:space="preserve"> </w:t>
      </w:r>
      <w:r w:rsidRPr="00AB6BC6">
        <w:t xml:space="preserve">para que se les conceda la reunificación con familiares directos o políticos. Las mismas condiciones </w:t>
      </w:r>
      <w:r>
        <w:t xml:space="preserve">se aplican a </w:t>
      </w:r>
      <w:r w:rsidRPr="00AB6BC6">
        <w:t xml:space="preserve">las personas con estatuto de refugiados, pero sólo en relación con el asentamiento de la familia. Está previsto que la norma relativa al establecimiento de la familia entre en vigor el 1º de enero de 2010, como parte de la Ley de inmigración de 2008. Hasta la fecha no se han aprobado las condiciones relativas a la reunificación familiar. </w:t>
      </w:r>
    </w:p>
    <w:p w:rsidR="00A82B1F" w:rsidRPr="00AB6BC6" w:rsidRDefault="00A82B1F" w:rsidP="00A82B1F">
      <w:pPr>
        <w:pStyle w:val="SingleTxtG"/>
      </w:pPr>
      <w:r>
        <w:t>223.</w:t>
      </w:r>
      <w:r>
        <w:tab/>
      </w:r>
      <w:r w:rsidRPr="00AB6BC6">
        <w:t xml:space="preserve">En términos generales, </w:t>
      </w:r>
      <w:r>
        <w:t xml:space="preserve">una condición </w:t>
      </w:r>
      <w:r w:rsidRPr="00AB6BC6">
        <w:t xml:space="preserve">para que se conceda la reunificación familiar </w:t>
      </w:r>
      <w:r>
        <w:t xml:space="preserve">es que el familiar </w:t>
      </w:r>
      <w:r w:rsidRPr="00AB6BC6">
        <w:t xml:space="preserve">residente en Noruega (persona de referencia) ha de tener unos ingresos mínimos (requisito de subsistencia), equiparables al sueldo de un funcionario de la </w:t>
      </w:r>
      <w:r>
        <w:t>a</w:t>
      </w:r>
      <w:r w:rsidRPr="00AB6BC6">
        <w:t>dministración pública de categoría 8 (217</w:t>
      </w:r>
      <w:r>
        <w:t>.</w:t>
      </w:r>
      <w:r w:rsidRPr="00AB6BC6">
        <w:t>600 coronas noruegas a partir del 1º de mayo de</w:t>
      </w:r>
      <w:r w:rsidR="00575828">
        <w:t xml:space="preserve"> </w:t>
      </w:r>
      <w:r w:rsidRPr="00AB6BC6">
        <w:t xml:space="preserve">2009). El requisito de subsistencia se cumple cuando el sueldo de la persona de referencia basta por sí solo, o con el sueldo del solicitante, para que esa persona se mantenga a sí misma y al solicitante, o cuando el solicitante es autosuficiente. Si el solicitante y/o la persona de referencia son menores de 23 años, sólo se tendrá en consideración el sueldo de la persona de referencia. </w:t>
      </w:r>
    </w:p>
    <w:p w:rsidR="00A82B1F" w:rsidRPr="00AB6BC6" w:rsidRDefault="00A82B1F" w:rsidP="00A82B1F">
      <w:pPr>
        <w:pStyle w:val="SingleTxtG"/>
      </w:pPr>
      <w:r>
        <w:t>224.</w:t>
      </w:r>
      <w:r>
        <w:tab/>
      </w:r>
      <w:r w:rsidRPr="00AB6BC6">
        <w:t xml:space="preserve">Para endurecer el requisito de subsistencia, el Ministerio ha introducido en la nueva Reglamentación sobre inmigración las siguientes modificaciones, cuya entrada en vigor está prevista para el 1º de enero de 2010: </w:t>
      </w:r>
    </w:p>
    <w:p w:rsidR="00A82B1F" w:rsidRPr="00AB6BC6" w:rsidRDefault="00A82B1F" w:rsidP="00A82B1F">
      <w:pPr>
        <w:pStyle w:val="SingleTxtG"/>
      </w:pPr>
      <w:r>
        <w:tab/>
      </w:r>
      <w:r w:rsidRPr="00AB6BC6">
        <w:t>a)</w:t>
      </w:r>
      <w:r>
        <w:tab/>
      </w:r>
      <w:r w:rsidRPr="00AB6BC6">
        <w:t xml:space="preserve">Se introduce como condición que, para calcular si se cumple el requisito de subsistencia, sólo se tendrán en cuenta los ingresos previstos de la persona de referencia. Actualmente también se incluyen en el cómputo los ingresos del cónyuge. </w:t>
      </w:r>
    </w:p>
    <w:p w:rsidR="00A82B1F" w:rsidRPr="004A0EC9" w:rsidRDefault="00A82B1F" w:rsidP="00A82B1F">
      <w:pPr>
        <w:pStyle w:val="SingleTxtG"/>
      </w:pPr>
      <w:r w:rsidRPr="004A0EC9">
        <w:tab/>
        <w:t>b)</w:t>
      </w:r>
      <w:r w:rsidRPr="004A0EC9">
        <w:tab/>
        <w:t>La persona de referencia debe justificar que sus ingresos también satisfacían el requisito de subsistencia en el año anterior a la concesión de la residencia: para ello presentará un certificado de</w:t>
      </w:r>
      <w:r>
        <w:t xml:space="preserve"> los</w:t>
      </w:r>
      <w:r w:rsidRPr="004A0EC9">
        <w:t xml:space="preserve"> impuestos pagados por los ingresos declarados.</w:t>
      </w:r>
    </w:p>
    <w:p w:rsidR="00A82B1F" w:rsidRPr="00AB6BC6" w:rsidRDefault="00A82B1F" w:rsidP="00A82B1F">
      <w:pPr>
        <w:pStyle w:val="SingleTxtG"/>
      </w:pPr>
      <w:r>
        <w:tab/>
      </w:r>
      <w:r w:rsidRPr="00AB6BC6">
        <w:t>c)</w:t>
      </w:r>
      <w:r>
        <w:tab/>
      </w:r>
      <w:r w:rsidRPr="00AB6BC6">
        <w:t>Se introduce la condición de que la persona de referencia no haya recibido asistencia social durante el año anterior a la concesión del permiso.</w:t>
      </w:r>
    </w:p>
    <w:p w:rsidR="00A82B1F" w:rsidRPr="00AB6BC6" w:rsidRDefault="00A82B1F" w:rsidP="00A82B1F">
      <w:pPr>
        <w:pStyle w:val="SingleTxtG"/>
      </w:pPr>
      <w:r>
        <w:tab/>
      </w:r>
      <w:r w:rsidRPr="00AB6BC6">
        <w:t>d)</w:t>
      </w:r>
      <w:r>
        <w:tab/>
      </w:r>
      <w:r w:rsidRPr="00AB6BC6">
        <w:t xml:space="preserve">Se deroga el sistema vigente, en el que generalmente se exime de cumplir el requisito de subsistencia al cónyuge o </w:t>
      </w:r>
      <w:r>
        <w:t xml:space="preserve">conviviente de una </w:t>
      </w:r>
      <w:r w:rsidRPr="00AB6BC6">
        <w:t>persona de nacionalidad noruega de más de 23 años.</w:t>
      </w:r>
    </w:p>
    <w:p w:rsidR="00A82B1F" w:rsidRPr="00AB6BC6" w:rsidRDefault="00A82B1F" w:rsidP="00A82B1F">
      <w:pPr>
        <w:pStyle w:val="SingleTxtG"/>
      </w:pPr>
      <w:r>
        <w:t>225.</w:t>
      </w:r>
      <w:r>
        <w:tab/>
      </w:r>
      <w:r w:rsidRPr="00AB6BC6">
        <w:t>Se aplican exenciones a determinados grupos, entre otros</w:t>
      </w:r>
      <w:r>
        <w:t>,</w:t>
      </w:r>
      <w:r w:rsidRPr="00AB6BC6">
        <w:t xml:space="preserve"> los refugiados y los beneficiarios de prestaciones de larga duración del seguro nacional.</w:t>
      </w:r>
    </w:p>
    <w:p w:rsidR="00A82B1F" w:rsidRPr="00AB6BC6" w:rsidRDefault="00A82B1F" w:rsidP="00A82B1F">
      <w:pPr>
        <w:pStyle w:val="SingleTxtG"/>
      </w:pPr>
      <w:r>
        <w:t>226.</w:t>
      </w:r>
      <w:r>
        <w:tab/>
      </w:r>
      <w:r w:rsidRPr="00AB6BC6">
        <w:t>Uno de los principales motivos para endurecer el requisito es luchar contra los matrimonios forzosos. El establecimiento de requisitos más estrictos en relación con los ingresos de la persona de referencia animará a los jóvenes</w:t>
      </w:r>
      <w:r>
        <w:t xml:space="preserve"> a asumir la responsabilidad de su propia vida, mediante </w:t>
      </w:r>
      <w:r w:rsidRPr="00AB6BC6">
        <w:t>los estudios y el trabajo</w:t>
      </w:r>
      <w:r>
        <w:t xml:space="preserve"> y depender menos de su </w:t>
      </w:r>
      <w:r w:rsidRPr="00AB6BC6">
        <w:t xml:space="preserve">familia, tanto en términos financieros como en la práctica. Además, también estarán mejor preparados para defender sus propios derechos y deseos en relación con el matrimonio, así como para soportar la posible presión de su familia. </w:t>
      </w:r>
    </w:p>
    <w:p w:rsidR="00A82B1F" w:rsidRPr="00AB6BC6" w:rsidRDefault="00A82B1F" w:rsidP="00A82B1F">
      <w:pPr>
        <w:pStyle w:val="H23G"/>
      </w:pPr>
      <w:r>
        <w:tab/>
      </w:r>
      <w:r>
        <w:tab/>
      </w:r>
      <w:r w:rsidRPr="00AB6BC6">
        <w:t>Plan de acción contra los matrimonios forzosos</w:t>
      </w:r>
    </w:p>
    <w:p w:rsidR="00A82B1F" w:rsidRPr="00AB6BC6" w:rsidRDefault="00A82B1F" w:rsidP="00A82B1F">
      <w:pPr>
        <w:pStyle w:val="SingleTxtG"/>
      </w:pPr>
      <w:r>
        <w:t>227.</w:t>
      </w:r>
      <w:r>
        <w:tab/>
      </w:r>
      <w:r w:rsidRPr="00AB6BC6">
        <w:t xml:space="preserve">Se hace referencia </w:t>
      </w:r>
      <w:r>
        <w:t xml:space="preserve">a este respecto </w:t>
      </w:r>
      <w:r w:rsidRPr="00AB6BC6">
        <w:t xml:space="preserve">a los párrafos 212 a 214 del quinto informe </w:t>
      </w:r>
      <w:r>
        <w:t xml:space="preserve">periódico </w:t>
      </w:r>
      <w:r w:rsidRPr="00AB6BC6">
        <w:t xml:space="preserve">de Noruega. </w:t>
      </w:r>
    </w:p>
    <w:p w:rsidR="00A82B1F" w:rsidRPr="00AB6BC6" w:rsidRDefault="00A82B1F" w:rsidP="00A82B1F">
      <w:pPr>
        <w:pStyle w:val="SingleTxtG"/>
      </w:pPr>
      <w:r>
        <w:t>228.</w:t>
      </w:r>
      <w:r>
        <w:tab/>
      </w:r>
      <w:r w:rsidRPr="00AB6BC6">
        <w:t xml:space="preserve">El 29 de junio de 2007, el Gobierno presentó su </w:t>
      </w:r>
      <w:r>
        <w:t>tercer</w:t>
      </w:r>
      <w:r w:rsidRPr="00AB6BC6">
        <w:t xml:space="preserve"> </w:t>
      </w:r>
      <w:r>
        <w:t>p</w:t>
      </w:r>
      <w:r w:rsidRPr="00AB6BC6">
        <w:t xml:space="preserve">lan de acción contra los matrimonios forzosos para 2008-2011, que comprende 40 medidas iniciadas y nuevas encaminadas a luchar contra </w:t>
      </w:r>
      <w:r>
        <w:t xml:space="preserve">dichos </w:t>
      </w:r>
      <w:r w:rsidRPr="00AB6BC6">
        <w:t xml:space="preserve">matrimonios. El </w:t>
      </w:r>
      <w:r>
        <w:t>p</w:t>
      </w:r>
      <w:r w:rsidRPr="00AB6BC6">
        <w:t xml:space="preserve">lan contiene una gran diversidad de iniciativas para prevenir la práctica del matrimonio forzoso y brindar ayuda, apoyo y protección a las víctimas de ese atropello. La principal responsabilidad de luchar contra los matrimonios forzosos recae sobre las autoridades, y uno de los objetivos fundamentales del nuevo </w:t>
      </w:r>
      <w:r>
        <w:t>p</w:t>
      </w:r>
      <w:r w:rsidRPr="00AB6BC6">
        <w:t xml:space="preserve">lan de acción consiste en </w:t>
      </w:r>
      <w:r>
        <w:t>incrementar</w:t>
      </w:r>
      <w:r w:rsidRPr="00AB6BC6">
        <w:t xml:space="preserve"> el apoyo del sector público a l</w:t>
      </w:r>
      <w:r>
        <w:t xml:space="preserve">a labor desplegada </w:t>
      </w:r>
      <w:r w:rsidRPr="00AB6BC6">
        <w:t>en este ámbito.</w:t>
      </w:r>
    </w:p>
    <w:p w:rsidR="00A82B1F" w:rsidRPr="00AB6BC6" w:rsidRDefault="00A82B1F" w:rsidP="00A82B1F">
      <w:pPr>
        <w:pStyle w:val="SingleTxtG"/>
      </w:pPr>
      <w:r>
        <w:t>229.</w:t>
      </w:r>
      <w:r>
        <w:tab/>
      </w:r>
      <w:r w:rsidRPr="00AB6BC6">
        <w:t xml:space="preserve">El </w:t>
      </w:r>
      <w:r>
        <w:t>p</w:t>
      </w:r>
      <w:r w:rsidRPr="00AB6BC6">
        <w:t xml:space="preserve">lan de acción incluye medidas </w:t>
      </w:r>
      <w:r>
        <w:t>en las esferas siguientes:</w:t>
      </w:r>
      <w:r w:rsidRPr="00AB6BC6">
        <w:t xml:space="preserve"> aplicación efectiva de la legislación, prevención de los matrimonios forzosos, aumento de la capacidad técnica y la cooperación</w:t>
      </w:r>
      <w:r>
        <w:t>,</w:t>
      </w:r>
      <w:r w:rsidRPr="00AB6BC6">
        <w:t xml:space="preserve"> ayuda eficaz y de fácil acceso, </w:t>
      </w:r>
      <w:r>
        <w:t xml:space="preserve">intensificación de la labor </w:t>
      </w:r>
      <w:r w:rsidRPr="00AB6BC6">
        <w:t>y la colaboración internacionales, y aumento de los conocimientos y la investigación. Se ha creado un</w:t>
      </w:r>
      <w:r>
        <w:t xml:space="preserve">a página sobre la </w:t>
      </w:r>
      <w:r w:rsidRPr="00AB6BC6">
        <w:t xml:space="preserve">campaña especial del </w:t>
      </w:r>
      <w:r>
        <w:t>p</w:t>
      </w:r>
      <w:r w:rsidRPr="00AB6BC6">
        <w:t>lan de acción, cuya traducción al inglés puede consultarse en el sitio web www.tvangsekteskap.no.</w:t>
      </w:r>
    </w:p>
    <w:p w:rsidR="00A82B1F" w:rsidRPr="004364EE" w:rsidRDefault="00A82B1F" w:rsidP="00A82B1F">
      <w:pPr>
        <w:pStyle w:val="SingleTxtG"/>
      </w:pPr>
      <w:r w:rsidRPr="004364EE">
        <w:t>230.</w:t>
      </w:r>
      <w:r w:rsidRPr="004364EE">
        <w:tab/>
        <w:t xml:space="preserve">El segundo plan de acción contra los matrimonios forzosos tuvo como consecuencia que se aprobaran varias modificaciones legislativas. </w:t>
      </w:r>
    </w:p>
    <w:p w:rsidR="00A82B1F" w:rsidRPr="00AB6BC6" w:rsidRDefault="00A82B1F" w:rsidP="00A82B1F">
      <w:pPr>
        <w:pStyle w:val="SingleTxtG"/>
      </w:pPr>
      <w:r>
        <w:t>231.</w:t>
      </w:r>
      <w:r>
        <w:tab/>
      </w:r>
      <w:r w:rsidRPr="00AB6BC6">
        <w:t xml:space="preserve">A partir del 1º de junio de 2007, la Ley sobre el matrimonio dispone que, cuando al menos una de las partes posea la nacionalidad noruega o tenga la condición de residente permanente en el país, el matrimonio </w:t>
      </w:r>
      <w:r>
        <w:t>contraído</w:t>
      </w:r>
      <w:r w:rsidRPr="00AB6BC6">
        <w:t xml:space="preserve"> en el extranjero no será valido en Noruega si:</w:t>
      </w:r>
      <w:r>
        <w:t xml:space="preserve"> </w:t>
      </w:r>
    </w:p>
    <w:p w:rsidR="00A82B1F" w:rsidRPr="00AB6BC6" w:rsidRDefault="00A82B1F" w:rsidP="00A82B1F">
      <w:pPr>
        <w:pStyle w:val="SingleTxtG"/>
      </w:pPr>
      <w:r>
        <w:tab/>
      </w:r>
      <w:r w:rsidRPr="00AB6BC6">
        <w:t>a</w:t>
      </w:r>
      <w:r>
        <w:t>)</w:t>
      </w:r>
      <w:r>
        <w:tab/>
      </w:r>
      <w:r w:rsidRPr="00AB6BC6">
        <w:t xml:space="preserve">Uno de los contrayentes era menor de 18 años cuando se formalizó el matrimonio; </w:t>
      </w:r>
    </w:p>
    <w:p w:rsidR="00A82B1F" w:rsidRPr="00AB6BC6" w:rsidRDefault="00A82B1F" w:rsidP="00A82B1F">
      <w:pPr>
        <w:pStyle w:val="SingleTxtG"/>
      </w:pPr>
      <w:r>
        <w:tab/>
      </w:r>
      <w:r w:rsidRPr="00AB6BC6">
        <w:t>b)</w:t>
      </w:r>
      <w:r>
        <w:tab/>
      </w:r>
      <w:r w:rsidRPr="00AB6BC6">
        <w:t xml:space="preserve">El matrimonio se formalizó sin que estuviera presente físicamente </w:t>
      </w:r>
      <w:r>
        <w:t xml:space="preserve">en la ceremonia </w:t>
      </w:r>
      <w:r w:rsidRPr="00AB6BC6">
        <w:t xml:space="preserve">alguno de los contrayentes (matrimonio por poder o matrimonio por teléfono); </w:t>
      </w:r>
    </w:p>
    <w:p w:rsidR="00A82B1F" w:rsidRPr="00AB6BC6" w:rsidRDefault="00A82B1F" w:rsidP="00A82B1F">
      <w:pPr>
        <w:pStyle w:val="SingleTxtG"/>
      </w:pPr>
      <w:r>
        <w:tab/>
      </w:r>
      <w:r w:rsidRPr="00AB6BC6">
        <w:t>c)</w:t>
      </w:r>
      <w:r>
        <w:tab/>
      </w:r>
      <w:r w:rsidRPr="00AB6BC6">
        <w:t xml:space="preserve">Uno de los contrayentes ya estaba casado. </w:t>
      </w:r>
    </w:p>
    <w:p w:rsidR="00A82B1F" w:rsidRPr="004364EE" w:rsidRDefault="00A82B1F" w:rsidP="00A82B1F">
      <w:pPr>
        <w:pStyle w:val="SingleTxtG"/>
      </w:pPr>
      <w:r w:rsidRPr="004364EE">
        <w:t>232.</w:t>
      </w:r>
      <w:r w:rsidRPr="004364EE">
        <w:tab/>
        <w:t>Tras las modificaciones de 2003 se incorporaron disposiciones penales en la legislación de Noruega para prevenir los matrimonios forzosos. El artículo 222, párrafo 2</w:t>
      </w:r>
      <w:r>
        <w:t>,</w:t>
      </w:r>
      <w:r w:rsidRPr="004364EE">
        <w:t xml:space="preserve"> del Código Penal de 1902 prohíbe claramente que se obligue a una persona a contraer matrimonio. El incumplimiento de esa prohibición entrañará una pena de cárcel de hasta </w:t>
      </w:r>
      <w:r>
        <w:t xml:space="preserve">seis </w:t>
      </w:r>
      <w:r w:rsidRPr="004364EE">
        <w:t xml:space="preserve">años. En 2003 se modificó el artículo 220 para proteger a los niños. La disposición impone una pena de </w:t>
      </w:r>
      <w:r>
        <w:t>cuatro</w:t>
      </w:r>
      <w:r w:rsidRPr="004364EE">
        <w:t xml:space="preserve"> años de cárcel a las personas que contraigan matrimonio con un menor de 16 años de edad, o </w:t>
      </w:r>
      <w:r>
        <w:t xml:space="preserve">bien </w:t>
      </w:r>
      <w:r w:rsidRPr="004364EE">
        <w:t xml:space="preserve">que colaboren </w:t>
      </w:r>
      <w:r>
        <w:t xml:space="preserve">con </w:t>
      </w:r>
      <w:r w:rsidRPr="004364EE">
        <w:t>la celebración de tales matrimonios</w:t>
      </w:r>
      <w:r>
        <w:t xml:space="preserve"> o los induzcan</w:t>
      </w:r>
      <w:r w:rsidRPr="004364EE">
        <w:t xml:space="preserve">. </w:t>
      </w:r>
    </w:p>
    <w:p w:rsidR="00A82B1F" w:rsidRDefault="00A82B1F" w:rsidP="00A82B1F">
      <w:pPr>
        <w:pStyle w:val="SingleTxtG"/>
      </w:pPr>
      <w:r w:rsidRPr="00614949">
        <w:t>233.</w:t>
      </w:r>
      <w:r w:rsidRPr="00614949">
        <w:tab/>
        <w:t>En 2006, la Corte Suprema de Noruega pudo invocar por primera vez la nueva disposición del artículo 222, párrafo 2, al juzgar una causa penal. Un hombre y uno de sus hijos fueron condenados por haber amenazado violentamente a la hija mayor de la familia para tratar de obligarla a que contrajera matrimonio a la edad de 17 años. El Tribunal del Distrito condenó a los dos hombres a una pena de cárcel de 10 y 8 meses respectivamente. El caso fue recurrido ante el Tribunal de Apelación, que aumentó las penas a 1 año y 9</w:t>
      </w:r>
      <w:r w:rsidR="00575828">
        <w:t> </w:t>
      </w:r>
      <w:r w:rsidRPr="00614949">
        <w:t>meses, y 1 año y 5 meses respectivamente. Se interpuso un nuevo recurso ante la Corte Suprema, que recalcó que el matrimonio forzoso constituye una violación manifiesta de la libertad y la independencia de la persona, así como, casi sin excepción, una violación manifiesta del derecho de la persona a disponer sobre su propio cuerpo. El padre fue condenado a una pena de cárcel de 2 años y 6 meses, y el hijo a una pena de 2 años.</w:t>
      </w:r>
      <w:r w:rsidRPr="004364EE">
        <w:t xml:space="preserve"> </w:t>
      </w:r>
    </w:p>
    <w:p w:rsidR="00A82B1F" w:rsidRPr="00C67FCC" w:rsidRDefault="00A82B1F" w:rsidP="00A82B1F">
      <w:pPr>
        <w:pStyle w:val="H1G"/>
      </w:pPr>
      <w:r>
        <w:tab/>
      </w:r>
      <w:r w:rsidRPr="00C67FCC">
        <w:t>X.</w:t>
      </w:r>
      <w:r w:rsidRPr="00C67FCC">
        <w:tab/>
        <w:t>Artículo 24</w:t>
      </w:r>
    </w:p>
    <w:p w:rsidR="00A82B1F" w:rsidRPr="00C67FCC" w:rsidRDefault="00A82B1F" w:rsidP="00A82B1F">
      <w:pPr>
        <w:pStyle w:val="SingleTxtG"/>
      </w:pPr>
      <w:r w:rsidRPr="00C67FCC">
        <w:t>234.</w:t>
      </w:r>
      <w:r w:rsidRPr="00C67FCC">
        <w:tab/>
        <w:t xml:space="preserve">En los planes de acción </w:t>
      </w:r>
      <w:r>
        <w:t xml:space="preserve">y </w:t>
      </w:r>
      <w:r w:rsidRPr="00C67FCC">
        <w:t xml:space="preserve">en las medidas para combatir la violencia contra los allegados, la trata de mujeres y niños, el racismo, los matrimonios forzados y la mutilación genital </w:t>
      </w:r>
      <w:r>
        <w:t xml:space="preserve">que se menciona </w:t>
      </w:r>
      <w:r w:rsidRPr="00C67FCC">
        <w:t>en relación con otros artículos</w:t>
      </w:r>
      <w:r>
        <w:t>,</w:t>
      </w:r>
      <w:r w:rsidRPr="00C67FCC">
        <w:t xml:space="preserve"> se incluyen medidas destinadas a proteger a los niños.</w:t>
      </w:r>
    </w:p>
    <w:p w:rsidR="00A82B1F" w:rsidRPr="00C67FCC" w:rsidRDefault="00A82B1F" w:rsidP="00A82B1F">
      <w:pPr>
        <w:pStyle w:val="SingleTxtG"/>
      </w:pPr>
      <w:r w:rsidRPr="00C67FCC">
        <w:t>235.</w:t>
      </w:r>
      <w:r w:rsidRPr="00C67FCC">
        <w:tab/>
        <w:t xml:space="preserve">En </w:t>
      </w:r>
      <w:r>
        <w:t xml:space="preserve">cuanto a las </w:t>
      </w:r>
      <w:r w:rsidRPr="00C67FCC">
        <w:t xml:space="preserve">medidas para proteger a </w:t>
      </w:r>
      <w:r>
        <w:t xml:space="preserve">la infancia </w:t>
      </w:r>
      <w:r w:rsidRPr="00C67FCC">
        <w:t>y a la familia en general, cabe remitirse al informe que presentó Noruega en 2008 al Comité de los Derechos del Niño (véase el apéndice 8)</w:t>
      </w:r>
      <w:r>
        <w:t>.</w:t>
      </w:r>
    </w:p>
    <w:p w:rsidR="00A82B1F" w:rsidRPr="00C67FCC" w:rsidRDefault="00A82B1F" w:rsidP="00A82B1F">
      <w:pPr>
        <w:pStyle w:val="H23G"/>
      </w:pPr>
      <w:r>
        <w:tab/>
      </w:r>
      <w:r>
        <w:tab/>
      </w:r>
      <w:r w:rsidRPr="00C67FCC">
        <w:t xml:space="preserve">Enmiendas a la Ley </w:t>
      </w:r>
      <w:r>
        <w:t>sobre la infancia</w:t>
      </w:r>
    </w:p>
    <w:p w:rsidR="00A82B1F" w:rsidRPr="00C67FCC" w:rsidRDefault="00A82B1F" w:rsidP="00A82B1F">
      <w:pPr>
        <w:pStyle w:val="SingleTxtG"/>
      </w:pPr>
      <w:r w:rsidRPr="00C67FCC">
        <w:t>236.</w:t>
      </w:r>
      <w:r w:rsidRPr="00C67FCC">
        <w:tab/>
        <w:t>En abril de 2006</w:t>
      </w:r>
      <w:r>
        <w:t xml:space="preserve"> entró en vigor la reforma de la</w:t>
      </w:r>
      <w:r w:rsidRPr="00C67FCC">
        <w:t xml:space="preserve"> Ley sobre la infancia para mejorar la protección del niño en los casos </w:t>
      </w:r>
      <w:r>
        <w:t xml:space="preserve">de tutela en que se sospecha que existe violencia y maltrato </w:t>
      </w:r>
      <w:r w:rsidRPr="00C67FCC">
        <w:t xml:space="preserve">(véase </w:t>
      </w:r>
      <w:r>
        <w:t xml:space="preserve">la sección relativa al </w:t>
      </w:r>
      <w:r w:rsidRPr="00C67FCC">
        <w:t xml:space="preserve">artículo 7 </w:t>
      </w:r>
      <w:r>
        <w:t>sobre</w:t>
      </w:r>
      <w:r w:rsidRPr="00C67FCC">
        <w:t xml:space="preserve"> las medidas para combatir la violencia contra los allegados).</w:t>
      </w:r>
    </w:p>
    <w:p w:rsidR="00A82B1F" w:rsidRPr="00C67FCC" w:rsidRDefault="00A82B1F" w:rsidP="00A82B1F">
      <w:pPr>
        <w:pStyle w:val="SingleTxtG"/>
      </w:pPr>
      <w:r w:rsidRPr="00C67FCC">
        <w:t>237.</w:t>
      </w:r>
      <w:r w:rsidRPr="00C67FCC">
        <w:tab/>
        <w:t xml:space="preserve">En enero de 2007 el Gobierno nombró un Comité encargado de </w:t>
      </w:r>
      <w:r>
        <w:t>revis</w:t>
      </w:r>
      <w:r w:rsidRPr="00C67FCC">
        <w:t xml:space="preserve">ar las disposiciones de la Ley sobre la infancia relativas </w:t>
      </w:r>
      <w:r>
        <w:t>a la patria potestad</w:t>
      </w:r>
      <w:r w:rsidRPr="00C67FCC">
        <w:t xml:space="preserve">, la residencia permanente y el derecho de acceso a los padres. El principal objetivo de la revisión es evaluar los cambios introducidos </w:t>
      </w:r>
      <w:r>
        <w:t>en</w:t>
      </w:r>
      <w:r w:rsidRPr="00C67FCC">
        <w:t xml:space="preserve"> la Ley de la infancia desde una perspectiva que consider</w:t>
      </w:r>
      <w:r>
        <w:t>e</w:t>
      </w:r>
      <w:r w:rsidRPr="00C67FCC">
        <w:t xml:space="preserve"> a ambos padres igualmente importantes para el niño y que trat</w:t>
      </w:r>
      <w:r>
        <w:t>e</w:t>
      </w:r>
      <w:r w:rsidRPr="00C67FCC">
        <w:t xml:space="preserve"> de apoyar el desarrollo de una sociedad en la que sig</w:t>
      </w:r>
      <w:r>
        <w:t>an</w:t>
      </w:r>
      <w:r w:rsidRPr="00C67FCC">
        <w:t xml:space="preserve"> siendo esenciales el tiempo, la responsabilidad y el cuidado de los padres, así como su</w:t>
      </w:r>
      <w:r>
        <w:t>s</w:t>
      </w:r>
      <w:r w:rsidRPr="00C67FCC">
        <w:t xml:space="preserve"> decisi</w:t>
      </w:r>
      <w:r>
        <w:t>ones</w:t>
      </w:r>
      <w:r w:rsidRPr="00C67FCC">
        <w:t xml:space="preserve"> conjunta</w:t>
      </w:r>
      <w:r>
        <w:t>s</w:t>
      </w:r>
      <w:r w:rsidRPr="00C67FCC">
        <w:t xml:space="preserve"> sobre los aspectos fundamentales de la vida del niño.</w:t>
      </w:r>
    </w:p>
    <w:p w:rsidR="00A82B1F" w:rsidRPr="00C67FCC" w:rsidRDefault="00A82B1F" w:rsidP="00A82B1F">
      <w:pPr>
        <w:pStyle w:val="SingleTxtG"/>
      </w:pPr>
      <w:r w:rsidRPr="00BA4BE6">
        <w:t>238.</w:t>
      </w:r>
      <w:r w:rsidRPr="00BA4BE6">
        <w:tab/>
        <w:t>En junio de 2009 el Gobierno presentó al Parlamento (Storting) un Libro Blanco (Ot.Prp. Nº 104 (2008-2009)) en el que se examinaban las disposiciones de la Ley sobre la infancia relativas a la patria potestad, la residencia permanente y el derecho de acceso a los padres, y se especificaba que se prohibía todo tipo de violencia contra los niños, incluso como método correctivo en su ed</w:t>
      </w:r>
      <w:r>
        <w:t>uc</w:t>
      </w:r>
      <w:r w:rsidRPr="00BA4BE6">
        <w:t>ación.</w:t>
      </w:r>
    </w:p>
    <w:p w:rsidR="00A82B1F" w:rsidRPr="00C67FCC" w:rsidRDefault="00A82B1F" w:rsidP="00A82B1F">
      <w:pPr>
        <w:pStyle w:val="H23G"/>
      </w:pPr>
      <w:r>
        <w:tab/>
      </w:r>
      <w:r>
        <w:tab/>
      </w:r>
      <w:r w:rsidRPr="00C67FCC">
        <w:t>Protección de los niños cuando utilizan teléfonos móviles e Internet</w:t>
      </w:r>
    </w:p>
    <w:p w:rsidR="00A82B1F" w:rsidRPr="00C67FCC" w:rsidRDefault="00A82B1F" w:rsidP="00A82B1F">
      <w:pPr>
        <w:pStyle w:val="SingleTxtG"/>
      </w:pPr>
      <w:r w:rsidRPr="00C67FCC">
        <w:t>239.</w:t>
      </w:r>
      <w:r w:rsidRPr="00C67FCC">
        <w:tab/>
        <w:t xml:space="preserve">Desde 2001 el Ministerio de la Infancia y la Igualdad se ha encargado del proyecto titulado </w:t>
      </w:r>
      <w:r>
        <w:t>"</w:t>
      </w:r>
      <w:r w:rsidRPr="00C67FCC">
        <w:t>Plan de Acción: Niños, jóvenes e Internet</w:t>
      </w:r>
      <w:r>
        <w:t>"</w:t>
      </w:r>
      <w:r w:rsidRPr="00C67FCC">
        <w:t xml:space="preserve">, cuyo principal objetivo es proporcionar a los niños, los jóvenes y las familias información pertinente para que puedan utilizar sin riesgos los teléfonos móviles e Internet. El Plan de Acción forma parte integrante del proyecto noruego financiado por el Programa </w:t>
      </w:r>
      <w:r>
        <w:t>para</w:t>
      </w:r>
      <w:r w:rsidRPr="00C67FCC">
        <w:t xml:space="preserve"> una Internet más segura del Servicio Europeo de Acción Exterior (SEAE). La medida ha despertado gran interés, tanto a nivel nacional como internacional, y se ha desarrollado un sitio </w:t>
      </w:r>
      <w:r>
        <w:t xml:space="preserve">en </w:t>
      </w:r>
      <w:r w:rsidRPr="00C67FCC">
        <w:t>Internet sumamente bueno y útil para ayudar a los niños, los jóvenes, los padres y el sistema educativo a utilizar Internet de manera segura y prudente. En el proyecto coopera el Servicio Nacional Noruego de Investigación Penal (KRIPOS).</w:t>
      </w:r>
    </w:p>
    <w:p w:rsidR="00A82B1F" w:rsidRPr="00C67FCC" w:rsidRDefault="00A82B1F" w:rsidP="00A82B1F">
      <w:pPr>
        <w:pStyle w:val="SingleTxtG"/>
      </w:pPr>
      <w:r w:rsidRPr="00C67FCC">
        <w:t>240.</w:t>
      </w:r>
      <w:r w:rsidRPr="00C67FCC">
        <w:tab/>
        <w:t xml:space="preserve">En septiembre de 2008 </w:t>
      </w:r>
      <w:r>
        <w:t xml:space="preserve">el </w:t>
      </w:r>
      <w:r w:rsidRPr="00C67FCC">
        <w:t xml:space="preserve">KRIPOS estableció una comisaría de policía electrónica, llamada campaña Botón Rojo, para incrementar la labor encaminada a prevenir los delitos contra la infancia cometidos en Internet. Las personas que están conectadas pueden formular una denuncia directamente a la policía pulsando un botón, el Botón Rojo, disponible en varias páginas web, que informará directamente a la policía sobre </w:t>
      </w:r>
      <w:r>
        <w:t xml:space="preserve">casos de </w:t>
      </w:r>
      <w:r w:rsidRPr="00C67FCC">
        <w:t>explotación sexual de niños, trata de seres humanos y expresiones racistas en Internet. El objetivo de la campaña es que el Botón Rojo esté disponible en la mayor cantidad posible de páginas web, especialmente las utilizadas por niños. El Gobierno también colabora con los proveedores de servicios de Internet para bloquear páginas web que muestren imágines de maltrato de niños. Si alguien intenta entrar en un sitio incluido en la lista, se encontrará con un mensaje de la policía que le comunica que el sitio en cuestión contiene imágenes ilegales.</w:t>
      </w:r>
    </w:p>
    <w:p w:rsidR="00A82B1F" w:rsidRPr="00C67FCC" w:rsidRDefault="00A82B1F" w:rsidP="00A82B1F">
      <w:pPr>
        <w:pStyle w:val="SingleTxtG"/>
      </w:pPr>
      <w:r w:rsidRPr="00C67FCC">
        <w:t>241.</w:t>
      </w:r>
      <w:r w:rsidRPr="00C67FCC">
        <w:tab/>
        <w:t>Asimismo, el Código Penal de 1902, en su artículo 201</w:t>
      </w:r>
      <w:r>
        <w:t xml:space="preserve"> a)</w:t>
      </w:r>
      <w:r w:rsidRPr="00C67FCC">
        <w:t xml:space="preserve">, dispone actualmente que toda persona que organice encuentros con niños menores de 16 años con la intención de abusar de ellos </w:t>
      </w:r>
      <w:r w:rsidRPr="00C67FCC">
        <w:rPr>
          <w:i/>
        </w:rPr>
        <w:t>(grooming)</w:t>
      </w:r>
      <w:r w:rsidRPr="00C67FCC">
        <w:t>, será condenada a pagar una multa o a una pena de prisión por un período que no exceda de un año. Es</w:t>
      </w:r>
      <w:r>
        <w:t>t</w:t>
      </w:r>
      <w:r w:rsidRPr="00C67FCC">
        <w:t>a disposición se aprobó el 13 de abril de 2007 y entró en vigor en esa misma fecha.</w:t>
      </w:r>
    </w:p>
    <w:p w:rsidR="00A82B1F" w:rsidRPr="00C67FCC" w:rsidRDefault="00A82B1F" w:rsidP="00A82B1F">
      <w:pPr>
        <w:pStyle w:val="H23G"/>
      </w:pPr>
      <w:r>
        <w:tab/>
      </w:r>
      <w:r>
        <w:tab/>
      </w:r>
      <w:r w:rsidRPr="00C67FCC">
        <w:t>Transferencia de la responsabilidad sobre el cuidado de los solicitantes</w:t>
      </w:r>
      <w:r>
        <w:br/>
      </w:r>
      <w:r w:rsidRPr="00C67FCC">
        <w:t>de asilo no acompañados menores de 18 años</w:t>
      </w:r>
    </w:p>
    <w:p w:rsidR="00A82B1F" w:rsidRPr="00614949" w:rsidRDefault="00A82B1F" w:rsidP="00A82B1F">
      <w:pPr>
        <w:pStyle w:val="SingleTxtG"/>
      </w:pPr>
      <w:r w:rsidRPr="00614949">
        <w:t>242.</w:t>
      </w:r>
      <w:r w:rsidRPr="00614949">
        <w:tab/>
        <w:t>La responsabilidad del bienestar de los menores no acompañados ha incumbido tradicionalmente a las autoridades de migración pero, en su declaración de principios de 2005, el Gobierno prometió transferir esa función a las autoridades encargadas del bienestar infantil. En diciembre de 2007 el Servicio de bienestar de la infancia asumió la responsabilidad de encargarse de los solicitantes de asilo no acompañados menores de 15</w:t>
      </w:r>
      <w:r>
        <w:t> </w:t>
      </w:r>
      <w:r w:rsidRPr="00614949">
        <w:t>años, lo que significa que los niños están al cuidado de dicho Servicio desde su llegada, durante el proceso de solicitud de asilo y hasta que se les asigna un lugar donde vivir o hasta que el niño debe dejar el país. Se han creado centros para solicitantes de asilo no acompañados menores de 15 años, administrados por el Servicio de bienestar de la infancia (Bufetat).</w:t>
      </w:r>
    </w:p>
    <w:p w:rsidR="00A82B1F" w:rsidRPr="00C67FCC" w:rsidRDefault="00A82B1F" w:rsidP="00A82B1F">
      <w:pPr>
        <w:pStyle w:val="SingleTxtG"/>
      </w:pPr>
      <w:r w:rsidRPr="00C67FCC">
        <w:t>243.</w:t>
      </w:r>
      <w:r w:rsidRPr="00C67FCC">
        <w:tab/>
        <w:t xml:space="preserve">En junio de 2009 el Gobierno decidió posponer hasta después de 2010 la transferencia al Servicio de </w:t>
      </w:r>
      <w:r>
        <w:t>b</w:t>
      </w:r>
      <w:r w:rsidRPr="00C67FCC">
        <w:t xml:space="preserve">ienestar de la </w:t>
      </w:r>
      <w:r>
        <w:t>i</w:t>
      </w:r>
      <w:r w:rsidRPr="00C67FCC">
        <w:t>nfancia del cuidado de los solicitantes de asilo no acompañados que tuvieran entre 15 y 18 años. Desde el otoño de 2007 ha aumentado considerablemente en Noruega el número de menores no acompañados que llegan al país (de 403 en 2007 a 1.647 al 30 de septiembre de 2009), lo que ha p</w:t>
      </w:r>
      <w:r>
        <w:t>lanteado</w:t>
      </w:r>
      <w:r w:rsidRPr="00C67FCC">
        <w:t xml:space="preserve"> dificultades logísticas para aplicar la reforma.</w:t>
      </w:r>
    </w:p>
    <w:p w:rsidR="00A82B1F" w:rsidRPr="00C67FCC" w:rsidRDefault="00A82B1F" w:rsidP="00A82B1F">
      <w:pPr>
        <w:pStyle w:val="SingleTxtG"/>
      </w:pPr>
      <w:r w:rsidRPr="00C67FCC">
        <w:t>244.</w:t>
      </w:r>
      <w:r w:rsidRPr="00C67FCC">
        <w:tab/>
        <w:t>En consecuencia, las autoridades de migración siguen encargándose del cuidado de los menores no acompañados mayores de 15 años, a los que se aloja en centros de recepción especialmente adaptados para ellos. En los dos últimos años han mejorado sus condiciones de vida, tanto por la atención que se les presta como por el hecho de que disponen de más actividades de ocio.</w:t>
      </w:r>
    </w:p>
    <w:p w:rsidR="00A82B1F" w:rsidRPr="00C67FCC" w:rsidRDefault="00A82B1F" w:rsidP="00A82B1F">
      <w:pPr>
        <w:pStyle w:val="H1G"/>
      </w:pPr>
      <w:r>
        <w:tab/>
      </w:r>
      <w:r w:rsidRPr="00C67FCC">
        <w:t>Y.</w:t>
      </w:r>
      <w:r w:rsidRPr="00C67FCC">
        <w:tab/>
        <w:t>Artículo 25</w:t>
      </w:r>
    </w:p>
    <w:p w:rsidR="00A82B1F" w:rsidRPr="00C67FCC" w:rsidRDefault="00A82B1F" w:rsidP="00A82B1F">
      <w:pPr>
        <w:pStyle w:val="H23G"/>
      </w:pPr>
      <w:r>
        <w:tab/>
      </w:r>
      <w:r>
        <w:tab/>
      </w:r>
      <w:r w:rsidRPr="00C67FCC">
        <w:t>Supervisión de las elecciones</w:t>
      </w:r>
    </w:p>
    <w:p w:rsidR="00A82B1F" w:rsidRPr="00C67FCC" w:rsidRDefault="00A82B1F" w:rsidP="00A82B1F">
      <w:pPr>
        <w:pStyle w:val="SingleTxtG"/>
      </w:pPr>
      <w:r w:rsidRPr="00BA4BE6">
        <w:t>245.</w:t>
      </w:r>
      <w:r w:rsidRPr="00BA4BE6">
        <w:tab/>
        <w:t>La Ley de 8 de mayo de 2009 agregó a la Ley electoral las obligaciones de Noruega con respecto a la supervisión de las elecciones, lo que se aplicó por primera vez en los comicios al Storting celebrados en 2009. El objetivo del nuevo artículo es doble: poner de relieve las responsabilidades internacionales de Noruega por lo que respecta a la observación de las elecciones y destacar la obligación de los municipios de aceptar observadores electorales.</w:t>
      </w:r>
    </w:p>
    <w:p w:rsidR="00A82B1F" w:rsidRPr="00C67FCC" w:rsidRDefault="00A82B1F" w:rsidP="00A82B1F">
      <w:pPr>
        <w:pStyle w:val="SingleTxtG"/>
      </w:pPr>
      <w:r w:rsidRPr="00C67FCC">
        <w:t>246.</w:t>
      </w:r>
      <w:r w:rsidRPr="00C67FCC">
        <w:tab/>
        <w:t>El nuevo artículo 15-10 de la Ley electoral dice lo siguiente</w:t>
      </w:r>
      <w:r>
        <w:t xml:space="preserve"> (traducción)</w:t>
      </w:r>
      <w:r w:rsidRPr="00C67FCC">
        <w:t>:</w:t>
      </w:r>
    </w:p>
    <w:p w:rsidR="00A82B1F" w:rsidRPr="00C67FCC" w:rsidRDefault="00A82B1F" w:rsidP="00A82B1F">
      <w:pPr>
        <w:pStyle w:val="SingleTxtG"/>
      </w:pPr>
      <w:r w:rsidRPr="00C67FCC">
        <w:tab/>
      </w:r>
      <w:r>
        <w:t>"</w:t>
      </w:r>
      <w:r w:rsidRPr="00BA4BE6">
        <w:t>1)</w:t>
      </w:r>
      <w:r w:rsidRPr="00BA4BE6">
        <w:tab/>
        <w:t>El Ministerio podrá acreditar a observadores electorales nacionales e internacionales procedentes de instituciones u organizaciones para supervisar la celebración de elecciones al Storting o a los consejos municipales y de los condados.</w:t>
      </w:r>
    </w:p>
    <w:p w:rsidR="00A82B1F" w:rsidRPr="00C67FCC" w:rsidRDefault="00A82B1F" w:rsidP="00A82B1F">
      <w:pPr>
        <w:pStyle w:val="SingleTxtG"/>
      </w:pPr>
      <w:r w:rsidRPr="00C67FCC">
        <w:tab/>
        <w:t>2)</w:t>
      </w:r>
      <w:r w:rsidRPr="00C67FCC">
        <w:tab/>
        <w:t>Los municipios tienen la obligación de aceptar a los observadores electorales acreditados y facilitar la supervisión de las elecciones.</w:t>
      </w:r>
      <w:r>
        <w:t>"</w:t>
      </w:r>
    </w:p>
    <w:p w:rsidR="00A82B1F" w:rsidRPr="00C67FCC" w:rsidRDefault="00A82B1F" w:rsidP="00A82B1F">
      <w:pPr>
        <w:pStyle w:val="H1G"/>
      </w:pPr>
      <w:r>
        <w:tab/>
      </w:r>
      <w:r w:rsidRPr="00C67FCC">
        <w:t>Z.</w:t>
      </w:r>
      <w:r w:rsidRPr="00C67FCC">
        <w:tab/>
        <w:t>Artículo 26</w:t>
      </w:r>
    </w:p>
    <w:p w:rsidR="00A82B1F" w:rsidRPr="00C67FCC" w:rsidRDefault="00A82B1F" w:rsidP="00A82B1F">
      <w:pPr>
        <w:pStyle w:val="H23G"/>
      </w:pPr>
      <w:r>
        <w:tab/>
      </w:r>
      <w:r>
        <w:tab/>
      </w:r>
      <w:r w:rsidRPr="00C67FCC">
        <w:t>Protección frente a la discriminación: nuevas iniciativas</w:t>
      </w:r>
    </w:p>
    <w:p w:rsidR="00A82B1F" w:rsidRDefault="00A82B1F" w:rsidP="00A82B1F">
      <w:pPr>
        <w:pStyle w:val="SingleTxtG"/>
      </w:pPr>
      <w:r w:rsidRPr="00C67FCC">
        <w:t>247.</w:t>
      </w:r>
      <w:r w:rsidRPr="00C67FCC">
        <w:tab/>
        <w:t>Se hace referencia al documento básico, párrafos 183 a 236, para una descripción detallada del marco jurídico relativo a la protección frente a la discriminación, y a los párrafos 237 y s</w:t>
      </w:r>
      <w:r>
        <w:t xml:space="preserve">s. </w:t>
      </w:r>
      <w:r w:rsidRPr="00C67FCC">
        <w:t>en lo que concierne a la organización de la labor del Gobierno para promover la igualdad de derechos y prevenir la discriminación.</w:t>
      </w:r>
    </w:p>
    <w:p w:rsidR="00A82B1F" w:rsidRPr="00BA4BE6" w:rsidRDefault="00A82B1F" w:rsidP="00A82B1F">
      <w:pPr>
        <w:pStyle w:val="SingleTxtG"/>
      </w:pPr>
      <w:r w:rsidRPr="00BA4BE6">
        <w:t>248.</w:t>
      </w:r>
      <w:r w:rsidRPr="00BA4BE6">
        <w:tab/>
        <w:t xml:space="preserve">En junio de 2009 la Comisión encargada de proponer una legislación integral de lucha contra la discriminación presentó su propuesta de </w:t>
      </w:r>
      <w:r>
        <w:t xml:space="preserve">una </w:t>
      </w:r>
      <w:r w:rsidRPr="00BA4BE6">
        <w:t>legislación al respecto unificada y más amplia. También propuso que se introdujera en la Constitución una disposición de lucha contra la discriminación y estudió la ratificación y aplicación del Protocolo Nº 12 al Convenio Europeo para la Protección de los Derechos Humanos y de las Libertades Fundamentales (para mayor información, véase el documento básico, párr</w:t>
      </w:r>
      <w:r w:rsidR="007D6205">
        <w:t>s.</w:t>
      </w:r>
      <w:r w:rsidRPr="00BA4BE6">
        <w:t xml:space="preserve"> 230 a 234).</w:t>
      </w:r>
    </w:p>
    <w:p w:rsidR="00A82B1F" w:rsidRPr="00BA4BE6" w:rsidRDefault="00A82B1F" w:rsidP="00A82B1F">
      <w:pPr>
        <w:pStyle w:val="SingleTxtG"/>
      </w:pPr>
      <w:r w:rsidRPr="00BA4BE6">
        <w:t>249.</w:t>
      </w:r>
      <w:r w:rsidRPr="00BA4BE6">
        <w:tab/>
        <w:t xml:space="preserve">La Ley de igualdad de género entró en vigor en 1979 y, desde entonces, se ha modificado varias veces, la última en 2005. </w:t>
      </w:r>
      <w:r>
        <w:t xml:space="preserve">Al respecto, cabe hacer referencia al quinto informe periódico </w:t>
      </w:r>
      <w:r w:rsidRPr="00BA4BE6">
        <w:t>de Noruega, párrafos 27 y s</w:t>
      </w:r>
      <w:r>
        <w:t>s.</w:t>
      </w:r>
      <w:r w:rsidRPr="00BA4BE6">
        <w:t xml:space="preserve"> También se trata el tema de la igualdad de género en relación con el artículo 3 </w:t>
      </w:r>
      <w:r w:rsidRPr="00BA4BE6">
        <w:rPr>
          <w:i/>
        </w:rPr>
        <w:t>supra</w:t>
      </w:r>
      <w:r w:rsidRPr="00BA4BE6">
        <w:t xml:space="preserve">. Para obtener mayor detalle sobre las medidas destinadas a prevenir la discriminación contra la mujer, nos podemos remitir </w:t>
      </w:r>
      <w:r>
        <w:t xml:space="preserve">igualmente </w:t>
      </w:r>
      <w:r w:rsidRPr="00BA4BE6">
        <w:t xml:space="preserve">al séptimo informe </w:t>
      </w:r>
      <w:r>
        <w:t xml:space="preserve">presentado por </w:t>
      </w:r>
      <w:r w:rsidRPr="00BA4BE6">
        <w:t>Noruega al Comité para la Eliminación de la Discriminación contra la Mujer (adjunto), en especial a la sección 1.1.2</w:t>
      </w:r>
      <w:r>
        <w:t xml:space="preserve">, en la que figura </w:t>
      </w:r>
      <w:r w:rsidRPr="00BA4BE6">
        <w:t xml:space="preserve">una descripción de las enmiendas introducidas en 2005. El Gobierno presentó </w:t>
      </w:r>
      <w:r>
        <w:t xml:space="preserve">al Storting </w:t>
      </w:r>
      <w:r w:rsidRPr="00BA4BE6">
        <w:t>en octubre de 2009 un proyecto de ley en el que se proponía que se aclarara la excepción especial que se hacía con las comunidades religiosas. Dicha discriminación sólo puede basarse en la disposición general sobre la desigualdad de trato justificada</w:t>
      </w:r>
      <w:r>
        <w:t xml:space="preserve">, que establece como </w:t>
      </w:r>
      <w:r w:rsidRPr="00BA4BE6">
        <w:t>condiciones que el trato desigual tenga una causa justa, que sea necesario y que no afecte negativamente o de manera desproporcionada a la persona o las personas sujetas a él.</w:t>
      </w:r>
    </w:p>
    <w:p w:rsidR="00A82B1F" w:rsidRPr="00BA4BE6" w:rsidRDefault="00A82B1F" w:rsidP="00A82B1F">
      <w:pPr>
        <w:pStyle w:val="SingleTxtG"/>
      </w:pPr>
      <w:r w:rsidRPr="00BA4BE6">
        <w:t>250.</w:t>
      </w:r>
      <w:r w:rsidRPr="00BA4BE6">
        <w:tab/>
        <w:t xml:space="preserve">El 1º de enero de 2009 entró en vigor una nueva Ley contra la discriminación y en favor de la accesibilidad, que protege frente a la discriminación </w:t>
      </w:r>
      <w:r>
        <w:t xml:space="preserve">por razón de la </w:t>
      </w:r>
      <w:r w:rsidRPr="00BA4BE6">
        <w:t>discapacidad (véase el documento básico, párr</w:t>
      </w:r>
      <w:r>
        <w:t>s.</w:t>
      </w:r>
      <w:r w:rsidRPr="00BA4BE6">
        <w:t xml:space="preserve"> 207 a 214)</w:t>
      </w:r>
      <w:r>
        <w:t xml:space="preserve"> y de la que se </w:t>
      </w:r>
      <w:r w:rsidRPr="00BA4BE6">
        <w:t>incluye una traducción al inglés</w:t>
      </w:r>
      <w:r>
        <w:t xml:space="preserve"> </w:t>
      </w:r>
      <w:r w:rsidRPr="00BA4BE6">
        <w:t>(a</w:t>
      </w:r>
      <w:r>
        <w:t>nexo</w:t>
      </w:r>
      <w:r w:rsidRPr="00BA4BE6">
        <w:t xml:space="preserve"> 2).</w:t>
      </w:r>
    </w:p>
    <w:p w:rsidR="00A82B1F" w:rsidRPr="00BA4BE6" w:rsidRDefault="00A82B1F" w:rsidP="00A82B1F">
      <w:pPr>
        <w:pStyle w:val="SingleTxtG"/>
      </w:pPr>
      <w:r w:rsidRPr="00BA4BE6">
        <w:t>251.</w:t>
      </w:r>
      <w:r w:rsidRPr="00BA4BE6">
        <w:tab/>
        <w:t xml:space="preserve">En mayo de 2009 el Gobierno presentó su Plan de Acción para el </w:t>
      </w:r>
      <w:r>
        <w:t>d</w:t>
      </w:r>
      <w:r w:rsidRPr="00BA4BE6">
        <w:t xml:space="preserve">iseño </w:t>
      </w:r>
      <w:r>
        <w:t>u</w:t>
      </w:r>
      <w:r w:rsidRPr="00BA4BE6">
        <w:t xml:space="preserve">niversal y una mejor </w:t>
      </w:r>
      <w:r>
        <w:t>a</w:t>
      </w:r>
      <w:r w:rsidRPr="00BA4BE6">
        <w:t>ccesibilidad correspondiente al período 2009-2013 (véase el documento básico, párr</w:t>
      </w:r>
      <w:r>
        <w:t>s.</w:t>
      </w:r>
      <w:r w:rsidRPr="00BA4BE6">
        <w:t xml:space="preserve"> 244 y 245).</w:t>
      </w:r>
    </w:p>
    <w:p w:rsidR="00A82B1F" w:rsidRPr="00BA4BE6" w:rsidRDefault="00A82B1F" w:rsidP="00A82B1F">
      <w:pPr>
        <w:pStyle w:val="SingleTxtG"/>
      </w:pPr>
      <w:r w:rsidRPr="00BA4BE6">
        <w:t>252.</w:t>
      </w:r>
      <w:r w:rsidRPr="00BA4BE6">
        <w:tab/>
        <w:t xml:space="preserve">Noruega firmó la Convención sobre los </w:t>
      </w:r>
      <w:r>
        <w:t>d</w:t>
      </w:r>
      <w:r w:rsidRPr="00BA4BE6">
        <w:t xml:space="preserve">erechos de las </w:t>
      </w:r>
      <w:r>
        <w:t>p</w:t>
      </w:r>
      <w:r w:rsidRPr="00BA4BE6">
        <w:t xml:space="preserve">ersonas con </w:t>
      </w:r>
      <w:r>
        <w:t>d</w:t>
      </w:r>
      <w:r w:rsidRPr="00BA4BE6">
        <w:t xml:space="preserve">iscapacidad el 30 de marzo de 2006 pero, para ratificarla, habrá que modificar la legislación, cuestión que está valorando actualmente el Gobierno. </w:t>
      </w:r>
      <w:r>
        <w:t>Se prevé</w:t>
      </w:r>
      <w:r w:rsidRPr="00BA4BE6">
        <w:t xml:space="preserve"> que </w:t>
      </w:r>
      <w:r>
        <w:t>e</w:t>
      </w:r>
      <w:r w:rsidRPr="00BA4BE6">
        <w:t xml:space="preserve">ste presente su propuesta de ratificación al </w:t>
      </w:r>
      <w:r w:rsidRPr="00C62BB2">
        <w:t>Storting</w:t>
      </w:r>
      <w:r w:rsidRPr="00BA4BE6">
        <w:t xml:space="preserve"> en 2010. Noruega no ha firmado el Protocolo facultativo y está estudiando su firma y/o ratificación.</w:t>
      </w:r>
    </w:p>
    <w:p w:rsidR="00A82B1F" w:rsidRPr="00BA4BE6" w:rsidRDefault="00A82B1F" w:rsidP="00A82B1F">
      <w:pPr>
        <w:pStyle w:val="SingleTxtG"/>
      </w:pPr>
      <w:r w:rsidRPr="00BA4BE6">
        <w:t>253.</w:t>
      </w:r>
      <w:r w:rsidRPr="00BA4BE6">
        <w:tab/>
        <w:t>En los informes periódicos 19</w:t>
      </w:r>
      <w:r>
        <w:t>º</w:t>
      </w:r>
      <w:r w:rsidRPr="00BA4BE6">
        <w:t xml:space="preserve"> y 20</w:t>
      </w:r>
      <w:r>
        <w:t>º</w:t>
      </w:r>
      <w:r w:rsidRPr="00BA4BE6">
        <w:t xml:space="preserve"> de Noruega en virtud de la Convención Internacional sobre la Eliminación de todas las </w:t>
      </w:r>
      <w:r>
        <w:t>F</w:t>
      </w:r>
      <w:r w:rsidRPr="00BA4BE6">
        <w:t>ormas de Discriminación Racial, que se presentará</w:t>
      </w:r>
      <w:r>
        <w:t>n</w:t>
      </w:r>
      <w:r w:rsidRPr="00BA4BE6">
        <w:t xml:space="preserve"> en el otoño de 2009, se trata</w:t>
      </w:r>
      <w:r>
        <w:t>n</w:t>
      </w:r>
      <w:r w:rsidRPr="00BA4BE6">
        <w:t xml:space="preserve"> en profundidad la lucha contra la discriminación étnica </w:t>
      </w:r>
      <w:r>
        <w:t xml:space="preserve">y las </w:t>
      </w:r>
      <w:r w:rsidRPr="00BA4BE6">
        <w:t xml:space="preserve">medidas para integrar a los inmigrantes en la sociedad </w:t>
      </w:r>
      <w:r>
        <w:t>n</w:t>
      </w:r>
      <w:r w:rsidRPr="00BA4BE6">
        <w:t>oruega (véase en particular el párr</w:t>
      </w:r>
      <w:r>
        <w:t xml:space="preserve">afo </w:t>
      </w:r>
      <w:r w:rsidRPr="00BA4BE6">
        <w:t xml:space="preserve">63 sobre el nuevo plan de acción de Noruega para promover la igualdad y prevenir la discriminación étnica (2009-2012)). En cuanto al tema de los inmigrantes y la educación, véanse los párrafos 173 a 198. En relación con las medidas para integrar a los inmigrantes en el mercado laboral, </w:t>
      </w:r>
      <w:r>
        <w:t xml:space="preserve">cabe remitirse </w:t>
      </w:r>
      <w:r w:rsidRPr="00BA4BE6">
        <w:t>a los párrafos 146 a 159 del informe mencionado.</w:t>
      </w:r>
    </w:p>
    <w:p w:rsidR="00A82B1F" w:rsidRPr="00BA4BE6" w:rsidRDefault="00A82B1F" w:rsidP="00A82B1F">
      <w:pPr>
        <w:pStyle w:val="H23G"/>
      </w:pPr>
      <w:r>
        <w:tab/>
      </w:r>
      <w:r>
        <w:tab/>
      </w:r>
      <w:r w:rsidRPr="00BA4BE6">
        <w:t>Observaciones finales del Comité sobre las denuncias de controles policiales discriminatorios</w:t>
      </w:r>
    </w:p>
    <w:p w:rsidR="00A82B1F" w:rsidRPr="00BA4BE6" w:rsidRDefault="00A82B1F" w:rsidP="00A82B1F">
      <w:pPr>
        <w:pStyle w:val="SingleTxtG"/>
      </w:pPr>
      <w:r w:rsidRPr="00BA4BE6">
        <w:t>254.</w:t>
      </w:r>
      <w:r w:rsidRPr="00BA4BE6">
        <w:tab/>
        <w:t xml:space="preserve">En el párrafo 17 de sus observaciones finales sobre el quinto informe periódico de Noruega, el Comité observa con preocupación las informaciones sobre la gran cantidad de casos en que la policía actúa en forma discriminatoria y para </w:t>
      </w:r>
      <w:r>
        <w:t xml:space="preserve">una persona </w:t>
      </w:r>
      <w:r w:rsidRPr="00BA4BE6">
        <w:t>basándose en su aparente origen étnico.</w:t>
      </w:r>
    </w:p>
    <w:p w:rsidR="00A82B1F" w:rsidRPr="00BA4BE6" w:rsidRDefault="00A82B1F" w:rsidP="00A82B1F">
      <w:pPr>
        <w:pStyle w:val="SingleTxtG"/>
      </w:pPr>
      <w:r w:rsidRPr="00BA4BE6">
        <w:t>255.</w:t>
      </w:r>
      <w:r w:rsidRPr="00BA4BE6">
        <w:tab/>
        <w:t xml:space="preserve">Tras un amplio debate público y parlamentario celebrado en 2004 sobre el modo de responder a las alegaciones de </w:t>
      </w:r>
      <w:r>
        <w:t>"</w:t>
      </w:r>
      <w:r w:rsidRPr="00BA4BE6">
        <w:t>actuación policial discriminatoria desde el punto de vista étnico</w:t>
      </w:r>
      <w:r>
        <w:t>"</w:t>
      </w:r>
      <w:r w:rsidRPr="00BA4BE6">
        <w:t>, se decidió que, a partir del 1º de enero de 2005, en los uniformes policiales aparecería claramente visible su número de identificación, con el objetivo de facilitar la presentación de denuncias contra la policía en los casos en que una persona consider</w:t>
      </w:r>
      <w:r>
        <w:t>e</w:t>
      </w:r>
      <w:r w:rsidRPr="00BA4BE6">
        <w:t xml:space="preserve"> que ha sufrido un control indebido. Se pensó que, en los casos en que miembros de comunidades minoritarias sufran controles y registros </w:t>
      </w:r>
      <w:r>
        <w:t xml:space="preserve">a causa </w:t>
      </w:r>
      <w:r w:rsidRPr="00BA4BE6">
        <w:t xml:space="preserve">(supuesta o realmente) </w:t>
      </w:r>
      <w:r>
        <w:t>de</w:t>
      </w:r>
      <w:r w:rsidRPr="00BA4BE6">
        <w:t xml:space="preserve"> la </w:t>
      </w:r>
      <w:r>
        <w:t>"</w:t>
      </w:r>
      <w:r w:rsidRPr="00BA4BE6">
        <w:t>elaboración de perfiles en función de la raza o el origen étnico</w:t>
      </w:r>
      <w:r>
        <w:t>"</w:t>
      </w:r>
      <w:r w:rsidRPr="00BA4BE6">
        <w:t xml:space="preserve"> por parte de la policía, dicha disposición </w:t>
      </w:r>
      <w:r>
        <w:t xml:space="preserve">podía ser </w:t>
      </w:r>
      <w:r w:rsidRPr="00BA4BE6">
        <w:t>útil.</w:t>
      </w:r>
    </w:p>
    <w:p w:rsidR="00A82B1F" w:rsidRPr="00BA4BE6" w:rsidRDefault="00A82B1F" w:rsidP="00A82B1F">
      <w:pPr>
        <w:pStyle w:val="SingleTxtG"/>
      </w:pPr>
      <w:r w:rsidRPr="00BA4BE6">
        <w:t>256.</w:t>
      </w:r>
      <w:r w:rsidRPr="00BA4BE6">
        <w:tab/>
        <w:t xml:space="preserve">Como parte de su anterior Plan de Acción Nacional para combatir el </w:t>
      </w:r>
      <w:r>
        <w:t>r</w:t>
      </w:r>
      <w:r w:rsidRPr="00BA4BE6">
        <w:t xml:space="preserve">acismo y la </w:t>
      </w:r>
      <w:r>
        <w:t>d</w:t>
      </w:r>
      <w:r w:rsidRPr="00BA4BE6">
        <w:t>iscriminación en el período 2002-2006 (véase el quinto informe periódico de Noruega, párr</w:t>
      </w:r>
      <w:r>
        <w:t>s.</w:t>
      </w:r>
      <w:r w:rsidRPr="00BA4BE6">
        <w:t xml:space="preserve"> 232 y s</w:t>
      </w:r>
      <w:r>
        <w:t>s.</w:t>
      </w:r>
      <w:r w:rsidRPr="00BA4BE6">
        <w:t>), el Gobierno financió un proyecto de investigación de tres años de duración sobre la relación entre la policía y las minorías étnicas (Ragnhild Aslaug Sollund (2007)</w:t>
      </w:r>
      <w:r>
        <w:t>:</w:t>
      </w:r>
      <w:r w:rsidRPr="00BA4BE6">
        <w:t xml:space="preserve"> </w:t>
      </w:r>
      <w:r w:rsidRPr="00865665">
        <w:t>Tatt for en annen</w:t>
      </w:r>
      <w:r w:rsidRPr="00BA4BE6">
        <w:t xml:space="preserve"> (</w:t>
      </w:r>
      <w:r>
        <w:t>C</w:t>
      </w:r>
      <w:r w:rsidRPr="00BA4BE6">
        <w:t>onfundido por otro)</w:t>
      </w:r>
      <w:r>
        <w:t>)</w:t>
      </w:r>
      <w:r w:rsidRPr="00BA4BE6">
        <w:t xml:space="preserve">, cuyo objetivo era poner de manifiesto las posibles prácticas discriminatorias de la policía. Los resultados del proyecto no confirmaron las alegaciones de que la policía parara y registrara a personas basándose únicamente en su origen étnico. El investigador concluyó que la práctica de la policía era comprensible, a veces inevitable, pero tenía consecuencias problemáticas. La policía y los jóvenes pertenecientes a minorías a menudo se contemplan mutuamente con escepticismo y condicionados por estereotipos, lo que puede dar lugar a que cada parte confirme sus </w:t>
      </w:r>
      <w:r>
        <w:t>pre</w:t>
      </w:r>
      <w:r w:rsidRPr="00BA4BE6">
        <w:t>juicios y se establezca un círculo de desconfianza recíproca. Se formularon distintas recomendaciones: la policía debe siempre justificar o explicar la razón por la que para a miembros de la población, deben registrarse todos los controles y la policía debe reflexionar sobre el modo en que aborda a las personas.</w:t>
      </w:r>
    </w:p>
    <w:p w:rsidR="00A82B1F" w:rsidRPr="00BA4BE6" w:rsidRDefault="00A82B1F" w:rsidP="00A82B1F">
      <w:pPr>
        <w:pStyle w:val="SingleTxtG"/>
      </w:pPr>
      <w:r w:rsidRPr="00BA4BE6">
        <w:t>257.</w:t>
      </w:r>
      <w:r w:rsidRPr="00BA4BE6">
        <w:tab/>
        <w:t xml:space="preserve">Como parte del nuevo </w:t>
      </w:r>
      <w:r>
        <w:t>P</w:t>
      </w:r>
      <w:r w:rsidRPr="00BA4BE6">
        <w:t xml:space="preserve">lan de </w:t>
      </w:r>
      <w:r>
        <w:t>A</w:t>
      </w:r>
      <w:r w:rsidRPr="00BA4BE6">
        <w:t xml:space="preserve">cción </w:t>
      </w:r>
      <w:r>
        <w:t>N</w:t>
      </w:r>
      <w:r w:rsidRPr="00BA4BE6">
        <w:t>acional para lograr la igualdad y luchar contra la discriminación étnica (2009-2012), se han incluido varias medidas, nuevas o</w:t>
      </w:r>
      <w:r>
        <w:t xml:space="preserve"> ya </w:t>
      </w:r>
      <w:r w:rsidRPr="00BA4BE6">
        <w:t>vigentes, para co</w:t>
      </w:r>
      <w:r>
        <w:t>mbatir la discriminación étnica.</w:t>
      </w:r>
    </w:p>
    <w:p w:rsidR="00A82B1F" w:rsidRPr="00BA4BE6" w:rsidRDefault="00A82B1F" w:rsidP="00A82B1F">
      <w:pPr>
        <w:pStyle w:val="SingleTxtG"/>
      </w:pPr>
      <w:r w:rsidRPr="00BA4BE6">
        <w:t>258.</w:t>
      </w:r>
      <w:r w:rsidRPr="00BA4BE6">
        <w:tab/>
        <w:t xml:space="preserve">El Ministerio de Justicia y </w:t>
      </w:r>
      <w:r>
        <w:t>de</w:t>
      </w:r>
      <w:r w:rsidRPr="00BA4BE6">
        <w:t xml:space="preserve"> Policía, la Dirección de la Policía y las comisarías locales de policía celebran reuniones periódicas para dialogar con organizaciones de inmigrantes </w:t>
      </w:r>
      <w:r>
        <w:t xml:space="preserve">y </w:t>
      </w:r>
      <w:r w:rsidRPr="00BA4BE6">
        <w:t>de las minorías.</w:t>
      </w:r>
    </w:p>
    <w:p w:rsidR="00A82B1F" w:rsidRPr="00BA4BE6" w:rsidRDefault="00A82B1F" w:rsidP="00A82B1F">
      <w:pPr>
        <w:pStyle w:val="SingleTxtG"/>
      </w:pPr>
      <w:r w:rsidRPr="00BA4BE6">
        <w:t>259.</w:t>
      </w:r>
      <w:r w:rsidRPr="00BA4BE6">
        <w:tab/>
        <w:t xml:space="preserve">En 2008 la Dirección de la Policía inició el proyecto titulado </w:t>
      </w:r>
      <w:r>
        <w:t>"</w:t>
      </w:r>
      <w:r w:rsidRPr="00BA4BE6">
        <w:t>Seguridad y Confianza: métodos policiales en un entorno multiétnico</w:t>
      </w:r>
      <w:r>
        <w:t>"</w:t>
      </w:r>
      <w:r w:rsidRPr="00BA4BE6">
        <w:t xml:space="preserve">, que se está aplicando en cuatro distritos policiales, y estableció un organismo especial, la Oficina de Policía de Inmigración. El objetivo de ese proyecto y de otros programas de capacitación es lograr que los agentes de policía actúen de manera profesional y se establezca una relación de confianza entre las comunidades minoritarias </w:t>
      </w:r>
      <w:r>
        <w:t>y d</w:t>
      </w:r>
      <w:r w:rsidRPr="00BA4BE6">
        <w:t xml:space="preserve">e inmigrantes y la policía. Las medidas </w:t>
      </w:r>
      <w:r>
        <w:t>serán</w:t>
      </w:r>
      <w:r w:rsidRPr="00BA4BE6">
        <w:t xml:space="preserve"> objeto de evaluación y los resultados sentarán las bases para la futura capacitación en ese ámbito.</w:t>
      </w:r>
    </w:p>
    <w:p w:rsidR="00A82B1F" w:rsidRDefault="00A82B1F" w:rsidP="00A82B1F">
      <w:pPr>
        <w:pStyle w:val="SingleTxtG"/>
      </w:pPr>
      <w:r w:rsidRPr="00BA4BE6">
        <w:t>260.</w:t>
      </w:r>
      <w:r w:rsidRPr="00BA4BE6">
        <w:tab/>
        <w:t xml:space="preserve">Una medida importante para luchar contra la discriminación es el </w:t>
      </w:r>
      <w:r>
        <w:t>p</w:t>
      </w:r>
      <w:r w:rsidRPr="00BA4BE6">
        <w:t xml:space="preserve">lan de la Dirección de la Policía de aumentar la diversidad </w:t>
      </w:r>
      <w:r w:rsidRPr="00865665">
        <w:t>(Mangfoldsplan 2008-2013)</w:t>
      </w:r>
      <w:r w:rsidRPr="00BA4BE6">
        <w:t xml:space="preserve">, que incluye, entre otras cosas, medidas para incrementar la representación de </w:t>
      </w:r>
      <w:r>
        <w:t xml:space="preserve">las </w:t>
      </w:r>
      <w:r w:rsidRPr="00BA4BE6">
        <w:t>minorías étnicas en la policía y medidas para incluir el tema de las minorías étnicas en la formación.</w:t>
      </w:r>
    </w:p>
    <w:p w:rsidR="00A82B1F" w:rsidRPr="00453606" w:rsidRDefault="00A82B1F" w:rsidP="00A82B1F">
      <w:pPr>
        <w:pStyle w:val="H1G"/>
      </w:pPr>
      <w:r>
        <w:tab/>
      </w:r>
      <w:r w:rsidRPr="00453606">
        <w:t>AA.</w:t>
      </w:r>
      <w:r w:rsidRPr="00453606">
        <w:tab/>
        <w:t>Artículo 27</w:t>
      </w:r>
    </w:p>
    <w:p w:rsidR="00A82B1F" w:rsidRPr="00453606" w:rsidRDefault="00A82B1F" w:rsidP="00A82B1F">
      <w:pPr>
        <w:pStyle w:val="H23G"/>
      </w:pPr>
      <w:r>
        <w:tab/>
      </w:r>
      <w:r>
        <w:tab/>
      </w:r>
      <w:r w:rsidRPr="00453606">
        <w:t>Política relativa a los samis</w:t>
      </w:r>
    </w:p>
    <w:p w:rsidR="00A82B1F" w:rsidRPr="00453606" w:rsidRDefault="00A82B1F" w:rsidP="00A82B1F">
      <w:pPr>
        <w:pStyle w:val="SingleTxtG"/>
      </w:pPr>
      <w:r w:rsidRPr="00453606">
        <w:t>261.</w:t>
      </w:r>
      <w:r w:rsidRPr="00453606">
        <w:tab/>
        <w:t xml:space="preserve">Se hace referencia </w:t>
      </w:r>
      <w:r>
        <w:t xml:space="preserve">a esta cuestión en el </w:t>
      </w:r>
      <w:r w:rsidRPr="00453606">
        <w:t>párrafo 238 del quinto informe periódico de Noruega.</w:t>
      </w:r>
    </w:p>
    <w:p w:rsidR="00A82B1F" w:rsidRPr="00453606" w:rsidRDefault="00A82B1F" w:rsidP="00A82B1F">
      <w:pPr>
        <w:pStyle w:val="SingleTxtG"/>
      </w:pPr>
      <w:r w:rsidRPr="00453606">
        <w:t>262.</w:t>
      </w:r>
      <w:r w:rsidRPr="00453606">
        <w:tab/>
        <w:t xml:space="preserve">La política de Noruega con respecto a los samis se expuso ampliamente en el otoño de 2008 en el informe del país </w:t>
      </w:r>
      <w:r>
        <w:t>relativo a</w:t>
      </w:r>
      <w:r w:rsidRPr="00453606">
        <w:t xml:space="preserve">l Convenio Nº 169 de la OIT sobre pueblos indígenas y tribales (el informe </w:t>
      </w:r>
      <w:r>
        <w:t xml:space="preserve">presentado </w:t>
      </w:r>
      <w:r w:rsidRPr="00453606">
        <w:t>a la OIT) y se trata también en profundidad en los informes periódicos 19</w:t>
      </w:r>
      <w:r>
        <w:t>º</w:t>
      </w:r>
      <w:r w:rsidRPr="00453606">
        <w:t xml:space="preserve"> y 20</w:t>
      </w:r>
      <w:r>
        <w:t>º</w:t>
      </w:r>
      <w:r w:rsidRPr="00453606">
        <w:t xml:space="preserve"> en virtud de la Convención Internacional sobre la Eliminación de </w:t>
      </w:r>
      <w:r>
        <w:t>t</w:t>
      </w:r>
      <w:r w:rsidRPr="00453606">
        <w:t xml:space="preserve">odas las Formas de Discriminación Racial (el informe </w:t>
      </w:r>
      <w:r>
        <w:t xml:space="preserve">presentado </w:t>
      </w:r>
      <w:r w:rsidRPr="00453606">
        <w:t>al CERD). Se han incluido ambos informes (</w:t>
      </w:r>
      <w:r>
        <w:t>anexos</w:t>
      </w:r>
      <w:r w:rsidRPr="00453606">
        <w:t xml:space="preserve"> 6 y 7).</w:t>
      </w:r>
    </w:p>
    <w:p w:rsidR="00A82B1F" w:rsidRPr="00453606" w:rsidRDefault="00A82B1F" w:rsidP="00A82B1F">
      <w:pPr>
        <w:pStyle w:val="H23G"/>
      </w:pPr>
      <w:r>
        <w:tab/>
      </w:r>
      <w:r>
        <w:tab/>
      </w:r>
      <w:r w:rsidRPr="00453606">
        <w:t>Acuerdo de consultas entre las autoridades estatales y el Sámediggi</w:t>
      </w:r>
      <w:r>
        <w:br/>
      </w:r>
      <w:r w:rsidRPr="00453606">
        <w:t>(Parlamento sami)</w:t>
      </w:r>
    </w:p>
    <w:p w:rsidR="00A82B1F" w:rsidRPr="00453606" w:rsidRDefault="00A82B1F" w:rsidP="00A82B1F">
      <w:pPr>
        <w:pStyle w:val="SingleTxtG"/>
      </w:pPr>
      <w:r w:rsidRPr="00453606">
        <w:t>263.</w:t>
      </w:r>
      <w:r w:rsidRPr="00453606">
        <w:tab/>
        <w:t xml:space="preserve">El 11 de mayo de 2005 el Gobierno y el Parlamento sami (en adelante Sámediggi) acordaron los </w:t>
      </w:r>
      <w:r>
        <w:t>"</w:t>
      </w:r>
      <w:r w:rsidRPr="00453606">
        <w:t>Procedimientos en relación con las consultas entre las autoridades del Estado y el Sámediggi</w:t>
      </w:r>
      <w:r>
        <w:t>"</w:t>
      </w:r>
      <w:r w:rsidRPr="00453606">
        <w:t xml:space="preserve"> (</w:t>
      </w:r>
      <w:r>
        <w:t xml:space="preserve">anexo </w:t>
      </w:r>
      <w:r w:rsidRPr="00453606">
        <w:t>11) (véanse las observaciones finales del Comité, párr</w:t>
      </w:r>
      <w:r>
        <w:t>.</w:t>
      </w:r>
      <w:r w:rsidRPr="00453606">
        <w:t xml:space="preserve"> 5). En el informe </w:t>
      </w:r>
      <w:r>
        <w:t xml:space="preserve">presentado </w:t>
      </w:r>
      <w:r w:rsidRPr="00453606">
        <w:t>a la OIT (véase en particular la sección 1.2) se detalla el alcance del contenido del acuerdo.</w:t>
      </w:r>
    </w:p>
    <w:p w:rsidR="00A82B1F" w:rsidRPr="00453606" w:rsidRDefault="00A82B1F" w:rsidP="00A82B1F">
      <w:pPr>
        <w:pStyle w:val="SingleTxtG"/>
      </w:pPr>
      <w:r>
        <w:t>264.</w:t>
      </w:r>
      <w:r>
        <w:tab/>
        <w:t>Los P</w:t>
      </w:r>
      <w:r w:rsidRPr="00453606">
        <w:t xml:space="preserve">rocedimientos </w:t>
      </w:r>
      <w:r>
        <w:t xml:space="preserve">han concienciado </w:t>
      </w:r>
      <w:r w:rsidRPr="00453606">
        <w:t xml:space="preserve">en mayor medida </w:t>
      </w:r>
      <w:r>
        <w:t>sobre</w:t>
      </w:r>
      <w:r w:rsidRPr="00453606">
        <w:t xml:space="preserve"> la obligación de consultar con todas las estructuras del Estado. Entre enero de 2008 y mayo de 2009, se celebraron consultas oficiales en 40 casos diferentes, la gran mayoría de los cuales acabaron en acuerdo. Dos ejemplos de casos en los que </w:t>
      </w:r>
      <w:r>
        <w:t xml:space="preserve">se </w:t>
      </w:r>
      <w:r w:rsidRPr="00453606">
        <w:t xml:space="preserve">celebraron consultas son las propuestas para una nueva Ley de </w:t>
      </w:r>
      <w:r>
        <w:t xml:space="preserve">ordenación </w:t>
      </w:r>
      <w:r w:rsidRPr="00453606">
        <w:t>de la naturaleza (</w:t>
      </w:r>
      <w:r>
        <w:t>anexo</w:t>
      </w:r>
      <w:r w:rsidRPr="00453606">
        <w:t xml:space="preserve"> 1) y una nueva Ley de min</w:t>
      </w:r>
      <w:r>
        <w:t>ería</w:t>
      </w:r>
      <w:r w:rsidRPr="00453606">
        <w:t>.</w:t>
      </w:r>
    </w:p>
    <w:p w:rsidR="00A82B1F" w:rsidRPr="00453606" w:rsidRDefault="00A82B1F" w:rsidP="00A82B1F">
      <w:pPr>
        <w:pStyle w:val="SingleTxtG"/>
      </w:pPr>
      <w:r w:rsidRPr="00453606">
        <w:t>265.</w:t>
      </w:r>
      <w:r w:rsidRPr="00453606">
        <w:tab/>
        <w:t xml:space="preserve">A fin de cumplir las obligaciones contraídas en virtud del artículo 27, se adoptaron en la Ley de </w:t>
      </w:r>
      <w:r>
        <w:t xml:space="preserve">minería </w:t>
      </w:r>
      <w:r w:rsidRPr="00453606">
        <w:t>varias disposiciones para proteger los intereses de los samis en relación con el procedimiento y la labor ejecutiva</w:t>
      </w:r>
      <w:r>
        <w:t xml:space="preserve">, entre las que había algunas </w:t>
      </w:r>
      <w:r w:rsidRPr="00453606">
        <w:t>que exigían que se prestara considerable atención a los intereses de los samis afectados y otras que requerían la participación del Sámediggi y otras organizaciones sami</w:t>
      </w:r>
      <w:r>
        <w:t>s</w:t>
      </w:r>
      <w:r w:rsidRPr="00453606">
        <w:t xml:space="preserve">. Esas disposiciones ya llevan vigentes tres años debido a las enmiendas que se introdujeron a la Ley de </w:t>
      </w:r>
      <w:r>
        <w:t>minería</w:t>
      </w:r>
      <w:r w:rsidRPr="00453606">
        <w:t xml:space="preserve"> vigente cuando se </w:t>
      </w:r>
      <w:r>
        <w:t>aprobó la</w:t>
      </w:r>
      <w:r w:rsidRPr="00453606">
        <w:t xml:space="preserve"> Ley de Finnmark. En la primavera de 2009 el Storting aprobó una nueva Ley de </w:t>
      </w:r>
      <w:r>
        <w:t xml:space="preserve">minería que entrará en </w:t>
      </w:r>
      <w:r w:rsidRPr="00453606">
        <w:t xml:space="preserve">vigor el 1º de enero de 2010. Las disposiciones de la entonces vigente Ley de </w:t>
      </w:r>
      <w:r>
        <w:t>minería</w:t>
      </w:r>
      <w:r w:rsidRPr="00453606">
        <w:t xml:space="preserve"> para proteger los intereses de los sami en relación con el procedimiento y la labor ejecutiva </w:t>
      </w:r>
      <w:r>
        <w:t xml:space="preserve">siguen </w:t>
      </w:r>
      <w:r w:rsidRPr="00453606">
        <w:t>presentes en la nueva ley.</w:t>
      </w:r>
    </w:p>
    <w:p w:rsidR="00A82B1F" w:rsidRPr="00453606" w:rsidRDefault="00A82B1F" w:rsidP="00A82B1F">
      <w:pPr>
        <w:pStyle w:val="SingleTxtG"/>
      </w:pPr>
      <w:r w:rsidRPr="00453606">
        <w:t>266.</w:t>
      </w:r>
      <w:r w:rsidRPr="00453606">
        <w:tab/>
        <w:t>Las consultas con el Sámediggi y la Asociación de pastores de renos sami</w:t>
      </w:r>
      <w:r>
        <w:t>s</w:t>
      </w:r>
      <w:r w:rsidRPr="00453606">
        <w:t xml:space="preserve"> sobre la nueva Ley de </w:t>
      </w:r>
      <w:r>
        <w:t>minería</w:t>
      </w:r>
      <w:r w:rsidRPr="00453606">
        <w:t xml:space="preserve"> se celebraron </w:t>
      </w:r>
      <w:r>
        <w:t xml:space="preserve">según </w:t>
      </w:r>
      <w:r w:rsidRPr="00453606">
        <w:t>los Procedimientos en relación con las consultas entre las autoridades del Estado y el Sámediggi</w:t>
      </w:r>
      <w:r>
        <w:t>,</w:t>
      </w:r>
      <w:r w:rsidRPr="00453606">
        <w:t xml:space="preserve"> de 11 de mayo de 2005. Se alcanzaron acuerdos sobre varias disposiciones, pero no acerca de las que afectaban a los derechos e intereses de los sami</w:t>
      </w:r>
      <w:r>
        <w:t>s</w:t>
      </w:r>
      <w:r w:rsidRPr="00453606">
        <w:t xml:space="preserve"> fuera del condado de Finnmark y </w:t>
      </w:r>
      <w:r>
        <w:t>a</w:t>
      </w:r>
      <w:r w:rsidRPr="00453606">
        <w:t>l reparto de beneficios cuando las minas estuvieran situadas en tierras tradicionales sami</w:t>
      </w:r>
      <w:r>
        <w:t>s</w:t>
      </w:r>
      <w:r w:rsidRPr="00453606">
        <w:t xml:space="preserve"> y afectaran a su comunidad.</w:t>
      </w:r>
    </w:p>
    <w:p w:rsidR="00A82B1F" w:rsidRPr="00453606" w:rsidRDefault="00A82B1F" w:rsidP="00A82B1F">
      <w:pPr>
        <w:pStyle w:val="SingleTxtG"/>
      </w:pPr>
      <w:r w:rsidRPr="00453606">
        <w:t>267.</w:t>
      </w:r>
      <w:r w:rsidRPr="00453606">
        <w:tab/>
        <w:t>El Sámediggi pedía que se formularan disposiciones para los casos en que los intereses de los sami</w:t>
      </w:r>
      <w:r>
        <w:t>s</w:t>
      </w:r>
      <w:r w:rsidRPr="00453606">
        <w:t xml:space="preserve"> se vieran afectados fuera del condado de Finnmark pero, en opinión del Gobierno, </w:t>
      </w:r>
      <w:r>
        <w:t xml:space="preserve">había que </w:t>
      </w:r>
      <w:r w:rsidRPr="00453606">
        <w:t>esperar para ello a obtener los resultados del informe del Comité II para los derechos de los sami</w:t>
      </w:r>
      <w:r>
        <w:t>s</w:t>
      </w:r>
      <w:r w:rsidRPr="00453606">
        <w:t>. Asimismo</w:t>
      </w:r>
      <w:r>
        <w:t>,</w:t>
      </w:r>
      <w:r w:rsidRPr="00453606">
        <w:t xml:space="preserve"> el Sámediggi solicitó que le fueran transferidas las tasas percibidas por las operaciones de minería en Finnmark, en lugar de remitirlas al propietario de las tierras, el F</w:t>
      </w:r>
      <w:r>
        <w:t>u</w:t>
      </w:r>
      <w:r w:rsidRPr="00453606">
        <w:t>ndo de Finnmark, tal como figuraba en la Ley de minería vigente. El F</w:t>
      </w:r>
      <w:r>
        <w:t>u</w:t>
      </w:r>
      <w:r w:rsidRPr="00453606">
        <w:t>ndo de Finnmark es la institución propietaria de las tierras en ese condado, de las que posee aproximadamente el 96%, y se estableció para mantener y equilibrar los derechos e intereses tanto del pueblo sami como del resto de habitantes de Finnmark.</w:t>
      </w:r>
    </w:p>
    <w:p w:rsidR="00A82B1F" w:rsidRPr="00453606" w:rsidRDefault="00A82B1F" w:rsidP="00A82B1F">
      <w:pPr>
        <w:pStyle w:val="SingleTxtG"/>
      </w:pPr>
      <w:r w:rsidRPr="00453606">
        <w:t>268.</w:t>
      </w:r>
      <w:r w:rsidRPr="00453606">
        <w:tab/>
        <w:t xml:space="preserve">El seguimiento del informe del Comité II para los </w:t>
      </w:r>
      <w:r>
        <w:t>d</w:t>
      </w:r>
      <w:r w:rsidRPr="00453606">
        <w:t>erechos de los Sami</w:t>
      </w:r>
      <w:r>
        <w:t>s</w:t>
      </w:r>
      <w:r w:rsidRPr="00453606">
        <w:t xml:space="preserve"> sentará las bases para estudiar futuras enmiendas jurídicas relativas a dichos derechos fuera del condado de Finnmark, </w:t>
      </w:r>
      <w:r>
        <w:t xml:space="preserve">incluidas </w:t>
      </w:r>
      <w:r w:rsidRPr="00453606">
        <w:t xml:space="preserve">las posibles modificaciones de la Ley de </w:t>
      </w:r>
      <w:r>
        <w:t>minería</w:t>
      </w:r>
      <w:r w:rsidRPr="00453606">
        <w:t xml:space="preserve">. El seguimiento del informe </w:t>
      </w:r>
      <w:r>
        <w:t xml:space="preserve">se llevará a cabo </w:t>
      </w:r>
      <w:r w:rsidRPr="00453606">
        <w:t>en consulta con el Sámediggi.</w:t>
      </w:r>
    </w:p>
    <w:p w:rsidR="00A82B1F" w:rsidRPr="00453606" w:rsidRDefault="00A82B1F" w:rsidP="00A82B1F">
      <w:pPr>
        <w:pStyle w:val="SingleTxtG"/>
      </w:pPr>
      <w:r w:rsidRPr="00453606">
        <w:t>269.</w:t>
      </w:r>
      <w:r w:rsidRPr="00453606">
        <w:tab/>
        <w:t xml:space="preserve">En la nueva Ley de </w:t>
      </w:r>
      <w:r>
        <w:t>minería</w:t>
      </w:r>
      <w:r w:rsidRPr="00453606">
        <w:t xml:space="preserve"> figuran disposiciones especiales para Finnmark. En lo que concierne al examen preliminar de minerales en dicha zona, la persona o empresa que desee realizar</w:t>
      </w:r>
      <w:r>
        <w:t>lo</w:t>
      </w:r>
      <w:r w:rsidRPr="00453606">
        <w:t xml:space="preserve"> debe</w:t>
      </w:r>
      <w:r>
        <w:t xml:space="preserve"> notificarlo</w:t>
      </w:r>
      <w:r w:rsidRPr="00453606">
        <w:t>, como mínimo dos semanas antes de</w:t>
      </w:r>
      <w:r>
        <w:t xml:space="preserve"> su</w:t>
      </w:r>
      <w:r w:rsidRPr="00453606">
        <w:t xml:space="preserve"> inicio al Sámediggi, al propietario de las tierras y a las correspondientes juntas de zona y de distrito para la cría del reno, así como, si es posible, a las </w:t>
      </w:r>
      <w:r w:rsidRPr="00453606">
        <w:rPr>
          <w:i/>
        </w:rPr>
        <w:t>siida</w:t>
      </w:r>
      <w:r w:rsidRPr="00453606">
        <w:t xml:space="preserve"> (comunidades para el pastoreo del reno) afectadas.</w:t>
      </w:r>
    </w:p>
    <w:p w:rsidR="00A82B1F" w:rsidRPr="00453606" w:rsidRDefault="00A82B1F" w:rsidP="00A82B1F">
      <w:pPr>
        <w:pStyle w:val="SingleTxtG"/>
      </w:pPr>
      <w:r w:rsidRPr="00453606">
        <w:t>270.</w:t>
      </w:r>
      <w:r w:rsidRPr="00453606">
        <w:tab/>
        <w:t>Puede negarse la concesión de permisos para la prospección y la extracción en el condado de Finnmark si dichas actividades se oponen a los intereses de los sami</w:t>
      </w:r>
      <w:r>
        <w:t>s</w:t>
      </w:r>
      <w:r w:rsidRPr="00453606">
        <w:t>. Al estudiar las solicitudes correspondientes, hay que tener especialmente en cuenta la cultura, la cría de renos, la utilización de las zonas no cultivadas, la actividad comercial y la vida social</w:t>
      </w:r>
      <w:r>
        <w:t xml:space="preserve"> del pueblo sami</w:t>
      </w:r>
      <w:r w:rsidRPr="00453606">
        <w:t>. Si se concede el permiso, se podrán estipular las condiciones para salvaguardar dichas cuestiones. Si el Ministerio responde favorablemente a la solicitud y el Sámediggi o el F</w:t>
      </w:r>
      <w:r>
        <w:t>u</w:t>
      </w:r>
      <w:r w:rsidRPr="00453606">
        <w:t>ndo de Finnmark recurren la decisión ante el Rey asesorado por el Consejo, esta apelación tendría efecto suspensivo.</w:t>
      </w:r>
    </w:p>
    <w:p w:rsidR="00A82B1F" w:rsidRPr="00453606" w:rsidRDefault="00A82B1F" w:rsidP="00A82B1F">
      <w:pPr>
        <w:pStyle w:val="SingleTxtG"/>
      </w:pPr>
      <w:r w:rsidRPr="00453606">
        <w:t>271.</w:t>
      </w:r>
      <w:r w:rsidRPr="00453606">
        <w:tab/>
        <w:t>Las autoridades pueden establecer norma</w:t>
      </w:r>
      <w:r>
        <w:t>t</w:t>
      </w:r>
      <w:r w:rsidRPr="00453606">
        <w:t>ivas que impongan el pago al F</w:t>
      </w:r>
      <w:r>
        <w:t>u</w:t>
      </w:r>
      <w:r w:rsidRPr="00453606">
        <w:t xml:space="preserve">ndo de Finnmark de una tasa más elevada por la realización de </w:t>
      </w:r>
      <w:r>
        <w:t>opera</w:t>
      </w:r>
      <w:r w:rsidRPr="00453606">
        <w:t>ciones mineras en esa zona. El Sámediggi nombra a la mitad de los miembros de la junta del F</w:t>
      </w:r>
      <w:r>
        <w:t>u</w:t>
      </w:r>
      <w:r w:rsidRPr="00453606">
        <w:t xml:space="preserve">ndo de Finnmark, lo que asegura una tasa más alta, que </w:t>
      </w:r>
      <w:r>
        <w:t xml:space="preserve">redunda en beneficio de los </w:t>
      </w:r>
      <w:r w:rsidRPr="00453606">
        <w:t>intereses de la población sami</w:t>
      </w:r>
      <w:r>
        <w:t xml:space="preserve"> y </w:t>
      </w:r>
      <w:r w:rsidRPr="00453606">
        <w:t>de los demás habitantes del condado de Finnmark.</w:t>
      </w:r>
    </w:p>
    <w:p w:rsidR="00A82B1F" w:rsidRPr="00F06248" w:rsidRDefault="00A82B1F" w:rsidP="00A82B1F">
      <w:pPr>
        <w:pStyle w:val="SingleTxtG"/>
      </w:pPr>
      <w:r w:rsidRPr="00F06248">
        <w:t>272.</w:t>
      </w:r>
      <w:r w:rsidRPr="00F06248">
        <w:tab/>
        <w:t xml:space="preserve">En abril de 2009 el Gobierno propuso la Ley de ordenación de la naturaleza, que aprobó el Storting el 16 de junio de 2009 y </w:t>
      </w:r>
      <w:r>
        <w:t>entró</w:t>
      </w:r>
      <w:r w:rsidRPr="00F06248">
        <w:t xml:space="preserve"> en vigor el 1º de julio de 2009, excepto en lo que se refiere al capítulo IV sobre las especies exóticas. Esta ley tiene repercusiones en los derechos e intereses de los samis en Noruega, por lo que las consultas entre el Gobierno y el Sámediggi sobre </w:t>
      </w:r>
      <w:r>
        <w:t xml:space="preserve">varios de sus </w:t>
      </w:r>
      <w:r w:rsidRPr="00F06248">
        <w:t xml:space="preserve">aspectos relativos a </w:t>
      </w:r>
      <w:r>
        <w:t>dichos</w:t>
      </w:r>
      <w:r w:rsidRPr="00F06248">
        <w:t xml:space="preserve"> intereses formaron parte integrante del proceso legislativo. La cooperación entre las partes fue amplia y con una perspectiva a largo plazo. </w:t>
      </w:r>
      <w:r>
        <w:t xml:space="preserve">Se debatieron, entre otros asuntos, </w:t>
      </w:r>
      <w:r w:rsidRPr="00F06248">
        <w:t>el propósito de la ley y los derechos colectivos e individuales a la luz del derecho internacional público. Las consultas dieron lugar a la introducción de cambios en la ley (véa</w:t>
      </w:r>
      <w:r>
        <w:t>n</w:t>
      </w:r>
      <w:r w:rsidRPr="00F06248">
        <w:t>se en particular las secciones 1 y</w:t>
      </w:r>
      <w:r>
        <w:t> </w:t>
      </w:r>
      <w:r w:rsidRPr="00F06248">
        <w:t>14).</w:t>
      </w:r>
    </w:p>
    <w:p w:rsidR="00A82B1F" w:rsidRPr="00F06248" w:rsidRDefault="00A82B1F" w:rsidP="00A82B1F">
      <w:pPr>
        <w:pStyle w:val="H23G"/>
      </w:pPr>
      <w:r>
        <w:tab/>
      </w:r>
      <w:r>
        <w:tab/>
      </w:r>
      <w:r w:rsidRPr="00F06248">
        <w:t>La Ley de Finnmark</w:t>
      </w:r>
    </w:p>
    <w:p w:rsidR="00A82B1F" w:rsidRPr="00F06248" w:rsidRDefault="00A82B1F" w:rsidP="00A82B1F">
      <w:pPr>
        <w:pStyle w:val="SingleTxtG"/>
      </w:pPr>
      <w:r w:rsidRPr="00F06248">
        <w:t>273.</w:t>
      </w:r>
      <w:r w:rsidRPr="00F06248">
        <w:tab/>
        <w:t xml:space="preserve">En la primavera de 2005 el Storting aprobó la ley relativa a las relaciones jurídicas y </w:t>
      </w:r>
      <w:r>
        <w:t xml:space="preserve">a </w:t>
      </w:r>
      <w:r w:rsidRPr="00F06248">
        <w:t>la ordenación del territorio y los recursos naturales del condado de Finnmark (Ley de Finnmark), de la que se adjunta una traducción al inglés (</w:t>
      </w:r>
      <w:r>
        <w:t>anexo</w:t>
      </w:r>
      <w:r w:rsidRPr="00F06248">
        <w:t xml:space="preserve"> 4). </w:t>
      </w:r>
      <w:r>
        <w:t>Al respecto, se</w:t>
      </w:r>
      <w:r w:rsidRPr="00F06248">
        <w:t xml:space="preserve"> hace referencia al quinto informe periódico de Noruega, párrafos 251 y s</w:t>
      </w:r>
      <w:r>
        <w:t>s.</w:t>
      </w:r>
      <w:r w:rsidRPr="00F06248">
        <w:t xml:space="preserve">, en </w:t>
      </w:r>
      <w:r>
        <w:t>los</w:t>
      </w:r>
      <w:r w:rsidRPr="00F06248">
        <w:t xml:space="preserve"> que se da cuenta del proceso previo a la aprobación de la ley y se incluye parte de su contenido (incluid</w:t>
      </w:r>
      <w:r>
        <w:t>o</w:t>
      </w:r>
      <w:r w:rsidRPr="00F06248">
        <w:t xml:space="preserve"> el régimen del F</w:t>
      </w:r>
      <w:r>
        <w:t>u</w:t>
      </w:r>
      <w:r w:rsidRPr="00F06248">
        <w:t>ndo de Finnmark). No obstante, después de 2005 se introdujeron en dicha ley algunas enmiendas importantes. Además del F</w:t>
      </w:r>
      <w:r>
        <w:t>u</w:t>
      </w:r>
      <w:r w:rsidRPr="00F06248">
        <w:t xml:space="preserve">ndo de Finnmark, el Storting decidió establecer una comisión especial para Finnmark con el mandato de determinar y reconocer los derechos a la tierra y </w:t>
      </w:r>
      <w:r>
        <w:t xml:space="preserve">a </w:t>
      </w:r>
      <w:r w:rsidRPr="00F06248">
        <w:t>los recursos naturales existentes en Finnmark (véase la sección 29 y s</w:t>
      </w:r>
      <w:r>
        <w:t>s.</w:t>
      </w:r>
      <w:r w:rsidRPr="00F06248">
        <w:t xml:space="preserve">). De seguir existiendo desacuerdo </w:t>
      </w:r>
      <w:r>
        <w:t xml:space="preserve">en cuanto a </w:t>
      </w:r>
      <w:r w:rsidRPr="00F06248">
        <w:t xml:space="preserve">los derechos en aquellas </w:t>
      </w:r>
      <w:r>
        <w:t xml:space="preserve">esferas </w:t>
      </w:r>
      <w:r w:rsidRPr="00F06248">
        <w:t xml:space="preserve">investigadas por la Comisión Finnmark, las partes podrán someter el caso al </w:t>
      </w:r>
      <w:r>
        <w:t>T</w:t>
      </w:r>
      <w:r w:rsidRPr="00F06248">
        <w:t xml:space="preserve">ribunal de las </w:t>
      </w:r>
      <w:r>
        <w:t>T</w:t>
      </w:r>
      <w:r w:rsidRPr="00F06248">
        <w:t xml:space="preserve">ierras no </w:t>
      </w:r>
      <w:r>
        <w:t>C</w:t>
      </w:r>
      <w:r w:rsidRPr="00F06248">
        <w:t xml:space="preserve">ultivadas de Finnmark, </w:t>
      </w:r>
      <w:r>
        <w:t>una</w:t>
      </w:r>
      <w:r w:rsidRPr="00F06248">
        <w:t xml:space="preserve"> estancia especial que emite fallos vinculantes. Estas enmiendas se describieron con mayor detalle en la sección 2.1 del informe </w:t>
      </w:r>
      <w:r>
        <w:t xml:space="preserve">presentado </w:t>
      </w:r>
      <w:r w:rsidRPr="00F06248">
        <w:t xml:space="preserve">a la OIT y en los párrafos 18 y 19 del informe </w:t>
      </w:r>
      <w:r>
        <w:t xml:space="preserve">presentado al Comité para la </w:t>
      </w:r>
      <w:r w:rsidRPr="00F06248">
        <w:t>Eliminación de la Discriminación Racial.</w:t>
      </w:r>
    </w:p>
    <w:p w:rsidR="00A82B1F" w:rsidRPr="00F06248" w:rsidRDefault="00A82B1F" w:rsidP="00A82B1F">
      <w:pPr>
        <w:pStyle w:val="H23G"/>
      </w:pPr>
      <w:r>
        <w:tab/>
      </w:r>
      <w:r>
        <w:tab/>
      </w:r>
      <w:r w:rsidRPr="00F06248">
        <w:t>La Comisión de Pesca Costera y el Comité II para los derechos de los samis</w:t>
      </w:r>
    </w:p>
    <w:p w:rsidR="00A82B1F" w:rsidRPr="00F06248" w:rsidRDefault="00A82B1F" w:rsidP="00A82B1F">
      <w:pPr>
        <w:pStyle w:val="SingleTxtG"/>
      </w:pPr>
      <w:r w:rsidRPr="00F06248">
        <w:t>274.</w:t>
      </w:r>
      <w:r w:rsidRPr="00F06248">
        <w:tab/>
        <w:t xml:space="preserve">En la Ley de Finnmark no figura ninguna disposición relativa a la pesca en la zona marítima que queda fuera de Finnmark. En febrero de 2008 se </w:t>
      </w:r>
      <w:r>
        <w:t>completó</w:t>
      </w:r>
      <w:r w:rsidRPr="00F06248">
        <w:t xml:space="preserve"> un informe oficial sobre los derechos relativos a esa pesca (NOU 2008:5). La audiencia pública terminó en diciembre de 2008 y el Ministerio de Pesca y Asuntos Costeros está </w:t>
      </w:r>
      <w:r>
        <w:t>tramitando</w:t>
      </w:r>
      <w:r w:rsidRPr="00F06248">
        <w:t xml:space="preserve"> actualmente el informe. Se pueden obtener más detalles en el informe </w:t>
      </w:r>
      <w:r>
        <w:t xml:space="preserve">presentado </w:t>
      </w:r>
      <w:r w:rsidRPr="00F06248">
        <w:t>a la OIT, sección 2.7.</w:t>
      </w:r>
    </w:p>
    <w:p w:rsidR="00A82B1F" w:rsidRPr="00F06248" w:rsidRDefault="00A82B1F" w:rsidP="00A82B1F">
      <w:pPr>
        <w:pStyle w:val="SingleTxtG"/>
      </w:pPr>
      <w:r w:rsidRPr="00F06248">
        <w:t>275.</w:t>
      </w:r>
      <w:r w:rsidRPr="00F06248">
        <w:tab/>
        <w:t>En lo que concierne a las áreas sami</w:t>
      </w:r>
      <w:r>
        <w:t>s</w:t>
      </w:r>
      <w:r w:rsidRPr="00F06248">
        <w:t xml:space="preserve"> que se encuentran al sur de Finnmark y a las cuestiones relativas al derecho </w:t>
      </w:r>
      <w:r>
        <w:t xml:space="preserve">de ese pueblo </w:t>
      </w:r>
      <w:r w:rsidRPr="00F06248">
        <w:t>al uso de la tierra y el agua, en diciembre de 2007 el Comité para los derechos de los samis presentó su informe oficial (NOU 2007:13 y NOU 2007:14), en el que, entre otras cosas, formula</w:t>
      </w:r>
      <w:r>
        <w:t>ba</w:t>
      </w:r>
      <w:r w:rsidRPr="00F06248">
        <w:t xml:space="preserve"> una propuesta para crear una comisión de determinación de los derechos y un tribunal de las tierras no cultivadas, siguiendo el modelo de la Comisión y el tribunal correspondiente</w:t>
      </w:r>
      <w:r>
        <w:t>s</w:t>
      </w:r>
      <w:r w:rsidRPr="00F06248">
        <w:t xml:space="preserve"> de Finnmark. El estudio se encuentra actualmente en poder del Ministerio de Justicia y de Policía de Noruega. Se hace referencia al informe presentado a la OIT, sección 2.2.</w:t>
      </w:r>
    </w:p>
    <w:p w:rsidR="00A82B1F" w:rsidRPr="00F06248" w:rsidRDefault="00A82B1F" w:rsidP="00A82B1F">
      <w:pPr>
        <w:pStyle w:val="H23G"/>
      </w:pPr>
      <w:r>
        <w:tab/>
      </w:r>
      <w:r>
        <w:tab/>
        <w:t xml:space="preserve">El </w:t>
      </w:r>
      <w:r w:rsidRPr="00F06248">
        <w:t>Sámediggi (Parlamento sami)</w:t>
      </w:r>
    </w:p>
    <w:p w:rsidR="00A82B1F" w:rsidRPr="00F06248" w:rsidRDefault="00A82B1F" w:rsidP="00A82B1F">
      <w:pPr>
        <w:pStyle w:val="SingleTxtG"/>
      </w:pPr>
      <w:r w:rsidRPr="00F06248">
        <w:t>276.</w:t>
      </w:r>
      <w:r w:rsidRPr="00F06248">
        <w:tab/>
        <w:t xml:space="preserve">El Sámediggi se estableció en 1989 como órgano representante </w:t>
      </w:r>
      <w:r>
        <w:t xml:space="preserve">del pueblo </w:t>
      </w:r>
      <w:r w:rsidRPr="00F06248">
        <w:t>sami en Noruega.</w:t>
      </w:r>
    </w:p>
    <w:p w:rsidR="00A82B1F" w:rsidRPr="00F06248" w:rsidRDefault="00A82B1F" w:rsidP="00A82B1F">
      <w:pPr>
        <w:pStyle w:val="H4G"/>
      </w:pPr>
      <w:r>
        <w:tab/>
      </w:r>
      <w:r>
        <w:tab/>
      </w:r>
      <w:r w:rsidRPr="00F06248">
        <w:t>Elecciones al Sámediggi</w:t>
      </w:r>
    </w:p>
    <w:p w:rsidR="00A82B1F" w:rsidRPr="00F06248" w:rsidRDefault="00A82B1F" w:rsidP="00A82B1F">
      <w:pPr>
        <w:pStyle w:val="SingleTxtG"/>
      </w:pPr>
      <w:r w:rsidRPr="00F06248">
        <w:t>277.</w:t>
      </w:r>
      <w:r w:rsidRPr="00F06248">
        <w:tab/>
        <w:t xml:space="preserve">Se ha realizado una amplia labor para satisfacer la necesidad </w:t>
      </w:r>
      <w:r>
        <w:t xml:space="preserve">de una representación más proporcional </w:t>
      </w:r>
      <w:r w:rsidRPr="00F06248">
        <w:t>en el Sámediggi, para lo que el Storting revisó en junio de 2008 las disposiciones de la Ley de los sami</w:t>
      </w:r>
      <w:r>
        <w:t>s</w:t>
      </w:r>
      <w:r w:rsidRPr="00F06248">
        <w:t xml:space="preserve"> relativas a las votaciones. Se alcanzó un acuerdo entre el Gobierno y el Sámediggi antes de presentar al Storting las enmiendas, que se basaron en las recomendaciones de una comisión de expertos nombrada por el Sámediggi e incluyeron la reducción del número de distritos electorales, de 13 a 7, y la modificación de la distribución de los escaños. En las elecciones al Sámediggi que se celebraron en septiembre de 2009 se aplicaron por primera vez las nuevas normas.</w:t>
      </w:r>
    </w:p>
    <w:p w:rsidR="00A82B1F" w:rsidRPr="00F06248" w:rsidRDefault="00A82B1F" w:rsidP="00A82B1F">
      <w:pPr>
        <w:pStyle w:val="SingleTxtG"/>
      </w:pPr>
      <w:r w:rsidRPr="00F06248">
        <w:t>278.</w:t>
      </w:r>
      <w:r w:rsidRPr="00F06248">
        <w:tab/>
        <w:t xml:space="preserve">Antes de dichas elecciones, se </w:t>
      </w:r>
      <w:r>
        <w:t xml:space="preserve">habían inscrito </w:t>
      </w:r>
      <w:r w:rsidRPr="00F06248">
        <w:t>en el registro electoral para el Sámediggi casi 14.000 personas, lo que representa un aumento de más de 1.300 respecto de las elecciones de 2005.</w:t>
      </w:r>
    </w:p>
    <w:p w:rsidR="00A82B1F" w:rsidRPr="00F06248" w:rsidRDefault="00A82B1F" w:rsidP="00A82B1F">
      <w:pPr>
        <w:pStyle w:val="H4G"/>
      </w:pPr>
      <w:r>
        <w:tab/>
      </w:r>
      <w:r>
        <w:tab/>
      </w:r>
      <w:r w:rsidRPr="00F06248">
        <w:t>Carácter oficial y autoridad del Sámediggi y procedimientos</w:t>
      </w:r>
      <w:r>
        <w:t xml:space="preserve"> seguidos</w:t>
      </w:r>
      <w:r w:rsidRPr="00F06248">
        <w:t xml:space="preserve"> para</w:t>
      </w:r>
      <w:r>
        <w:br/>
      </w:r>
      <w:r w:rsidRPr="00F06248">
        <w:t>las consultas</w:t>
      </w:r>
    </w:p>
    <w:p w:rsidR="00A82B1F" w:rsidRPr="00F06248" w:rsidRDefault="00A82B1F" w:rsidP="00A82B1F">
      <w:pPr>
        <w:pStyle w:val="SingleTxtG"/>
      </w:pPr>
      <w:r w:rsidRPr="00F06248">
        <w:t>279.</w:t>
      </w:r>
      <w:r w:rsidRPr="00F06248">
        <w:tab/>
        <w:t xml:space="preserve">En 2006 el Gobierno y el Sámediggi nombraron un grupo de trabajo conjunto sobre el carácter oficial y la autoridad del Sámediggi </w:t>
      </w:r>
      <w:r>
        <w:t>y</w:t>
      </w:r>
      <w:r w:rsidRPr="00F06248">
        <w:t xml:space="preserve"> los procedimientos que se seguirían en las consultas acerca de temas relativos a cuestiones presupuestarias. Se encargó al grupo de trabajo que sugiriera procedimientos de consulta entre el Gobierno y el Sámediggi sobre cuestiones relativas a los presupuestos anuales y determinar</w:t>
      </w:r>
      <w:r>
        <w:t>a</w:t>
      </w:r>
      <w:r w:rsidRPr="00F06248">
        <w:t xml:space="preserve"> el carácter oficial y la autoridad del Sámediggi. El grupo de trabajo presentó su informe en 2007.</w:t>
      </w:r>
    </w:p>
    <w:p w:rsidR="00A82B1F" w:rsidRPr="00F06248" w:rsidRDefault="00A82B1F" w:rsidP="00A82B1F">
      <w:pPr>
        <w:pStyle w:val="SingleTxtG"/>
      </w:pPr>
      <w:r w:rsidRPr="00F06248">
        <w:t>280.</w:t>
      </w:r>
      <w:r w:rsidRPr="00F06248">
        <w:tab/>
        <w:t>Posteriormente, en 2008 el Gobierno presentó al Sámediggi un proyecto de procedimientos a seguir en las consultas sobre temas relativos a cuestiones presupuestarias, pero este último órgano ha pedido más tiempo para estudiar el proyecto.</w:t>
      </w:r>
    </w:p>
    <w:p w:rsidR="00A82B1F" w:rsidRDefault="00A82B1F" w:rsidP="00A82B1F">
      <w:pPr>
        <w:pStyle w:val="SingleTxtG"/>
      </w:pPr>
      <w:r w:rsidRPr="00F06248">
        <w:t>281.</w:t>
      </w:r>
      <w:r w:rsidRPr="00F06248">
        <w:tab/>
        <w:t>El Gobierno ha iniciado los preparativos para formular una propuesta encaminada a introducir las enmiendas legislativas necesarias para el posible establecimiento del Sámediggi</w:t>
      </w:r>
      <w:r>
        <w:t xml:space="preserve"> como</w:t>
      </w:r>
      <w:r w:rsidRPr="00F06248">
        <w:t xml:space="preserve"> entidad legal independiente. El proceso se llevará a cabo en estrecha consulta con </w:t>
      </w:r>
      <w:r>
        <w:t>este órgano</w:t>
      </w:r>
      <w:r w:rsidRPr="00F06248">
        <w:t>, de conformidad con los procesos a seguir en las consultas, pero todavía no se ha alcanzado la conclusión definitiva al respecto.</w:t>
      </w:r>
    </w:p>
    <w:p w:rsidR="00A82B1F" w:rsidRPr="00752C55" w:rsidRDefault="00A82B1F" w:rsidP="00A82B1F">
      <w:pPr>
        <w:pStyle w:val="H23G"/>
      </w:pPr>
      <w:r>
        <w:tab/>
      </w:r>
      <w:r>
        <w:tab/>
      </w:r>
      <w:r w:rsidRPr="00752C55">
        <w:t>Idioma sami</w:t>
      </w:r>
    </w:p>
    <w:p w:rsidR="00A82B1F" w:rsidRPr="00752C55" w:rsidRDefault="00A82B1F" w:rsidP="00A82B1F">
      <w:pPr>
        <w:pStyle w:val="H4G"/>
      </w:pPr>
      <w:r>
        <w:tab/>
      </w:r>
      <w:r>
        <w:tab/>
      </w:r>
      <w:r w:rsidRPr="00752C55">
        <w:t>Plan de Acción para reforzar los idiomas sami</w:t>
      </w:r>
      <w:r>
        <w:t>s</w:t>
      </w:r>
    </w:p>
    <w:p w:rsidR="00A82B1F" w:rsidRPr="00752C55" w:rsidRDefault="00A82B1F" w:rsidP="00A82B1F">
      <w:pPr>
        <w:pStyle w:val="SingleTxtG"/>
      </w:pPr>
      <w:r w:rsidRPr="00752C55">
        <w:t>282.</w:t>
      </w:r>
      <w:r w:rsidRPr="00752C55">
        <w:tab/>
        <w:t xml:space="preserve">Uno de los objetivos del </w:t>
      </w:r>
      <w:r>
        <w:t>Libro</w:t>
      </w:r>
      <w:r w:rsidRPr="00752C55">
        <w:t xml:space="preserve"> Blanco Nº 28 (2007-2008) sobre la política relativa a los samis era reforzar los idiomas de </w:t>
      </w:r>
      <w:r>
        <w:t>este pueblo</w:t>
      </w:r>
      <w:r w:rsidRPr="00752C55">
        <w:t xml:space="preserve">, por lo que se presentó en mayo de 2009 </w:t>
      </w:r>
      <w:r>
        <w:t>un</w:t>
      </w:r>
      <w:r w:rsidRPr="00752C55">
        <w:t xml:space="preserve"> plan de acción que</w:t>
      </w:r>
      <w:r>
        <w:t xml:space="preserve">, según lo previsto, abarcaría </w:t>
      </w:r>
      <w:r w:rsidRPr="00752C55">
        <w:t>el período 2009-2014 y de cuya elaboración se encargó el Ministerio de Trabajo e Inclusión Social. El trabajo se realizó en cooperación con los ministerios pertinentes y en consulta con el Sámediggi.</w:t>
      </w:r>
    </w:p>
    <w:p w:rsidR="00A82B1F" w:rsidRPr="00752C55" w:rsidRDefault="00A82B1F" w:rsidP="00A82B1F">
      <w:pPr>
        <w:pStyle w:val="SingleTxtG"/>
      </w:pPr>
      <w:r w:rsidRPr="00752C55">
        <w:t>283.</w:t>
      </w:r>
      <w:r w:rsidRPr="00752C55">
        <w:tab/>
        <w:t>El propósito del plan es sentar las bases para una labor amplia y a largo plazo encaminada a reforzar los idiomas samis. Los principales objetivos son intensificar la enseñanza del sami septentrional, meridional y Lule en las zonas correspondiente</w:t>
      </w:r>
      <w:r>
        <w:t>s</w:t>
      </w:r>
      <w:r w:rsidRPr="00752C55">
        <w:t>, incrementar el uso de los idiomas sami</w:t>
      </w:r>
      <w:r>
        <w:t>s</w:t>
      </w:r>
      <w:r w:rsidRPr="00752C55">
        <w:t xml:space="preserve"> en todos los ámbitos de la sociedad y ponerlos de relieve en la esfera pública.</w:t>
      </w:r>
    </w:p>
    <w:p w:rsidR="00A82B1F" w:rsidRPr="00752C55" w:rsidRDefault="00A82B1F" w:rsidP="00A82B1F">
      <w:pPr>
        <w:pStyle w:val="SingleTxtG"/>
      </w:pPr>
      <w:r w:rsidRPr="00752C55">
        <w:t>284.</w:t>
      </w:r>
      <w:r w:rsidRPr="00752C55">
        <w:tab/>
        <w:t>El Gobierno ha adoptado varias medidas para desarrollar y promover el uso de los idiomas sami</w:t>
      </w:r>
      <w:r>
        <w:t>s</w:t>
      </w:r>
      <w:r w:rsidRPr="00752C55">
        <w:t xml:space="preserve"> en la vida cotidiana. Por ejemplo, en las secciones 1 a 5 de la Ley de los samis se dispone que se concederá la misma importancia a los idiomas noruego y sami. Algunas secciones de dicha ley se limitan a un distrito administrativo específico y otorgan derechos lingüísticos concretos a la población sami de esa zona. Esos derechos afectan al sector público e implican que el pueblo sami tiene derecho a utilizar su idioma en todas las relaciones que entable con los sectores público</w:t>
      </w:r>
      <w:r>
        <w:t>s</w:t>
      </w:r>
      <w:r w:rsidRPr="00752C55">
        <w:t>, como el sistema judicial, el sistema de salud, etc.</w:t>
      </w:r>
    </w:p>
    <w:p w:rsidR="00A82B1F" w:rsidRPr="00752C55" w:rsidRDefault="00A82B1F" w:rsidP="00A82B1F">
      <w:pPr>
        <w:pStyle w:val="H4G"/>
      </w:pPr>
      <w:r>
        <w:tab/>
      </w:r>
      <w:r>
        <w:tab/>
      </w:r>
      <w:r w:rsidRPr="00752C55">
        <w:t>El distrito administrativo para los idiomas sami</w:t>
      </w:r>
      <w:r>
        <w:t>s</w:t>
      </w:r>
    </w:p>
    <w:p w:rsidR="00A82B1F" w:rsidRPr="00752C55" w:rsidRDefault="00A82B1F" w:rsidP="00A82B1F">
      <w:pPr>
        <w:pStyle w:val="SingleTxtG"/>
      </w:pPr>
      <w:r w:rsidRPr="00752C55">
        <w:t>285.</w:t>
      </w:r>
      <w:r w:rsidRPr="00752C55">
        <w:tab/>
        <w:t>El distrito administrativo para los idiomas sami</w:t>
      </w:r>
      <w:r>
        <w:t>s</w:t>
      </w:r>
      <w:r w:rsidRPr="00752C55">
        <w:t xml:space="preserve"> y las disposiciones que figuran en la Ley de los samis constituyen un conjunto de normas mínimas, pero se alienta al sector público a que siga avanzando. Por ejemplo, se promueve que los funcionarios públicos contesten en sami a las cartas que les lleguen escritas en ese idioma.</w:t>
      </w:r>
    </w:p>
    <w:p w:rsidR="00A82B1F" w:rsidRPr="00752C55" w:rsidRDefault="00A82B1F" w:rsidP="00A82B1F">
      <w:pPr>
        <w:pStyle w:val="SingleTxtG"/>
      </w:pPr>
      <w:r w:rsidRPr="00752C55">
        <w:t>286.</w:t>
      </w:r>
      <w:r w:rsidRPr="00752C55">
        <w:tab/>
        <w:t xml:space="preserve">La Ley de los samis estableció el distrito administrativo para los idiomas </w:t>
      </w:r>
      <w:r>
        <w:t>de ese pueblo</w:t>
      </w:r>
      <w:r w:rsidRPr="00752C55">
        <w:t xml:space="preserve">, que se </w:t>
      </w:r>
      <w:r>
        <w:t xml:space="preserve">amplió </w:t>
      </w:r>
      <w:r w:rsidRPr="00752C55">
        <w:t>en virtud de un decreto real y comprende actualmente los municipios de Karasjok, Kautokeino, Nesseby, Porsanger y Tana en el condado de Finnmark, Kåfjord y Lavangen en el condado de Troms, Tysfjord en el condado de Nordland y Snåsa en el condado de Nord-Trøndelag. Tysfjord se incluyó en 2006 y Snåsa en 2008, mientras que el municipio de Lavangen en el condado de Troms se incluyó en octubre de 2009.</w:t>
      </w:r>
    </w:p>
    <w:p w:rsidR="00A82B1F" w:rsidRPr="00752C55" w:rsidRDefault="00A82B1F" w:rsidP="00A82B1F">
      <w:pPr>
        <w:pStyle w:val="H4G"/>
      </w:pPr>
      <w:r>
        <w:tab/>
      </w:r>
      <w:r>
        <w:tab/>
      </w:r>
      <w:r w:rsidRPr="00752C55">
        <w:t>Uso de los idiomas sami</w:t>
      </w:r>
      <w:r>
        <w:t>s</w:t>
      </w:r>
      <w:r w:rsidRPr="00752C55">
        <w:t xml:space="preserve"> en el ámbito público</w:t>
      </w:r>
    </w:p>
    <w:p w:rsidR="00A82B1F" w:rsidRPr="00752C55" w:rsidRDefault="00A82B1F" w:rsidP="00A82B1F">
      <w:pPr>
        <w:pStyle w:val="SingleTxtG"/>
      </w:pPr>
      <w:r w:rsidRPr="00752C55">
        <w:t>287.</w:t>
      </w:r>
      <w:r w:rsidRPr="00752C55">
        <w:tab/>
        <w:t xml:space="preserve">La página web oficial del Gobierno contiene información pública traducida al idioma sami septentrional, como la Ley de los samis y otras varias leyes, </w:t>
      </w:r>
      <w:r>
        <w:t>libros</w:t>
      </w:r>
      <w:r w:rsidRPr="00752C55">
        <w:t xml:space="preserve"> blancos y comunicados de prensa sobre asuntos relativos a los samis. Algunos documentos están publicados también en sami meridional </w:t>
      </w:r>
      <w:r>
        <w:t>y/o</w:t>
      </w:r>
      <w:r w:rsidRPr="00752C55">
        <w:t xml:space="preserve"> en sami Lule.</w:t>
      </w:r>
    </w:p>
    <w:p w:rsidR="00A82B1F" w:rsidRPr="00752C55" w:rsidRDefault="00A82B1F" w:rsidP="00A82B1F">
      <w:pPr>
        <w:pStyle w:val="SingleTxtG"/>
      </w:pPr>
      <w:r w:rsidRPr="00752C55">
        <w:t>288.</w:t>
      </w:r>
      <w:r w:rsidRPr="00752C55">
        <w:tab/>
        <w:t xml:space="preserve">Para facilitar </w:t>
      </w:r>
      <w:r>
        <w:t xml:space="preserve">el uso </w:t>
      </w:r>
      <w:r w:rsidRPr="00752C55">
        <w:t>de todos los caracteres del alfabeto sami, incluidos los que no se utilizan en el idioma mayoritario, el Ministerio de Trabajo e Inclusión Social ha desarrollado un proyecto de sitio web llamado www.samit.no, cuyo objetivo es crear un instrumento al que pueden recurrir los empleados del sector público y otras personas para obtener asistencia y apoyo a la hora de escribir en sami.</w:t>
      </w:r>
    </w:p>
    <w:p w:rsidR="00A82B1F" w:rsidRPr="00752C55" w:rsidRDefault="00A82B1F" w:rsidP="00A82B1F">
      <w:pPr>
        <w:pStyle w:val="SingleTxtG"/>
        <w:rPr>
          <w:b/>
        </w:rPr>
      </w:pPr>
      <w:r w:rsidRPr="00752C55">
        <w:t>289.</w:t>
      </w:r>
      <w:r w:rsidRPr="00752C55">
        <w:tab/>
        <w:t>En 2007 aparecieron instrumentos electrónicos para utilizar en procesadores de textos (correctores ortográficos y separadores de sílabas automáticos) para el sami septentrional y el sami</w:t>
      </w:r>
      <w:r>
        <w:t xml:space="preserve"> Lule</w:t>
      </w:r>
      <w:r w:rsidRPr="00752C55">
        <w:t xml:space="preserve">, y se están desarrollando herramientas similares para el sami meridional. </w:t>
      </w:r>
      <w:r>
        <w:t xml:space="preserve">El Gobierno y el Sámediggi han </w:t>
      </w:r>
      <w:r w:rsidRPr="00752C55">
        <w:t>financiado el proyecto conjuntamente y cualquier usuario puede descargar las herramientas gratuitamente.</w:t>
      </w:r>
    </w:p>
    <w:p w:rsidR="00A82B1F" w:rsidRPr="00752C55" w:rsidRDefault="00A82B1F" w:rsidP="00A82B1F">
      <w:pPr>
        <w:pStyle w:val="H23G"/>
      </w:pPr>
      <w:r>
        <w:tab/>
      </w:r>
      <w:r>
        <w:tab/>
      </w:r>
      <w:r w:rsidRPr="00752C55">
        <w:t>El Centro Internacional para la Cría de Renos</w:t>
      </w:r>
    </w:p>
    <w:p w:rsidR="00A82B1F" w:rsidRPr="00752C55" w:rsidRDefault="00A82B1F" w:rsidP="00A82B1F">
      <w:pPr>
        <w:pStyle w:val="SingleTxtG"/>
      </w:pPr>
      <w:r w:rsidRPr="00752C55">
        <w:t>290.</w:t>
      </w:r>
      <w:r w:rsidRPr="00752C55">
        <w:tab/>
        <w:t>E</w:t>
      </w:r>
      <w:r>
        <w:t>n</w:t>
      </w:r>
      <w:r w:rsidRPr="00752C55">
        <w:t xml:space="preserve"> 2005 el Gobierno estableció en Kautokeino el Centro Internacional para la Cría de Renos, como contribución a la excepcional cooperación internacional </w:t>
      </w:r>
      <w:r>
        <w:t xml:space="preserve">de </w:t>
      </w:r>
      <w:r w:rsidRPr="00752C55">
        <w:t>los pueblos circumpolares que se dedican a esta actividad. El Centro Internacional es una dependencia profesional independiente, que cuenta con su junta y su presupuesto propios y cuya actividad financia el Gobierno a través de subvenciones anuales.</w:t>
      </w:r>
    </w:p>
    <w:p w:rsidR="00A82B1F" w:rsidRPr="00752C55" w:rsidRDefault="00A82B1F" w:rsidP="00A82B1F">
      <w:pPr>
        <w:pStyle w:val="SingleTxtG"/>
      </w:pPr>
      <w:r w:rsidRPr="00752C55">
        <w:t>291.</w:t>
      </w:r>
      <w:r w:rsidRPr="00752C55">
        <w:tab/>
        <w:t xml:space="preserve">El Centro Internacional pretende ser una base de conocimientos para proporcionar información </w:t>
      </w:r>
      <w:r>
        <w:t xml:space="preserve">y documentación </w:t>
      </w:r>
      <w:r w:rsidRPr="00752C55">
        <w:t>a los diferentes pueblos que se dedican a la cría de renos, las autoridades nacionales y las comunidades académicas y de investigación a nivel nacional e internacional, así como para que la intercambien entre ellos, por lo que contribuirá a que se valore de manera permanente la cría de renos y a los pueblos que se dedican a ella, sus conocimientos tradicionales y su desarrollo en el futuro, así como a que mejore la información al respecto y se comprenda mejor ese mundo.</w:t>
      </w:r>
    </w:p>
    <w:p w:rsidR="00A82B1F" w:rsidRPr="00752C55" w:rsidRDefault="00A82B1F" w:rsidP="00A82B1F">
      <w:pPr>
        <w:pStyle w:val="H23G"/>
      </w:pPr>
      <w:r>
        <w:tab/>
      </w:r>
      <w:r>
        <w:tab/>
      </w:r>
      <w:r w:rsidRPr="00752C55">
        <w:t>Otras cuestiones relativas a la política sobre los samis</w:t>
      </w:r>
    </w:p>
    <w:p w:rsidR="00A82B1F" w:rsidRPr="00752C55" w:rsidRDefault="00A82B1F" w:rsidP="00A82B1F">
      <w:pPr>
        <w:pStyle w:val="SingleTxtG"/>
      </w:pPr>
      <w:r w:rsidRPr="00752C55">
        <w:t>292.</w:t>
      </w:r>
      <w:r w:rsidRPr="00752C55">
        <w:tab/>
        <w:t>A este respecto se hace referencia al quinto informe periódico de Noruega, el informe presentado a la OIT (</w:t>
      </w:r>
      <w:r>
        <w:t xml:space="preserve">anexo </w:t>
      </w:r>
      <w:r w:rsidRPr="00752C55">
        <w:t xml:space="preserve">7) y el informe presentado al </w:t>
      </w:r>
      <w:r>
        <w:t>CERD</w:t>
      </w:r>
      <w:r w:rsidRPr="00752C55">
        <w:t xml:space="preserve"> (</w:t>
      </w:r>
      <w:r>
        <w:t xml:space="preserve">anexo </w:t>
      </w:r>
      <w:r w:rsidRPr="00752C55">
        <w:t>6):</w:t>
      </w:r>
    </w:p>
    <w:p w:rsidR="00A82B1F" w:rsidRPr="00752C55" w:rsidRDefault="00A82B1F" w:rsidP="00A82B1F">
      <w:pPr>
        <w:pStyle w:val="SingleTxtG"/>
      </w:pPr>
      <w:r w:rsidRPr="00752C55">
        <w:tab/>
        <w:t>a)</w:t>
      </w:r>
      <w:r w:rsidRPr="00752C55">
        <w:tab/>
        <w:t>Estadísticas sobre los samis</w:t>
      </w:r>
      <w:r>
        <w:t>: informe presenta</w:t>
      </w:r>
      <w:r w:rsidRPr="00752C55">
        <w:t>do al C</w:t>
      </w:r>
      <w:r>
        <w:t>ERD</w:t>
      </w:r>
      <w:r w:rsidRPr="00752C55">
        <w:t>, párrafo 6</w:t>
      </w:r>
      <w:r>
        <w:t>,</w:t>
      </w:r>
      <w:r w:rsidRPr="00752C55">
        <w:t xml:space="preserve"> y documento básico, párrafo 260;</w:t>
      </w:r>
    </w:p>
    <w:p w:rsidR="00A82B1F" w:rsidRPr="00752C55" w:rsidRDefault="00A82B1F" w:rsidP="00A82B1F">
      <w:pPr>
        <w:pStyle w:val="SingleTxtG"/>
      </w:pPr>
      <w:r w:rsidRPr="00752C55">
        <w:tab/>
        <w:t>b)</w:t>
      </w:r>
      <w:r w:rsidRPr="00752C55">
        <w:tab/>
      </w:r>
      <w:r>
        <w:t xml:space="preserve">Libro </w:t>
      </w:r>
      <w:r w:rsidRPr="00752C55">
        <w:t>Blanco Nº 28 (2007-2008) sobre la política relativa a los samis: informe presentado a la OIT, sección 1.1;</w:t>
      </w:r>
    </w:p>
    <w:p w:rsidR="00A82B1F" w:rsidRPr="00752C55" w:rsidRDefault="00A82B1F" w:rsidP="00A82B1F">
      <w:pPr>
        <w:pStyle w:val="SingleTxtG"/>
      </w:pPr>
      <w:r w:rsidRPr="00752C55">
        <w:tab/>
        <w:t>c)</w:t>
      </w:r>
      <w:r w:rsidRPr="00752C55">
        <w:tab/>
        <w:t>Conocimientos tradicionales: informe presentado a la OIT, sección 4;</w:t>
      </w:r>
    </w:p>
    <w:p w:rsidR="00A82B1F" w:rsidRPr="00752C55" w:rsidRDefault="00A82B1F" w:rsidP="00A82B1F">
      <w:pPr>
        <w:pStyle w:val="SingleTxtG"/>
      </w:pPr>
      <w:r w:rsidRPr="00752C55">
        <w:tab/>
        <w:t>d)</w:t>
      </w:r>
      <w:r w:rsidRPr="00752C55">
        <w:tab/>
        <w:t xml:space="preserve">Educación: quinto informe periódico de Noruega, párrafos 240 y 241; informe presentado a la OIT, sección 6; e informe presentado al </w:t>
      </w:r>
      <w:r>
        <w:t>CERD</w:t>
      </w:r>
      <w:r w:rsidRPr="00752C55">
        <w:t>, párrafos 183 a 285, 208 y 213 a 216;</w:t>
      </w:r>
    </w:p>
    <w:p w:rsidR="00A82B1F" w:rsidRPr="00752C55" w:rsidRDefault="00A82B1F" w:rsidP="00A82B1F">
      <w:pPr>
        <w:pStyle w:val="SingleTxtG"/>
      </w:pPr>
      <w:r w:rsidRPr="00752C55">
        <w:tab/>
        <w:t>e)</w:t>
      </w:r>
      <w:r w:rsidRPr="00752C55">
        <w:tab/>
        <w:t>Servicio laboral y de bienestar de Noruega: informe presentado a la OIT, sección 3;</w:t>
      </w:r>
    </w:p>
    <w:p w:rsidR="00A82B1F" w:rsidRPr="00752C55" w:rsidRDefault="00A82B1F" w:rsidP="00A82B1F">
      <w:pPr>
        <w:pStyle w:val="SingleTxtG"/>
      </w:pPr>
      <w:r w:rsidRPr="00752C55">
        <w:tab/>
        <w:t>f)</w:t>
      </w:r>
      <w:r w:rsidRPr="00752C55">
        <w:tab/>
        <w:t>Proyecto de convención nórdica sobre los sami</w:t>
      </w:r>
      <w:r>
        <w:t>s</w:t>
      </w:r>
      <w:r w:rsidRPr="00752C55">
        <w:t>: informe presenta</w:t>
      </w:r>
      <w:r>
        <w:t>d</w:t>
      </w:r>
      <w:r w:rsidRPr="00752C55">
        <w:t xml:space="preserve">o a la OIT, sección 7; e informe presentado al </w:t>
      </w:r>
      <w:r>
        <w:t>CERD</w:t>
      </w:r>
      <w:r w:rsidRPr="00752C55">
        <w:t>, párrafos 20 a 22;</w:t>
      </w:r>
    </w:p>
    <w:p w:rsidR="00A82B1F" w:rsidRPr="00752C55" w:rsidRDefault="00A82B1F" w:rsidP="00A82B1F">
      <w:pPr>
        <w:pStyle w:val="SingleTxtG"/>
      </w:pPr>
      <w:r w:rsidRPr="00752C55">
        <w:tab/>
        <w:t>g)</w:t>
      </w:r>
      <w:r w:rsidRPr="00752C55">
        <w:tab/>
        <w:t>Declaración de las Naciones Unidas sobre los derechos de los pueblos indígenas: informe presentado a la OIT, sección 7;</w:t>
      </w:r>
    </w:p>
    <w:p w:rsidR="00A82B1F" w:rsidRPr="00752C55" w:rsidRDefault="00A82B1F" w:rsidP="00A82B1F">
      <w:pPr>
        <w:pStyle w:val="SingleTxtG"/>
      </w:pPr>
      <w:r w:rsidRPr="00752C55">
        <w:tab/>
        <w:t>h)</w:t>
      </w:r>
      <w:r w:rsidRPr="00752C55">
        <w:tab/>
        <w:t>Proyecto de guías sami</w:t>
      </w:r>
      <w:r>
        <w:t>s</w:t>
      </w:r>
      <w:r w:rsidRPr="00752C55">
        <w:t xml:space="preserve">: informe presentado </w:t>
      </w:r>
      <w:r>
        <w:t>al CERD</w:t>
      </w:r>
      <w:r w:rsidR="007D6205">
        <w:t>, párrafo 276;</w:t>
      </w:r>
    </w:p>
    <w:p w:rsidR="00A82B1F" w:rsidRPr="00D05104" w:rsidRDefault="00A82B1F" w:rsidP="00A82B1F">
      <w:pPr>
        <w:pStyle w:val="SingleTxtG"/>
      </w:pPr>
      <w:r w:rsidRPr="00D05104">
        <w:tab/>
        <w:t>i)</w:t>
      </w:r>
      <w:r w:rsidRPr="00D05104">
        <w:tab/>
        <w:t xml:space="preserve">Cuestiones relativas a los samis del Este: informe presentado </w:t>
      </w:r>
      <w:r>
        <w:t>al CERD</w:t>
      </w:r>
      <w:r w:rsidRPr="00D05104">
        <w:t>, párr</w:t>
      </w:r>
      <w:r>
        <w:t>afos</w:t>
      </w:r>
      <w:r w:rsidRPr="00D05104">
        <w:t xml:space="preserve"> 16 y 17;</w:t>
      </w:r>
    </w:p>
    <w:p w:rsidR="00A82B1F" w:rsidRPr="00D05104" w:rsidRDefault="00A82B1F" w:rsidP="00A82B1F">
      <w:pPr>
        <w:pStyle w:val="SingleTxtG"/>
      </w:pPr>
      <w:r w:rsidRPr="00D05104">
        <w:tab/>
        <w:t>j)</w:t>
      </w:r>
      <w:r w:rsidRPr="00D05104">
        <w:tab/>
        <w:t>Gá</w:t>
      </w:r>
      <w:r>
        <w:t>l</w:t>
      </w:r>
      <w:r w:rsidRPr="00D05104">
        <w:t>du – Centro de información sobre los derechos de los pueblos indígenas: quinto informe periódico de Noruega, párr</w:t>
      </w:r>
      <w:r>
        <w:t xml:space="preserve">afo </w:t>
      </w:r>
      <w:r w:rsidRPr="00D05104">
        <w:t>242.</w:t>
      </w:r>
    </w:p>
    <w:p w:rsidR="00A82B1F" w:rsidRPr="00D05104" w:rsidRDefault="00A82B1F" w:rsidP="00A82B1F">
      <w:pPr>
        <w:pStyle w:val="H23G"/>
      </w:pPr>
      <w:r>
        <w:tab/>
      </w:r>
      <w:r>
        <w:tab/>
      </w:r>
      <w:r w:rsidRPr="00D05104">
        <w:t xml:space="preserve">Grupos de inmigrantes </w:t>
      </w:r>
      <w:r>
        <w:t>recientes</w:t>
      </w:r>
    </w:p>
    <w:p w:rsidR="00A82B1F" w:rsidRPr="00D05104" w:rsidRDefault="00A82B1F" w:rsidP="00A82B1F">
      <w:pPr>
        <w:pStyle w:val="SingleTxtG"/>
      </w:pPr>
      <w:r w:rsidRPr="00D05104">
        <w:t>293.</w:t>
      </w:r>
      <w:r w:rsidRPr="00D05104">
        <w:tab/>
        <w:t>Los grupos de inmigrantes recientes cuentan con una gran variedad de organizaciones de voluntarios. Se trata principalmente de organizaciones de ámbito local, aunque también las hay de ámbito r</w:t>
      </w:r>
      <w:r>
        <w:t xml:space="preserve">egional y </w:t>
      </w:r>
      <w:r w:rsidRPr="00D05104">
        <w:t xml:space="preserve">nacional. Las organizaciones de inmigrantes, </w:t>
      </w:r>
      <w:r>
        <w:t xml:space="preserve">incluidas las comunidades religiosas, </w:t>
      </w:r>
      <w:r w:rsidRPr="00D05104">
        <w:t>se financian en gran parte con cargo a diversas fuentes estatales.</w:t>
      </w:r>
    </w:p>
    <w:p w:rsidR="00A82B1F" w:rsidRPr="00D05104" w:rsidRDefault="00A82B1F" w:rsidP="00A82B1F">
      <w:pPr>
        <w:pStyle w:val="SingleTxtG"/>
      </w:pPr>
      <w:r w:rsidRPr="00D05104">
        <w:t>294.</w:t>
      </w:r>
      <w:r w:rsidRPr="00D05104">
        <w:tab/>
        <w:t xml:space="preserve">Desde septiembre de 1997, la Sociedad Noruega de Radiotelevisión ha venido transmitiendo una serie multicultural llamada </w:t>
      </w:r>
      <w:r w:rsidRPr="00D05104">
        <w:rPr>
          <w:i/>
        </w:rPr>
        <w:t>Migrapolis</w:t>
      </w:r>
      <w:r w:rsidRPr="00D05104">
        <w:t xml:space="preserve">, producida por </w:t>
      </w:r>
      <w:r>
        <w:t xml:space="preserve">un equipo </w:t>
      </w:r>
      <w:r w:rsidRPr="00D05104">
        <w:t>multiétnico.</w:t>
      </w:r>
      <w:r>
        <w:t xml:space="preserve"> </w:t>
      </w:r>
      <w:r w:rsidRPr="00D05104">
        <w:t>En 2005 se le asignó un horario estable de emisión los miércoles a las 22</w:t>
      </w:r>
      <w:r>
        <w:t>.</w:t>
      </w:r>
      <w:r w:rsidRPr="00D05104">
        <w:t>30</w:t>
      </w:r>
      <w:r w:rsidR="007D6205">
        <w:t> </w:t>
      </w:r>
      <w:r w:rsidRPr="00D05104">
        <w:t>horas en la cadena N</w:t>
      </w:r>
      <w:r>
        <w:t>R</w:t>
      </w:r>
      <w:r w:rsidRPr="00D05104">
        <w:t xml:space="preserve">K1 y, desde entonces, ha contado con una audiencia estable de unos 320.000 televidentes. </w:t>
      </w:r>
      <w:r w:rsidRPr="00D05104">
        <w:rPr>
          <w:i/>
        </w:rPr>
        <w:t>Radio Migrapolis</w:t>
      </w:r>
      <w:r w:rsidRPr="00D05104">
        <w:t xml:space="preserve"> se emite los domingos en la emisora NRK P2 y trata una gran variedad de temas. Estas emisiones radiofónicas y el sitio web nrk.no/migrapolis tiene</w:t>
      </w:r>
      <w:r>
        <w:t>n</w:t>
      </w:r>
      <w:r w:rsidRPr="00D05104">
        <w:t xml:space="preserve"> una mayor relevancia en el día a día que los programas de televisión, ya que se producen en menos tiempo.</w:t>
      </w:r>
    </w:p>
    <w:p w:rsidR="00A82B1F" w:rsidRPr="00D05104" w:rsidRDefault="00A82B1F" w:rsidP="00A82B1F">
      <w:pPr>
        <w:pStyle w:val="SingleTxtG"/>
      </w:pPr>
      <w:r w:rsidRPr="00D05104">
        <w:t>295.</w:t>
      </w:r>
      <w:r w:rsidRPr="00D05104">
        <w:tab/>
      </w:r>
      <w:r w:rsidRPr="00865665">
        <w:t>Utrop</w:t>
      </w:r>
      <w:r w:rsidRPr="00D05104">
        <w:t xml:space="preserve"> es un </w:t>
      </w:r>
      <w:r>
        <w:t xml:space="preserve">medio de comunicación </w:t>
      </w:r>
      <w:r w:rsidRPr="00D05104">
        <w:t xml:space="preserve">apolítico e independiente desde el punto de vista religioso, que ofrece una página web, </w:t>
      </w:r>
      <w:r>
        <w:t xml:space="preserve">un </w:t>
      </w:r>
      <w:r w:rsidRPr="00D05104">
        <w:t>periódico y servicios de televisión con noticias, entretenimientos, etc.</w:t>
      </w:r>
      <w:r>
        <w:t>,</w:t>
      </w:r>
      <w:r w:rsidRPr="00D05104">
        <w:t xml:space="preserve"> sobre la Noruega multicultural. Pretende ser el foro de las minorías para promover la libertad de información y de debate sobre una sociedad multicultural. La página web de </w:t>
      </w:r>
      <w:r w:rsidRPr="00865665">
        <w:t>Utrop</w:t>
      </w:r>
      <w:r w:rsidRPr="00D05104">
        <w:t xml:space="preserve"> se creó en 2001 y el primer periódico se publicó en 2004. Es una publicación quincenal y recibe apoyo estatal del Consejo de las Artes de Noruega.</w:t>
      </w:r>
    </w:p>
    <w:p w:rsidR="00A82B1F" w:rsidRPr="00D05104" w:rsidRDefault="00A82B1F" w:rsidP="00A82B1F">
      <w:pPr>
        <w:pStyle w:val="H23G"/>
      </w:pPr>
      <w:r>
        <w:tab/>
      </w:r>
      <w:r>
        <w:tab/>
      </w:r>
      <w:r w:rsidRPr="00D05104">
        <w:t>Minorías nacionales</w:t>
      </w:r>
    </w:p>
    <w:p w:rsidR="00A82B1F" w:rsidRPr="00D05104" w:rsidRDefault="00A82B1F" w:rsidP="00A82B1F">
      <w:pPr>
        <w:pStyle w:val="SingleTxtG"/>
      </w:pPr>
      <w:r w:rsidRPr="00D05104">
        <w:t>296.</w:t>
      </w:r>
      <w:r w:rsidRPr="00D05104">
        <w:tab/>
        <w:t xml:space="preserve">El Ministerio de Trabajo e Inclusión Social presta apoyo financiero a </w:t>
      </w:r>
      <w:r>
        <w:t xml:space="preserve">ONG </w:t>
      </w:r>
      <w:r w:rsidRPr="00D05104">
        <w:t xml:space="preserve">de las minorías y apoya proyectos </w:t>
      </w:r>
      <w:r>
        <w:t xml:space="preserve">de </w:t>
      </w:r>
      <w:r w:rsidRPr="00D05104">
        <w:t xml:space="preserve">importancia </w:t>
      </w:r>
      <w:r>
        <w:t>para estas</w:t>
      </w:r>
      <w:r w:rsidRPr="00D05104">
        <w:t>.</w:t>
      </w:r>
    </w:p>
    <w:p w:rsidR="00A82B1F" w:rsidRPr="00D05104" w:rsidRDefault="00A82B1F" w:rsidP="00A82B1F">
      <w:pPr>
        <w:pStyle w:val="SingleTxtG"/>
      </w:pPr>
      <w:r w:rsidRPr="00D05104">
        <w:t>297.</w:t>
      </w:r>
      <w:r w:rsidRPr="00D05104">
        <w:tab/>
        <w:t xml:space="preserve">Se hace referencia al quinto informe periódico de Noruega, párrafo 284, </w:t>
      </w:r>
      <w:r>
        <w:t xml:space="preserve">en relación con los </w:t>
      </w:r>
      <w:r w:rsidRPr="00D05104">
        <w:t>pagos a título gratuito realizados a los romaníes, los sami</w:t>
      </w:r>
      <w:r>
        <w:t>s</w:t>
      </w:r>
      <w:r w:rsidRPr="00D05104">
        <w:t xml:space="preserve"> y los kven.</w:t>
      </w:r>
    </w:p>
    <w:p w:rsidR="00A82B1F" w:rsidRPr="00D05104" w:rsidRDefault="00A82B1F" w:rsidP="00A82B1F">
      <w:pPr>
        <w:pStyle w:val="H4G"/>
      </w:pPr>
      <w:r>
        <w:tab/>
      </w:r>
      <w:r>
        <w:tab/>
      </w:r>
      <w:r w:rsidRPr="00D05104">
        <w:t>La situación de la cultura kven</w:t>
      </w:r>
    </w:p>
    <w:p w:rsidR="00A82B1F" w:rsidRPr="00D05104" w:rsidRDefault="00A82B1F" w:rsidP="00A82B1F">
      <w:pPr>
        <w:pStyle w:val="SingleTxtG"/>
      </w:pPr>
      <w:r w:rsidRPr="00D05104">
        <w:t>298.</w:t>
      </w:r>
      <w:r w:rsidRPr="00D05104">
        <w:tab/>
        <w:t xml:space="preserve">Se hace referencia </w:t>
      </w:r>
      <w:r>
        <w:t xml:space="preserve">a esta cuestión en el </w:t>
      </w:r>
      <w:r w:rsidRPr="00D05104">
        <w:t>quinto informe periódico de Noruega, párrafo 274. Se han adoptado varias medidas para mejorar la situación de la cultura y el idioma kven. El 25 de abril de 2005</w:t>
      </w:r>
      <w:r>
        <w:t>,</w:t>
      </w:r>
      <w:r w:rsidRPr="00D05104">
        <w:t xml:space="preserve"> el Gobierno decidió que se debía reconocer el kven como un idioma independiente, decisión que quedó formalizado por Real </w:t>
      </w:r>
      <w:r>
        <w:t>D</w:t>
      </w:r>
      <w:r w:rsidRPr="00D05104">
        <w:t>ecreto el 24 de junio de 2005. En 2006 la Universidad de Tromsø empezó a impartir un curso de un año sobre el idioma y la cultura kven. Asimismo</w:t>
      </w:r>
      <w:r>
        <w:t>,</w:t>
      </w:r>
      <w:r w:rsidRPr="00D05104">
        <w:t xml:space="preserve"> se ha concedido financiación para la elaboración de una nueva gramática y ortografía del kven y para una serie de novelas </w:t>
      </w:r>
      <w:r>
        <w:t xml:space="preserve">escritas </w:t>
      </w:r>
      <w:r w:rsidRPr="00D05104">
        <w:t>en ese idioma, así como para la publicación de una colección de canciones tradicionales kven y la traducción de historietas gráficas.</w:t>
      </w:r>
    </w:p>
    <w:p w:rsidR="00A82B1F" w:rsidRPr="00D05104" w:rsidRDefault="00A82B1F" w:rsidP="00A82B1F">
      <w:pPr>
        <w:pStyle w:val="SingleTxtG"/>
      </w:pPr>
      <w:r w:rsidRPr="00D05104">
        <w:t>299.</w:t>
      </w:r>
      <w:r w:rsidRPr="00D05104">
        <w:tab/>
        <w:t xml:space="preserve">El periódico en kven y finlandés </w:t>
      </w:r>
      <w:r w:rsidRPr="00266096">
        <w:rPr>
          <w:i/>
        </w:rPr>
        <w:t>Ruijan</w:t>
      </w:r>
      <w:r w:rsidRPr="00D05104">
        <w:t xml:space="preserve"> y </w:t>
      </w:r>
      <w:r w:rsidRPr="00266096">
        <w:rPr>
          <w:i/>
        </w:rPr>
        <w:t>Kaiku</w:t>
      </w:r>
      <w:r w:rsidRPr="00D05104">
        <w:t>, que constituye un importante medio para el intercambio de información entre la minoría kven, recibe subvenciones anuales de las autoridades, que en 2009 ascendieron a 1,4 millones de coronas noruegas.</w:t>
      </w:r>
    </w:p>
    <w:p w:rsidR="00A82B1F" w:rsidRPr="00D05104" w:rsidRDefault="00A82B1F" w:rsidP="00A82B1F">
      <w:pPr>
        <w:pStyle w:val="SingleTxtG"/>
      </w:pPr>
      <w:r w:rsidRPr="00D05104">
        <w:t>300.</w:t>
      </w:r>
      <w:r w:rsidRPr="00D05104">
        <w:tab/>
        <w:t>En cooperación con la Universidad de Tromsø, se ha creado en el Departamento de Historia Cultural Reciente del Museo de esta ciudad un archivo kven, que se nutre principalmente de proyectos de investigación sobre el idioma, la literatura y la cultura kven.</w:t>
      </w:r>
    </w:p>
    <w:p w:rsidR="00A82B1F" w:rsidRDefault="00A82B1F" w:rsidP="00A82B1F">
      <w:pPr>
        <w:pStyle w:val="SingleTxtG"/>
      </w:pPr>
      <w:r w:rsidRPr="00D05104">
        <w:t>301.</w:t>
      </w:r>
      <w:r w:rsidRPr="00D05104">
        <w:tab/>
        <w:t>El Consejo de Investigaciones de Noruega asignó 5 millones de coronas noruegas para un período de cinco años (2003-2007) a un proyecto sobre los kven y los skogfinn</w:t>
      </w:r>
      <w:r>
        <w:t xml:space="preserve"> en el pasado y el </w:t>
      </w:r>
      <w:r w:rsidRPr="00D05104">
        <w:t>presente.</w:t>
      </w:r>
    </w:p>
    <w:p w:rsidR="00A82B1F" w:rsidRPr="00266096" w:rsidRDefault="00A82B1F" w:rsidP="00A82B1F">
      <w:pPr>
        <w:pStyle w:val="SingleTxtG"/>
      </w:pPr>
      <w:r w:rsidRPr="00266096">
        <w:t>302.</w:t>
      </w:r>
      <w:r w:rsidRPr="00266096">
        <w:tab/>
        <w:t xml:space="preserve">El Kven Institute (llamado anteriormente Kvaentunet – Centro para el idioma y la cultura </w:t>
      </w:r>
      <w:r>
        <w:t>k</w:t>
      </w:r>
      <w:r w:rsidRPr="00266096">
        <w:t xml:space="preserve">ven) se encuentra en el </w:t>
      </w:r>
      <w:r>
        <w:t>c</w:t>
      </w:r>
      <w:r w:rsidRPr="00266096">
        <w:t xml:space="preserve">ondado de Finnmark y se financia gracias a subvenciones públicas. Se encarga de desarrollar, documentar y difundir conocimientos e información sobre el idioma y la cultura </w:t>
      </w:r>
      <w:r>
        <w:t>k</w:t>
      </w:r>
      <w:r w:rsidRPr="00266096">
        <w:t xml:space="preserve">ven, y promover el uso de ese idioma en la sociedad noruega. El Instituto ha nombrado un </w:t>
      </w:r>
      <w:r>
        <w:t>c</w:t>
      </w:r>
      <w:r w:rsidRPr="00266096">
        <w:t xml:space="preserve">onsejo del idioma </w:t>
      </w:r>
      <w:r>
        <w:t>k</w:t>
      </w:r>
      <w:r w:rsidRPr="00266096">
        <w:t xml:space="preserve">ven, que elaborará las principales directrices para una gramática y una ortografía de esa lengua, y en 2008 se estableció un órgano de adopción de decisiones, gracias a todo lo cual se espera que la labor de normalización del idioma </w:t>
      </w:r>
      <w:r>
        <w:t>k</w:t>
      </w:r>
      <w:r w:rsidRPr="00266096">
        <w:t>ven avance con mayor rapidez en el futuro.</w:t>
      </w:r>
    </w:p>
    <w:p w:rsidR="00A82B1F" w:rsidRPr="00266096" w:rsidRDefault="00A82B1F" w:rsidP="00A82B1F">
      <w:pPr>
        <w:pStyle w:val="SingleTxtG"/>
      </w:pPr>
      <w:r w:rsidRPr="00266096">
        <w:t>303.</w:t>
      </w:r>
      <w:r w:rsidRPr="00266096">
        <w:tab/>
        <w:t xml:space="preserve">El </w:t>
      </w:r>
      <w:r>
        <w:t>c</w:t>
      </w:r>
      <w:r w:rsidRPr="00266096">
        <w:t xml:space="preserve">entro Halti para la cultura </w:t>
      </w:r>
      <w:r>
        <w:t>k</w:t>
      </w:r>
      <w:r w:rsidRPr="00266096">
        <w:t>ven</w:t>
      </w:r>
      <w:r>
        <w:t>s</w:t>
      </w:r>
      <w:r w:rsidRPr="00266096">
        <w:t xml:space="preserve"> se encuentra en el </w:t>
      </w:r>
      <w:r>
        <w:t>c</w:t>
      </w:r>
      <w:r w:rsidRPr="00266096">
        <w:t xml:space="preserve">ondado de Troms y también está subvencionado por el Gobierno. Su principal función es revitalizar el idioma y la cultura </w:t>
      </w:r>
      <w:r>
        <w:t>k</w:t>
      </w:r>
      <w:r w:rsidRPr="00266096">
        <w:t>ven en la región y servir al mismo tiempo de lugar de reunión para ese pueblo.</w:t>
      </w:r>
    </w:p>
    <w:p w:rsidR="00A82B1F" w:rsidRPr="00266096" w:rsidRDefault="00A82B1F" w:rsidP="00A82B1F">
      <w:pPr>
        <w:pStyle w:val="H4G"/>
      </w:pPr>
      <w:r>
        <w:tab/>
      </w:r>
      <w:r>
        <w:tab/>
      </w:r>
      <w:r w:rsidRPr="00266096">
        <w:t xml:space="preserve">La situación de los </w:t>
      </w:r>
      <w:r>
        <w:t>r</w:t>
      </w:r>
      <w:r w:rsidRPr="00266096">
        <w:t>omaníes</w:t>
      </w:r>
    </w:p>
    <w:p w:rsidR="00A82B1F" w:rsidRPr="00266096" w:rsidRDefault="00A82B1F" w:rsidP="00A82B1F">
      <w:pPr>
        <w:pStyle w:val="SingleTxtG"/>
      </w:pPr>
      <w:r w:rsidRPr="00266096">
        <w:t>304.</w:t>
      </w:r>
      <w:r w:rsidRPr="00266096">
        <w:tab/>
      </w:r>
      <w:r>
        <w:t>Al respecto, cabe referirse a</w:t>
      </w:r>
      <w:r w:rsidRPr="00266096">
        <w:t xml:space="preserve">l quinto informe periódico de Noruega, párrafo 284 (realización de pagos a título gratuito a los </w:t>
      </w:r>
      <w:r>
        <w:t>r</w:t>
      </w:r>
      <w:r w:rsidRPr="00266096">
        <w:t>omaníes).</w:t>
      </w:r>
    </w:p>
    <w:p w:rsidR="00A82B1F" w:rsidRPr="00266096" w:rsidRDefault="00A82B1F" w:rsidP="00A82B1F">
      <w:pPr>
        <w:pStyle w:val="SingleTxtG"/>
      </w:pPr>
      <w:r w:rsidRPr="00266096">
        <w:t>305.</w:t>
      </w:r>
      <w:r w:rsidRPr="00266096">
        <w:tab/>
        <w:t xml:space="preserve">En 2009 el Gobierno presentó un plan de acción para mejorar las condiciones de vida en Oslo de los </w:t>
      </w:r>
      <w:r>
        <w:t>r</w:t>
      </w:r>
      <w:r w:rsidRPr="00266096">
        <w:t xml:space="preserve">omaníes de nacionalidad noruega, ya que la mayoría de ellos viven en ese municipio. El plan de acción se preparó en colaboración con los </w:t>
      </w:r>
      <w:r>
        <w:t>r</w:t>
      </w:r>
      <w:r w:rsidRPr="00266096">
        <w:t>omaníes y el ayuntamiento de Oslo.</w:t>
      </w:r>
    </w:p>
    <w:p w:rsidR="00A82B1F" w:rsidRPr="00266096" w:rsidRDefault="00A82B1F" w:rsidP="00A82B1F">
      <w:pPr>
        <w:pStyle w:val="SingleTxtG"/>
      </w:pPr>
      <w:r w:rsidRPr="00266096">
        <w:t>306.</w:t>
      </w:r>
      <w:r w:rsidRPr="00266096">
        <w:tab/>
        <w:t xml:space="preserve">El Gobierno considera esencial el diálogo con ese grupo y una medida importante que se contempla en el plan es el establecimiento de un órgano consultivo para los </w:t>
      </w:r>
      <w:r>
        <w:t>r</w:t>
      </w:r>
      <w:r w:rsidRPr="00266096">
        <w:t>omaníes, en el que ellos participen.</w:t>
      </w:r>
    </w:p>
    <w:p w:rsidR="00A82B1F" w:rsidRPr="00266096" w:rsidRDefault="00A82B1F" w:rsidP="00A82B1F">
      <w:pPr>
        <w:pStyle w:val="SingleTxtG"/>
      </w:pPr>
      <w:r w:rsidRPr="00266096">
        <w:t>307.</w:t>
      </w:r>
      <w:r w:rsidRPr="00266096">
        <w:tab/>
        <w:t xml:space="preserve">En colaboración con </w:t>
      </w:r>
      <w:r>
        <w:t>esa minoría</w:t>
      </w:r>
      <w:r w:rsidRPr="00266096">
        <w:t xml:space="preserve">, el municipio de Oslo ha elaborado un modelo de educación de adultos destinado a jóvenes </w:t>
      </w:r>
      <w:r>
        <w:t>r</w:t>
      </w:r>
      <w:r w:rsidRPr="00266096">
        <w:t>omaníes. El proyecto se inició en 2007 y tiene como objetivo mejorar su capacidad lectora y escritora y sus conocimientos de matemáticas e informática. E</w:t>
      </w:r>
      <w:r>
        <w:t>n e</w:t>
      </w:r>
      <w:r w:rsidRPr="00266096">
        <w:t xml:space="preserve">l plan de acción </w:t>
      </w:r>
      <w:r>
        <w:t xml:space="preserve">se </w:t>
      </w:r>
      <w:r w:rsidRPr="00266096">
        <w:t>propone seguir desarrollando el proyecto mediante el establecimiento de un centro de asesoramiento sobre vivienda, trabajo, servicios sociales, etc.</w:t>
      </w:r>
    </w:p>
    <w:p w:rsidR="00A82B1F" w:rsidRPr="00266096" w:rsidRDefault="00A82B1F" w:rsidP="00A82B1F">
      <w:pPr>
        <w:pStyle w:val="H4G"/>
      </w:pPr>
      <w:r>
        <w:tab/>
      </w:r>
      <w:r>
        <w:tab/>
      </w:r>
      <w:r w:rsidRPr="00266096">
        <w:t xml:space="preserve">La situación del pueblo </w:t>
      </w:r>
      <w:r>
        <w:t>r</w:t>
      </w:r>
      <w:r w:rsidRPr="00266096">
        <w:t>omaní</w:t>
      </w:r>
      <w:r>
        <w:t>/t</w:t>
      </w:r>
      <w:r w:rsidRPr="00266096">
        <w:t>ater</w:t>
      </w:r>
    </w:p>
    <w:p w:rsidR="00A82B1F" w:rsidRPr="00266096" w:rsidRDefault="00A82B1F" w:rsidP="00A82B1F">
      <w:pPr>
        <w:pStyle w:val="SingleTxtG"/>
      </w:pPr>
      <w:r w:rsidRPr="00266096">
        <w:t>308.</w:t>
      </w:r>
      <w:r w:rsidRPr="00266096">
        <w:tab/>
      </w:r>
      <w:r>
        <w:t xml:space="preserve">Esta cuestión se trata en el </w:t>
      </w:r>
      <w:r w:rsidRPr="00266096">
        <w:t xml:space="preserve">quinto informe periódico de Noruega, párrafo 284 (realización de pagos a título gratuito al pueblo </w:t>
      </w:r>
      <w:r>
        <w:t>r</w:t>
      </w:r>
      <w:r w:rsidRPr="00266096">
        <w:t>omaní) y párrafo 283 (</w:t>
      </w:r>
      <w:r>
        <w:t>f</w:t>
      </w:r>
      <w:r w:rsidRPr="00266096">
        <w:t xml:space="preserve">ondo </w:t>
      </w:r>
      <w:r>
        <w:t>cultural para el pueblo r</w:t>
      </w:r>
      <w:r w:rsidRPr="00266096">
        <w:t>omaní</w:t>
      </w:r>
      <w:r>
        <w:t>/tater</w:t>
      </w:r>
      <w:r w:rsidRPr="00266096">
        <w:t>).</w:t>
      </w:r>
    </w:p>
    <w:p w:rsidR="00A82B1F" w:rsidRPr="00266096" w:rsidRDefault="00A82B1F" w:rsidP="00A82B1F">
      <w:pPr>
        <w:pStyle w:val="SingleTxtG"/>
      </w:pPr>
      <w:r w:rsidRPr="00266096">
        <w:t>309.</w:t>
      </w:r>
      <w:r w:rsidRPr="00266096">
        <w:tab/>
        <w:t xml:space="preserve">Se han aprobado los Estatutos del Fondo </w:t>
      </w:r>
      <w:r>
        <w:t>Cultural para el pueblo r</w:t>
      </w:r>
      <w:r w:rsidRPr="00266096">
        <w:t>omaní</w:t>
      </w:r>
      <w:r>
        <w:t>/t</w:t>
      </w:r>
      <w:r w:rsidRPr="00266096">
        <w:t xml:space="preserve">ater y se ha nombrado una </w:t>
      </w:r>
      <w:r>
        <w:t>j</w:t>
      </w:r>
      <w:r w:rsidRPr="00266096">
        <w:t xml:space="preserve">unta, la mayoría de cuyos miembros pertenecen a dicha minoría. El Estado nombra a un miembro de la </w:t>
      </w:r>
      <w:r>
        <w:t>j</w:t>
      </w:r>
      <w:r w:rsidRPr="00266096">
        <w:t>unta, que ejerce sus funciones a título personal.</w:t>
      </w:r>
    </w:p>
    <w:p w:rsidR="00A82B1F" w:rsidRPr="00266096" w:rsidRDefault="00A82B1F" w:rsidP="00A82B1F">
      <w:pPr>
        <w:pStyle w:val="SingleTxtG"/>
      </w:pPr>
      <w:r w:rsidRPr="00266096">
        <w:t>310.</w:t>
      </w:r>
      <w:r w:rsidRPr="00266096">
        <w:tab/>
        <w:t>En 2006</w:t>
      </w:r>
      <w:r>
        <w:t>,</w:t>
      </w:r>
      <w:r w:rsidRPr="00266096">
        <w:t xml:space="preserve"> Su Alteza Real el Príncipe Heredero de Noruega inauguró en el Museo Glo</w:t>
      </w:r>
      <w:r>
        <w:t>m</w:t>
      </w:r>
      <w:r w:rsidRPr="00266096">
        <w:t xml:space="preserve">dal un nuevo departamento para la documentación y presentación de la cultura y la historia del pueblo </w:t>
      </w:r>
      <w:r>
        <w:t>r</w:t>
      </w:r>
      <w:r w:rsidRPr="00266096">
        <w:t>omaní</w:t>
      </w:r>
      <w:r>
        <w:t>/t</w:t>
      </w:r>
      <w:r w:rsidRPr="00266096">
        <w:t xml:space="preserve">ater, en el que se ofrece información a través de películas y exposiciones. El principal tema de la exposición permanente </w:t>
      </w:r>
      <w:r w:rsidRPr="001F4BB3">
        <w:t>(Latjo Drom)</w:t>
      </w:r>
      <w:r w:rsidRPr="00266096">
        <w:t xml:space="preserve"> es la historia y la identidad cultural del pueblo </w:t>
      </w:r>
      <w:r>
        <w:t>r</w:t>
      </w:r>
      <w:r w:rsidRPr="00266096">
        <w:t>omaní</w:t>
      </w:r>
      <w:r>
        <w:t>/t</w:t>
      </w:r>
      <w:r w:rsidRPr="00266096">
        <w:t xml:space="preserve">ater, aunque también trata del encuentro del grupo minoritario con la sociedad en general y de las injusticias cometidas por </w:t>
      </w:r>
      <w:r>
        <w:t>e</w:t>
      </w:r>
      <w:r w:rsidRPr="00266096">
        <w:t>sta última. Está previsto ampliar la exposición a medida que surjan nuevas ideas y cuestiones.</w:t>
      </w:r>
    </w:p>
    <w:p w:rsidR="00A82B1F" w:rsidRPr="00266096" w:rsidRDefault="00A82B1F" w:rsidP="00A82B1F">
      <w:pPr>
        <w:pStyle w:val="H4G"/>
      </w:pPr>
      <w:r>
        <w:tab/>
      </w:r>
      <w:r>
        <w:tab/>
      </w:r>
      <w:r w:rsidRPr="00266096">
        <w:t xml:space="preserve">La situación de los </w:t>
      </w:r>
      <w:r>
        <w:t>j</w:t>
      </w:r>
      <w:r w:rsidRPr="00266096">
        <w:t>udíos</w:t>
      </w:r>
    </w:p>
    <w:p w:rsidR="00A82B1F" w:rsidRPr="00266096" w:rsidRDefault="00A82B1F" w:rsidP="00A82B1F">
      <w:pPr>
        <w:pStyle w:val="SingleTxtG"/>
      </w:pPr>
      <w:r w:rsidRPr="00266096">
        <w:t>311.</w:t>
      </w:r>
      <w:r w:rsidRPr="00266096">
        <w:tab/>
      </w:r>
      <w:r>
        <w:t xml:space="preserve">En el </w:t>
      </w:r>
      <w:r w:rsidRPr="00266096">
        <w:t>quinto informe periódico de Noruega, párrafo 278</w:t>
      </w:r>
      <w:r>
        <w:t xml:space="preserve">, se hace referencia a esta cuestión. </w:t>
      </w:r>
      <w:r w:rsidRPr="00266096">
        <w:t>En 2008 se inauguró el Museo Judío de Oslo, que recibe subvenciones del presupuesto estatal y cuyo objetivo es reunir, conservar y difundir información sobre la inmigración y los medios de vida de los judíos, así como su integración en la sociedad noruega.</w:t>
      </w:r>
    </w:p>
    <w:p w:rsidR="00A82B1F" w:rsidRPr="00266096" w:rsidRDefault="00A82B1F" w:rsidP="00A82B1F">
      <w:pPr>
        <w:pStyle w:val="H4G"/>
      </w:pPr>
      <w:r>
        <w:tab/>
      </w:r>
      <w:r>
        <w:tab/>
      </w:r>
      <w:r w:rsidRPr="00266096">
        <w:t>La situación de la comunidad Skogfinn</w:t>
      </w:r>
    </w:p>
    <w:p w:rsidR="00A82B1F" w:rsidRPr="00266096" w:rsidRDefault="00A82B1F" w:rsidP="00A82B1F">
      <w:pPr>
        <w:pStyle w:val="SingleTxtG"/>
        <w:spacing w:after="240"/>
      </w:pPr>
      <w:r w:rsidRPr="00266096">
        <w:t>312.</w:t>
      </w:r>
      <w:r w:rsidRPr="00266096">
        <w:tab/>
      </w:r>
      <w:r>
        <w:t>Cabe referirse al respecto al q</w:t>
      </w:r>
      <w:r w:rsidRPr="00266096">
        <w:t>uinto informe periódico de Noruega, párrafo 270. En 2005 se creó el Museo de la Cultura Forestal Finlandesa en Noruega, que recibe subvenciones del presupuesto estatal, está dedicado a todos los asentamientos forestales finlandeses en la zona meridional de Noruega</w:t>
      </w:r>
      <w:r>
        <w:t>,</w:t>
      </w:r>
      <w:r w:rsidRPr="00266096">
        <w:t xml:space="preserve"> y colabora con las zonas y los países </w:t>
      </w:r>
      <w:r>
        <w:t>finoúgrios</w:t>
      </w:r>
      <w:r w:rsidRPr="00266096">
        <w:t xml:space="preserve">, como Finlandia, Estonia y los asentamientos </w:t>
      </w:r>
      <w:r>
        <w:t>finoúgrios</w:t>
      </w:r>
      <w:r w:rsidRPr="00266096">
        <w:t xml:space="preserve"> en la Federación de Rusia, así como con los grupos </w:t>
      </w:r>
      <w:r>
        <w:t>k</w:t>
      </w:r>
      <w:r w:rsidRPr="00266096">
        <w:t xml:space="preserve">ven y </w:t>
      </w:r>
      <w:r>
        <w:t>s</w:t>
      </w:r>
      <w:r w:rsidRPr="00266096">
        <w:t>ami de Noruega.</w:t>
      </w:r>
    </w:p>
    <w:p w:rsidR="00A82B1F" w:rsidRPr="001F4BB3" w:rsidRDefault="00A82B1F" w:rsidP="00A82B1F">
      <w:pPr>
        <w:pStyle w:val="SingleTxtG"/>
        <w:jc w:val="center"/>
        <w:rPr>
          <w:u w:val="single"/>
        </w:rPr>
      </w:pPr>
      <w:r>
        <w:rPr>
          <w:u w:val="single"/>
        </w:rPr>
        <w:tab/>
      </w:r>
      <w:r>
        <w:rPr>
          <w:u w:val="single"/>
        </w:rPr>
        <w:tab/>
      </w:r>
      <w:r>
        <w:rPr>
          <w:u w:val="single"/>
        </w:rPr>
        <w:tab/>
      </w:r>
    </w:p>
    <w:p w:rsidR="00993E5A" w:rsidRDefault="00993E5A" w:rsidP="00A82B1F">
      <w:pPr>
        <w:pStyle w:val="SingleTxtG"/>
        <w:spacing w:before="240"/>
      </w:pPr>
    </w:p>
    <w:sectPr w:rsidR="00993E5A" w:rsidSect="00993E5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BB9" w:rsidRDefault="00835BB9">
      <w:r>
        <w:separator/>
      </w:r>
    </w:p>
  </w:endnote>
  <w:endnote w:type="continuationSeparator" w:id="0">
    <w:p w:rsidR="00835BB9" w:rsidRDefault="00835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5A" w:rsidRPr="00993E5A" w:rsidRDefault="00993E5A" w:rsidP="00993E5A">
    <w:pPr>
      <w:pStyle w:val="Footer"/>
      <w:tabs>
        <w:tab w:val="right" w:pos="9598"/>
      </w:tabs>
    </w:pPr>
    <w:r w:rsidRPr="00993E5A">
      <w:rPr>
        <w:b/>
        <w:sz w:val="18"/>
      </w:rPr>
      <w:fldChar w:fldCharType="begin"/>
    </w:r>
    <w:r w:rsidRPr="00993E5A">
      <w:rPr>
        <w:b/>
        <w:sz w:val="18"/>
      </w:rPr>
      <w:instrText xml:space="preserve"> PAGE  \* MERGEFORMAT </w:instrText>
    </w:r>
    <w:r w:rsidRPr="00993E5A">
      <w:rPr>
        <w:b/>
        <w:sz w:val="18"/>
      </w:rPr>
      <w:fldChar w:fldCharType="separate"/>
    </w:r>
    <w:r w:rsidR="0087167E">
      <w:rPr>
        <w:b/>
        <w:noProof/>
        <w:sz w:val="18"/>
      </w:rPr>
      <w:t>18</w:t>
    </w:r>
    <w:r w:rsidRPr="00993E5A">
      <w:rPr>
        <w:b/>
        <w:sz w:val="18"/>
      </w:rPr>
      <w:fldChar w:fldCharType="end"/>
    </w:r>
    <w:r>
      <w:rPr>
        <w:b/>
        <w:sz w:val="18"/>
      </w:rPr>
      <w:tab/>
    </w:r>
    <w:r>
      <w:t>GE.10-46875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5A" w:rsidRPr="00993E5A" w:rsidRDefault="00993E5A" w:rsidP="00993E5A">
    <w:pPr>
      <w:pStyle w:val="Footer"/>
      <w:tabs>
        <w:tab w:val="right" w:pos="9598"/>
      </w:tabs>
      <w:rPr>
        <w:b/>
        <w:sz w:val="18"/>
      </w:rPr>
    </w:pPr>
    <w:r>
      <w:t>GE.10-46875</w:t>
    </w:r>
    <w:r>
      <w:tab/>
    </w:r>
    <w:r w:rsidRPr="00993E5A">
      <w:rPr>
        <w:b/>
        <w:sz w:val="18"/>
      </w:rPr>
      <w:fldChar w:fldCharType="begin"/>
    </w:r>
    <w:r w:rsidRPr="00993E5A">
      <w:rPr>
        <w:b/>
        <w:sz w:val="18"/>
      </w:rPr>
      <w:instrText xml:space="preserve"> PAGE  \* MERGEFORMAT </w:instrText>
    </w:r>
    <w:r w:rsidRPr="00993E5A">
      <w:rPr>
        <w:b/>
        <w:sz w:val="18"/>
      </w:rPr>
      <w:fldChar w:fldCharType="separate"/>
    </w:r>
    <w:r w:rsidR="0087167E">
      <w:rPr>
        <w:b/>
        <w:noProof/>
        <w:sz w:val="18"/>
      </w:rPr>
      <w:t>19</w:t>
    </w:r>
    <w:r w:rsidRPr="00993E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F34" w:rsidRDefault="00993E5A">
    <w:pPr>
      <w:pStyle w:val="Footer"/>
    </w:pPr>
    <w:r>
      <w:rPr>
        <w:sz w:val="20"/>
      </w:rPr>
      <w:t>GE.10-46875</w:t>
    </w:r>
    <w:r w:rsidR="00396F3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080211    140211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BB9" w:rsidRPr="001075E9" w:rsidRDefault="00835BB9" w:rsidP="001075E9">
      <w:pPr>
        <w:tabs>
          <w:tab w:val="right" w:pos="2155"/>
        </w:tabs>
        <w:spacing w:after="80" w:line="240" w:lineRule="auto"/>
        <w:ind w:left="680"/>
        <w:rPr>
          <w:u w:val="single"/>
        </w:rPr>
      </w:pPr>
      <w:r>
        <w:rPr>
          <w:u w:val="single"/>
        </w:rPr>
        <w:tab/>
      </w:r>
    </w:p>
  </w:footnote>
  <w:footnote w:type="continuationSeparator" w:id="0">
    <w:p w:rsidR="00835BB9" w:rsidRDefault="00835BB9" w:rsidP="00AE0E02">
      <w:pPr>
        <w:tabs>
          <w:tab w:val="right" w:pos="2155"/>
        </w:tabs>
        <w:spacing w:after="80" w:line="240" w:lineRule="auto"/>
        <w:ind w:left="680"/>
        <w:rPr>
          <w:u w:val="single"/>
        </w:rPr>
      </w:pPr>
      <w:r>
        <w:rPr>
          <w:u w:val="single"/>
        </w:rPr>
        <w:tab/>
      </w:r>
    </w:p>
  </w:footnote>
  <w:footnote w:id="1">
    <w:p w:rsidR="00993E5A" w:rsidRPr="00DF574A" w:rsidRDefault="00993E5A" w:rsidP="00993E5A">
      <w:pPr>
        <w:pStyle w:val="FootnoteText"/>
      </w:pPr>
      <w:r>
        <w:tab/>
      </w:r>
      <w:r w:rsidRPr="00DA2533">
        <w:rPr>
          <w:rStyle w:val="FootnoteReference"/>
          <w:sz w:val="20"/>
          <w:vertAlign w:val="baseline"/>
        </w:rPr>
        <w:t>*</w:t>
      </w:r>
      <w:r w:rsidRPr="00801005">
        <w:tab/>
      </w:r>
      <w:r w:rsidRPr="00801005">
        <w:rPr>
          <w:lang w:val="es-ES_tradnl"/>
        </w:rPr>
        <w:t xml:space="preserve">Con arreglo a la información transmitida a los Estados partes acerca de la publicación de sus informes, el presente documento no fue objeto de revisión editorial oficial antes de ser enviado a los servicios de traducción de las Naciones Unidas. </w:t>
      </w:r>
    </w:p>
  </w:footnote>
  <w:footnote w:id="2">
    <w:p w:rsidR="00993E5A" w:rsidRPr="00DF574A" w:rsidRDefault="00993E5A" w:rsidP="00993E5A">
      <w:pPr>
        <w:pStyle w:val="FootnoteText"/>
      </w:pPr>
      <w:r w:rsidRPr="00DF574A">
        <w:tab/>
      </w:r>
      <w:r w:rsidRPr="00DA2533">
        <w:rPr>
          <w:rStyle w:val="FootnoteReference"/>
          <w:sz w:val="20"/>
          <w:vertAlign w:val="baseline"/>
        </w:rPr>
        <w:t>**</w:t>
      </w:r>
      <w:r w:rsidRPr="00DF574A">
        <w:tab/>
      </w:r>
      <w:r w:rsidRPr="00801005">
        <w:rPr>
          <w:lang w:val="es-ES_tradnl"/>
        </w:rPr>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5A" w:rsidRPr="00993E5A" w:rsidRDefault="00993E5A" w:rsidP="00993E5A">
    <w:pPr>
      <w:pStyle w:val="Header"/>
    </w:pPr>
    <w:r w:rsidRPr="00993E5A">
      <w:t>CCPR/C/NOR/6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E5A" w:rsidRPr="00993E5A" w:rsidRDefault="00993E5A" w:rsidP="00993E5A">
    <w:pPr>
      <w:pStyle w:val="Header"/>
      <w:jc w:val="right"/>
    </w:pPr>
    <w:r w:rsidRPr="00993E5A">
      <w:t>CCPR/C/NOR/6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F34"/>
    <w:rsid w:val="00006BB9"/>
    <w:rsid w:val="0005274F"/>
    <w:rsid w:val="000A36A2"/>
    <w:rsid w:val="000A46BB"/>
    <w:rsid w:val="000B57E7"/>
    <w:rsid w:val="000F09DF"/>
    <w:rsid w:val="000F61B2"/>
    <w:rsid w:val="001075E9"/>
    <w:rsid w:val="00160FF7"/>
    <w:rsid w:val="00180183"/>
    <w:rsid w:val="00182C97"/>
    <w:rsid w:val="00196389"/>
    <w:rsid w:val="001A6BBB"/>
    <w:rsid w:val="001C7A89"/>
    <w:rsid w:val="0022765D"/>
    <w:rsid w:val="00231656"/>
    <w:rsid w:val="002A061F"/>
    <w:rsid w:val="002A2EFC"/>
    <w:rsid w:val="002A6FA7"/>
    <w:rsid w:val="002C0E18"/>
    <w:rsid w:val="002C33BB"/>
    <w:rsid w:val="002C5D69"/>
    <w:rsid w:val="002D5AAC"/>
    <w:rsid w:val="002D7C8D"/>
    <w:rsid w:val="002F13FE"/>
    <w:rsid w:val="00301299"/>
    <w:rsid w:val="00322004"/>
    <w:rsid w:val="00332243"/>
    <w:rsid w:val="003402C2"/>
    <w:rsid w:val="00381C24"/>
    <w:rsid w:val="003825AF"/>
    <w:rsid w:val="003958D0"/>
    <w:rsid w:val="00396F34"/>
    <w:rsid w:val="003E1F6E"/>
    <w:rsid w:val="0040424A"/>
    <w:rsid w:val="00454E07"/>
    <w:rsid w:val="00486752"/>
    <w:rsid w:val="004875CF"/>
    <w:rsid w:val="004945AE"/>
    <w:rsid w:val="004D3D24"/>
    <w:rsid w:val="004E4B46"/>
    <w:rsid w:val="004F1A91"/>
    <w:rsid w:val="0050108D"/>
    <w:rsid w:val="00566928"/>
    <w:rsid w:val="00572E19"/>
    <w:rsid w:val="00575828"/>
    <w:rsid w:val="005F0B42"/>
    <w:rsid w:val="00614642"/>
    <w:rsid w:val="00655A21"/>
    <w:rsid w:val="006808A9"/>
    <w:rsid w:val="006825D6"/>
    <w:rsid w:val="006D1EDF"/>
    <w:rsid w:val="006F35EE"/>
    <w:rsid w:val="007021FF"/>
    <w:rsid w:val="00702917"/>
    <w:rsid w:val="007076CB"/>
    <w:rsid w:val="00721764"/>
    <w:rsid w:val="00736E84"/>
    <w:rsid w:val="00740154"/>
    <w:rsid w:val="007650C5"/>
    <w:rsid w:val="0077470A"/>
    <w:rsid w:val="007967DF"/>
    <w:rsid w:val="007A3958"/>
    <w:rsid w:val="007A4B8D"/>
    <w:rsid w:val="007D6205"/>
    <w:rsid w:val="0082654E"/>
    <w:rsid w:val="00834B71"/>
    <w:rsid w:val="00835BB9"/>
    <w:rsid w:val="00836EA4"/>
    <w:rsid w:val="0086445C"/>
    <w:rsid w:val="0087167E"/>
    <w:rsid w:val="008A08D7"/>
    <w:rsid w:val="008A13F9"/>
    <w:rsid w:val="008A2767"/>
    <w:rsid w:val="008A7A7E"/>
    <w:rsid w:val="008D5DB6"/>
    <w:rsid w:val="00906890"/>
    <w:rsid w:val="00913127"/>
    <w:rsid w:val="00916396"/>
    <w:rsid w:val="00951972"/>
    <w:rsid w:val="00955B77"/>
    <w:rsid w:val="00963777"/>
    <w:rsid w:val="00982A9D"/>
    <w:rsid w:val="00993E5A"/>
    <w:rsid w:val="00996667"/>
    <w:rsid w:val="009B452A"/>
    <w:rsid w:val="009B4E5E"/>
    <w:rsid w:val="009D60D6"/>
    <w:rsid w:val="009F317C"/>
    <w:rsid w:val="00A17DFD"/>
    <w:rsid w:val="00A748AA"/>
    <w:rsid w:val="00A82B1F"/>
    <w:rsid w:val="00A91290"/>
    <w:rsid w:val="00A917B3"/>
    <w:rsid w:val="00AB4B51"/>
    <w:rsid w:val="00AE0E02"/>
    <w:rsid w:val="00AE4CC4"/>
    <w:rsid w:val="00B10CC7"/>
    <w:rsid w:val="00B13040"/>
    <w:rsid w:val="00B62458"/>
    <w:rsid w:val="00BD33EE"/>
    <w:rsid w:val="00BF7D4C"/>
    <w:rsid w:val="00C33381"/>
    <w:rsid w:val="00C56FC7"/>
    <w:rsid w:val="00C60F0C"/>
    <w:rsid w:val="00C76505"/>
    <w:rsid w:val="00C805C9"/>
    <w:rsid w:val="00CA1679"/>
    <w:rsid w:val="00CA7977"/>
    <w:rsid w:val="00CF171B"/>
    <w:rsid w:val="00D02AF7"/>
    <w:rsid w:val="00D10F5C"/>
    <w:rsid w:val="00D1162B"/>
    <w:rsid w:val="00D5042C"/>
    <w:rsid w:val="00D80BBB"/>
    <w:rsid w:val="00D90138"/>
    <w:rsid w:val="00DE44AD"/>
    <w:rsid w:val="00E322D3"/>
    <w:rsid w:val="00E419A5"/>
    <w:rsid w:val="00E62C61"/>
    <w:rsid w:val="00E73F76"/>
    <w:rsid w:val="00EF1360"/>
    <w:rsid w:val="00EF3220"/>
    <w:rsid w:val="00F12156"/>
    <w:rsid w:val="00F44B33"/>
    <w:rsid w:val="00F603B6"/>
    <w:rsid w:val="00F6407D"/>
    <w:rsid w:val="00F94155"/>
    <w:rsid w:val="00FA6EE1"/>
    <w:rsid w:val="00FB2691"/>
    <w:rsid w:val="00FB3FDB"/>
    <w:rsid w:val="00FC2A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993E5A"/>
    <w:rPr>
      <w:lang w:val="es-ES" w:eastAsia="es-ES" w:bidi="ar-SA"/>
    </w:rPr>
  </w:style>
  <w:style w:type="character" w:styleId="CommentReference">
    <w:name w:val="annotation reference"/>
    <w:semiHidden/>
    <w:rsid w:val="00993E5A"/>
    <w:rPr>
      <w:sz w:val="16"/>
      <w:szCs w:val="16"/>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CommentText">
    <w:name w:val="annotation text"/>
    <w:basedOn w:val="Normal"/>
    <w:semiHidden/>
    <w:rsid w:val="00993E5A"/>
  </w:style>
  <w:style w:type="paragraph" w:styleId="CommentSubject">
    <w:name w:val="annotation subject"/>
    <w:basedOn w:val="CommentText"/>
    <w:next w:val="CommentText"/>
    <w:semiHidden/>
    <w:rsid w:val="00993E5A"/>
    <w:rPr>
      <w:b/>
      <w:bCs/>
    </w:rPr>
  </w:style>
  <w:style w:type="paragraph" w:styleId="BalloonText">
    <w:name w:val="Balloon Text"/>
    <w:basedOn w:val="Normal"/>
    <w:semiHidden/>
    <w:rsid w:val="00993E5A"/>
    <w:rPr>
      <w:rFonts w:ascii="Tahoma" w:hAnsi="Tahoma" w:cs="Tahoma"/>
      <w:sz w:val="16"/>
      <w:szCs w:val="16"/>
    </w:rPr>
  </w:style>
  <w:style w:type="character" w:customStyle="1" w:styleId="apple-style-span">
    <w:name w:val="apple-style-span"/>
    <w:basedOn w:val="DefaultParagraphFont"/>
    <w:rsid w:val="00993E5A"/>
  </w:style>
  <w:style w:type="character" w:customStyle="1" w:styleId="apple-converted-space">
    <w:name w:val="apple-converted-space"/>
    <w:basedOn w:val="DefaultParagraphFont"/>
    <w:rsid w:val="0099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57</Pages>
  <Words>29090</Words>
  <Characters>159997</Characters>
  <Application>Microsoft Office Word</Application>
  <DocSecurity>4</DocSecurity>
  <Lines>1333</Lines>
  <Paragraphs>377</Paragraphs>
  <ScaleCrop>false</ScaleCrop>
  <HeadingPairs>
    <vt:vector size="2" baseType="variant">
      <vt:variant>
        <vt:lpstr>Título</vt:lpstr>
      </vt:variant>
      <vt:variant>
        <vt:i4>1</vt:i4>
      </vt:variant>
    </vt:vector>
  </HeadingPairs>
  <TitlesOfParts>
    <vt:vector size="1" baseType="lpstr">
      <vt:lpstr>CCPR/C/NOR/6</vt:lpstr>
    </vt:vector>
  </TitlesOfParts>
  <Company/>
  <LinksUpToDate>false</LinksUpToDate>
  <CharactersWithSpaces>188710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CCPR/C/NOR/6</dc:title>
  <dc:subject>Final</dc:subject>
  <dc:creator>Bragunde</dc:creator>
  <cp:keywords/>
  <dc:description/>
  <cp:lastModifiedBy>Traductor</cp:lastModifiedBy>
  <cp:revision>2</cp:revision>
  <cp:lastPrinted>2011-02-14T11:35:00Z</cp:lastPrinted>
  <dcterms:created xsi:type="dcterms:W3CDTF">2011-02-14T11:36:00Z</dcterms:created>
  <dcterms:modified xsi:type="dcterms:W3CDTF">2011-02-14T11:36:00Z</dcterms:modified>
</cp:coreProperties>
</file>