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7407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654BC" w:rsidP="009654BC">
            <w:pPr>
              <w:jc w:val="right"/>
            </w:pPr>
            <w:r w:rsidRPr="009654BC">
              <w:rPr>
                <w:sz w:val="40"/>
              </w:rPr>
              <w:t>CAT</w:t>
            </w:r>
            <w:r>
              <w:t>/C/SR.1044</w:t>
            </w:r>
          </w:p>
        </w:tc>
      </w:tr>
      <w:tr w:rsidR="002D5AAC" w:rsidTr="0037407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9654BC" w:rsidRDefault="009654BC" w:rsidP="00712895">
            <w:pPr>
              <w:spacing w:before="240"/>
            </w:pPr>
            <w:r>
              <w:t>Distr. general</w:t>
            </w:r>
          </w:p>
          <w:p w:rsidR="009654BC" w:rsidRDefault="009654BC" w:rsidP="009654BC">
            <w:pPr>
              <w:spacing w:line="240" w:lineRule="exact"/>
            </w:pPr>
            <w:r>
              <w:t>29 de agosto de 2012</w:t>
            </w:r>
          </w:p>
          <w:p w:rsidR="009654BC" w:rsidRDefault="009654BC" w:rsidP="009654BC">
            <w:pPr>
              <w:spacing w:line="240" w:lineRule="exact"/>
            </w:pPr>
            <w:r>
              <w:t>Español</w:t>
            </w:r>
          </w:p>
          <w:p w:rsidR="002D5AAC" w:rsidRDefault="009654BC" w:rsidP="009654BC">
            <w:pPr>
              <w:spacing w:line="240" w:lineRule="exact"/>
            </w:pPr>
            <w:r>
              <w:t>Original: inglés</w:t>
            </w:r>
          </w:p>
        </w:tc>
      </w:tr>
    </w:tbl>
    <w:p w:rsidR="0037407C" w:rsidRPr="00E6687D" w:rsidRDefault="0037407C" w:rsidP="0037407C">
      <w:pPr>
        <w:spacing w:before="120" w:line="240" w:lineRule="auto"/>
        <w:rPr>
          <w:b/>
          <w:sz w:val="24"/>
          <w:szCs w:val="24"/>
        </w:rPr>
      </w:pPr>
      <w:r w:rsidRPr="00E6687D">
        <w:rPr>
          <w:b/>
          <w:sz w:val="24"/>
          <w:szCs w:val="24"/>
        </w:rPr>
        <w:t>Comité contra la Tortura</w:t>
      </w:r>
    </w:p>
    <w:p w:rsidR="0037407C" w:rsidRPr="00E6687D" w:rsidRDefault="0037407C" w:rsidP="0037407C">
      <w:pPr>
        <w:spacing w:after="120" w:line="240" w:lineRule="auto"/>
        <w:rPr>
          <w:b/>
        </w:rPr>
      </w:pPr>
      <w:r w:rsidRPr="00E6687D">
        <w:rPr>
          <w:b/>
        </w:rPr>
        <w:t>47º período de sesiones</w:t>
      </w:r>
    </w:p>
    <w:p w:rsidR="0037407C" w:rsidRPr="00E6687D" w:rsidRDefault="0037407C" w:rsidP="0037407C">
      <w:pPr>
        <w:spacing w:line="240" w:lineRule="auto"/>
        <w:rPr>
          <w:b/>
        </w:rPr>
      </w:pPr>
      <w:r w:rsidRPr="00E6687D">
        <w:rPr>
          <w:b/>
        </w:rPr>
        <w:t>Acta resumida de la primera parte (pública)</w:t>
      </w:r>
      <w:r w:rsidRPr="0037407C">
        <w:rPr>
          <w:rStyle w:val="FootnoteReference"/>
          <w:sz w:val="20"/>
          <w:vertAlign w:val="baseline"/>
        </w:rPr>
        <w:footnoteReference w:customMarkFollows="1" w:id="1"/>
        <w:t>*</w:t>
      </w:r>
      <w:r w:rsidRPr="0037407C">
        <w:t xml:space="preserve"> </w:t>
      </w:r>
      <w:r w:rsidRPr="00E6687D">
        <w:rPr>
          <w:b/>
        </w:rPr>
        <w:t>de la 1044ª</w:t>
      </w:r>
      <w:r w:rsidRPr="0037407C">
        <w:rPr>
          <w:rStyle w:val="FootnoteReference"/>
          <w:sz w:val="20"/>
          <w:vertAlign w:val="baseline"/>
        </w:rPr>
        <w:footnoteReference w:customMarkFollows="1" w:id="2"/>
        <w:t>**</w:t>
      </w:r>
      <w:r w:rsidRPr="0037407C">
        <w:t xml:space="preserve"> </w:t>
      </w:r>
      <w:r w:rsidRPr="00E6687D">
        <w:rPr>
          <w:b/>
        </w:rPr>
        <w:t>sesión</w:t>
      </w:r>
    </w:p>
    <w:p w:rsidR="0037407C" w:rsidRPr="00E6687D" w:rsidRDefault="0037407C" w:rsidP="0037407C">
      <w:pPr>
        <w:spacing w:after="120" w:line="240" w:lineRule="auto"/>
      </w:pPr>
      <w:r w:rsidRPr="00E6687D">
        <w:t>Celebrada en el P</w:t>
      </w:r>
      <w:r>
        <w:t>alais Wilson, Ginebra, el jueves</w:t>
      </w:r>
      <w:r w:rsidRPr="00E6687D">
        <w:t xml:space="preserve"> 17 de novie</w:t>
      </w:r>
      <w:r>
        <w:t>mbre de 2011, a las 10.00 horas</w:t>
      </w:r>
    </w:p>
    <w:p w:rsidR="0037407C" w:rsidRPr="00E6687D" w:rsidRDefault="0037407C" w:rsidP="0037407C">
      <w:pPr>
        <w:tabs>
          <w:tab w:val="right" w:pos="992"/>
          <w:tab w:val="left" w:pos="1134"/>
          <w:tab w:val="right" w:leader="dot" w:pos="8505"/>
        </w:tabs>
        <w:spacing w:before="120"/>
        <w:ind w:left="1134" w:hanging="1134"/>
      </w:pPr>
      <w:r>
        <w:rPr>
          <w:i/>
        </w:rPr>
        <w:tab/>
      </w:r>
      <w:r w:rsidRPr="00E6687D">
        <w:rPr>
          <w:i/>
        </w:rPr>
        <w:t>Presidente</w:t>
      </w:r>
      <w:r w:rsidRPr="00B84117">
        <w:rPr>
          <w:i/>
        </w:rPr>
        <w:t>:</w:t>
      </w:r>
      <w:r w:rsidRPr="00E6687D">
        <w:tab/>
        <w:t>Sr. Wang Xuexian</w:t>
      </w:r>
      <w:r>
        <w:br/>
      </w:r>
      <w:r w:rsidRPr="00E6687D">
        <w:t>(Vicepresidente)</w:t>
      </w:r>
    </w:p>
    <w:p w:rsidR="0037407C" w:rsidRPr="00E6687D" w:rsidRDefault="0037407C" w:rsidP="0037407C">
      <w:pPr>
        <w:pStyle w:val="HChG"/>
        <w:rPr>
          <w:b w:val="0"/>
        </w:rPr>
      </w:pPr>
      <w:r w:rsidRPr="00E6687D">
        <w:rPr>
          <w:b w:val="0"/>
        </w:rPr>
        <w:t>Sumario</w:t>
      </w:r>
    </w:p>
    <w:p w:rsidR="0037407C" w:rsidRPr="00E6687D" w:rsidRDefault="0037407C" w:rsidP="0037407C">
      <w:pPr>
        <w:pStyle w:val="SingleTxtG"/>
        <w:jc w:val="left"/>
      </w:pPr>
      <w:r w:rsidRPr="00E6687D">
        <w:t>Examen de los infor</w:t>
      </w:r>
      <w:r>
        <w:t xml:space="preserve">mes presentados por los </w:t>
      </w:r>
      <w:r w:rsidR="003D27E9">
        <w:t>Estados</w:t>
      </w:r>
      <w:r>
        <w:t xml:space="preserve"> p</w:t>
      </w:r>
      <w:r w:rsidRPr="00E6687D">
        <w:t>artes en virtud del artículo 19</w:t>
      </w:r>
      <w:r>
        <w:br/>
      </w:r>
      <w:r w:rsidRPr="00E6687D">
        <w:t xml:space="preserve">de la Convención </w:t>
      </w:r>
      <w:r w:rsidRPr="0037407C">
        <w:rPr>
          <w:i/>
        </w:rPr>
        <w:t>(</w:t>
      </w:r>
      <w:r w:rsidRPr="00E6687D">
        <w:rPr>
          <w:i/>
        </w:rPr>
        <w:t>continuación</w:t>
      </w:r>
      <w:r w:rsidRPr="0037407C">
        <w:rPr>
          <w:i/>
        </w:rPr>
        <w:t>)</w:t>
      </w:r>
    </w:p>
    <w:p w:rsidR="0037407C" w:rsidRPr="00E6687D" w:rsidRDefault="0037407C" w:rsidP="0037407C">
      <w:pPr>
        <w:pStyle w:val="SingleTxtG"/>
        <w:rPr>
          <w:i/>
        </w:rPr>
      </w:pPr>
      <w:r>
        <w:rPr>
          <w:i/>
        </w:rPr>
        <w:tab/>
      </w:r>
      <w:r w:rsidRPr="00E6687D">
        <w:rPr>
          <w:i/>
        </w:rPr>
        <w:t>Informe sobre el seguimiento de las observaciones finales</w:t>
      </w:r>
    </w:p>
    <w:p w:rsidR="0037407C" w:rsidRPr="00E6687D" w:rsidRDefault="0037407C" w:rsidP="0037407C">
      <w:pPr>
        <w:pStyle w:val="SingleTxtG"/>
        <w:jc w:val="left"/>
      </w:pPr>
      <w:r w:rsidRPr="00E6687D">
        <w:t xml:space="preserve">Examen de las comunicaciones </w:t>
      </w:r>
      <w:r>
        <w:t>presentadas</w:t>
      </w:r>
      <w:r w:rsidRPr="00E6687D">
        <w:t xml:space="preserve"> en virtud del artículo 22 de la Convención </w:t>
      </w:r>
      <w:r w:rsidRPr="0037407C">
        <w:rPr>
          <w:i/>
        </w:rPr>
        <w:t>(</w:t>
      </w:r>
      <w:r w:rsidRPr="00E6687D">
        <w:rPr>
          <w:i/>
        </w:rPr>
        <w:t>continuación</w:t>
      </w:r>
      <w:r w:rsidRPr="0037407C">
        <w:rPr>
          <w:i/>
        </w:rPr>
        <w:t>)</w:t>
      </w:r>
    </w:p>
    <w:p w:rsidR="0037407C" w:rsidRDefault="0037407C" w:rsidP="0037407C">
      <w:pPr>
        <w:pStyle w:val="SingleTxtG"/>
        <w:rPr>
          <w:i/>
        </w:rPr>
      </w:pPr>
      <w:r>
        <w:rPr>
          <w:i/>
        </w:rPr>
        <w:tab/>
      </w:r>
      <w:r w:rsidRPr="00E6687D">
        <w:rPr>
          <w:i/>
        </w:rPr>
        <w:t>Informe sobre el seguimiento de las comunicaciones</w:t>
      </w:r>
    </w:p>
    <w:p w:rsidR="00537021" w:rsidRPr="00537021" w:rsidRDefault="00537021" w:rsidP="00537021">
      <w:pPr>
        <w:pStyle w:val="SingleTxtG"/>
        <w:rPr>
          <w:i/>
        </w:rPr>
      </w:pPr>
      <w:r>
        <w:br w:type="page"/>
      </w:r>
      <w:r w:rsidRPr="00537021">
        <w:rPr>
          <w:i/>
        </w:rPr>
        <w:t>En ausencia del Presidente, el Sr. Wang Xuexian, Vicepresidente, ocupa la Presidencia.</w:t>
      </w:r>
    </w:p>
    <w:p w:rsidR="00537021" w:rsidRPr="00537021" w:rsidRDefault="00537021" w:rsidP="00537021">
      <w:pPr>
        <w:pStyle w:val="SingleTxtG"/>
        <w:rPr>
          <w:i/>
        </w:rPr>
      </w:pPr>
      <w:r w:rsidRPr="00537021">
        <w:rPr>
          <w:i/>
        </w:rPr>
        <w:t>Se declara abierta la sesión a las 10.15 horas.</w:t>
      </w:r>
    </w:p>
    <w:p w:rsidR="00537021" w:rsidRPr="00537021" w:rsidRDefault="00537021" w:rsidP="00537021">
      <w:pPr>
        <w:pStyle w:val="H23G"/>
      </w:pPr>
      <w:r>
        <w:tab/>
      </w:r>
      <w:r>
        <w:tab/>
      </w:r>
      <w:r w:rsidRPr="00537021">
        <w:t xml:space="preserve">Examen de los informes presentados por los </w:t>
      </w:r>
      <w:r w:rsidR="003D27E9">
        <w:t xml:space="preserve">Estados </w:t>
      </w:r>
      <w:r w:rsidRPr="00537021">
        <w:t>partes en virtud del</w:t>
      </w:r>
      <w:r w:rsidRPr="00537021">
        <w:br/>
        <w:t xml:space="preserve">artículo 19 de la Convención </w:t>
      </w:r>
      <w:r w:rsidRPr="00537021">
        <w:rPr>
          <w:b w:val="0"/>
          <w:i/>
        </w:rPr>
        <w:t>(continuación)</w:t>
      </w:r>
    </w:p>
    <w:p w:rsidR="00537021" w:rsidRPr="00537021" w:rsidRDefault="00537021" w:rsidP="00537021">
      <w:pPr>
        <w:pStyle w:val="H4G"/>
      </w:pPr>
      <w:r>
        <w:tab/>
      </w:r>
      <w:r>
        <w:tab/>
      </w:r>
      <w:r w:rsidRPr="00537021">
        <w:t xml:space="preserve">Informe sobre el seguimiento de las observaciones finales </w:t>
      </w:r>
      <w:r w:rsidRPr="00537021">
        <w:rPr>
          <w:i w:val="0"/>
        </w:rPr>
        <w:t>(documentos sin signatura distribuidos en sala, en inglés únicamente)</w:t>
      </w:r>
    </w:p>
    <w:p w:rsidR="00537021" w:rsidRPr="00537021" w:rsidRDefault="00537021" w:rsidP="00537021">
      <w:pPr>
        <w:pStyle w:val="SingleTxtG"/>
      </w:pPr>
      <w:r w:rsidRPr="00537021">
        <w:t>1.</w:t>
      </w:r>
      <w:r w:rsidRPr="00537021">
        <w:tab/>
      </w:r>
      <w:r w:rsidRPr="00537021">
        <w:rPr>
          <w:b/>
        </w:rPr>
        <w:t>La Sra. Gaer</w:t>
      </w:r>
      <w:r w:rsidRPr="00537021">
        <w:t xml:space="preserve"> (Relatora para el seguimiento de las observaciones finales) dice que el proceso de seguimiento se instituyó en 2003. Señala a la atención de los presentes el análisis informal de la situación actual que figura en tres documentos distribuidos al Comité.</w:t>
      </w:r>
    </w:p>
    <w:p w:rsidR="00537021" w:rsidRPr="00537021" w:rsidRDefault="00537021" w:rsidP="00537021">
      <w:pPr>
        <w:pStyle w:val="SingleTxtG"/>
      </w:pPr>
      <w:r w:rsidRPr="00537021">
        <w:t>2.</w:t>
      </w:r>
      <w:r w:rsidRPr="00537021">
        <w:tab/>
        <w:t>En el primer documento figura una lista de temas que el Comité ha señalado en sus observaciones finales, en el período comprendido entre el 30º y el 46º período de sesiones, para el seguimiento por los Estados partes.</w:t>
      </w:r>
    </w:p>
    <w:p w:rsidR="00537021" w:rsidRPr="00537021" w:rsidRDefault="00537021" w:rsidP="00537021">
      <w:pPr>
        <w:pStyle w:val="SingleTxtG"/>
      </w:pPr>
      <w:r w:rsidRPr="00537021">
        <w:t>3.</w:t>
      </w:r>
      <w:r w:rsidRPr="00537021">
        <w:tab/>
        <w:t xml:space="preserve">El segundo documento contiene cuadros en los que se presentan las tendencias en relación con los temas señalados por el Comité. Desde el inicio del proceso, 109 Estados partes han sido examinados en una ocasión y 92 en dos ocasiones. También se indica el número de temas que serán objeto de seguimiento en cada </w:t>
      </w:r>
      <w:r>
        <w:t>Estado parte</w:t>
      </w:r>
      <w:r w:rsidRPr="00537021">
        <w:t>. Las cuestiones que se han planteado con más frecuencia son: las investigaciones prontas, imparciales y efectivas; el enjuiciamiento y castigo de las personas responsables de infracciones de la Convención; la aplicación de salvaguardias legales fundamentales; el establecimiento del derecho a presentar quejas y el examen de los casos; y la formación y la sensibilización.</w:t>
      </w:r>
    </w:p>
    <w:p w:rsidR="00537021" w:rsidRPr="00537021" w:rsidRDefault="00537021" w:rsidP="00537021">
      <w:pPr>
        <w:pStyle w:val="SingleTxtG"/>
      </w:pPr>
      <w:r w:rsidRPr="00537021">
        <w:t>4.</w:t>
      </w:r>
      <w:r w:rsidRPr="00537021">
        <w:tab/>
        <w:t>El tercer documento compara las cuestiones objeto de seguimiento incluidas en las observaciones finales con las preguntas planteadas en las listas de cuestiones previas a la presentación de informes, el nuevo procedimiento introducido en 2009. En las observaciones finales se solicita a los Estados partes que proporcionen la información de seguimiento en el plazo de un año. Entre el 70% y el 75% de los Estados partes proporcionan dicha información dentro del plazo; otros se toman más tiempo y otros no llegan a responder. La lista de cuestiones previa a la presentación de informes contiene preguntas de seguimiento que tratan todas las cuestiones. La Sra. Gaer pide a la secretaría que indique con cuánto tiempo cuentan aproximadamente los Estados partes para presentar su informe desde la publicación de las listas.</w:t>
      </w:r>
    </w:p>
    <w:p w:rsidR="00537021" w:rsidRPr="00537021" w:rsidRDefault="00537021" w:rsidP="00537021">
      <w:pPr>
        <w:pStyle w:val="SingleTxtG"/>
      </w:pPr>
      <w:r w:rsidRPr="00537021">
        <w:t>5.</w:t>
      </w:r>
      <w:r w:rsidRPr="00537021">
        <w:tab/>
      </w:r>
      <w:r w:rsidRPr="00537021">
        <w:rPr>
          <w:b/>
        </w:rPr>
        <w:t>El</w:t>
      </w:r>
      <w:r w:rsidRPr="00537021">
        <w:t xml:space="preserve"> </w:t>
      </w:r>
      <w:r w:rsidRPr="00537021">
        <w:rPr>
          <w:b/>
        </w:rPr>
        <w:t>Sr. Nataf</w:t>
      </w:r>
      <w:r w:rsidRPr="00537021">
        <w:t xml:space="preserve"> (Secretario del Comité) dice que los Estados deben presentar sus informes cada cuatro años. La lista de cuestiones previa a la presentación de los informes se envía a los Estados partes inmediatamente después de </w:t>
      </w:r>
      <w:r w:rsidR="00671EF6">
        <w:t>su aprobación por el Comité. El </w:t>
      </w:r>
      <w:r w:rsidRPr="00537021">
        <w:t>plazo para dar una respuesta depende del período de sesiones en que se haya aprobado la lista. El plazo para las listas aprobadas en el período de sesiones de mayo es ligeramente más largo que el de las listas aprobadas en el período de sesiones de noviembre. No obstante, nunca es inferior a 16 meses, y a menudo es de unos 18 meses. Muy pocos Estados responden a tiempo; a la mayoría les lleva entre 18 meses y 2 años.</w:t>
      </w:r>
    </w:p>
    <w:p w:rsidR="00537021" w:rsidRPr="00537021" w:rsidRDefault="00537021" w:rsidP="00537021">
      <w:pPr>
        <w:pStyle w:val="SingleTxtG"/>
      </w:pPr>
      <w:r w:rsidRPr="00537021">
        <w:t>6.</w:t>
      </w:r>
      <w:r w:rsidRPr="00537021">
        <w:tab/>
      </w:r>
      <w:r w:rsidRPr="00537021">
        <w:rPr>
          <w:b/>
        </w:rPr>
        <w:t>La Sra. Gaer</w:t>
      </w:r>
      <w:r w:rsidRPr="00537021">
        <w:t xml:space="preserve"> dice que la información de seguimiento presentada por los Estados partes se somete a examen y que, si es necesario, se redacta una carta solicitando más información. Las instrucciones que rigen la preparación de las listas de cuestiones previas a la presentación de los informes se han modificado para que las listas reflejen tanto la información relativa al seguimiento como las solicitudes adicionales de información.</w:t>
      </w:r>
    </w:p>
    <w:p w:rsidR="00537021" w:rsidRPr="00537021" w:rsidRDefault="00537021" w:rsidP="00537021">
      <w:pPr>
        <w:pStyle w:val="SingleTxtG"/>
      </w:pPr>
      <w:r w:rsidRPr="00537021">
        <w:t>7.</w:t>
      </w:r>
      <w:r w:rsidRPr="00537021">
        <w:tab/>
        <w:t xml:space="preserve">El documento que compara las cuestiones objeto de seguimiento con las listas de cuestiones previas a la presentación de informes se centra en cinco Estados partes; dos de América Latina, dos de </w:t>
      </w:r>
      <w:r>
        <w:t>Europa Oriental</w:t>
      </w:r>
      <w:r w:rsidRPr="00537021">
        <w:t xml:space="preserve"> y uno de </w:t>
      </w:r>
      <w:r>
        <w:t>Europa Occidental</w:t>
      </w:r>
      <w:r w:rsidRPr="00537021">
        <w:t>. En la mayoría de los casos, las cuestiones objeto de seguimiento se han incorporado en las listas de cuestiones previas a la presentación de informes. Sin embargo, cuando la respuesta relativa al seguimiento llega tarde y trata demasiadas cuestiones, toma mucho tiempo examinarla y, en ese lapso, el Estado puede recibir la lista de cuestiones previas a la presentación del siguiente informe. Por tanto, quizá debería reducirse el número de cuestiones objeto de seguimiento, dado que más de la mitad de los Estados partes han estado recibiendo seis solicitudes o más en relación con el seguimiento, en lugar de entre tres y cinco, que era lo que se había acordado al principio.</w:t>
      </w:r>
    </w:p>
    <w:p w:rsidR="00537021" w:rsidRPr="00537021" w:rsidRDefault="00537021" w:rsidP="00537021">
      <w:pPr>
        <w:pStyle w:val="SingleTxtG"/>
      </w:pPr>
      <w:r w:rsidRPr="00537021">
        <w:t>8.</w:t>
      </w:r>
      <w:r w:rsidRPr="00537021">
        <w:tab/>
        <w:t xml:space="preserve">La oradora se refiere a la sección del primer documento que concierne a los períodos de sesiones 45º y 46º, y apunta que en el informe de Bosnia y Herzegovina </w:t>
      </w:r>
      <w:r>
        <w:t>solo</w:t>
      </w:r>
      <w:r w:rsidRPr="00537021">
        <w:t xml:space="preserve"> se señalan cuatro párrafos pero en la práctica se pide información de seguimiento relativa a 9 o 10 cuestiones. En el caso de Camboya se señalan cinco párrafos, pero el párrafo 14 trata un gran número de cuestiones. El peor es el caso del Ecuador, donde cada uno de los cinco párrafos abarca un amplio abanico de cuestiones. La situación no mejoró mucho en el 46º período de sesiones, en que se examinaron ocho Estados partes. Incluso cuando </w:t>
      </w:r>
      <w:r>
        <w:t>solo</w:t>
      </w:r>
      <w:r w:rsidRPr="00537021">
        <w:t xml:space="preserve"> se señalan tres párrafos, el número de cuestiones sigue siendo muy elevado.</w:t>
      </w:r>
    </w:p>
    <w:p w:rsidR="00537021" w:rsidRPr="00537021" w:rsidRDefault="00537021" w:rsidP="00537021">
      <w:pPr>
        <w:pStyle w:val="SingleTxtG"/>
      </w:pPr>
      <w:r w:rsidRPr="00537021">
        <w:t>9.</w:t>
      </w:r>
      <w:r w:rsidRPr="00537021">
        <w:tab/>
        <w:t>Por tanto, la Relatora propone que en sus observaciones finales, el Comité señale temas de seguimiento en lugar de párrafos, sobre todo porque el procedimiento de la lista de cuestiones previa a la presentación de informes ya ha sido aprobado por un gran número de Estados partes.</w:t>
      </w:r>
    </w:p>
    <w:p w:rsidR="00537021" w:rsidRPr="00537021" w:rsidRDefault="00537021" w:rsidP="00537021">
      <w:pPr>
        <w:pStyle w:val="SingleTxtG"/>
      </w:pPr>
      <w:r w:rsidRPr="00537021">
        <w:t>10.</w:t>
      </w:r>
      <w:r w:rsidRPr="00537021">
        <w:tab/>
        <w:t>Las cuestiones objeto de seguimiento más frecuentes varían entre las diferentes regiones. Por ejemplo, las cuestiones más frecuentemente abordadas en los Estados pertenecientes al Grupo de los Estados de Europa Occidental y otros Estados coinciden, en su mayoría, con las del resto de regiones; pero otro asunto importante es el de los migrantes, la no devolución y los centros de internamiento para los solicitantes de asilo y otros migrantes. Las cuatro primeras cuestiones importantes en la región de Europa Occidental son las de la lista global, pero la quinta no es la capacitación, sino la protección de niños y menores. En la región de África, la quinta cuestión tiende a ser los mecanismos de reparación e indemnización en virtud del artículo 14 de la Convención. La cuarta cuestión en la región de Asia y el Pacífico suele referirse a las prácticas de detención y castigo y la quinta, a la vigilancia de los lugares de detención por parte de un órgano independiente. En la región de América Latina y el Caribe, la tercera cuestión suele ser la violencia de género o la trata ilegal; la cuarta cuestión, la capacitación y sensibilización y la quinta, la reparación, la indemnización y la rehabilitación.</w:t>
      </w:r>
    </w:p>
    <w:p w:rsidR="00537021" w:rsidRPr="00537021" w:rsidRDefault="00537021" w:rsidP="00537021">
      <w:pPr>
        <w:pStyle w:val="SingleTxtG"/>
      </w:pPr>
      <w:r w:rsidRPr="00537021">
        <w:t>11.</w:t>
      </w:r>
      <w:r w:rsidRPr="00537021">
        <w:tab/>
        <w:t>Para resumir, en el futuro el Comité debe actuar con mayor disciplina, limitándose a las siguientes tres cuestiones: la necesidad de investigaciones prontas, imparciales y efectivas; la garantía de juicios y sanciones efectivos; y la existencia de salvaguardias legales fundamentales. Naturalmente, los temas pueden adaptarse a cada Estado parte en función del examen.</w:t>
      </w:r>
    </w:p>
    <w:p w:rsidR="00537021" w:rsidRPr="00537021" w:rsidRDefault="00537021" w:rsidP="00537021">
      <w:pPr>
        <w:pStyle w:val="SingleTxtG"/>
      </w:pPr>
      <w:r w:rsidRPr="00537021">
        <w:t>12.</w:t>
      </w:r>
      <w:r w:rsidRPr="00537021">
        <w:rPr>
          <w:b/>
        </w:rPr>
        <w:tab/>
        <w:t>El Presidente</w:t>
      </w:r>
      <w:r w:rsidRPr="00537021">
        <w:t xml:space="preserve"> felicita calurosamente a la Relatora por la profundidad de su análisis y por sus orientaciones.</w:t>
      </w:r>
    </w:p>
    <w:p w:rsidR="00537021" w:rsidRPr="00537021" w:rsidRDefault="00537021" w:rsidP="00537021">
      <w:pPr>
        <w:pStyle w:val="SingleTxtG"/>
      </w:pPr>
      <w:r w:rsidRPr="00537021">
        <w:t>13.</w:t>
      </w:r>
      <w:r w:rsidRPr="00537021">
        <w:tab/>
      </w:r>
      <w:r w:rsidRPr="00537021">
        <w:rPr>
          <w:b/>
        </w:rPr>
        <w:t>La Sra. Sveaass</w:t>
      </w:r>
      <w:r w:rsidRPr="00537021">
        <w:t xml:space="preserve"> propone que al tema de las salvaguardias legales fundamentales y las investigaciones se añada el de la vigilancia con fines preventivos. También recomienda que el Comité se centre en los menores, sobre todo a raíz de la información aportada recientemente por los medios y las </w:t>
      </w:r>
      <w:r>
        <w:t>organizaciones no gubernamentales</w:t>
      </w:r>
      <w:r w:rsidRPr="00537021">
        <w:t xml:space="preserve"> sobre el trato inhumano hacia los niños en ciertos Estados partes.</w:t>
      </w:r>
    </w:p>
    <w:p w:rsidR="00537021" w:rsidRPr="00537021" w:rsidRDefault="00537021" w:rsidP="00537021">
      <w:pPr>
        <w:pStyle w:val="SingleTxtG"/>
      </w:pPr>
      <w:r w:rsidRPr="00537021">
        <w:t>14.</w:t>
      </w:r>
      <w:r w:rsidRPr="00537021">
        <w:tab/>
      </w:r>
      <w:r w:rsidRPr="00537021">
        <w:rPr>
          <w:b/>
        </w:rPr>
        <w:t>La Sra. Belmir</w:t>
      </w:r>
      <w:r w:rsidRPr="00537021">
        <w:t xml:space="preserve"> dice que las preguntas del Comité deben ser más dinámicas y específicas. Las respuestas de los Estados partes a sus preguntas clásicas, más bien estáticas, tienden a ser poco informativas. Es preferible centrarse en cuestiones prácticas y estadísticas. A los Estados partes que han cometido infracciones graves en el pasado, se les debería solicitar información sobre las medidas específicas que hayan tomado para combatir la impunidad y la indemnización que se haya otorgado a los grupos vulnerables. </w:t>
      </w:r>
    </w:p>
    <w:p w:rsidR="00537021" w:rsidRPr="00537021" w:rsidRDefault="00537021" w:rsidP="00537021">
      <w:pPr>
        <w:pStyle w:val="SingleTxtG"/>
      </w:pPr>
      <w:r w:rsidRPr="00537021">
        <w:t>15.</w:t>
      </w:r>
      <w:r w:rsidRPr="00537021">
        <w:tab/>
      </w:r>
      <w:r w:rsidRPr="00537021">
        <w:rPr>
          <w:b/>
        </w:rPr>
        <w:t>El</w:t>
      </w:r>
      <w:r w:rsidRPr="00537021">
        <w:t xml:space="preserve"> </w:t>
      </w:r>
      <w:r w:rsidRPr="00537021">
        <w:rPr>
          <w:b/>
        </w:rPr>
        <w:t>Sr. Bruni</w:t>
      </w:r>
      <w:r w:rsidRPr="00537021">
        <w:t xml:space="preserve"> dice estar totalmente de acuerdo con las propuestas de la Relatora, ya que simplifican el proceso de toma de decisiones del Comité. Las tres cuestiones mencionadas por ella son prácticas y amplias. Podrían incluirse una o dos cuestiones adicionales si lo exigiese la situación concreta de un </w:t>
      </w:r>
      <w:r>
        <w:t>Estado parte</w:t>
      </w:r>
      <w:r w:rsidRPr="00537021">
        <w:t>, pero no más.</w:t>
      </w:r>
    </w:p>
    <w:p w:rsidR="00537021" w:rsidRPr="00537021" w:rsidRDefault="00537021" w:rsidP="00537021">
      <w:pPr>
        <w:pStyle w:val="SingleTxtG"/>
      </w:pPr>
      <w:r w:rsidRPr="00537021">
        <w:t>16.</w:t>
      </w:r>
      <w:r w:rsidRPr="00537021">
        <w:tab/>
      </w:r>
      <w:r w:rsidRPr="00537021">
        <w:rPr>
          <w:b/>
        </w:rPr>
        <w:t>El</w:t>
      </w:r>
      <w:r w:rsidRPr="00537021">
        <w:t xml:space="preserve"> </w:t>
      </w:r>
      <w:r w:rsidRPr="00537021">
        <w:rPr>
          <w:b/>
        </w:rPr>
        <w:t>Sr. Mariño Menéndez</w:t>
      </w:r>
      <w:r w:rsidRPr="00537021">
        <w:t xml:space="preserve"> acoge con agrado las recomendaciones de la Sra. Gaer, que harán que la labor del Comité sea más eficiente. Propone que el principio de señalar tres cuestiones comunes a todos los Estados partes y afinarlas</w:t>
      </w:r>
      <w:r>
        <w:t>,</w:t>
      </w:r>
      <w:r w:rsidRPr="00537021">
        <w:t xml:space="preserve"> o de seleccionar temas adicionales que tengan en cuenta sus circunstancias particulares se aplique durante un período de prueba. También destaca la importancia de la reparación como posible tema de seguimiento. Una mayor coordinación con el Subcomité para la Prevención de la Tortura y Otros Tratos o Penas Crueles, Inhumanos o Degradantes podría ayudar al Comité a formular preguntas más específicas, dada la experiencia del Subcomité sobre el terreno.</w:t>
      </w:r>
    </w:p>
    <w:p w:rsidR="00537021" w:rsidRPr="00537021" w:rsidRDefault="00537021" w:rsidP="00537021">
      <w:pPr>
        <w:pStyle w:val="SingleTxtG"/>
      </w:pPr>
      <w:r w:rsidRPr="00537021">
        <w:t>17.</w:t>
      </w:r>
      <w:r w:rsidRPr="00537021">
        <w:tab/>
        <w:t xml:space="preserve">No habiendo más comentarios por parte del público, </w:t>
      </w:r>
      <w:r w:rsidRPr="00537021">
        <w:rPr>
          <w:b/>
        </w:rPr>
        <w:t>el Presidente</w:t>
      </w:r>
      <w:r w:rsidRPr="00537021">
        <w:t xml:space="preserve"> invita a la Sra. Gaer a responder a las observaciones que se han realizado.</w:t>
      </w:r>
    </w:p>
    <w:p w:rsidR="00537021" w:rsidRPr="00537021" w:rsidRDefault="00537021" w:rsidP="00537021">
      <w:pPr>
        <w:pStyle w:val="SingleTxtG"/>
      </w:pPr>
      <w:r w:rsidRPr="00537021">
        <w:t>18.</w:t>
      </w:r>
      <w:r w:rsidRPr="00537021">
        <w:tab/>
      </w:r>
      <w:r w:rsidRPr="00537021">
        <w:rPr>
          <w:b/>
        </w:rPr>
        <w:t>La Sra. Gaer</w:t>
      </w:r>
      <w:r w:rsidRPr="00537021">
        <w:t xml:space="preserve"> acoge con agrado la propuesta del Sr. Mariño Menéndez y propone que se siga en lo que resta del período de sesiones. Sus gráficos muestran que el Comité ya venía siguiendo esta tendencia, dada la frecuencia con que se ha señalado la necesidad de dar seguimiento a las cuestiones relacionadas con la investigación pronta, imparcial y efectiva, el enjuiciamiento y el castigo de los autores de delitos, y las salvaguardias legales fundamentales. Si esta práctica estuviese institucionalizada, sería posible medir su impacto en la aplicación de la Convención. La Relatora destaca la necesidad de evitar que se superponga con las listas de cuestiones previas a la presentación de informes.</w:t>
      </w:r>
    </w:p>
    <w:p w:rsidR="00537021" w:rsidRPr="00537021" w:rsidRDefault="00537021" w:rsidP="00537021">
      <w:pPr>
        <w:pStyle w:val="SingleTxtG"/>
      </w:pPr>
      <w:r w:rsidRPr="00537021">
        <w:t>19.</w:t>
      </w:r>
      <w:r w:rsidRPr="00537021">
        <w:tab/>
      </w:r>
      <w:r w:rsidRPr="00537021">
        <w:rPr>
          <w:b/>
        </w:rPr>
        <w:t>La Sra. Sveaass</w:t>
      </w:r>
      <w:r w:rsidRPr="00537021">
        <w:t xml:space="preserve"> señala que el hecho de que la Convención se aplique a todas las formas de privación de la libertad, incluidos los hospitales psiquiátricos y otros centros similares, debe tenerse en mente cuando se solicite información acerca de las salvaguardias legales, al margen de que el tema se incluya entre las cuestiones objeto de seguimiento.</w:t>
      </w:r>
    </w:p>
    <w:p w:rsidR="00537021" w:rsidRPr="00537021" w:rsidRDefault="00537021" w:rsidP="00537021">
      <w:pPr>
        <w:pStyle w:val="SingleTxtG"/>
      </w:pPr>
      <w:r w:rsidRPr="00537021">
        <w:t>20.</w:t>
      </w:r>
      <w:r w:rsidRPr="00537021">
        <w:rPr>
          <w:b/>
        </w:rPr>
        <w:tab/>
        <w:t>El Presidente</w:t>
      </w:r>
      <w:r w:rsidRPr="00537021">
        <w:t>, expresando nuevamente su reconocimiento a la Sra. Gaer por su valiosa contribución, propone que el Comité apruebe sus recomendaciones y que solicite a todos los relatores de países que las sigan a la hora de señalar los temas para el seguimiento.</w:t>
      </w:r>
    </w:p>
    <w:p w:rsidR="009654BC" w:rsidRDefault="00537021" w:rsidP="00537021">
      <w:pPr>
        <w:pStyle w:val="SingleTxtG"/>
      </w:pPr>
      <w:r w:rsidRPr="00537021">
        <w:t>21.</w:t>
      </w:r>
      <w:r w:rsidRPr="00537021">
        <w:tab/>
      </w:r>
      <w:r w:rsidRPr="00537021">
        <w:rPr>
          <w:b/>
        </w:rPr>
        <w:t>El</w:t>
      </w:r>
      <w:r w:rsidRPr="00537021">
        <w:t xml:space="preserve"> </w:t>
      </w:r>
      <w:r w:rsidRPr="00537021">
        <w:rPr>
          <w:b/>
        </w:rPr>
        <w:t>Sr. Bruni</w:t>
      </w:r>
      <w:r w:rsidRPr="00537021">
        <w:t xml:space="preserve"> pide que se le confirme si los tres temas destacados por la Sra. Gaer han de utilizarse para todos los Estados partes, además de uno o dos temas adicionales que se señalarán si es necesario.</w:t>
      </w:r>
    </w:p>
    <w:p w:rsidR="006B2B92" w:rsidRPr="008B44C0" w:rsidRDefault="006B2B92" w:rsidP="006B2B92">
      <w:pPr>
        <w:pStyle w:val="SingleTxtG"/>
      </w:pPr>
      <w:r>
        <w:t>22.</w:t>
      </w:r>
      <w:r>
        <w:tab/>
      </w:r>
      <w:r w:rsidRPr="008B44C0">
        <w:rPr>
          <w:b/>
        </w:rPr>
        <w:t>El Presidente</w:t>
      </w:r>
      <w:r w:rsidRPr="008B44C0">
        <w:t xml:space="preserve"> da una respuesta afirmativa y pregunta si el Comité está de acuerdo con su propuesta</w:t>
      </w:r>
      <w:r w:rsidR="00834883">
        <w:t>,</w:t>
      </w:r>
      <w:r w:rsidRPr="008B44C0">
        <w:t xml:space="preserve"> </w:t>
      </w:r>
      <w:r>
        <w:t>sobre la base de ese entendimiento</w:t>
      </w:r>
      <w:r w:rsidRPr="008B44C0">
        <w:t>.</w:t>
      </w:r>
    </w:p>
    <w:p w:rsidR="006B2B92" w:rsidRPr="008B44C0" w:rsidRDefault="006B2B92" w:rsidP="006B2B92">
      <w:pPr>
        <w:pStyle w:val="SingleTxtG"/>
        <w:rPr>
          <w:i/>
        </w:rPr>
      </w:pPr>
      <w:r>
        <w:t>23.</w:t>
      </w:r>
      <w:r>
        <w:tab/>
      </w:r>
      <w:r w:rsidRPr="008B44C0">
        <w:rPr>
          <w:i/>
        </w:rPr>
        <w:t xml:space="preserve">Así queda </w:t>
      </w:r>
      <w:r>
        <w:rPr>
          <w:i/>
        </w:rPr>
        <w:t>acordado</w:t>
      </w:r>
      <w:r w:rsidRPr="008B44C0">
        <w:rPr>
          <w:i/>
        </w:rPr>
        <w:t>.</w:t>
      </w:r>
    </w:p>
    <w:p w:rsidR="006B2B92" w:rsidRPr="0081007A" w:rsidRDefault="006B2B92" w:rsidP="006B2B92">
      <w:pPr>
        <w:pStyle w:val="H23G"/>
        <w:rPr>
          <w:b w:val="0"/>
          <w:i/>
        </w:rPr>
      </w:pPr>
      <w:r w:rsidRPr="008B44C0">
        <w:tab/>
      </w:r>
      <w:r w:rsidRPr="008B44C0">
        <w:tab/>
        <w:t xml:space="preserve">Examen de </w:t>
      </w:r>
      <w:r>
        <w:t>las comunicaciones presentadas en virtud del artículo 22 de la Convención </w:t>
      </w:r>
      <w:r w:rsidRPr="0081007A">
        <w:rPr>
          <w:b w:val="0"/>
          <w:i/>
        </w:rPr>
        <w:t>(continuación)</w:t>
      </w:r>
    </w:p>
    <w:p w:rsidR="006B2B92" w:rsidRPr="0081007A" w:rsidRDefault="006B2B92" w:rsidP="006B2B92">
      <w:pPr>
        <w:pStyle w:val="H4G"/>
        <w:rPr>
          <w:i w:val="0"/>
        </w:rPr>
      </w:pPr>
      <w:r>
        <w:tab/>
      </w:r>
      <w:r>
        <w:tab/>
      </w:r>
      <w:r w:rsidRPr="008B44C0">
        <w:t xml:space="preserve">Informe sobre el seguimiento de las comunicaciones </w:t>
      </w:r>
      <w:r w:rsidRPr="0081007A">
        <w:rPr>
          <w:i w:val="0"/>
        </w:rPr>
        <w:t>(CAT/C/47/3)</w:t>
      </w:r>
    </w:p>
    <w:p w:rsidR="006B2B92" w:rsidRPr="008B44C0" w:rsidRDefault="006B2B92" w:rsidP="006B2B92">
      <w:pPr>
        <w:pStyle w:val="SingleTxtG"/>
      </w:pPr>
      <w:r>
        <w:t>24.</w:t>
      </w:r>
      <w:r>
        <w:tab/>
      </w:r>
      <w:r w:rsidRPr="008B44C0">
        <w:rPr>
          <w:b/>
        </w:rPr>
        <w:t>El Presidente</w:t>
      </w:r>
      <w:r w:rsidRPr="008B44C0">
        <w:t xml:space="preserve"> dice que, </w:t>
      </w:r>
      <w:r>
        <w:t>si bien</w:t>
      </w:r>
      <w:r w:rsidRPr="008B44C0">
        <w:t xml:space="preserve"> uno de los asuntos que se examinará</w:t>
      </w:r>
      <w:r>
        <w:t>n</w:t>
      </w:r>
      <w:r w:rsidRPr="008B44C0">
        <w:t xml:space="preserve"> en relación con el tema del programa concierne al país de un miembro del Comité, el hecho de que ya se haya tomado una decisión al respecto y de que la sesión sea de carácter público permite que el miembro en cuestión participe en las deliberaciones.</w:t>
      </w:r>
    </w:p>
    <w:p w:rsidR="006B2B92" w:rsidRPr="008B44C0" w:rsidRDefault="006B2B92" w:rsidP="006B2B92">
      <w:pPr>
        <w:pStyle w:val="SingleTxtG"/>
      </w:pPr>
      <w:r>
        <w:t>25.</w:t>
      </w:r>
      <w:r>
        <w:tab/>
      </w:r>
      <w:r w:rsidRPr="008B44C0">
        <w:rPr>
          <w:b/>
        </w:rPr>
        <w:t>El Sr. Mariño Menéndez</w:t>
      </w:r>
      <w:r w:rsidRPr="008B44C0">
        <w:t xml:space="preserve"> (Relator para el seguimiento de las comunicaciones) presenta el proyecto de informe provisional para el seguimiento de las comunicaciones que figura en el documento CAT/C/47/3, donde se recogen casos de los</w:t>
      </w:r>
      <w:r>
        <w:t xml:space="preserve"> que han informado los Estados p</w:t>
      </w:r>
      <w:r w:rsidRPr="008B44C0">
        <w:t xml:space="preserve">artes o </w:t>
      </w:r>
      <w:r>
        <w:t>autores de las quejas</w:t>
      </w:r>
      <w:r w:rsidRPr="008B44C0">
        <w:t xml:space="preserve"> desde el último período de sesiones</w:t>
      </w:r>
      <w:r>
        <w:t xml:space="preserve"> del Comité</w:t>
      </w:r>
      <w:r w:rsidRPr="008B44C0">
        <w:t xml:space="preserve">. </w:t>
      </w:r>
      <w:r>
        <w:t>Teniendo en cuenta</w:t>
      </w:r>
      <w:r w:rsidRPr="008B44C0">
        <w:t xml:space="preserve"> la naturaleza de los asuntos, opina que es importante que el Comité e</w:t>
      </w:r>
      <w:r>
        <w:t>stablezca en qué circunstancias podría</w:t>
      </w:r>
      <w:r w:rsidRPr="008B44C0">
        <w:t xml:space="preserve"> archivarse</w:t>
      </w:r>
      <w:r>
        <w:t xml:space="preserve"> un caso</w:t>
      </w:r>
      <w:r w:rsidRPr="008B44C0">
        <w:t xml:space="preserve"> sin infringir ninguno de los derechos consagrados en la Convención. Deberían tenerse en cuenta aspectos como los obstáculos legales a la aplicación plen</w:t>
      </w:r>
      <w:r>
        <w:t>a de decisiones de los Estados p</w:t>
      </w:r>
      <w:r w:rsidRPr="008B44C0">
        <w:t>artes, el logro de una reparación parcial y el paso del tiempo. Se p</w:t>
      </w:r>
      <w:r w:rsidR="00834883">
        <w:t>r</w:t>
      </w:r>
      <w:r w:rsidRPr="008B44C0">
        <w:t>egunta si los futuros informes deben incluir el seguimiento de las medidas provisionales de protección, que el Comité considera vinculantes en virtud de la Convención.</w:t>
      </w:r>
    </w:p>
    <w:p w:rsidR="006B2B92" w:rsidRPr="008B44C0" w:rsidRDefault="006B2B92" w:rsidP="006B2B92">
      <w:pPr>
        <w:pStyle w:val="SingleTxtG"/>
      </w:pPr>
      <w:r>
        <w:t>26.</w:t>
      </w:r>
      <w:r>
        <w:tab/>
      </w:r>
      <w:r w:rsidRPr="008B44C0">
        <w:t xml:space="preserve">El Comité llegó a una decisión en el caso </w:t>
      </w:r>
      <w:r w:rsidRPr="005259CC">
        <w:rPr>
          <w:i/>
        </w:rPr>
        <w:t>Ktiti c. Marruecos</w:t>
      </w:r>
      <w:r w:rsidRPr="008B44C0">
        <w:t xml:space="preserve"> en mayo de 2011, durante su 46</w:t>
      </w:r>
      <w:r>
        <w:t>º</w:t>
      </w:r>
      <w:r w:rsidRPr="008B44C0">
        <w:t xml:space="preserve"> período de sesiones; sin embargo, durante el examen del cuart</w:t>
      </w:r>
      <w:r>
        <w:t>o informe periódico del Estado p</w:t>
      </w:r>
      <w:r w:rsidRPr="008B44C0">
        <w:t>arte en el presente período de sesiones, los com</w:t>
      </w:r>
      <w:r>
        <w:t>entarios de la delegación m</w:t>
      </w:r>
      <w:r w:rsidRPr="008B44C0">
        <w:t>arroquí pusier</w:t>
      </w:r>
      <w:r>
        <w:t>on de manifiesto que el Estado p</w:t>
      </w:r>
      <w:r w:rsidRPr="008B44C0">
        <w:t xml:space="preserve">arte no </w:t>
      </w:r>
      <w:r>
        <w:t>consideraba</w:t>
      </w:r>
      <w:r w:rsidRPr="008B44C0">
        <w:t xml:space="preserve"> esta decisión como definitiva. El Comité </w:t>
      </w:r>
      <w:r>
        <w:t>determinó</w:t>
      </w:r>
      <w:r w:rsidRPr="008B44C0">
        <w:t xml:space="preserve"> que</w:t>
      </w:r>
      <w:r>
        <w:t xml:space="preserve"> la extradición del Sr. </w:t>
      </w:r>
      <w:r w:rsidRPr="008B44C0">
        <w:t xml:space="preserve">Ktiti a Argelia </w:t>
      </w:r>
      <w:r>
        <w:t>infringiría la Convención; el Estado parte sigue hablando de "posponer"</w:t>
      </w:r>
      <w:r w:rsidRPr="008B44C0">
        <w:t xml:space="preserve"> la extradición. En respuesta al traslado del Sr. Ktiti a otro lugar de detención, sus parientes pidieron al Comité, el 16 de noviembre de </w:t>
      </w:r>
      <w:r>
        <w:t>2011, que solicitase al Estado p</w:t>
      </w:r>
      <w:r w:rsidRPr="008B44C0">
        <w:t>arte información</w:t>
      </w:r>
      <w:r>
        <w:t xml:space="preserve"> actualizada</w:t>
      </w:r>
      <w:r w:rsidRPr="008B44C0">
        <w:t xml:space="preserve"> sobre la situación actual del </w:t>
      </w:r>
      <w:r>
        <w:t>autor de la queja</w:t>
      </w:r>
      <w:r w:rsidRPr="008B44C0">
        <w:t xml:space="preserve">. El orador propone que el Comité continúe </w:t>
      </w:r>
      <w:r>
        <w:t>dando seguimiento a</w:t>
      </w:r>
      <w:r w:rsidRPr="008B44C0">
        <w:t xml:space="preserve">l caso con el fin de asegurar que su decisión se </w:t>
      </w:r>
      <w:r>
        <w:t>haga</w:t>
      </w:r>
      <w:r w:rsidRPr="008B44C0">
        <w:t xml:space="preserve"> efectiva.</w:t>
      </w:r>
    </w:p>
    <w:p w:rsidR="006B2B92" w:rsidRPr="009E5B99" w:rsidRDefault="006B2B92" w:rsidP="006B2B92">
      <w:pPr>
        <w:pStyle w:val="SingleTxtG"/>
        <w:rPr>
          <w:i/>
        </w:rPr>
      </w:pPr>
      <w:r>
        <w:t>27.</w:t>
      </w:r>
      <w:r>
        <w:tab/>
      </w:r>
      <w:r w:rsidRPr="009E5B99">
        <w:rPr>
          <w:i/>
        </w:rPr>
        <w:t>Así queda acordado.</w:t>
      </w:r>
    </w:p>
    <w:p w:rsidR="006B2B92" w:rsidRPr="008B44C0" w:rsidRDefault="006B2B92" w:rsidP="006B2B92">
      <w:pPr>
        <w:pStyle w:val="SingleTxtG"/>
      </w:pPr>
      <w:r>
        <w:t>28.</w:t>
      </w:r>
      <w:r>
        <w:tab/>
        <w:t>Refiriéndose al</w:t>
      </w:r>
      <w:r w:rsidRPr="008B44C0">
        <w:t xml:space="preserve"> histórico caso de </w:t>
      </w:r>
      <w:r w:rsidRPr="005259CC">
        <w:rPr>
          <w:i/>
        </w:rPr>
        <w:t>Guengueng c. el Senegal</w:t>
      </w:r>
      <w:r>
        <w:t>, sobre el no enjuiciamiento ni extradición por el Estado p</w:t>
      </w:r>
      <w:r w:rsidRPr="008B44C0">
        <w:t xml:space="preserve">arte </w:t>
      </w:r>
      <w:r>
        <w:t>de</w:t>
      </w:r>
      <w:r w:rsidRPr="008B44C0">
        <w:t xml:space="preserve"> Hissène Habré, </w:t>
      </w:r>
      <w:r>
        <w:t>ex</w:t>
      </w:r>
      <w:r w:rsidRPr="008B44C0">
        <w:t xml:space="preserve"> Presidente del Chad, </w:t>
      </w:r>
      <w:r w:rsidRPr="00834883">
        <w:t xml:space="preserve">el </w:t>
      </w:r>
      <w:r w:rsidRPr="00793CC3">
        <w:rPr>
          <w:b/>
        </w:rPr>
        <w:t>Sr. Mariño Menéndez</w:t>
      </w:r>
      <w:r w:rsidRPr="008B44C0">
        <w:t xml:space="preserve"> dice que todavía está pendiente una solicitud de extradición presentada por Bélgica ante la Corte Intern</w:t>
      </w:r>
      <w:r>
        <w:t>acional de Justicia. El Estado p</w:t>
      </w:r>
      <w:r w:rsidRPr="008B44C0">
        <w:t>arte declaró que el Sr. Habré no podía ser procesado en virtud de su legislación y las autoridades del Chad anunciaron que preferirían que fuese extraditado y p</w:t>
      </w:r>
      <w:r>
        <w:t>rocesado en Bélgica. El Estado p</w:t>
      </w:r>
      <w:r w:rsidRPr="008B44C0">
        <w:t xml:space="preserve">arte ha demostrado buena voluntad en relación con este asunto, también durante la visita de una delegación del Comité, pero aun así habría que recordarle sus obligaciones en virtud del principio </w:t>
      </w:r>
      <w:r w:rsidRPr="00793CC3">
        <w:rPr>
          <w:i/>
        </w:rPr>
        <w:t>aut dedere aut judicare</w:t>
      </w:r>
      <w:r w:rsidRPr="008B44C0">
        <w:t xml:space="preserve"> y de la decisión del Comité.</w:t>
      </w:r>
    </w:p>
    <w:p w:rsidR="006B2B92" w:rsidRPr="008B44C0" w:rsidRDefault="006B2B92" w:rsidP="006B2B92">
      <w:pPr>
        <w:pStyle w:val="SingleTxtG"/>
      </w:pPr>
      <w:r>
        <w:t>29.</w:t>
      </w:r>
      <w:r>
        <w:tab/>
      </w:r>
      <w:r w:rsidRPr="002D7C46">
        <w:rPr>
          <w:b/>
        </w:rPr>
        <w:t>La Sra. Sveaass</w:t>
      </w:r>
      <w:r w:rsidRPr="008B44C0">
        <w:t xml:space="preserve"> opina que el Comité debe dictar una decisión firme que vaya más allá del simple seguimiento de su decisión </w:t>
      </w:r>
      <w:r>
        <w:t>anterior</w:t>
      </w:r>
      <w:r w:rsidRPr="008B44C0">
        <w:t xml:space="preserve">, dada la importancia de </w:t>
      </w:r>
      <w:r>
        <w:t>luchar contra la impunidad por la Comisión de</w:t>
      </w:r>
      <w:r w:rsidRPr="008B44C0">
        <w:t xml:space="preserve"> los delitos previstos en la Convención.</w:t>
      </w:r>
    </w:p>
    <w:p w:rsidR="006B2B92" w:rsidRPr="008B44C0" w:rsidRDefault="006B2B92" w:rsidP="006B2B92">
      <w:pPr>
        <w:pStyle w:val="SingleTxtG"/>
      </w:pPr>
      <w:r>
        <w:t>30.</w:t>
      </w:r>
      <w:r>
        <w:tab/>
      </w:r>
      <w:r w:rsidRPr="00D31670">
        <w:rPr>
          <w:b/>
        </w:rPr>
        <w:t>El Sr. Bruni</w:t>
      </w:r>
      <w:r w:rsidRPr="008B44C0">
        <w:t xml:space="preserve"> comparte plenamente su opinión y recomienda qu</w:t>
      </w:r>
      <w:r>
        <w:t>e el Comité solicite al Estado p</w:t>
      </w:r>
      <w:r w:rsidRPr="008B44C0">
        <w:t>arte la extradición del Sr. Habré a Bélgica.</w:t>
      </w:r>
    </w:p>
    <w:p w:rsidR="006B2B92" w:rsidRPr="008B44C0" w:rsidRDefault="006B2B92" w:rsidP="006B2B92">
      <w:pPr>
        <w:pStyle w:val="SingleTxtG"/>
      </w:pPr>
      <w:r>
        <w:t>31.</w:t>
      </w:r>
      <w:r>
        <w:tab/>
      </w:r>
      <w:r w:rsidRPr="005F5117">
        <w:rPr>
          <w:b/>
        </w:rPr>
        <w:t>El Sr. Mariño Menéndez</w:t>
      </w:r>
      <w:r w:rsidRPr="008B44C0">
        <w:t xml:space="preserve"> señala que Bélgica no es el único Estado con competencia para juzgar al Sr. Habré.</w:t>
      </w:r>
    </w:p>
    <w:p w:rsidR="006B2B92" w:rsidRPr="008B44C0" w:rsidRDefault="006B2B92" w:rsidP="006B2B92">
      <w:pPr>
        <w:pStyle w:val="SingleTxtG"/>
      </w:pPr>
      <w:r>
        <w:t>32.</w:t>
      </w:r>
      <w:r>
        <w:tab/>
      </w:r>
      <w:r w:rsidRPr="00944361">
        <w:rPr>
          <w:b/>
        </w:rPr>
        <w:t>El Presidente</w:t>
      </w:r>
      <w:r w:rsidRPr="008B44C0">
        <w:t xml:space="preserve"> opina que es prematuro </w:t>
      </w:r>
      <w:r w:rsidR="00834883">
        <w:t>especificar cuá</w:t>
      </w:r>
      <w:r>
        <w:t>l es</w:t>
      </w:r>
      <w:r w:rsidRPr="008B44C0">
        <w:t xml:space="preserve"> la jurisdicción a la que debería extraditarse el Sr. Habré, dado que la última solicitud de Bélgica todavía sigue pendiente. No obstante,</w:t>
      </w:r>
      <w:r>
        <w:t xml:space="preserve"> se debería recordar al Estado p</w:t>
      </w:r>
      <w:r w:rsidRPr="008B44C0">
        <w:t>arte su obligación de procesar o extraditar al Sr. Habré.</w:t>
      </w:r>
    </w:p>
    <w:p w:rsidR="006B2B92" w:rsidRPr="008B44C0" w:rsidRDefault="006B2B92" w:rsidP="006B2B92">
      <w:pPr>
        <w:pStyle w:val="SingleTxtG"/>
      </w:pPr>
      <w:r>
        <w:t>33.</w:t>
      </w:r>
      <w:r>
        <w:tab/>
      </w:r>
      <w:r w:rsidRPr="00944361">
        <w:rPr>
          <w:b/>
        </w:rPr>
        <w:t>La Sra. Gaer</w:t>
      </w:r>
      <w:r w:rsidRPr="008B44C0">
        <w:t xml:space="preserve"> pide información adicional sobre el caso,</w:t>
      </w:r>
      <w:r>
        <w:t xml:space="preserve"> y</w:t>
      </w:r>
      <w:r w:rsidRPr="008B44C0">
        <w:t xml:space="preserve"> también en lo que concierne a la implicación de la Unión Africana. El principio</w:t>
      </w:r>
      <w:r>
        <w:t xml:space="preserve"> en juego está claro: el Estado </w:t>
      </w:r>
      <w:r w:rsidRPr="008B44C0">
        <w:t>parte debe procesar al Sr. Habré o extraditarlo para que se le juzgue en otro sitio. Se pregunta, sin embargo, si los demás detalles competen al Comité.</w:t>
      </w:r>
    </w:p>
    <w:p w:rsidR="006B2B92" w:rsidRPr="008B44C0" w:rsidRDefault="006B2B92" w:rsidP="006B2B92">
      <w:pPr>
        <w:pStyle w:val="SingleTxtG"/>
      </w:pPr>
      <w:r>
        <w:t>34.</w:t>
      </w:r>
      <w:r>
        <w:tab/>
      </w:r>
      <w:r w:rsidRPr="00944361">
        <w:rPr>
          <w:b/>
        </w:rPr>
        <w:t>La Sra. Sveaass</w:t>
      </w:r>
      <w:r w:rsidRPr="008B44C0">
        <w:t xml:space="preserve"> dice que la prioridad es garantizar que el Sr. Habr</w:t>
      </w:r>
      <w:r>
        <w:t>é sea juzgado. Si en el Estado p</w:t>
      </w:r>
      <w:r w:rsidRPr="008B44C0">
        <w:t>arte resulta imposible, lo lógico es que sea extraditado; no obstante, es aceptable formular cualquier recomendación de carácter general.</w:t>
      </w:r>
    </w:p>
    <w:p w:rsidR="006B2B92" w:rsidRPr="008B44C0" w:rsidRDefault="006B2B92" w:rsidP="006B2B92">
      <w:pPr>
        <w:pStyle w:val="SingleTxtG"/>
      </w:pPr>
      <w:r>
        <w:t>35.</w:t>
      </w:r>
      <w:r>
        <w:tab/>
      </w:r>
      <w:r w:rsidRPr="00944361">
        <w:rPr>
          <w:b/>
        </w:rPr>
        <w:t>El Sr. Mariño Menéndez</w:t>
      </w:r>
      <w:r w:rsidRPr="008B44C0">
        <w:t xml:space="preserve"> sugiere que </w:t>
      </w:r>
      <w:r>
        <w:t>se</w:t>
      </w:r>
      <w:r w:rsidRPr="008B44C0">
        <w:t xml:space="preserve"> </w:t>
      </w:r>
      <w:r>
        <w:t>retome</w:t>
      </w:r>
      <w:r w:rsidRPr="008B44C0">
        <w:t xml:space="preserve"> el te</w:t>
      </w:r>
      <w:r>
        <w:t>xto de la decisión original del </w:t>
      </w:r>
      <w:r w:rsidRPr="008B44C0">
        <w:t>Comité, que hablaba de extraditar al Sr. Habré a Bé</w:t>
      </w:r>
      <w:r>
        <w:t>lgica o a cualquier otro Estado </w:t>
      </w:r>
      <w:r w:rsidRPr="008B44C0">
        <w:t xml:space="preserve">competente. En respuesta a la Sra. Gaer, explica que la Unión Africana intervino más en los aspectos políticos que en los aspectos </w:t>
      </w:r>
      <w:r>
        <w:t>judiciales</w:t>
      </w:r>
      <w:r w:rsidRPr="008B44C0">
        <w:t xml:space="preserve"> de este asunto. Sugiere qu</w:t>
      </w:r>
      <w:r>
        <w:t>e el Comité recuerde al Estado p</w:t>
      </w:r>
      <w:r w:rsidRPr="008B44C0">
        <w:t xml:space="preserve">arte sus obligaciones, que pida la extradición del Sr. Habré a Bélgica u otro Estado competente y que solicite información sobre la aplicación de la decisión del Comité. La cuestión es cada vez más urgente, </w:t>
      </w:r>
      <w:r>
        <w:t>puesto</w:t>
      </w:r>
      <w:r w:rsidRPr="008B44C0">
        <w:t xml:space="preserve"> que muchas de las presuntas víctimas </w:t>
      </w:r>
      <w:r>
        <w:t>ya son ancianas</w:t>
      </w:r>
      <w:r w:rsidRPr="008B44C0">
        <w:t xml:space="preserve"> y algunas ya han muerto; sin embargo, el Comité se estaría extralimitando en sus facultades si afirmase categóricamente que el Sr. Habré debe ser extraditado a Bélgica.</w:t>
      </w:r>
    </w:p>
    <w:p w:rsidR="006B2B92" w:rsidRPr="008B44C0" w:rsidRDefault="006B2B92" w:rsidP="006B2B92">
      <w:pPr>
        <w:pStyle w:val="SingleTxtG"/>
      </w:pPr>
      <w:r>
        <w:t>36.</w:t>
      </w:r>
      <w:r>
        <w:tab/>
      </w:r>
      <w:r w:rsidRPr="00944361">
        <w:rPr>
          <w:b/>
        </w:rPr>
        <w:t>El Sr. Bruni</w:t>
      </w:r>
      <w:r w:rsidRPr="008B44C0">
        <w:t xml:space="preserve"> pregunta por qué es imposible ju</w:t>
      </w:r>
      <w:r>
        <w:t>zgar al Sr. Habré en el Estado p</w:t>
      </w:r>
      <w:r w:rsidRPr="008B44C0">
        <w:t>arte y cuál es su condición jurídica allí. ¿Se ha impuesto alguna restricción a sus movimientos?</w:t>
      </w:r>
    </w:p>
    <w:p w:rsidR="006B2B92" w:rsidRPr="008B44C0" w:rsidRDefault="006B2B92" w:rsidP="006B2B92">
      <w:pPr>
        <w:pStyle w:val="SingleTxtG"/>
      </w:pPr>
      <w:r>
        <w:t>37.</w:t>
      </w:r>
      <w:r>
        <w:tab/>
      </w:r>
      <w:r w:rsidRPr="00944361">
        <w:rPr>
          <w:b/>
        </w:rPr>
        <w:t>El Sr. Mariño Menéndez</w:t>
      </w:r>
      <w:r w:rsidRPr="008B44C0">
        <w:t xml:space="preserve"> responde que el Sr. Habré no goza de la condición de refugiado, pero ha obte</w:t>
      </w:r>
      <w:r>
        <w:t>nido asilo político. El Estado p</w:t>
      </w:r>
      <w:r w:rsidRPr="008B44C0">
        <w:t>arte ha asegurado que no se le permitiría abandonar su territorio y la Corte Internacional de Justicia lo ha considerado suficiente. Aunque la Unión</w:t>
      </w:r>
      <w:r>
        <w:t xml:space="preserve"> Africana ha instado al Estado p</w:t>
      </w:r>
      <w:r w:rsidRPr="008B44C0">
        <w:t>arte a juzgar al S</w:t>
      </w:r>
      <w:r>
        <w:t>r. Habré, el </w:t>
      </w:r>
      <w:r w:rsidRPr="008B44C0">
        <w:t xml:space="preserve">Tribunal de Justicia de la Comunidad Económica de los Estados de África (CEDEAO) dictaminó, en la causa iniciada por </w:t>
      </w:r>
      <w:r>
        <w:t>el propio Habré, que el Estado p</w:t>
      </w:r>
      <w:r w:rsidRPr="008B44C0">
        <w:t xml:space="preserve">arte no </w:t>
      </w:r>
      <w:r>
        <w:t>puede</w:t>
      </w:r>
      <w:r w:rsidRPr="008B44C0">
        <w:t xml:space="preserve"> juzgarlo en virtud de su propia legislación, que había sido enmendada específicamente para aplicarse con carácter retroactivo. Frente a la posibilidad de establecer un tribunal es</w:t>
      </w:r>
      <w:r>
        <w:t>pecial, el Gobierno del Estado p</w:t>
      </w:r>
      <w:r w:rsidRPr="008B44C0">
        <w:t>arte parece inclinarse hacia la extradición como el mejor medio de resolver el asunto.</w:t>
      </w:r>
    </w:p>
    <w:p w:rsidR="006B2B92" w:rsidRPr="008B44C0" w:rsidRDefault="006B2B92" w:rsidP="006B2B92">
      <w:pPr>
        <w:pStyle w:val="SingleTxtG"/>
      </w:pPr>
      <w:r>
        <w:t>38.</w:t>
      </w:r>
      <w:r>
        <w:tab/>
      </w:r>
      <w:r w:rsidRPr="00DA7E71">
        <w:rPr>
          <w:b/>
        </w:rPr>
        <w:t>El Sr. Bruni</w:t>
      </w:r>
      <w:r w:rsidRPr="008B44C0">
        <w:t xml:space="preserve"> comprende las preocupaciones </w:t>
      </w:r>
      <w:r>
        <w:t>expresadas</w:t>
      </w:r>
      <w:r w:rsidRPr="008B44C0">
        <w:t xml:space="preserve"> con</w:t>
      </w:r>
      <w:r>
        <w:t xml:space="preserve"> respecto al hecho de</w:t>
      </w:r>
      <w:r w:rsidRPr="008B44C0">
        <w:t xml:space="preserve"> señalar un Estado al que</w:t>
      </w:r>
      <w:r>
        <w:t xml:space="preserve"> se debe</w:t>
      </w:r>
      <w:r w:rsidRPr="008B44C0">
        <w:t xml:space="preserve"> extraditar al Sr. Habré, pero apunta que la extradición </w:t>
      </w:r>
      <w:r>
        <w:t>solo</w:t>
      </w:r>
      <w:r w:rsidRPr="008B44C0">
        <w:t xml:space="preserve"> puede tener lugar a petición de un</w:t>
      </w:r>
      <w:r>
        <w:t xml:space="preserve"> solo Estado</w:t>
      </w:r>
      <w:r w:rsidRPr="008B44C0">
        <w:t xml:space="preserve">. Bélgica ha presentado </w:t>
      </w:r>
      <w:r>
        <w:t>la</w:t>
      </w:r>
      <w:r w:rsidRPr="008B44C0">
        <w:t xml:space="preserve"> solicitud; si se le </w:t>
      </w:r>
      <w:r>
        <w:t>concede</w:t>
      </w:r>
      <w:r w:rsidRPr="008B44C0">
        <w:t>, no resultaría i</w:t>
      </w:r>
      <w:r>
        <w:t>napropiado solicitar al Estado p</w:t>
      </w:r>
      <w:r w:rsidRPr="008B44C0">
        <w:t>arte que la cumpla.</w:t>
      </w:r>
    </w:p>
    <w:p w:rsidR="006B2B92" w:rsidRPr="008B44C0" w:rsidRDefault="006B2B92" w:rsidP="006B2B92">
      <w:pPr>
        <w:pStyle w:val="SingleTxtG"/>
      </w:pPr>
      <w:r>
        <w:t>39.</w:t>
      </w:r>
      <w:r>
        <w:tab/>
        <w:t>Admitiendo ese razonamiento</w:t>
      </w:r>
      <w:r w:rsidRPr="008B44C0">
        <w:t xml:space="preserve">, </w:t>
      </w:r>
      <w:r w:rsidRPr="00834883">
        <w:t>el</w:t>
      </w:r>
      <w:r w:rsidRPr="00DA7E71">
        <w:rPr>
          <w:b/>
        </w:rPr>
        <w:t xml:space="preserve"> Sr. Mariño Menéndez</w:t>
      </w:r>
      <w:r w:rsidRPr="008B44C0">
        <w:t xml:space="preserve"> propone que el Comité apruebe una decisión sobre la base de su decisión previa, incorporando al texto </w:t>
      </w:r>
      <w:r>
        <w:t>algunas modificaciones</w:t>
      </w:r>
      <w:r w:rsidRPr="008B44C0">
        <w:t xml:space="preserve"> que reflejen las consideraciones posteriores.</w:t>
      </w:r>
    </w:p>
    <w:p w:rsidR="006B2B92" w:rsidRPr="00DA7E71" w:rsidRDefault="006B2B92" w:rsidP="006B2B92">
      <w:pPr>
        <w:pStyle w:val="SingleTxtG"/>
        <w:rPr>
          <w:i/>
        </w:rPr>
      </w:pPr>
      <w:r>
        <w:t>40.</w:t>
      </w:r>
      <w:r>
        <w:tab/>
      </w:r>
      <w:r w:rsidRPr="00DA7E71">
        <w:rPr>
          <w:i/>
        </w:rPr>
        <w:t xml:space="preserve">Así queda </w:t>
      </w:r>
      <w:r>
        <w:rPr>
          <w:i/>
        </w:rPr>
        <w:t>acordado</w:t>
      </w:r>
      <w:r w:rsidRPr="00DA7E71">
        <w:rPr>
          <w:i/>
        </w:rPr>
        <w:t>.</w:t>
      </w:r>
    </w:p>
    <w:p w:rsidR="006B2B92" w:rsidRPr="008B44C0" w:rsidRDefault="006B2B92" w:rsidP="006B2B92">
      <w:pPr>
        <w:pStyle w:val="SingleTxtG"/>
      </w:pPr>
      <w:r>
        <w:t>41.</w:t>
      </w:r>
      <w:r>
        <w:tab/>
      </w:r>
      <w:r w:rsidRPr="00DA7E71">
        <w:rPr>
          <w:b/>
        </w:rPr>
        <w:t>El Sr. Mariño Menéndez</w:t>
      </w:r>
      <w:r w:rsidRPr="00DA7E71">
        <w:t>,</w:t>
      </w:r>
      <w:r w:rsidRPr="008B44C0">
        <w:t xml:space="preserve"> </w:t>
      </w:r>
      <w:r>
        <w:t>refiriéndose a</w:t>
      </w:r>
      <w:r w:rsidRPr="008B44C0">
        <w:t xml:space="preserve"> Serbia</w:t>
      </w:r>
      <w:r>
        <w:t>,</w:t>
      </w:r>
      <w:r w:rsidRPr="008B44C0">
        <w:t xml:space="preserve"> </w:t>
      </w:r>
      <w:r>
        <w:t>dice que el Estado p</w:t>
      </w:r>
      <w:r w:rsidRPr="008B44C0">
        <w:t xml:space="preserve">arte ha pagado una </w:t>
      </w:r>
      <w:r>
        <w:t>indemnización</w:t>
      </w:r>
      <w:r w:rsidRPr="008B44C0">
        <w:t xml:space="preserve"> a los </w:t>
      </w:r>
      <w:r>
        <w:t>autores de la queja</w:t>
      </w:r>
      <w:r w:rsidRPr="008B44C0">
        <w:t xml:space="preserve"> en tres asuntos y que está en proceso de acordar la </w:t>
      </w:r>
      <w:r>
        <w:t>indemnización</w:t>
      </w:r>
      <w:r w:rsidRPr="008B44C0">
        <w:t xml:space="preserve"> de un cuarto. Sin embargo, las investigaciones no han </w:t>
      </w:r>
      <w:r>
        <w:t>dado</w:t>
      </w:r>
      <w:r w:rsidRPr="008B44C0">
        <w:t xml:space="preserve"> resultados satisfactorios ni han</w:t>
      </w:r>
      <w:r>
        <w:t xml:space="preserve"> permitido identificar</w:t>
      </w:r>
      <w:r w:rsidRPr="008B44C0">
        <w:t xml:space="preserve"> a los autores de los delitos en ninguno de estos </w:t>
      </w:r>
      <w:r>
        <w:t xml:space="preserve">asuntos. En el asunto </w:t>
      </w:r>
      <w:r w:rsidRPr="00BA7D94">
        <w:rPr>
          <w:i/>
        </w:rPr>
        <w:t>Nikolić c. Serbia y Montenegro</w:t>
      </w:r>
      <w:r w:rsidRPr="008B44C0">
        <w:t xml:space="preserve">, el Tribunal Supremo de Serbia desestimó la petición de que continuasen las investigaciones, y en el </w:t>
      </w:r>
      <w:r>
        <w:t>resto de las causas, el Estado p</w:t>
      </w:r>
      <w:r w:rsidRPr="008B44C0">
        <w:t xml:space="preserve">arte ha alegado que existen obstáculos jurídicos para </w:t>
      </w:r>
      <w:r>
        <w:t>realizar las</w:t>
      </w:r>
      <w:r w:rsidRPr="008B44C0">
        <w:t xml:space="preserve"> investigaciones. El Comité tiene que decidir si d</w:t>
      </w:r>
      <w:r>
        <w:t>esea insistir en que el Estado p</w:t>
      </w:r>
      <w:r w:rsidRPr="008B44C0">
        <w:t xml:space="preserve">arte siga con las investigaciones, dado que en virtud de la Convención, los delitos de tortura no prescriben. Puesto que se ha pagado </w:t>
      </w:r>
      <w:r>
        <w:t>una indemnización</w:t>
      </w:r>
      <w:r w:rsidRPr="008B44C0">
        <w:t xml:space="preserve"> en tres de las causas, el Comité </w:t>
      </w:r>
      <w:r>
        <w:t>puede exhortar al Estado p</w:t>
      </w:r>
      <w:r w:rsidRPr="008B44C0">
        <w:t xml:space="preserve">arte a que </w:t>
      </w:r>
      <w:r>
        <w:t>concluya</w:t>
      </w:r>
      <w:r w:rsidRPr="008B44C0">
        <w:t xml:space="preserve"> la</w:t>
      </w:r>
      <w:r>
        <w:t>s</w:t>
      </w:r>
      <w:r w:rsidRPr="008B44C0">
        <w:t xml:space="preserve"> negociaci</w:t>
      </w:r>
      <w:r>
        <w:t>o</w:t>
      </w:r>
      <w:r w:rsidRPr="008B44C0">
        <w:t>n</w:t>
      </w:r>
      <w:r>
        <w:t xml:space="preserve">es para </w:t>
      </w:r>
      <w:r w:rsidRPr="008B44C0">
        <w:t xml:space="preserve">el pago de </w:t>
      </w:r>
      <w:r>
        <w:t>la indemnización</w:t>
      </w:r>
      <w:r w:rsidRPr="008B44C0">
        <w:t xml:space="preserve"> en el </w:t>
      </w:r>
      <w:r>
        <w:t xml:space="preserve">asunto </w:t>
      </w:r>
      <w:r w:rsidRPr="002A4472">
        <w:rPr>
          <w:i/>
        </w:rPr>
        <w:t>Dimitrov c. Serbia y Montenegro</w:t>
      </w:r>
      <w:r>
        <w:t xml:space="preserve"> y acepte que se archiv</w:t>
      </w:r>
      <w:r w:rsidRPr="008B44C0">
        <w:t xml:space="preserve">en </w:t>
      </w:r>
      <w:r>
        <w:t>los demás</w:t>
      </w:r>
      <w:r w:rsidRPr="008B44C0">
        <w:t xml:space="preserve"> asuntos, o al menos el de </w:t>
      </w:r>
      <w:r w:rsidRPr="002A4472">
        <w:rPr>
          <w:i/>
        </w:rPr>
        <w:t>Ristić c. Serbia y Montenegro</w:t>
      </w:r>
      <w:r w:rsidRPr="008B44C0">
        <w:t xml:space="preserve">, </w:t>
      </w:r>
      <w:r>
        <w:t>respecto del cual el Comité</w:t>
      </w:r>
      <w:r w:rsidR="00C56808">
        <w:t xml:space="preserve"> ya se pronunció en </w:t>
      </w:r>
      <w:r w:rsidRPr="008B44C0">
        <w:t>2001.</w:t>
      </w:r>
    </w:p>
    <w:p w:rsidR="006B2B92" w:rsidRPr="008B44C0" w:rsidRDefault="006B2B92" w:rsidP="006B2B92">
      <w:pPr>
        <w:pStyle w:val="SingleTxtG"/>
      </w:pPr>
      <w:r>
        <w:t>42.</w:t>
      </w:r>
      <w:r>
        <w:tab/>
      </w:r>
      <w:r w:rsidRPr="002A4472">
        <w:rPr>
          <w:b/>
        </w:rPr>
        <w:t>El Presidente</w:t>
      </w:r>
      <w:r w:rsidRPr="008B44C0">
        <w:t xml:space="preserve"> dice que el pago de </w:t>
      </w:r>
      <w:r>
        <w:t>la indemnización</w:t>
      </w:r>
      <w:r w:rsidRPr="008B44C0">
        <w:t xml:space="preserve"> es una muestra</w:t>
      </w:r>
      <w:r>
        <w:t xml:space="preserve"> de que el </w:t>
      </w:r>
      <w:r w:rsidRPr="008B44C0">
        <w:t>E</w:t>
      </w:r>
      <w:r>
        <w:t>stado p</w:t>
      </w:r>
      <w:r w:rsidRPr="008B44C0">
        <w:t>arte tiene el sincero deseo de cumplir sus obligaci</w:t>
      </w:r>
      <w:r>
        <w:t>ones en virtud de la Convención, hecho que el Comité debe reconocer.</w:t>
      </w:r>
    </w:p>
    <w:p w:rsidR="006B2B92" w:rsidRPr="008B44C0" w:rsidRDefault="006B2B92" w:rsidP="006B2B92">
      <w:pPr>
        <w:pStyle w:val="SingleTxtG"/>
      </w:pPr>
      <w:r>
        <w:t>43.</w:t>
      </w:r>
      <w:r>
        <w:tab/>
      </w:r>
      <w:r w:rsidRPr="009D7E59">
        <w:rPr>
          <w:b/>
        </w:rPr>
        <w:t>La Sra. Belmir</w:t>
      </w:r>
      <w:r w:rsidRPr="008B44C0">
        <w:t xml:space="preserve"> se pregunta si los </w:t>
      </w:r>
      <w:r>
        <w:t>autores</w:t>
      </w:r>
      <w:r w:rsidRPr="008B44C0">
        <w:t xml:space="preserve"> y el Comité pueden darse por satisfechos con una </w:t>
      </w:r>
      <w:r>
        <w:t>reparación</w:t>
      </w:r>
      <w:r w:rsidRPr="008B44C0">
        <w:t xml:space="preserve"> material y dejar pasar la cuestión de la impunidad. Indudablemente, el objetivo primordial es establecer la verdad </w:t>
      </w:r>
      <w:r>
        <w:t>en cada caso</w:t>
      </w:r>
      <w:r w:rsidRPr="008B44C0">
        <w:t xml:space="preserve">. ¿Es </w:t>
      </w:r>
      <w:r>
        <w:t>acaso el Estado p</w:t>
      </w:r>
      <w:r w:rsidRPr="008B44C0">
        <w:t>arte realmente incapaz de hacerlo?</w:t>
      </w:r>
    </w:p>
    <w:p w:rsidR="006B2B92" w:rsidRPr="008B44C0" w:rsidRDefault="006B2B92" w:rsidP="006B2B92">
      <w:pPr>
        <w:pStyle w:val="SingleTxtG"/>
      </w:pPr>
      <w:r>
        <w:t>44.</w:t>
      </w:r>
      <w:r>
        <w:tab/>
      </w:r>
      <w:r w:rsidRPr="009D7E59">
        <w:rPr>
          <w:b/>
        </w:rPr>
        <w:t>El Sr. Mariño Menéndez</w:t>
      </w:r>
      <w:r w:rsidRPr="008B44C0">
        <w:t xml:space="preserve"> está de acuerdo con que este es el dilema que se le presenta al Comité. Señala la turbulenta historia r</w:t>
      </w:r>
      <w:r>
        <w:t>eciente del Estado parte y propone que el Comité lo</w:t>
      </w:r>
      <w:r w:rsidRPr="008B44C0">
        <w:t xml:space="preserve"> inste a continuar investigando los cuatro asuntos o a dar una justificación más detallada de su decisión de archivarlos. Consid</w:t>
      </w:r>
      <w:r>
        <w:t>era que la voluntad del Estado p</w:t>
      </w:r>
      <w:r w:rsidRPr="008B44C0">
        <w:t xml:space="preserve">arte de pagar una </w:t>
      </w:r>
      <w:r>
        <w:t>indemnización también</w:t>
      </w:r>
      <w:r w:rsidRPr="008B44C0">
        <w:t xml:space="preserve"> debería reconocerse debidamente.</w:t>
      </w:r>
    </w:p>
    <w:p w:rsidR="006B2B92" w:rsidRPr="009D7E59" w:rsidRDefault="006B2B92" w:rsidP="006B2B92">
      <w:pPr>
        <w:pStyle w:val="SingleTxtG"/>
        <w:rPr>
          <w:i/>
        </w:rPr>
      </w:pPr>
      <w:r>
        <w:t>45.</w:t>
      </w:r>
      <w:r>
        <w:tab/>
      </w:r>
      <w:r w:rsidRPr="009D7E59">
        <w:rPr>
          <w:i/>
        </w:rPr>
        <w:t xml:space="preserve">Así queda </w:t>
      </w:r>
      <w:r>
        <w:rPr>
          <w:i/>
        </w:rPr>
        <w:t>acordado</w:t>
      </w:r>
      <w:r w:rsidRPr="009D7E59">
        <w:rPr>
          <w:i/>
        </w:rPr>
        <w:t>.</w:t>
      </w:r>
    </w:p>
    <w:p w:rsidR="006B2B92" w:rsidRPr="008B44C0" w:rsidRDefault="006B2B92" w:rsidP="006B2B92">
      <w:pPr>
        <w:pStyle w:val="SingleTxtG"/>
      </w:pPr>
      <w:r>
        <w:t>46.</w:t>
      </w:r>
      <w:r>
        <w:tab/>
      </w:r>
      <w:r w:rsidRPr="009D7E59">
        <w:rPr>
          <w:b/>
        </w:rPr>
        <w:t>El Sr. Mariño Menéndez</w:t>
      </w:r>
      <w:r w:rsidRPr="008B44C0">
        <w:t xml:space="preserve"> dice que en la causa </w:t>
      </w:r>
      <w:r w:rsidRPr="009D7E59">
        <w:rPr>
          <w:i/>
        </w:rPr>
        <w:t>Agiza c. Suecia</w:t>
      </w:r>
      <w:r w:rsidRPr="008B44C0">
        <w:t xml:space="preserve">, el </w:t>
      </w:r>
      <w:r>
        <w:t>autor de la queja</w:t>
      </w:r>
      <w:r w:rsidRPr="008B44C0">
        <w:t xml:space="preserve"> ha sido puesto en libertad en Egipto y</w:t>
      </w:r>
      <w:r>
        <w:t xml:space="preserve"> actualmente vive en El Cairo. El autor</w:t>
      </w:r>
      <w:r w:rsidRPr="008B44C0">
        <w:t xml:space="preserve"> ha solicitado, </w:t>
      </w:r>
      <w:r>
        <w:t>como parte de la indemnización del Estado p</w:t>
      </w:r>
      <w:r w:rsidRPr="008B44C0">
        <w:t>arte, un permiso de residencia para vivir en Suecia, alegando que su mujer y sus hijos viven allí y que neces</w:t>
      </w:r>
      <w:r>
        <w:t>ita atención médica. El Estado p</w:t>
      </w:r>
      <w:r w:rsidRPr="008B44C0">
        <w:t xml:space="preserve">arte, sin embargo, sostiene que el </w:t>
      </w:r>
      <w:r>
        <w:t>autor</w:t>
      </w:r>
      <w:r w:rsidRPr="008B44C0">
        <w:t xml:space="preserve"> ya ha recibido </w:t>
      </w:r>
      <w:r>
        <w:t>reparación</w:t>
      </w:r>
      <w:r w:rsidRPr="008B44C0">
        <w:t xml:space="preserve"> y que ya se le </w:t>
      </w:r>
      <w:r>
        <w:t>había denegado</w:t>
      </w:r>
      <w:r w:rsidRPr="008B44C0">
        <w:t xml:space="preserve"> una solicitud de residencia anterior por representar una amenaza para la seguridad nacional. En cualquier caso, ha confirmado que si el </w:t>
      </w:r>
      <w:r>
        <w:t>autor</w:t>
      </w:r>
      <w:r w:rsidRPr="008B44C0">
        <w:t xml:space="preserve"> opta por solicitar de nuevo un permiso de residencia, su solicitud </w:t>
      </w:r>
      <w:r>
        <w:t xml:space="preserve">se </w:t>
      </w:r>
      <w:r w:rsidRPr="008B44C0">
        <w:t xml:space="preserve">tramitará de conformidad con la legislación existente. Con el apoyo </w:t>
      </w:r>
      <w:r w:rsidRPr="00D92493">
        <w:t>del</w:t>
      </w:r>
      <w:r w:rsidRPr="0034700B">
        <w:rPr>
          <w:b/>
        </w:rPr>
        <w:t xml:space="preserve"> Sr. Bruni</w:t>
      </w:r>
      <w:r w:rsidRPr="008B44C0">
        <w:t xml:space="preserve"> y </w:t>
      </w:r>
      <w:r w:rsidRPr="0034700B">
        <w:rPr>
          <w:b/>
        </w:rPr>
        <w:t>el Presidente</w:t>
      </w:r>
      <w:r w:rsidRPr="008B44C0">
        <w:t>, el orador propone que el Comité archive la causa.</w:t>
      </w:r>
    </w:p>
    <w:p w:rsidR="006B2B92" w:rsidRPr="0034700B" w:rsidRDefault="006B2B92" w:rsidP="006B2B92">
      <w:pPr>
        <w:pStyle w:val="SingleTxtG"/>
        <w:rPr>
          <w:i/>
        </w:rPr>
      </w:pPr>
      <w:r>
        <w:t>47.</w:t>
      </w:r>
      <w:r>
        <w:tab/>
      </w:r>
      <w:r w:rsidRPr="0034700B">
        <w:rPr>
          <w:i/>
        </w:rPr>
        <w:t xml:space="preserve">Así queda </w:t>
      </w:r>
      <w:r>
        <w:rPr>
          <w:i/>
        </w:rPr>
        <w:t>acordado</w:t>
      </w:r>
      <w:r w:rsidRPr="0034700B">
        <w:rPr>
          <w:i/>
        </w:rPr>
        <w:t>.</w:t>
      </w:r>
    </w:p>
    <w:p w:rsidR="006B2B92" w:rsidRPr="008B44C0" w:rsidRDefault="006B2B92" w:rsidP="006B2B92">
      <w:pPr>
        <w:pStyle w:val="SingleTxtG"/>
      </w:pPr>
      <w:r>
        <w:t>48.</w:t>
      </w:r>
      <w:r>
        <w:tab/>
      </w:r>
      <w:r w:rsidRPr="0034700B">
        <w:rPr>
          <w:b/>
        </w:rPr>
        <w:t>El Sr. Mariño Menéndez</w:t>
      </w:r>
      <w:r w:rsidRPr="008B44C0">
        <w:t xml:space="preserve"> dice que en el asunto </w:t>
      </w:r>
      <w:r w:rsidRPr="0034700B">
        <w:rPr>
          <w:i/>
        </w:rPr>
        <w:t>Chahin c. Suecia</w:t>
      </w:r>
      <w:r w:rsidRPr="008B44C0">
        <w:t xml:space="preserve">, el </w:t>
      </w:r>
      <w:r>
        <w:t>autor de la queja</w:t>
      </w:r>
      <w:r w:rsidRPr="008B44C0">
        <w:t xml:space="preserve"> presentó una nueva solicitud de asilo </w:t>
      </w:r>
      <w:r>
        <w:t>en</w:t>
      </w:r>
      <w:r w:rsidRPr="008B44C0">
        <w:t xml:space="preserve"> agosto de 2011</w:t>
      </w:r>
      <w:r w:rsidR="00834883">
        <w:t>,</w:t>
      </w:r>
      <w:r>
        <w:t xml:space="preserve"> que sigue pendiente. El Comité debe recordarle al Estado p</w:t>
      </w:r>
      <w:r w:rsidRPr="008B44C0">
        <w:t xml:space="preserve">arte que la </w:t>
      </w:r>
      <w:r>
        <w:t>expulsión</w:t>
      </w:r>
      <w:r w:rsidRPr="008B44C0">
        <w:t xml:space="preserve"> del </w:t>
      </w:r>
      <w:r>
        <w:t>autor a Siria se consideraría</w:t>
      </w:r>
      <w:r w:rsidRPr="008B44C0">
        <w:t xml:space="preserve"> una violación del artículo 3 de la Convención. En el asunto </w:t>
      </w:r>
      <w:r w:rsidRPr="005D3EC6">
        <w:rPr>
          <w:i/>
        </w:rPr>
        <w:t>Mondal c. Suecia</w:t>
      </w:r>
      <w:r w:rsidRPr="008B44C0">
        <w:t xml:space="preserve">, </w:t>
      </w:r>
      <w:r>
        <w:t>al autor se le concedió la</w:t>
      </w:r>
      <w:r w:rsidRPr="008B44C0">
        <w:t xml:space="preserve"> residencia permanente y el orador propone al Comité que la causa sea archiva</w:t>
      </w:r>
      <w:r>
        <w:t>da</w:t>
      </w:r>
      <w:r w:rsidRPr="008B44C0">
        <w:t>.</w:t>
      </w:r>
    </w:p>
    <w:p w:rsidR="006B2B92" w:rsidRPr="008B44C0" w:rsidRDefault="006B2B92" w:rsidP="006B2B92">
      <w:pPr>
        <w:pStyle w:val="SingleTxtG"/>
      </w:pPr>
      <w:r>
        <w:t>49.</w:t>
      </w:r>
      <w:r>
        <w:tab/>
      </w:r>
      <w:r w:rsidRPr="000C5D43">
        <w:rPr>
          <w:i/>
        </w:rPr>
        <w:t>Así queda acordado.</w:t>
      </w:r>
    </w:p>
    <w:p w:rsidR="006B2B92" w:rsidRPr="008B44C0" w:rsidRDefault="006B2B92" w:rsidP="006B2B92">
      <w:pPr>
        <w:pStyle w:val="SingleTxtG"/>
      </w:pPr>
      <w:r>
        <w:t>50.</w:t>
      </w:r>
      <w:r>
        <w:tab/>
      </w:r>
      <w:r w:rsidRPr="000C5D43">
        <w:rPr>
          <w:b/>
        </w:rPr>
        <w:t>El Sr. Mariño Menéndez</w:t>
      </w:r>
      <w:r w:rsidRPr="008B44C0">
        <w:t xml:space="preserve"> dice que en el asunto </w:t>
      </w:r>
      <w:r w:rsidRPr="000C5D43">
        <w:rPr>
          <w:i/>
        </w:rPr>
        <w:t>Mükerrem Güclü c. Suecia</w:t>
      </w:r>
      <w:r w:rsidRPr="008B44C0">
        <w:t xml:space="preserve">, se </w:t>
      </w:r>
      <w:r>
        <w:t>otorgó a la autora</w:t>
      </w:r>
      <w:r w:rsidRPr="008B44C0">
        <w:t xml:space="preserve"> un permiso de residencia temporal porque el Comité </w:t>
      </w:r>
      <w:r>
        <w:t>consideró</w:t>
      </w:r>
      <w:r w:rsidRPr="008B44C0">
        <w:t xml:space="preserve"> que su </w:t>
      </w:r>
      <w:r>
        <w:t>expulsión</w:t>
      </w:r>
      <w:r w:rsidRPr="008B44C0">
        <w:t xml:space="preserve"> a Turquía constituiría una violación del artículo</w:t>
      </w:r>
      <w:r>
        <w:t xml:space="preserve"> 3 de la Convención. El Estado p</w:t>
      </w:r>
      <w:r w:rsidRPr="008B44C0">
        <w:t xml:space="preserve">arte no le </w:t>
      </w:r>
      <w:r>
        <w:t>otorgó</w:t>
      </w:r>
      <w:r w:rsidRPr="008B44C0">
        <w:t xml:space="preserve"> otro permiso porque </w:t>
      </w:r>
      <w:r>
        <w:t>determinó</w:t>
      </w:r>
      <w:r w:rsidRPr="008B44C0">
        <w:t xml:space="preserve"> que sus actividades en </w:t>
      </w:r>
      <w:r>
        <w:t xml:space="preserve">el </w:t>
      </w:r>
      <w:r w:rsidRPr="008B44C0">
        <w:t xml:space="preserve">Partido de los Trabajadores del Kurdistán (PKK) pueden </w:t>
      </w:r>
      <w:r>
        <w:t>considerarse</w:t>
      </w:r>
      <w:r w:rsidRPr="008B44C0">
        <w:t xml:space="preserve"> una forma de incitar a terceros </w:t>
      </w:r>
      <w:r>
        <w:t>a</w:t>
      </w:r>
      <w:r w:rsidRPr="008B44C0">
        <w:t xml:space="preserve"> cometer crímenes contra la hum</w:t>
      </w:r>
      <w:r>
        <w:t>anidad o a formarlos para ello. Sin embargo, el Estado p</w:t>
      </w:r>
      <w:r w:rsidRPr="008B44C0">
        <w:t xml:space="preserve">arte ha dado garantías de que no será </w:t>
      </w:r>
      <w:r>
        <w:t>expulsada</w:t>
      </w:r>
      <w:r w:rsidRPr="008B44C0">
        <w:t xml:space="preserve"> mientras su permiso de residencia tenga validez o mientras se examine la renovación de su permiso. El orador sugiere que el Comité tenga en cuenta que, por el momento, la </w:t>
      </w:r>
      <w:r>
        <w:t>autora goza de protección y está</w:t>
      </w:r>
      <w:r w:rsidRPr="008B44C0">
        <w:t xml:space="preserve"> a la espera de los resultados de su solicitud de renova</w:t>
      </w:r>
      <w:r>
        <w:t>ción, y que recuerde al Estado p</w:t>
      </w:r>
      <w:r w:rsidRPr="008B44C0">
        <w:t xml:space="preserve">arte que su </w:t>
      </w:r>
      <w:r>
        <w:t>expulsión</w:t>
      </w:r>
      <w:r w:rsidRPr="008B44C0">
        <w:t xml:space="preserve"> a Turquía se consideraría una violación del artículo 3.</w:t>
      </w:r>
    </w:p>
    <w:p w:rsidR="006B2B92" w:rsidRPr="008B44C0" w:rsidRDefault="006B2B92" w:rsidP="006B2B92">
      <w:pPr>
        <w:pStyle w:val="SingleTxtG"/>
      </w:pPr>
      <w:r>
        <w:t>51.</w:t>
      </w:r>
      <w:r>
        <w:tab/>
      </w:r>
      <w:r w:rsidRPr="00E35593">
        <w:rPr>
          <w:b/>
        </w:rPr>
        <w:t>La Sra. Sveaass</w:t>
      </w:r>
      <w:r w:rsidRPr="008B44C0">
        <w:t xml:space="preserve"> recuerda al Comité que el marido de la </w:t>
      </w:r>
      <w:r>
        <w:t>autora, el Sr. Munir </w:t>
      </w:r>
      <w:r w:rsidRPr="008B44C0">
        <w:t>Aytulun, se encuentra en una situación práctica</w:t>
      </w:r>
      <w:r>
        <w:t>mente idéntica y se pregunta si </w:t>
      </w:r>
      <w:r w:rsidRPr="008B44C0">
        <w:t>el Comité puede hac</w:t>
      </w:r>
      <w:r>
        <w:t>er una recomendación al Estado p</w:t>
      </w:r>
      <w:r w:rsidRPr="008B44C0">
        <w:t>arte para que garantice que la pareja no sea separada.</w:t>
      </w:r>
    </w:p>
    <w:p w:rsidR="006B2B92" w:rsidRPr="008B44C0" w:rsidRDefault="006B2B92" w:rsidP="006B2B92">
      <w:pPr>
        <w:pStyle w:val="SingleTxtG"/>
      </w:pPr>
      <w:r>
        <w:t>52.</w:t>
      </w:r>
      <w:r>
        <w:tab/>
      </w:r>
      <w:r w:rsidRPr="00E35593">
        <w:rPr>
          <w:b/>
        </w:rPr>
        <w:t>El Sr. Mariño Menéndez</w:t>
      </w:r>
      <w:r w:rsidRPr="008B44C0">
        <w:t xml:space="preserve"> está de acuerdo con dicha recomendación y dice que las circunstancias del asunto </w:t>
      </w:r>
      <w:r w:rsidRPr="00E35593">
        <w:rPr>
          <w:i/>
        </w:rPr>
        <w:t>Munir Aytulun y Lilav Güclü c. Suecia</w:t>
      </w:r>
      <w:r w:rsidRPr="008B44C0">
        <w:t xml:space="preserve"> son </w:t>
      </w:r>
      <w:r>
        <w:t>idénticas a</w:t>
      </w:r>
      <w:r w:rsidRPr="008B44C0">
        <w:t xml:space="preserve"> las de Mükerrem Güclü. El Comité debe tomar medidas parecidas en ambos casos.</w:t>
      </w:r>
    </w:p>
    <w:p w:rsidR="006B2B92" w:rsidRPr="008B44C0" w:rsidRDefault="006B2B92" w:rsidP="006B2B92">
      <w:pPr>
        <w:pStyle w:val="SingleTxtG"/>
      </w:pPr>
      <w:r>
        <w:t>53.</w:t>
      </w:r>
      <w:r>
        <w:tab/>
      </w:r>
      <w:r w:rsidRPr="00E35593">
        <w:rPr>
          <w:b/>
        </w:rPr>
        <w:t>El Presidente</w:t>
      </w:r>
      <w:r>
        <w:t xml:space="preserve"> sugiere al</w:t>
      </w:r>
      <w:r w:rsidRPr="008B44C0">
        <w:t xml:space="preserve"> Comité que tenga en cuenta</w:t>
      </w:r>
      <w:r>
        <w:t xml:space="preserve"> el hecho de</w:t>
      </w:r>
      <w:r w:rsidRPr="008B44C0">
        <w:t xml:space="preserve"> que los </w:t>
      </w:r>
      <w:r>
        <w:t>autores</w:t>
      </w:r>
      <w:r w:rsidRPr="008B44C0">
        <w:t xml:space="preserve"> no </w:t>
      </w:r>
      <w:r>
        <w:t>están expuestos a una expulsión</w:t>
      </w:r>
      <w:r w:rsidRPr="008B44C0">
        <w:t xml:space="preserve"> inmediata, </w:t>
      </w:r>
      <w:r>
        <w:t>que recomiende</w:t>
      </w:r>
      <w:r w:rsidRPr="008B44C0">
        <w:t xml:space="preserve"> que se tomen medidas para evitar la separación de la pare</w:t>
      </w:r>
      <w:r>
        <w:t>ja y que se pida al Estado p</w:t>
      </w:r>
      <w:r w:rsidRPr="008B44C0">
        <w:t xml:space="preserve">arte que </w:t>
      </w:r>
      <w:r>
        <w:t>lo mantenga informado</w:t>
      </w:r>
      <w:r w:rsidRPr="008B44C0">
        <w:t xml:space="preserve"> de las novedades.</w:t>
      </w:r>
    </w:p>
    <w:p w:rsidR="006B2B92" w:rsidRPr="00E35593" w:rsidRDefault="006B2B92" w:rsidP="006B2B92">
      <w:pPr>
        <w:pStyle w:val="SingleTxtG"/>
        <w:rPr>
          <w:i/>
        </w:rPr>
      </w:pPr>
      <w:r>
        <w:t>54.</w:t>
      </w:r>
      <w:r>
        <w:tab/>
      </w:r>
      <w:r w:rsidRPr="00E35593">
        <w:rPr>
          <w:i/>
        </w:rPr>
        <w:t xml:space="preserve">Así queda </w:t>
      </w:r>
      <w:r>
        <w:rPr>
          <w:i/>
        </w:rPr>
        <w:t>acordado</w:t>
      </w:r>
      <w:r w:rsidRPr="00E35593">
        <w:rPr>
          <w:i/>
        </w:rPr>
        <w:t>.</w:t>
      </w:r>
    </w:p>
    <w:p w:rsidR="006B2B92" w:rsidRPr="008B44C0" w:rsidRDefault="006B2B92" w:rsidP="006B2B92">
      <w:pPr>
        <w:pStyle w:val="SingleTxtG"/>
      </w:pPr>
      <w:r>
        <w:t>55.</w:t>
      </w:r>
      <w:r>
        <w:tab/>
      </w:r>
      <w:r w:rsidRPr="00E35593">
        <w:rPr>
          <w:b/>
        </w:rPr>
        <w:t>El Sr. Mariño Menéndez</w:t>
      </w:r>
      <w:r w:rsidRPr="008B44C0">
        <w:t xml:space="preserve"> dice </w:t>
      </w:r>
      <w:r w:rsidR="00834883">
        <w:t xml:space="preserve">que </w:t>
      </w:r>
      <w:r w:rsidRPr="008B44C0">
        <w:t xml:space="preserve">el asunto </w:t>
      </w:r>
      <w:r w:rsidRPr="00E35593">
        <w:rPr>
          <w:i/>
        </w:rPr>
        <w:t>Bakatu-Bia c. Suecia</w:t>
      </w:r>
      <w:r w:rsidRPr="008B44C0">
        <w:t xml:space="preserve"> se ha resuelto de manera satisfactoria y que, por tanto, </w:t>
      </w:r>
      <w:r>
        <w:t>debe archivarse</w:t>
      </w:r>
      <w:r w:rsidRPr="008B44C0">
        <w:t xml:space="preserve">. En el asunto </w:t>
      </w:r>
      <w:r w:rsidRPr="00E35593">
        <w:rPr>
          <w:i/>
        </w:rPr>
        <w:t>Jahani c. Suiza</w:t>
      </w:r>
      <w:r w:rsidRPr="008B44C0">
        <w:t xml:space="preserve">, sugiere que el Comité </w:t>
      </w:r>
      <w:r>
        <w:t>ponga fin al</w:t>
      </w:r>
      <w:r w:rsidRPr="008B44C0">
        <w:t xml:space="preserve"> examen de la comunicación atendiendo a las</w:t>
      </w:r>
      <w:r>
        <w:t xml:space="preserve"> medidas tomadas por el Estado p</w:t>
      </w:r>
      <w:r w:rsidRPr="008B44C0">
        <w:t xml:space="preserve">arte y al resarcimiento parcial que ha manifestado el </w:t>
      </w:r>
      <w:r>
        <w:t>autor</w:t>
      </w:r>
      <w:r w:rsidRPr="008B44C0">
        <w:t xml:space="preserve"> a través de su abogado.</w:t>
      </w:r>
    </w:p>
    <w:p w:rsidR="006B2B92" w:rsidRPr="00E35593" w:rsidRDefault="006B2B92" w:rsidP="006B2B92">
      <w:pPr>
        <w:pStyle w:val="SingleTxtG"/>
        <w:rPr>
          <w:i/>
        </w:rPr>
      </w:pPr>
      <w:r>
        <w:t>56.</w:t>
      </w:r>
      <w:r>
        <w:tab/>
      </w:r>
      <w:r w:rsidRPr="00E35593">
        <w:rPr>
          <w:i/>
        </w:rPr>
        <w:t xml:space="preserve">Así queda </w:t>
      </w:r>
      <w:r>
        <w:rPr>
          <w:i/>
        </w:rPr>
        <w:t>acordado</w:t>
      </w:r>
      <w:r w:rsidRPr="00E35593">
        <w:rPr>
          <w:i/>
        </w:rPr>
        <w:t>.</w:t>
      </w:r>
    </w:p>
    <w:p w:rsidR="006B2B92" w:rsidRPr="008B44C0" w:rsidRDefault="006B2B92" w:rsidP="006B2B92">
      <w:pPr>
        <w:pStyle w:val="SingleTxtG"/>
      </w:pPr>
      <w:r>
        <w:t>57.</w:t>
      </w:r>
      <w:r>
        <w:tab/>
      </w:r>
      <w:r w:rsidRPr="00E35593">
        <w:rPr>
          <w:b/>
        </w:rPr>
        <w:t>El Sr. Mariño Menéndez</w:t>
      </w:r>
      <w:r w:rsidRPr="008B44C0">
        <w:t xml:space="preserve"> dice que los tres asuntos que afectan a Túnez y que son objeto de seguimiento por parte del Comité deben </w:t>
      </w:r>
      <w:r>
        <w:t>analizarse</w:t>
      </w:r>
      <w:r w:rsidRPr="008B44C0">
        <w:t xml:space="preserve"> desde un nuevo prisma dados los recientes acontecimientos que</w:t>
      </w:r>
      <w:r>
        <w:t xml:space="preserve"> han tenido lugar en el Estado parte. Respecto de</w:t>
      </w:r>
      <w:r w:rsidRPr="008B44C0">
        <w:t xml:space="preserve">l asunto </w:t>
      </w:r>
      <w:r w:rsidRPr="00AA49AA">
        <w:rPr>
          <w:i/>
        </w:rPr>
        <w:t>Barakat c. Túnez</w:t>
      </w:r>
      <w:r w:rsidRPr="008B44C0">
        <w:t xml:space="preserve">, el Comité emitió su </w:t>
      </w:r>
      <w:r>
        <w:t>decisión</w:t>
      </w:r>
      <w:r w:rsidRPr="008B44C0">
        <w:t xml:space="preserve"> en 2004 y</w:t>
      </w:r>
      <w:r>
        <w:t xml:space="preserve"> se debe instar al Estado p</w:t>
      </w:r>
      <w:r w:rsidRPr="008B44C0">
        <w:t xml:space="preserve">arte a acelerar el proceso de investigación con carácter urgente. </w:t>
      </w:r>
      <w:r>
        <w:t>Señala que los familiares del Sr. </w:t>
      </w:r>
      <w:r w:rsidRPr="008B44C0">
        <w:t xml:space="preserve">Barakat han solicitado que un médico </w:t>
      </w:r>
      <w:r>
        <w:t>específico</w:t>
      </w:r>
      <w:r w:rsidRPr="008B44C0">
        <w:t xml:space="preserve"> participe en la investigación sobre las causas de su muerte. En el asunto de </w:t>
      </w:r>
      <w:r w:rsidRPr="00AA49AA">
        <w:rPr>
          <w:i/>
        </w:rPr>
        <w:t>Ben Salem c. Túnez</w:t>
      </w:r>
      <w:r>
        <w:t>, debe exhortarse al Estado p</w:t>
      </w:r>
      <w:r w:rsidRPr="008B44C0">
        <w:t>arte a concluir las investigaciones lo antes posible.</w:t>
      </w:r>
    </w:p>
    <w:p w:rsidR="006B2B92" w:rsidRPr="008B44C0" w:rsidRDefault="006B2B92" w:rsidP="006B2B92">
      <w:pPr>
        <w:pStyle w:val="SingleTxtG"/>
      </w:pPr>
      <w:r>
        <w:t>58.</w:t>
      </w:r>
      <w:r>
        <w:tab/>
      </w:r>
      <w:r w:rsidRPr="00AA49AA">
        <w:rPr>
          <w:b/>
        </w:rPr>
        <w:t>El Presidente</w:t>
      </w:r>
      <w:r w:rsidRPr="008B44C0">
        <w:t xml:space="preserve"> </w:t>
      </w:r>
      <w:r>
        <w:t>propone que el Comité pida al Estado p</w:t>
      </w:r>
      <w:r w:rsidRPr="008B44C0">
        <w:t xml:space="preserve">arte que concluya lo antes posible las investigaciones relativas a ambos asuntos y que en el asunto </w:t>
      </w:r>
      <w:r w:rsidRPr="00AA49AA">
        <w:rPr>
          <w:i/>
        </w:rPr>
        <w:t>Barakat c. Túnez</w:t>
      </w:r>
      <w:r w:rsidRPr="008B44C0">
        <w:t xml:space="preserve"> apoye la petición de la familia de que un médico especialista de su elección tome parte en las investigaciones sobre las causas de la muerte de la víctima.</w:t>
      </w:r>
    </w:p>
    <w:p w:rsidR="006B2B92" w:rsidRPr="00AA49AA" w:rsidRDefault="006B2B92" w:rsidP="006B2B92">
      <w:pPr>
        <w:pStyle w:val="SingleTxtG"/>
        <w:rPr>
          <w:i/>
        </w:rPr>
      </w:pPr>
      <w:r>
        <w:t>59.</w:t>
      </w:r>
      <w:r>
        <w:tab/>
      </w:r>
      <w:r w:rsidRPr="00AA49AA">
        <w:rPr>
          <w:i/>
        </w:rPr>
        <w:t xml:space="preserve">Así queda </w:t>
      </w:r>
      <w:r>
        <w:rPr>
          <w:i/>
        </w:rPr>
        <w:t>acordado</w:t>
      </w:r>
      <w:r w:rsidRPr="00AA49AA">
        <w:rPr>
          <w:i/>
        </w:rPr>
        <w:t>.</w:t>
      </w:r>
    </w:p>
    <w:p w:rsidR="006B2B92" w:rsidRPr="008B44C0" w:rsidRDefault="006B2B92" w:rsidP="006B2B92">
      <w:pPr>
        <w:pStyle w:val="SingleTxtG"/>
      </w:pPr>
      <w:r>
        <w:t>60.</w:t>
      </w:r>
      <w:r>
        <w:tab/>
      </w:r>
      <w:r w:rsidRPr="009372F3">
        <w:rPr>
          <w:b/>
        </w:rPr>
        <w:t>El Sr. Mariño Menéndez</w:t>
      </w:r>
      <w:r w:rsidRPr="008B44C0">
        <w:t xml:space="preserve"> dice que, </w:t>
      </w:r>
      <w:r>
        <w:t>a falta</w:t>
      </w:r>
      <w:r w:rsidRPr="008B44C0">
        <w:t xml:space="preserve"> de nuevas pruebas, el juez de instrucción dio por finalizadas las investigaciones en el asunto </w:t>
      </w:r>
      <w:r w:rsidRPr="009372F3">
        <w:rPr>
          <w:i/>
        </w:rPr>
        <w:t>Saadia Ali c. Túnez</w:t>
      </w:r>
      <w:r w:rsidRPr="008B44C0">
        <w:t xml:space="preserve"> en febrero de 2009. </w:t>
      </w:r>
      <w:r>
        <w:t>Apoyado por</w:t>
      </w:r>
      <w:r w:rsidRPr="008B44C0">
        <w:t xml:space="preserve"> </w:t>
      </w:r>
      <w:r w:rsidRPr="00834883">
        <w:t>la</w:t>
      </w:r>
      <w:r w:rsidRPr="009372F3">
        <w:rPr>
          <w:b/>
        </w:rPr>
        <w:t xml:space="preserve"> Sra. Belmir</w:t>
      </w:r>
      <w:r w:rsidRPr="008B44C0">
        <w:t>,</w:t>
      </w:r>
      <w:r>
        <w:t xml:space="preserve"> el orador dice que el Comité debe informar al Estado p</w:t>
      </w:r>
      <w:r w:rsidRPr="008B44C0">
        <w:t>arte de que, al margen de la decisión del juez, tiene la obligación de aplicar las recomendaciones que figuran en la decisión dictada por el Comité en 2008, así como de informar con carácter urgente de los progresos realizados. De no recibir respuesta</w:t>
      </w:r>
      <w:r>
        <w:t xml:space="preserve"> en los próximos seis meses, el </w:t>
      </w:r>
      <w:r w:rsidRPr="008B44C0">
        <w:t xml:space="preserve">Comité </w:t>
      </w:r>
      <w:r>
        <w:t>puede considerar la posibilidad de</w:t>
      </w:r>
      <w:r w:rsidRPr="008B44C0">
        <w:t xml:space="preserve"> recurr</w:t>
      </w:r>
      <w:r>
        <w:t xml:space="preserve">ir a otros medios de </w:t>
      </w:r>
      <w:r w:rsidRPr="008B44C0">
        <w:t>presión, como i</w:t>
      </w:r>
      <w:r>
        <w:t xml:space="preserve">nvitar al </w:t>
      </w:r>
      <w:r w:rsidRPr="00EB3BE0">
        <w:t>embajador</w:t>
      </w:r>
      <w:r>
        <w:t xml:space="preserve"> del Estado p</w:t>
      </w:r>
      <w:r w:rsidRPr="008B44C0">
        <w:t xml:space="preserve">arte a una consulta sobre </w:t>
      </w:r>
      <w:r>
        <w:t>el asunto. Señala que en mayo de </w:t>
      </w:r>
      <w:r w:rsidRPr="008B44C0">
        <w:t>2011, el Primer Ministro de Túnez declaró que las autoridades harían efectivas las decisiones del Comité de manera inmediata.</w:t>
      </w:r>
    </w:p>
    <w:p w:rsidR="006B2B92" w:rsidRPr="008B44C0" w:rsidRDefault="006B2B92" w:rsidP="006B2B92">
      <w:pPr>
        <w:pStyle w:val="SingleTxtG"/>
      </w:pPr>
      <w:r>
        <w:t>61.</w:t>
      </w:r>
      <w:r>
        <w:tab/>
      </w:r>
      <w:r w:rsidRPr="00085E70">
        <w:rPr>
          <w:b/>
        </w:rPr>
        <w:t>El Presidente</w:t>
      </w:r>
      <w:r w:rsidRPr="008B44C0">
        <w:t xml:space="preserve"> sugiere que </w:t>
      </w:r>
      <w:r>
        <w:t>el Comité haga saber al Estado p</w:t>
      </w:r>
      <w:r w:rsidRPr="008B44C0">
        <w:t xml:space="preserve">arte que considera </w:t>
      </w:r>
      <w:r>
        <w:t>urgente</w:t>
      </w:r>
      <w:r w:rsidRPr="008B44C0">
        <w:t xml:space="preserve"> el asunto</w:t>
      </w:r>
      <w:r>
        <w:t xml:space="preserve">, </w:t>
      </w:r>
      <w:r w:rsidRPr="008B44C0">
        <w:t>que deben realizarse investigaciones adecuadas lo más rápido posible y que se atiene a la palabra del Primer Ministro.</w:t>
      </w:r>
    </w:p>
    <w:p w:rsidR="006B2B92" w:rsidRPr="00ED6715" w:rsidRDefault="006B2B92" w:rsidP="006B2B92">
      <w:pPr>
        <w:pStyle w:val="SingleTxtG"/>
        <w:rPr>
          <w:i/>
        </w:rPr>
      </w:pPr>
      <w:r>
        <w:t>62.</w:t>
      </w:r>
      <w:r>
        <w:tab/>
      </w:r>
      <w:r w:rsidRPr="00ED6715">
        <w:rPr>
          <w:i/>
        </w:rPr>
        <w:t xml:space="preserve">Así queda </w:t>
      </w:r>
      <w:r>
        <w:rPr>
          <w:i/>
        </w:rPr>
        <w:t>acordado</w:t>
      </w:r>
      <w:r w:rsidRPr="00ED6715">
        <w:rPr>
          <w:i/>
        </w:rPr>
        <w:t>.</w:t>
      </w:r>
    </w:p>
    <w:p w:rsidR="00381C24" w:rsidRPr="001075E9" w:rsidRDefault="006B2B92" w:rsidP="006B2B92">
      <w:pPr>
        <w:pStyle w:val="SingleTxtG"/>
      </w:pPr>
      <w:r w:rsidRPr="00ED6715">
        <w:rPr>
          <w:i/>
        </w:rPr>
        <w:t>Se levanta la parte pública de la sesión a las 12.20 horas.</w:t>
      </w:r>
    </w:p>
    <w:sectPr w:rsidR="00381C24" w:rsidRPr="001075E9" w:rsidSect="009654B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0A0" w:rsidRDefault="000A70A0">
      <w:r>
        <w:separator/>
      </w:r>
    </w:p>
  </w:endnote>
  <w:endnote w:type="continuationSeparator" w:id="0">
    <w:p w:rsidR="000A70A0" w:rsidRDefault="000A7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4BC" w:rsidRPr="009654BC" w:rsidRDefault="009654BC" w:rsidP="009654BC">
    <w:pPr>
      <w:pStyle w:val="Footer"/>
      <w:tabs>
        <w:tab w:val="right" w:pos="9638"/>
      </w:tabs>
    </w:pPr>
    <w:r w:rsidRPr="009654BC">
      <w:rPr>
        <w:b/>
        <w:sz w:val="18"/>
      </w:rPr>
      <w:fldChar w:fldCharType="begin"/>
    </w:r>
    <w:r w:rsidRPr="009654BC">
      <w:rPr>
        <w:b/>
        <w:sz w:val="18"/>
      </w:rPr>
      <w:instrText xml:space="preserve"> PAGE  \* MERGEFORMAT </w:instrText>
    </w:r>
    <w:r w:rsidRPr="009654BC">
      <w:rPr>
        <w:b/>
        <w:sz w:val="18"/>
      </w:rPr>
      <w:fldChar w:fldCharType="separate"/>
    </w:r>
    <w:r w:rsidR="00B03305">
      <w:rPr>
        <w:b/>
        <w:noProof/>
        <w:sz w:val="18"/>
      </w:rPr>
      <w:t>2</w:t>
    </w:r>
    <w:r w:rsidRPr="009654BC">
      <w:rPr>
        <w:b/>
        <w:sz w:val="18"/>
      </w:rPr>
      <w:fldChar w:fldCharType="end"/>
    </w:r>
    <w:r>
      <w:rPr>
        <w:b/>
        <w:sz w:val="18"/>
      </w:rPr>
      <w:tab/>
    </w:r>
    <w:r>
      <w:t>GE.11-47090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4BC" w:rsidRPr="009654BC" w:rsidRDefault="009654BC" w:rsidP="009654BC">
    <w:pPr>
      <w:pStyle w:val="Footer"/>
      <w:tabs>
        <w:tab w:val="right" w:pos="9638"/>
      </w:tabs>
      <w:rPr>
        <w:b/>
        <w:sz w:val="18"/>
      </w:rPr>
    </w:pPr>
    <w:r>
      <w:t>GE.11-47090</w:t>
    </w:r>
    <w:r>
      <w:tab/>
    </w:r>
    <w:r w:rsidRPr="009654BC">
      <w:rPr>
        <w:b/>
        <w:sz w:val="18"/>
      </w:rPr>
      <w:fldChar w:fldCharType="begin"/>
    </w:r>
    <w:r w:rsidRPr="009654BC">
      <w:rPr>
        <w:b/>
        <w:sz w:val="18"/>
      </w:rPr>
      <w:instrText xml:space="preserve"> PAGE  \* MERGEFORMAT </w:instrText>
    </w:r>
    <w:r w:rsidRPr="009654BC">
      <w:rPr>
        <w:b/>
        <w:sz w:val="18"/>
      </w:rPr>
      <w:fldChar w:fldCharType="separate"/>
    </w:r>
    <w:r w:rsidR="00B03305">
      <w:rPr>
        <w:b/>
        <w:noProof/>
        <w:sz w:val="18"/>
      </w:rPr>
      <w:t>5</w:t>
    </w:r>
    <w:r w:rsidRPr="009654B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07C" w:rsidRDefault="0037407C" w:rsidP="0037407C">
    <w:pPr>
      <w:pBdr>
        <w:bottom w:val="single" w:sz="4" w:space="1" w:color="auto"/>
      </w:pBdr>
    </w:pPr>
  </w:p>
  <w:p w:rsidR="0037407C" w:rsidRDefault="0037407C" w:rsidP="0037407C">
    <w:pPr>
      <w:pStyle w:val="FootnoteText"/>
      <w:spacing w:after="120"/>
      <w:rPr>
        <w:lang w:val="es-ES_tradnl"/>
      </w:rPr>
    </w:pPr>
    <w:r>
      <w:tab/>
    </w:r>
    <w:r>
      <w:tab/>
    </w:r>
    <w:r>
      <w:rPr>
        <w:lang w:val="es-ES_tradnl"/>
      </w:rPr>
      <w:t>La presente acta podrá ser objeto de correcciones.</w:t>
    </w:r>
  </w:p>
  <w:p w:rsidR="0037407C" w:rsidRDefault="0037407C" w:rsidP="0037407C">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37407C" w:rsidRDefault="0037407C" w:rsidP="0037407C">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A77656" w:rsidRPr="009654BC" w:rsidRDefault="009654BC">
    <w:pPr>
      <w:pStyle w:val="Footer"/>
      <w:rPr>
        <w:sz w:val="20"/>
      </w:rPr>
    </w:pPr>
    <w:r>
      <w:rPr>
        <w:sz w:val="20"/>
      </w:rPr>
      <w:t>GE.</w:t>
    </w:r>
    <w:r w:rsidR="00A7765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11-47090  (S)</w:t>
    </w:r>
    <w:r w:rsidR="00EB3BE0">
      <w:rPr>
        <w:sz w:val="20"/>
      </w:rPr>
      <w:t xml:space="preserve">    130812    290812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0A0" w:rsidRPr="001075E9" w:rsidRDefault="000A70A0" w:rsidP="001075E9">
      <w:pPr>
        <w:tabs>
          <w:tab w:val="right" w:pos="2155"/>
        </w:tabs>
        <w:spacing w:after="80" w:line="240" w:lineRule="auto"/>
        <w:ind w:left="680"/>
        <w:rPr>
          <w:u w:val="single"/>
        </w:rPr>
      </w:pPr>
      <w:r>
        <w:rPr>
          <w:u w:val="single"/>
        </w:rPr>
        <w:tab/>
      </w:r>
    </w:p>
  </w:footnote>
  <w:footnote w:type="continuationSeparator" w:id="0">
    <w:p w:rsidR="000A70A0" w:rsidRDefault="000A70A0" w:rsidP="00407B78">
      <w:pPr>
        <w:tabs>
          <w:tab w:val="right" w:pos="2155"/>
        </w:tabs>
        <w:spacing w:after="80"/>
        <w:ind w:left="680"/>
        <w:rPr>
          <w:u w:val="single"/>
        </w:rPr>
      </w:pPr>
      <w:r>
        <w:rPr>
          <w:u w:val="single"/>
        </w:rPr>
        <w:tab/>
      </w:r>
    </w:p>
  </w:footnote>
  <w:footnote w:id="1">
    <w:p w:rsidR="0037407C" w:rsidRPr="0037407C" w:rsidRDefault="0037407C">
      <w:pPr>
        <w:pStyle w:val="FootnoteText"/>
        <w:rPr>
          <w:sz w:val="20"/>
        </w:rPr>
      </w:pPr>
      <w:r>
        <w:tab/>
      </w:r>
      <w:r w:rsidRPr="0037407C">
        <w:rPr>
          <w:rStyle w:val="FootnoteReference"/>
          <w:sz w:val="20"/>
          <w:vertAlign w:val="baseline"/>
        </w:rPr>
        <w:t>*</w:t>
      </w:r>
      <w:r w:rsidRPr="0037407C">
        <w:tab/>
        <w:t>El acta resumida de la segunda parte (privada) de la sesión lleva la signatura CAT/C/SR.1044/Add.1.</w:t>
      </w:r>
    </w:p>
  </w:footnote>
  <w:footnote w:id="2">
    <w:p w:rsidR="0037407C" w:rsidRPr="0037407C" w:rsidRDefault="0037407C">
      <w:pPr>
        <w:pStyle w:val="FootnoteText"/>
        <w:rPr>
          <w:sz w:val="20"/>
        </w:rPr>
      </w:pPr>
      <w:r>
        <w:tab/>
      </w:r>
      <w:r w:rsidRPr="0037407C">
        <w:rPr>
          <w:rStyle w:val="FootnoteReference"/>
          <w:sz w:val="20"/>
          <w:vertAlign w:val="baseline"/>
        </w:rPr>
        <w:t>**</w:t>
      </w:r>
      <w:r w:rsidRPr="0037407C">
        <w:tab/>
        <w:t>El acta resumida de la 1043ª sesión lleva la signatura CAT/OP/15/SR.6 y 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4BC" w:rsidRPr="009654BC" w:rsidRDefault="009654BC">
    <w:pPr>
      <w:pStyle w:val="Header"/>
    </w:pPr>
    <w:r>
      <w:t>CAT/C/SR.1044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4BC" w:rsidRPr="009654BC" w:rsidRDefault="009654BC" w:rsidP="009654BC">
    <w:pPr>
      <w:pStyle w:val="Header"/>
      <w:jc w:val="right"/>
    </w:pPr>
    <w:r>
      <w:t>CAT/C/SR.1044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7656"/>
    <w:rsid w:val="00033EE1"/>
    <w:rsid w:val="00042B72"/>
    <w:rsid w:val="000558BD"/>
    <w:rsid w:val="000A70A0"/>
    <w:rsid w:val="000B57E7"/>
    <w:rsid w:val="000B6373"/>
    <w:rsid w:val="000F09DF"/>
    <w:rsid w:val="000F61B2"/>
    <w:rsid w:val="001075E9"/>
    <w:rsid w:val="00180183"/>
    <w:rsid w:val="0018649F"/>
    <w:rsid w:val="00196389"/>
    <w:rsid w:val="001B3EF6"/>
    <w:rsid w:val="001C7A89"/>
    <w:rsid w:val="002A2EFC"/>
    <w:rsid w:val="002C0E18"/>
    <w:rsid w:val="002D5AAC"/>
    <w:rsid w:val="00301299"/>
    <w:rsid w:val="00307FB6"/>
    <w:rsid w:val="00317339"/>
    <w:rsid w:val="00322004"/>
    <w:rsid w:val="003402C2"/>
    <w:rsid w:val="0037407C"/>
    <w:rsid w:val="00381C24"/>
    <w:rsid w:val="003958D0"/>
    <w:rsid w:val="003B00E5"/>
    <w:rsid w:val="003D27E9"/>
    <w:rsid w:val="00407B78"/>
    <w:rsid w:val="00424203"/>
    <w:rsid w:val="00454E07"/>
    <w:rsid w:val="0050108D"/>
    <w:rsid w:val="00513081"/>
    <w:rsid w:val="00517901"/>
    <w:rsid w:val="00526683"/>
    <w:rsid w:val="00537021"/>
    <w:rsid w:val="005709E0"/>
    <w:rsid w:val="00572E19"/>
    <w:rsid w:val="005961C8"/>
    <w:rsid w:val="005D7914"/>
    <w:rsid w:val="005F0B42"/>
    <w:rsid w:val="00623FA7"/>
    <w:rsid w:val="00671EF6"/>
    <w:rsid w:val="00681A10"/>
    <w:rsid w:val="006B2B92"/>
    <w:rsid w:val="006C2031"/>
    <w:rsid w:val="006D461A"/>
    <w:rsid w:val="006F35EE"/>
    <w:rsid w:val="007021FF"/>
    <w:rsid w:val="00712895"/>
    <w:rsid w:val="00757357"/>
    <w:rsid w:val="00825F8D"/>
    <w:rsid w:val="00834883"/>
    <w:rsid w:val="00834B71"/>
    <w:rsid w:val="0086445C"/>
    <w:rsid w:val="00894693"/>
    <w:rsid w:val="008A08D7"/>
    <w:rsid w:val="008B6909"/>
    <w:rsid w:val="00906890"/>
    <w:rsid w:val="00911BE4"/>
    <w:rsid w:val="00951972"/>
    <w:rsid w:val="009654BC"/>
    <w:rsid w:val="00A072EA"/>
    <w:rsid w:val="00A77656"/>
    <w:rsid w:val="00A84021"/>
    <w:rsid w:val="00A917B3"/>
    <w:rsid w:val="00AB4B51"/>
    <w:rsid w:val="00B03305"/>
    <w:rsid w:val="00B10CC7"/>
    <w:rsid w:val="00B539E7"/>
    <w:rsid w:val="00B62458"/>
    <w:rsid w:val="00BD33EE"/>
    <w:rsid w:val="00C56808"/>
    <w:rsid w:val="00C60F0C"/>
    <w:rsid w:val="00C805C9"/>
    <w:rsid w:val="00C92939"/>
    <w:rsid w:val="00CA1679"/>
    <w:rsid w:val="00CE5A1A"/>
    <w:rsid w:val="00CF55F6"/>
    <w:rsid w:val="00D33D63"/>
    <w:rsid w:val="00D61425"/>
    <w:rsid w:val="00D90138"/>
    <w:rsid w:val="00E73F76"/>
    <w:rsid w:val="00EA2C9F"/>
    <w:rsid w:val="00EB3BE0"/>
    <w:rsid w:val="00ED0BDA"/>
    <w:rsid w:val="00EF1360"/>
    <w:rsid w:val="00EF3220"/>
    <w:rsid w:val="00F86D2F"/>
    <w:rsid w:val="00F94155"/>
    <w:rsid w:val="00FA161D"/>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4363</Words>
  <Characters>21819</Characters>
  <Application>Microsoft Office Word</Application>
  <DocSecurity>4</DocSecurity>
  <Lines>351</Lines>
  <Paragraphs>103</Paragraphs>
  <ScaleCrop>false</ScaleCrop>
  <HeadingPairs>
    <vt:vector size="2" baseType="variant">
      <vt:variant>
        <vt:lpstr>Título</vt:lpstr>
      </vt:variant>
      <vt:variant>
        <vt:i4>1</vt:i4>
      </vt:variant>
    </vt:vector>
  </HeadingPairs>
  <TitlesOfParts>
    <vt:vector size="1" baseType="lpstr">
      <vt:lpstr>CAT/C/SR.1044</vt:lpstr>
    </vt:vector>
  </TitlesOfParts>
  <Company/>
  <LinksUpToDate>false</LinksUpToDate>
  <CharactersWithSpaces>26079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CAT/C/SR.1044</dc:title>
  <dc:subject>11-47090 (FINAL)</dc:subject>
  <dc:creator>Ruth</dc:creator>
  <cp:keywords/>
  <dc:description/>
  <cp:lastModifiedBy>Ruth</cp:lastModifiedBy>
  <cp:revision>2</cp:revision>
  <cp:lastPrinted>2012-08-29T09:06:00Z</cp:lastPrinted>
  <dcterms:created xsi:type="dcterms:W3CDTF">2012-08-29T09:18:00Z</dcterms:created>
  <dcterms:modified xsi:type="dcterms:W3CDTF">2012-08-29T09:18:00Z</dcterms:modified>
</cp:coreProperties>
</file>