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E0E" w:rsidRPr="008F6118" w:rsidRDefault="001D2E0E" w:rsidP="001D2E0E">
      <w:pPr>
        <w:spacing w:line="60" w:lineRule="exact"/>
        <w:rPr>
          <w:color w:val="010000"/>
          <w:sz w:val="6"/>
        </w:rPr>
        <w:sectPr w:rsidR="001D2E0E" w:rsidRPr="008F6118" w:rsidSect="001D2E0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8F6118">
        <w:rPr>
          <w:rStyle w:val="CommentReference"/>
        </w:rPr>
        <w:commentReference w:id="0"/>
      </w:r>
      <w:bookmarkStart w:id="1" w:name="_GoBack"/>
      <w:bookmarkEnd w:id="1"/>
    </w:p>
    <w:p w:rsidR="001D2E0E" w:rsidRPr="008F6118" w:rsidRDefault="001D2E0E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</w:p>
    <w:p w:rsidR="008F6118" w:rsidRDefault="008F6118" w:rsidP="008F611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t>в отношении женщин</w:t>
      </w:r>
    </w:p>
    <w:p w:rsidR="008F6118" w:rsidRPr="008F6118" w:rsidRDefault="008F6118" w:rsidP="008F6118">
      <w:pPr>
        <w:spacing w:line="120" w:lineRule="exact"/>
        <w:rPr>
          <w:sz w:val="10"/>
          <w:lang w:val="en-US"/>
        </w:rPr>
      </w:pPr>
    </w:p>
    <w:p w:rsidR="008F6118" w:rsidRPr="008F6118" w:rsidRDefault="008F6118" w:rsidP="008F6118">
      <w:pPr>
        <w:spacing w:line="120" w:lineRule="exact"/>
        <w:rPr>
          <w:sz w:val="10"/>
          <w:lang w:val="en-US"/>
        </w:rPr>
      </w:pPr>
    </w:p>
    <w:p w:rsidR="008F6118" w:rsidRPr="008F6118" w:rsidRDefault="008F6118" w:rsidP="008F6118">
      <w:pPr>
        <w:spacing w:line="120" w:lineRule="exact"/>
        <w:rPr>
          <w:sz w:val="10"/>
          <w:lang w:val="en-US"/>
        </w:rPr>
      </w:pPr>
    </w:p>
    <w:p w:rsidR="008F6118" w:rsidRDefault="008F6118" w:rsidP="008F611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Заключительные замечания по объединенным  шестому и седьмому периодическим докладам Мали*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4586F" w:rsidRDefault="008F6118" w:rsidP="008F6118">
      <w:pPr>
        <w:pStyle w:val="SingleTxt"/>
      </w:pPr>
      <w:r>
        <w:t>1.</w:t>
      </w:r>
      <w:r>
        <w:tab/>
        <w:t>Комитет рассмотрел объединенные  шестой и седьмой периодические д</w:t>
      </w:r>
      <w:r>
        <w:t>о</w:t>
      </w:r>
      <w:r>
        <w:t>клады Мали (</w:t>
      </w:r>
      <w:hyperlink r:id="rId16" w:history="1">
        <w:r w:rsidRPr="0084586F">
          <w:rPr>
            <w:rStyle w:val="Hyperlink"/>
          </w:rPr>
          <w:t>CEDAW/C/MLI/6-7</w:t>
        </w:r>
      </w:hyperlink>
      <w:r>
        <w:t>) на своих 1419-м и 1420-м заседаниях 15</w:t>
      </w:r>
      <w:r>
        <w:rPr>
          <w:lang w:val="en-US"/>
        </w:rPr>
        <w:t> </w:t>
      </w:r>
      <w:r>
        <w:t xml:space="preserve">июля 2016 года (см. </w:t>
      </w:r>
      <w:hyperlink r:id="rId17" w:history="1">
        <w:r w:rsidRPr="0084586F">
          <w:rPr>
            <w:rStyle w:val="Hyperlink"/>
          </w:rPr>
          <w:t>CEDAW/C/SR.1419</w:t>
        </w:r>
      </w:hyperlink>
      <w:r>
        <w:t xml:space="preserve"> и 1420). Перечень отмеченных К</w:t>
      </w:r>
      <w:r>
        <w:t>о</w:t>
      </w:r>
      <w:r>
        <w:t xml:space="preserve">митетом проблем и вопросов содержится в документе  </w:t>
      </w:r>
      <w:hyperlink r:id="rId18" w:history="1">
        <w:r w:rsidRPr="0084586F">
          <w:rPr>
            <w:rStyle w:val="Hyperlink"/>
          </w:rPr>
          <w:t>CEDAW/C/MLI/Q/6-7</w:t>
        </w:r>
      </w:hyperlink>
      <w:r>
        <w:t xml:space="preserve">, ответы Мали приведены в документе </w:t>
      </w:r>
      <w:hyperlink r:id="rId19" w:history="1">
        <w:r w:rsidRPr="0084586F">
          <w:rPr>
            <w:rStyle w:val="Hyperlink"/>
          </w:rPr>
          <w:t>CEDAW/C/MLI/Q/6-7/Add.1</w:t>
        </w:r>
      </w:hyperlink>
      <w:r>
        <w:t>.</w:t>
      </w:r>
    </w:p>
    <w:p w:rsidR="008F6118" w:rsidRPr="0084586F" w:rsidRDefault="008F6118" w:rsidP="008F6118">
      <w:pPr>
        <w:pStyle w:val="SingleTxt"/>
        <w:spacing w:after="0" w:line="120" w:lineRule="exact"/>
        <w:rPr>
          <w:sz w:val="10"/>
        </w:rPr>
      </w:pPr>
    </w:p>
    <w:p w:rsidR="008F6118" w:rsidRPr="0084586F" w:rsidRDefault="008F6118" w:rsidP="008F6118">
      <w:pPr>
        <w:pStyle w:val="SingleTxt"/>
        <w:spacing w:after="0" w:line="120" w:lineRule="exact"/>
        <w:rPr>
          <w:sz w:val="10"/>
        </w:rPr>
      </w:pPr>
    </w:p>
    <w:p w:rsidR="008F6118" w:rsidRDefault="008F6118" w:rsidP="008F611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A.</w:t>
      </w:r>
      <w:r>
        <w:tab/>
        <w:t>Введение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2.</w:t>
      </w:r>
      <w:r>
        <w:tab/>
        <w:t>Комитет выражает признательность государству-участнику за его объед</w:t>
      </w:r>
      <w:r>
        <w:t>и</w:t>
      </w:r>
      <w:r>
        <w:t>ненные шестой и седьмой периодические доклады. Комитет также благодарит государство-участник за письменные ответы на перечень проблем и вопросов, поднятых предсессионной рабочей группой, и приветствует устную презент</w:t>
      </w:r>
      <w:r>
        <w:t>а</w:t>
      </w:r>
      <w:r>
        <w:t>цию делегации и последовавшие уточнения, представленные в ответ на устные вопросы, заданные Комитетом в ходе диалога.</w:t>
      </w:r>
    </w:p>
    <w:p w:rsidR="008F6118" w:rsidRDefault="008F6118" w:rsidP="008F6118">
      <w:pPr>
        <w:pStyle w:val="SingleTxt"/>
        <w:rPr>
          <w:lang w:val="en-US"/>
        </w:rPr>
      </w:pPr>
      <w:r>
        <w:t>3.</w:t>
      </w:r>
      <w:r>
        <w:tab/>
        <w:t>Комитет с удовлетворением отмечает  высокий уровень делегациигос</w:t>
      </w:r>
      <w:r>
        <w:t>у</w:t>
      </w:r>
      <w:r>
        <w:t>дарства-участника, которую возглавила министр по положению женщин, детей и семьи Уму Ба Сангаре и в состав которой вошли представители департамента по правовым вопросам и постоянного представительства Мали при Отделении Организации Объединенных Наций и других международных организациях в Женеве. Комитет выражает признательность за конструктивный диалог, кот</w:t>
      </w:r>
      <w:r>
        <w:t>о</w:t>
      </w:r>
      <w:r>
        <w:t>рый состоялся между членами делегации и Комитета, но отмечает, что на нек</w:t>
      </w:r>
      <w:r>
        <w:t>о</w:t>
      </w:r>
      <w:r>
        <w:t>торые вопросы не были получены удовлетворительные ответы.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B.</w:t>
      </w:r>
      <w:r>
        <w:tab/>
        <w:t>Позитивные аспекты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4.</w:t>
      </w:r>
      <w:r>
        <w:tab/>
        <w:t>Комитет приветствует прогресс, который был достигнут со времени ра</w:t>
      </w:r>
      <w:r>
        <w:t>с</w:t>
      </w:r>
      <w:r>
        <w:t>смотрения в 2006 году объединенных второго — пятого периодических докл</w:t>
      </w:r>
      <w:r>
        <w:t>а</w:t>
      </w:r>
      <w:r>
        <w:t>дов государства-участника (</w:t>
      </w:r>
      <w:hyperlink r:id="rId20" w:history="1">
        <w:r w:rsidRPr="0084586F">
          <w:rPr>
            <w:rStyle w:val="Hyperlink"/>
          </w:rPr>
          <w:t>CEDAW/C/MLI/2-5</w:t>
        </w:r>
      </w:hyperlink>
      <w:r>
        <w:t>) в сфере реализации законод</w:t>
      </w:r>
      <w:r>
        <w:t>а</w:t>
      </w:r>
      <w:r>
        <w:t xml:space="preserve">тельных реформ, в частности принятие следующих законов: </w:t>
      </w:r>
    </w:p>
    <w:p w:rsidR="008F6118" w:rsidRDefault="008F6118" w:rsidP="008F6118">
      <w:pPr>
        <w:pStyle w:val="SingleTxt"/>
      </w:pPr>
      <w:r w:rsidRPr="0084586F">
        <w:lastRenderedPageBreak/>
        <w:tab/>
      </w:r>
      <w:r>
        <w:t>a)</w:t>
      </w:r>
      <w:r>
        <w:tab/>
        <w:t>закон № 2015-052 от 18 декабря 2015 года о введении мер по поо</w:t>
      </w:r>
      <w:r>
        <w:t>щ</w:t>
      </w:r>
      <w:r>
        <w:t>рению гендерного равенства в области доступа к назначаемым и выборным должностям посредством установления 30-процентной минимальной квоты для пре</w:t>
      </w:r>
      <w:r>
        <w:t>д</w:t>
      </w:r>
      <w:r>
        <w:t>ставителей каждого пола;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закон № 2012-027/PM-RM от 12 июля 2012 года о борьбе с торговлей людьми и сходными видами практики;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закон № 2011-087 от 30 декабря 2011 года, вносящий изменения в статью 224 кодекса о статусе личности и семьи, которые предусматривают равные права малийских женщин и мужчин в области передачи своего гра</w:t>
      </w:r>
      <w:r>
        <w:t>ж</w:t>
      </w:r>
      <w:r>
        <w:t>данства их детям и иностранным супругам;</w:t>
      </w:r>
    </w:p>
    <w:p w:rsidR="008F6118" w:rsidRDefault="008F6118" w:rsidP="008F6118">
      <w:pPr>
        <w:pStyle w:val="SingleTxt"/>
      </w:pPr>
      <w:r>
        <w:t>d)</w:t>
      </w:r>
      <w:r>
        <w:tab/>
        <w:t>закон № 06-40/AN-RM от 16 августа 2006 года о сельском хозяйстве, о</w:t>
      </w:r>
      <w:r>
        <w:t>т</w:t>
      </w:r>
      <w:r w:rsidRPr="008F6118">
        <w:tab/>
      </w:r>
      <w:r>
        <w:t>меняющий правовые условия, препятствующие доступу женщин к з</w:t>
      </w:r>
      <w:r>
        <w:t>е</w:t>
      </w:r>
      <w:r>
        <w:t>мельным ресурсам и пользованию ими.</w:t>
      </w:r>
    </w:p>
    <w:p w:rsidR="008F6118" w:rsidRDefault="008F6118" w:rsidP="008F6118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своих  институциональных и директивных рамок в целях скорейшей  ли</w:t>
      </w:r>
      <w:r>
        <w:t>к</w:t>
      </w:r>
      <w:r>
        <w:t>видации дискриминации в отношении женщин и поощрения гендерного раве</w:t>
      </w:r>
      <w:r>
        <w:t>н</w:t>
      </w:r>
      <w:r>
        <w:t>ства, в частности принятие следующих документов или учреждение органов: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план действий на период 2015—2017 годов по осуществлению рез</w:t>
      </w:r>
      <w:r>
        <w:t>о</w:t>
      </w:r>
      <w:r>
        <w:t xml:space="preserve">люции </w:t>
      </w:r>
      <w:hyperlink r:id="rId21" w:history="1">
        <w:r w:rsidRPr="0084586F">
          <w:rPr>
            <w:rStyle w:val="Hyperlink"/>
          </w:rPr>
          <w:t>1325 (2000)</w:t>
        </w:r>
      </w:hyperlink>
      <w:r>
        <w:t xml:space="preserve"> Совета Безопасности о женщинах и  мире и безопасности;</w:t>
      </w:r>
    </w:p>
    <w:p w:rsidR="008F6118" w:rsidRDefault="008F6118" w:rsidP="008F6118">
      <w:pPr>
        <w:pStyle w:val="SingleTxt"/>
      </w:pPr>
      <w:r w:rsidRPr="0084586F">
        <w:tab/>
      </w:r>
      <w:r>
        <w:t>b)</w:t>
      </w:r>
      <w:r>
        <w:tab/>
        <w:t>национальный фонд сельскохозяйственного развития и политика в области землевладения (2015 год), предусматривающая выделение женщинам и молодежи 15 процентов земель, находящихся под государственным управл</w:t>
      </w:r>
      <w:r>
        <w:t>е</w:t>
      </w:r>
      <w:r>
        <w:t>нием.</w:t>
      </w:r>
    </w:p>
    <w:p w:rsidR="008F6118" w:rsidRDefault="008F6118" w:rsidP="008F6118">
      <w:pPr>
        <w:pStyle w:val="SingleTxt"/>
      </w:pPr>
      <w:r>
        <w:t>6.</w:t>
      </w:r>
      <w:r>
        <w:tab/>
        <w:t>Комитет приветствует тот факт, что за период, прошедший  с момента рассмотрения предыдущего доклада, государство-участник ратифицировало указанные ниже международные и региональные документы или присоедин</w:t>
      </w:r>
      <w:r>
        <w:t>и</w:t>
      </w:r>
      <w:r>
        <w:t>лось к ним: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в 2009 году — Факультативный протокол к Международному пакту об экономических, социальных и культурных правах;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в 2009 году — Международную конвенцию для защиты всех лиц от насильственных исчезновений;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c)</w:t>
      </w:r>
      <w:r>
        <w:tab/>
        <w:t>в 2008 году — Конвенцию о правах инвалидов и Факультативный протокол к ней.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C.</w:t>
      </w:r>
      <w:r>
        <w:tab/>
        <w:t>Факторы и трудности, препятствующие эффективному осуществл</w:t>
      </w:r>
      <w:r>
        <w:t>е</w:t>
      </w:r>
      <w:r>
        <w:t xml:space="preserve">нию Конвенции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7.</w:t>
      </w:r>
      <w:r>
        <w:tab/>
        <w:t>Комитет отмечает, что усилиям, предпринимаемым государством-участником с 2006 года для улучшения положения женщин, существенно п</w:t>
      </w:r>
      <w:r>
        <w:t>о</w:t>
      </w:r>
      <w:r>
        <w:t>мешала ситуация нестабильности, вызванная оккупацией северного и це</w:t>
      </w:r>
      <w:r>
        <w:t>н</w:t>
      </w:r>
      <w:r>
        <w:t>трального Мали радикальными исламскими группами, межэтническое насилие и ряд военных операций, имевших место с 2012 года, которые привели к почти полному коллапсу государственного управления, закрытию школ и больниц, перебоям в производстве и снабжении продовольствием, усугублению крайней нищеты и перемещению населения. Комитет также отмечает длительное нег</w:t>
      </w:r>
      <w:r>
        <w:t>а</w:t>
      </w:r>
      <w:r>
        <w:t>тивное воздействие, которое военные действия оказывают на гражданское население, особенно на женщин, проживающих на севере страны, и внутренне перемещенных женщин, которые сталкиваются с повышенным уровнем ди</w:t>
      </w:r>
      <w:r>
        <w:t>с</w:t>
      </w:r>
      <w:r>
        <w:t>криминации и насилия, включая сексуальное. Комитет отмечает, что в стране действуют планы восстановления, включая план действий на период 2015—2017 годов по осуществлению резолюции Совета Безопасности о женщинах и  мире и безопасности, цель которого заключается в том, чтобы обеспечить учет особых потребностей женщин и девочек в процессе миростроительства и п</w:t>
      </w:r>
      <w:r>
        <w:t>о</w:t>
      </w:r>
      <w:r>
        <w:t>высить степень их участия в национальной деятельности по восстановлению. Комитет считает, что для реализации этих мер в целях защиты и поощрения прав женщин потребуется обеспечить полное осуществление Конвенции. В связи с этим Комитет рекомендует государству-участнику принять четыре</w:t>
      </w:r>
      <w:r>
        <w:t>х</w:t>
      </w:r>
      <w:r>
        <w:t>летний национальный план действий по осуществлению настоящих заключ</w:t>
      </w:r>
      <w:r>
        <w:t>и</w:t>
      </w:r>
      <w:r>
        <w:t>тельных замечаний, который послужит государству-участнику «дорожной ка</w:t>
      </w:r>
      <w:r>
        <w:t>р</w:t>
      </w:r>
      <w:r>
        <w:t>той» для более эффективного осуществления и контроля его обязательств в с</w:t>
      </w:r>
      <w:r>
        <w:t>о</w:t>
      </w:r>
      <w:r>
        <w:t>ответствии с Конвенцией.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  <w:t>D.</w:t>
      </w:r>
      <w:r>
        <w:tab/>
        <w:t>Главные проблемные области и рекомендации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Национальная ассамблея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8.</w:t>
      </w:r>
      <w:r>
        <w:tab/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Комитет предлагает национальной ассамблее в соответствии с ее мандатом принять необходимые меры для выполнения данных заключител</w:t>
      </w:r>
      <w:r>
        <w:t>ь</w:t>
      </w:r>
      <w:r>
        <w:t>ных замечаний до начала следующего отчетного периода согласно Конвенции.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Женщины и  мир и безопасность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9.</w:t>
      </w:r>
      <w:r>
        <w:tab/>
        <w:t>Комитет обеспокоен тем, что с начала Алжирского процесса, а также п</w:t>
      </w:r>
      <w:r>
        <w:t>о</w:t>
      </w:r>
      <w:r>
        <w:t>сле подписания Соглашения о мире и примирении в Мали и в ходе его ос</w:t>
      </w:r>
      <w:r>
        <w:t>у</w:t>
      </w:r>
      <w:r>
        <w:t>ществления женщины систематически недопредставлены на уровне принятия решений. Озабоченность Комитета также вызывает то, что в состав Комиссии по вопросам установления истины, справедливости и примирения входит н</w:t>
      </w:r>
      <w:r>
        <w:t>е</w:t>
      </w:r>
      <w:r>
        <w:t>значительное число женщин и не включены представители пострадавших.</w:t>
      </w:r>
    </w:p>
    <w:p w:rsidR="008F6118" w:rsidRPr="0084586F" w:rsidRDefault="008F6118" w:rsidP="008F6118">
      <w:pPr>
        <w:pStyle w:val="SingleTxt"/>
      </w:pPr>
      <w:r>
        <w:t>10.</w:t>
      </w:r>
      <w:r>
        <w:tab/>
        <w:t>Комитет рекомендует государству-участнику выделить достаточный об</w:t>
      </w:r>
      <w:r>
        <w:t>ъ</w:t>
      </w:r>
      <w:r>
        <w:t xml:space="preserve">ем ресурсов на план действий по осуществлению резолюции </w:t>
      </w:r>
      <w:hyperlink r:id="rId22" w:history="1">
        <w:r w:rsidRPr="0084586F">
          <w:rPr>
            <w:rStyle w:val="Hyperlink"/>
          </w:rPr>
          <w:t>1325 (2000)</w:t>
        </w:r>
      </w:hyperlink>
      <w:r>
        <w:t xml:space="preserve"> Сов</w:t>
      </w:r>
      <w:r>
        <w:t>е</w:t>
      </w:r>
      <w:r>
        <w:t>та Безопасности, для того чтобы обеспечить достижение целей резолюции, направленных на поощрение конструктивного участия женщин во всех этапах процесса стабилизации и восстановления, в том числе в процессах принятия решений и в деятельности Комиссии по вопросам установления истины, спр</w:t>
      </w:r>
      <w:r>
        <w:t>а</w:t>
      </w:r>
      <w:r>
        <w:t>ведливости и примирения, в соответствии с главой 14 Соглашения о мире и примирении и с учетом общей рекомендации Комитета №30, касающейся п</w:t>
      </w:r>
      <w:r>
        <w:t>о</w:t>
      </w:r>
      <w:r>
        <w:t>ложения женщин в условиях предотвращения конфликтов, в конфликтных и постконфликтных ситуациях, в частности в том, что касается обеспечения ге</w:t>
      </w:r>
      <w:r>
        <w:t>н</w:t>
      </w:r>
      <w:r>
        <w:t>дерного паритета в составе временных органов власти на севере страны. Ком</w:t>
      </w:r>
      <w:r>
        <w:t>и</w:t>
      </w:r>
      <w:r>
        <w:t>тет также рекомендует сформировать механизм наблюдения, с помощью кот</w:t>
      </w:r>
      <w:r>
        <w:t>о</w:t>
      </w:r>
      <w:r>
        <w:t xml:space="preserve">рого будет проводиться регулярная оценка последствий реализации плана, и в этой связи рекомендует государству-участнику воспользоваться технической помощью Многопрофильной комплексной миссии Организации Объединенных Наций по стабилизации в Мали в соответствии с резолюцией </w:t>
      </w:r>
      <w:hyperlink r:id="rId23" w:history="1">
        <w:r w:rsidRPr="0084586F">
          <w:rPr>
            <w:rStyle w:val="Hyperlink"/>
          </w:rPr>
          <w:t>2295 (2016)</w:t>
        </w:r>
      </w:hyperlink>
      <w:r>
        <w:t xml:space="preserve"> С</w:t>
      </w:r>
      <w:r>
        <w:t>о</w:t>
      </w:r>
      <w:r>
        <w:t>вета.</w:t>
      </w:r>
    </w:p>
    <w:p w:rsidR="008F6118" w:rsidRPr="0084586F" w:rsidRDefault="008F6118" w:rsidP="008F6118">
      <w:pPr>
        <w:pStyle w:val="SingleTxt"/>
        <w:spacing w:after="0" w:line="120" w:lineRule="exact"/>
        <w:rPr>
          <w:sz w:val="10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Определение равенства и недискриминации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11.</w:t>
      </w:r>
      <w:r>
        <w:tab/>
        <w:t>Комитет обеспокоен тем, что государство-участник не применяет шир</w:t>
      </w:r>
      <w:r>
        <w:t>о</w:t>
      </w:r>
      <w:r>
        <w:t>кое определение равенства, содержащееся в статье 1 Конвенции, невзирая на то, что в конституции страны предусмотрена приоритетная сила междунаро</w:t>
      </w:r>
      <w:r>
        <w:t>д</w:t>
      </w:r>
      <w:r>
        <w:t>ных договоров по отношению к национальному законодательству с момента публикации такого договора (статья 116). Комитет вновь выражает обеспок</w:t>
      </w:r>
      <w:r>
        <w:t>о</w:t>
      </w:r>
      <w:r>
        <w:t xml:space="preserve">енность тем (см. </w:t>
      </w:r>
      <w:hyperlink r:id="rId24" w:history="1">
        <w:r w:rsidRPr="0084586F">
          <w:rPr>
            <w:rStyle w:val="Hyperlink"/>
          </w:rPr>
          <w:t>CEDAW/C/MLI/CO/5</w:t>
        </w:r>
      </w:hyperlink>
      <w:r>
        <w:t>, пункт 9), что национальное законод</w:t>
      </w:r>
      <w:r>
        <w:t>а</w:t>
      </w:r>
      <w:r>
        <w:t>тельство не предусматривает санкций за нарушение охраняемого конституцией запрета на дискриминацию по признаку пола (статья 2) и что, более того, в с</w:t>
      </w:r>
      <w:r>
        <w:t>е</w:t>
      </w:r>
      <w:r>
        <w:t>мейном праве и законах о наследовании действуют оговорки к запрету дискр</w:t>
      </w:r>
      <w:r>
        <w:t>и</w:t>
      </w:r>
      <w:r>
        <w:t>минации, а в стране существуют вредные традиции, наносящие урон здоровью женщин и девочек, в частности, калечение женских гениталий и ранние браки. Комитет также обеспокоен тем, что дискриминацию в отношении женщин по-прежнему подкрепляет сосуществование и применение законодательных, тр</w:t>
      </w:r>
      <w:r>
        <w:t>а</w:t>
      </w:r>
      <w:r>
        <w:t>диционных и религиозных норм (законов шариата), а также тем, что сроки п</w:t>
      </w:r>
      <w:r>
        <w:t>е</w:t>
      </w:r>
      <w:r>
        <w:t>ресмотра и отмены дискриминационных законов и законодательных полож</w:t>
      </w:r>
      <w:r>
        <w:t>е</w:t>
      </w:r>
      <w:r>
        <w:t xml:space="preserve">ний не определены (см. </w:t>
      </w:r>
      <w:hyperlink r:id="rId25" w:history="1">
        <w:r w:rsidRPr="0084586F">
          <w:rPr>
            <w:rStyle w:val="Hyperlink"/>
          </w:rPr>
          <w:t>CEDAW/C/MLI/CO/5</w:t>
        </w:r>
      </w:hyperlink>
      <w:r>
        <w:t xml:space="preserve">, пункт 11). </w:t>
      </w:r>
    </w:p>
    <w:p w:rsidR="008F6118" w:rsidRDefault="008F6118" w:rsidP="008F6118">
      <w:pPr>
        <w:pStyle w:val="SingleTxt"/>
      </w:pPr>
      <w:r>
        <w:t>12.</w:t>
      </w:r>
      <w:r>
        <w:tab/>
        <w:t>Комитет повторяет ранее сделанные рекомендации (см.</w:t>
      </w:r>
      <w:r>
        <w:rPr>
          <w:lang w:val="en-US"/>
        </w:rPr>
        <w:t> </w:t>
      </w:r>
      <w:hyperlink r:id="rId26" w:history="1">
        <w:r w:rsidRPr="0084586F">
          <w:rPr>
            <w:rStyle w:val="Hyperlink"/>
          </w:rPr>
          <w:t>CEDAW/C/MLI/CO/5</w:t>
        </w:r>
      </w:hyperlink>
      <w:r>
        <w:t>, пункты 10 и 12), в соответствии с которыми гос</w:t>
      </w:r>
      <w:r>
        <w:t>у</w:t>
      </w:r>
      <w:r>
        <w:t>дарству-участнику следует: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уделить первостепенное внимание процессу реформирования зак</w:t>
      </w:r>
      <w:r>
        <w:t>о</w:t>
      </w:r>
      <w:r>
        <w:t>нодательства и учесть взаимосвязь между статьями 1 и 2 Конвенции и целью 5.1 в области устойчивого развития, предусматривающей повсеместную ли</w:t>
      </w:r>
      <w:r>
        <w:t>к</w:t>
      </w:r>
      <w:r>
        <w:t>видацию всех форм дискриминации в отношении всех женщин и девочек;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в четко определенные сроки упорядочить свое законодательство в целях ликвидации дискриминации в отношении женщин посредством отмены всех дискриминационных положений, включая дискриминационные полож</w:t>
      </w:r>
      <w:r>
        <w:t>е</w:t>
      </w:r>
      <w:r>
        <w:t>ния кодекса о статусе личности и семьи, а также принять новые законы, в частности всеобъемлющее антидискриминационное законодательство;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c)</w:t>
      </w:r>
      <w:r>
        <w:tab/>
        <w:t>организовать на основе широкого участия открытое общественное обсуждение вопросов разнообразия мнений и вариантов толкования мусул</w:t>
      </w:r>
      <w:r>
        <w:t>ь</w:t>
      </w:r>
      <w:r>
        <w:t>манских семейных правил и обычаев и повысить уровень осведомленности парламе</w:t>
      </w:r>
      <w:r>
        <w:t>н</w:t>
      </w:r>
      <w:r>
        <w:t>тариев и общественности о значении комплексной, последовательной и согласованной правовой реформы, цель которой состоит в достижении осн</w:t>
      </w:r>
      <w:r>
        <w:t>о</w:t>
      </w:r>
      <w:r>
        <w:t>вопол</w:t>
      </w:r>
      <w:r>
        <w:t>а</w:t>
      </w:r>
      <w:r>
        <w:t>гающего равенства женщин и мужчин.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Доступ к правосудию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13.</w:t>
      </w:r>
      <w:r>
        <w:tab/>
        <w:t>Комитет воздает должное усилиям государства-участника по восстано</w:t>
      </w:r>
      <w:r>
        <w:t>в</w:t>
      </w:r>
      <w:r>
        <w:t xml:space="preserve">лению механизмов правосудия на севере страны и оказанию правовой помощи женщинам, пострадавшим от дискриминации и гендерного насилия. Комитет вновь выражает обеспокоенность тем фактом (см. </w:t>
      </w:r>
      <w:hyperlink r:id="rId27" w:history="1">
        <w:r w:rsidRPr="0084586F">
          <w:rPr>
            <w:rStyle w:val="Hyperlink"/>
          </w:rPr>
          <w:t>CEDAW/C/MLI/CO/5</w:t>
        </w:r>
      </w:hyperlink>
      <w:r>
        <w:t>, пункт</w:t>
      </w:r>
      <w:r>
        <w:rPr>
          <w:lang w:val="en-US"/>
        </w:rPr>
        <w:t> </w:t>
      </w:r>
      <w:r>
        <w:t>15), что большинство женщин не имеет доступа к системе правосудия в силу того, что многие женщины лишены возможности получить информацию и помощь, необходимые для обращения к системе правосудия, по причине выс</w:t>
      </w:r>
      <w:r>
        <w:t>о</w:t>
      </w:r>
      <w:r>
        <w:t>кого уровня неграмотности и боязни возмездия. Комитет также отмечает, что члены семьи и общины подвергают женщин стигматизации за сообщения о преступлениях, в частности связанных с сексуальным и гендерным насилием в условиях конфликта и вредными традициями, к которым, помимо прочего, о</w:t>
      </w:r>
      <w:r>
        <w:t>т</w:t>
      </w:r>
      <w:r>
        <w:t>носятся принудительные и ранние браки, сексуальное рабство, изнасилования и пытки. Комитет с обеспокоенностью отмечает, что расходы, связанные с о</w:t>
      </w:r>
      <w:r>
        <w:t>б</w:t>
      </w:r>
      <w:r>
        <w:t>ращением в суд, слишком высоки для большинства женщин, что в сочетании с длительными административными проволочками и злоупотреблениями со ст</w:t>
      </w:r>
      <w:r>
        <w:t>о</w:t>
      </w:r>
      <w:r>
        <w:t>роны сотрудников судебных и правоохранительных органов усугубляет нед</w:t>
      </w:r>
      <w:r>
        <w:t>о</w:t>
      </w:r>
      <w:r>
        <w:t xml:space="preserve">верие женщин к системе правосудия. </w:t>
      </w:r>
    </w:p>
    <w:p w:rsidR="008F6118" w:rsidRDefault="008F6118" w:rsidP="008F6118">
      <w:pPr>
        <w:pStyle w:val="SingleTxt"/>
      </w:pPr>
      <w:r>
        <w:t>14.</w:t>
      </w:r>
      <w:r>
        <w:tab/>
        <w:t>Ссылаясь на свою общую рекомендацию №33 (2015), касающуюся дост</w:t>
      </w:r>
      <w:r>
        <w:t>у</w:t>
      </w:r>
      <w:r>
        <w:t>па женщин к правосудию, Комитет рекомендует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выделить необходимые ресурсы сектору правосудия на цели укре</w:t>
      </w:r>
      <w:r>
        <w:t>п</w:t>
      </w:r>
      <w:r>
        <w:t>ления десятилетней программы развития системы правосудия, повысить э</w:t>
      </w:r>
      <w:r>
        <w:t>ф</w:t>
      </w:r>
      <w:r>
        <w:t>фективность механизмов правосудия на территории всей страны и упростить порядок проведения судебных разбирательств, которые должны быть беспла</w:t>
      </w:r>
      <w:r>
        <w:t>т</w:t>
      </w:r>
      <w:r>
        <w:t>ными;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обеспечить систематическое наращивание потенциала сотрудников судебных органов, адвокатов, прокуроров, служащих полиции и других с</w:t>
      </w:r>
      <w:r>
        <w:t>о</w:t>
      </w:r>
      <w:r>
        <w:t>трудников правоохранительных органов во всех сферах действия Конвенции в дополнение к общим рекомендациям Комитета и его правовой практике в соо</w:t>
      </w:r>
      <w:r>
        <w:t>т</w:t>
      </w:r>
      <w:r>
        <w:t>ветствии с Факультативным протоколом;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повышать осведомленность женщин об их правах и их правовую грамотность во всех сферах действия Конвенции в целях расширения прав женщин и их возможностей отстаивать свои права;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d)</w:t>
      </w:r>
      <w:r>
        <w:tab/>
        <w:t>выделить ресурсы фонду правовой помощи и неправительственным орг</w:t>
      </w:r>
      <w:r>
        <w:t>а</w:t>
      </w:r>
      <w:r>
        <w:t>низациям, содействующим доступу женщин к правосудию, и организовать кампании по повышению информированности в целях искоренения стигмат</w:t>
      </w:r>
      <w:r>
        <w:t>и</w:t>
      </w:r>
      <w:r>
        <w:t>зации женщин, в частности тех, кто пострадал от гендерного насилия и обр</w:t>
      </w:r>
      <w:r>
        <w:t>а</w:t>
      </w:r>
      <w:r>
        <w:t>тился за помощью к системе правосудия.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Национальные механизмы по улучшению положения женщин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15.</w:t>
      </w:r>
      <w:r>
        <w:tab/>
        <w:t>Комитет приветствует принятие декрета №2014-0368/PM-RM от 27 мая 2014 года, учреждающего институциональные механизмы, в том числе пост</w:t>
      </w:r>
      <w:r>
        <w:t>о</w:t>
      </w:r>
      <w:r>
        <w:t>янный секретариат, по координации и наблюдению за ходом осуществления национальной гендерной политики. Тем не менее, Комитет обеспокоен тем, что объем бюджетных ассигнований министерству по улучшению положения же</w:t>
      </w:r>
      <w:r>
        <w:t>н</w:t>
      </w:r>
      <w:r>
        <w:t>щин, детей и семей и национальному директорату по улучшению положения женщин недостаточен для выполнения их мандата и проведения оценки п</w:t>
      </w:r>
      <w:r>
        <w:t>о</w:t>
      </w:r>
      <w:r>
        <w:t>следствий реализации проектов, программ и планов действий, необходимой для обеспечения их эффективности. Комитет с обеспокоенностью отмечает, что разработка нового стратегического плана 2010 года, охватывающего пер</w:t>
      </w:r>
      <w:r>
        <w:t>и</w:t>
      </w:r>
      <w:r>
        <w:t>од 2016—2018 годов и нацеленного на обеспечение реализации национального плана по гендерным вопросам, не завершена, а координация деятельности се</w:t>
      </w:r>
      <w:r>
        <w:t>к</w:t>
      </w:r>
      <w:r>
        <w:t>торальных комитетов по правам женщин в составе правительственных мин</w:t>
      </w:r>
      <w:r>
        <w:t>и</w:t>
      </w:r>
      <w:r>
        <w:t>стерств и местных органов управления не налажена.</w:t>
      </w:r>
    </w:p>
    <w:p w:rsidR="008F6118" w:rsidRDefault="008F6118" w:rsidP="008F6118">
      <w:pPr>
        <w:pStyle w:val="SingleTxt"/>
        <w:rPr>
          <w:lang w:val="en-US"/>
        </w:rPr>
      </w:pPr>
      <w:r>
        <w:t>16.</w:t>
      </w:r>
      <w:r>
        <w:tab/>
        <w:t>Ссылаясь на свою общую рекомендацию №6 (1988) об эффективных национальных механизмах и информировании общественности, а также на р</w:t>
      </w:r>
      <w:r>
        <w:t>у</w:t>
      </w:r>
      <w:r>
        <w:t>ководящие принципы, содержащиеся в Пекинской платформе действий, в частности касающиеся создания необходимых условий для эффективного функционирования национальных механизмов, Комитет рекомендует госуда</w:t>
      </w:r>
      <w:r>
        <w:t>р</w:t>
      </w:r>
      <w:r>
        <w:t>ству-участнику выделить людские, технические и финансовые ресурсы мин</w:t>
      </w:r>
      <w:r>
        <w:t>и</w:t>
      </w:r>
      <w:r>
        <w:t>стерству по улучшению положения женщин, детей и семей, национальному директорату по улучшению положения женщин и постоянному секретариату по национальной гендерной политике, необходимые для укрепления их манд</w:t>
      </w:r>
      <w:r>
        <w:t>а</w:t>
      </w:r>
      <w:r>
        <w:t>та в сфере координации, наблюдения и оценки последствий осуществления государственных стратегий и национальных планов действий по улучшению положения женщин. Комитет также рекомендует наладить координацию де</w:t>
      </w:r>
      <w:r>
        <w:t>я</w:t>
      </w:r>
      <w:r>
        <w:t>тельности таких механизмов, секторальных комитетов по правам женщин в с</w:t>
      </w:r>
      <w:r>
        <w:t>о</w:t>
      </w:r>
      <w:r>
        <w:t>ставе правительственных учреждений, местных координационных центров и женских неправительственных организаций.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Временные специальные меры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17.</w:t>
      </w:r>
      <w:r>
        <w:tab/>
        <w:t>Комитет отмечает, что декрет о вступлении в силу закона №2015-052 от 18 декабря 2015 года о введении мер по поощрению гендерного равенства в области доступа к назначаемым и выборным должностям посредством уст</w:t>
      </w:r>
      <w:r>
        <w:t>а</w:t>
      </w:r>
      <w:r>
        <w:t>новления 30-процентной минимальной квоты для представителей каждого п</w:t>
      </w:r>
      <w:r>
        <w:t>о</w:t>
      </w:r>
      <w:r>
        <w:t xml:space="preserve">ла, по-прежнему не принят. </w:t>
      </w:r>
    </w:p>
    <w:p w:rsidR="008F6118" w:rsidRDefault="008F6118" w:rsidP="008F6118">
      <w:pPr>
        <w:pStyle w:val="SingleTxt"/>
      </w:pPr>
      <w:r>
        <w:t>18.</w:t>
      </w:r>
      <w:r>
        <w:tab/>
        <w:t xml:space="preserve">Комитет, повторяя ранее сделанные рекомендации (см. </w:t>
      </w:r>
      <w:hyperlink r:id="rId28" w:history="1">
        <w:r w:rsidRPr="0084586F">
          <w:rPr>
            <w:rStyle w:val="Hyperlink"/>
          </w:rPr>
          <w:t>CEDAW/C/MLI/CO/5</w:t>
        </w:r>
      </w:hyperlink>
      <w:r>
        <w:t>, пункт 14), рекомендует государству-участнику в соо</w:t>
      </w:r>
      <w:r>
        <w:t>т</w:t>
      </w:r>
      <w:r>
        <w:t>ветствии с пунктом 1 статьи 4 Конвенции и общей рекомендацией Комитета №25 (2004) о временных специальных мерах: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выполнить обязательство государства-участника завершить в июле 2016 года процесс принятия декрета о вступлении в силу закона №2015-052;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ввести другие временные специальные меры с конкретными задач</w:t>
      </w:r>
      <w:r>
        <w:t>а</w:t>
      </w:r>
      <w:r>
        <w:t>ми и стимулами, распространять и поддерживать программы, правовые сан</w:t>
      </w:r>
      <w:r>
        <w:t>к</w:t>
      </w:r>
      <w:r>
        <w:t>ции и другие упреждающие и ориентированные на результаты меры по расш</w:t>
      </w:r>
      <w:r>
        <w:t>и</w:t>
      </w:r>
      <w:r>
        <w:t>рению участия женщин в политической и общественной жизни;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c)</w:t>
      </w:r>
      <w:r>
        <w:tab/>
        <w:t>обеспечить выделение специальных бюджетных средств для улу</w:t>
      </w:r>
      <w:r>
        <w:t>ч</w:t>
      </w:r>
      <w:r>
        <w:t>шения положения женщин, особенно женщин-инвалидов и внутренне перем</w:t>
      </w:r>
      <w:r>
        <w:t>е</w:t>
      </w:r>
      <w:r>
        <w:t>щенных женщин, в области образования, развития сельских районов и здрав</w:t>
      </w:r>
      <w:r>
        <w:t>о</w:t>
      </w:r>
      <w:r>
        <w:t>охран</w:t>
      </w:r>
      <w:r>
        <w:t>е</w:t>
      </w:r>
      <w:r>
        <w:t>ния.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Гендерное насилие и вредные традиции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19.</w:t>
      </w:r>
      <w:r>
        <w:tab/>
        <w:t>Комитет отмечает, что в стране ведется разработка законопроекта о бор</w:t>
      </w:r>
      <w:r>
        <w:t>ь</w:t>
      </w:r>
      <w:r>
        <w:t>бе с насилием в отношении женщин и ожидается завершение подготовки нац</w:t>
      </w:r>
      <w:r>
        <w:t>и</w:t>
      </w:r>
      <w:r>
        <w:t>ональной программы по борьбе с насилием в отношении женщин и девочек. Комитет вновь выражает обеспокоенность тем фактом (см.</w:t>
      </w:r>
      <w:r>
        <w:rPr>
          <w:lang w:val="en-US"/>
        </w:rPr>
        <w:t> </w:t>
      </w:r>
      <w:hyperlink r:id="rId29" w:history="1">
        <w:r w:rsidRPr="0084586F">
          <w:rPr>
            <w:rStyle w:val="Hyperlink"/>
          </w:rPr>
          <w:t>CEDAW/C/</w:t>
        </w:r>
      </w:hyperlink>
      <w:r w:rsidRPr="008F6118">
        <w:t xml:space="preserve"> </w:t>
      </w:r>
      <w:r>
        <w:t>MLI/CO/5, пункт 17), что в стране сохраняются вредные кул</w:t>
      </w:r>
      <w:r>
        <w:t>ь</w:t>
      </w:r>
      <w:r>
        <w:t>турные обычаи и традиции, патриархальные взгляды и дискриминационные стереотипы о роли и обязанностях женщин и мужчин в обществе и семье. Комитет выражает озаб</w:t>
      </w:r>
      <w:r>
        <w:t>о</w:t>
      </w:r>
      <w:r>
        <w:t>ченность тем, что вредные традиции, такие как браки между несовершенн</w:t>
      </w:r>
      <w:r>
        <w:t>о</w:t>
      </w:r>
      <w:r>
        <w:t>летними и принудительные браки, полигамия, калечение женских гениталий и другие формы обрезания у женщин, унизительные и оскорбительные трад</w:t>
      </w:r>
      <w:r>
        <w:t>и</w:t>
      </w:r>
      <w:r>
        <w:t>ции, касающиеся вдов, принудительное кормление, л</w:t>
      </w:r>
      <w:r>
        <w:t>е</w:t>
      </w:r>
      <w:r>
        <w:t>вират и сорорат, по-прежнему широко распространены и не наказываются го</w:t>
      </w:r>
      <w:r>
        <w:t>с</w:t>
      </w:r>
      <w:r>
        <w:t>ударством-участником. Комитет также обеспокоен тем, что гендерное насилие, включая домашнее и сексуальное насилие, одобряется обществом и существует в усл</w:t>
      </w:r>
      <w:r>
        <w:t>о</w:t>
      </w:r>
      <w:r>
        <w:t>виях замалчивания и безнаказанности, учитывая то, что регистрируется и ра</w:t>
      </w:r>
      <w:r>
        <w:t>с</w:t>
      </w:r>
      <w:r>
        <w:t>следуется крайне незначительное число подобных случаев. Комитет о</w:t>
      </w:r>
      <w:r>
        <w:t>т</w:t>
      </w:r>
      <w:r>
        <w:t>мечает, что в стране не проводится систематический сбор данных о расследовании, с</w:t>
      </w:r>
      <w:r>
        <w:t>у</w:t>
      </w:r>
      <w:r>
        <w:t>дебном преследовании и наказании виновных в гендерном насилии в отнош</w:t>
      </w:r>
      <w:r>
        <w:t>е</w:t>
      </w:r>
      <w:r>
        <w:t>нии женщин, а женщины и девочки обладают ограниченными возмо</w:t>
      </w:r>
      <w:r>
        <w:t>ж</w:t>
      </w:r>
      <w:r>
        <w:t xml:space="preserve">ностями в области обращения за помощью и защитой, которую предлагают, например, приюты. </w:t>
      </w:r>
    </w:p>
    <w:p w:rsidR="008F6118" w:rsidRDefault="008F6118" w:rsidP="008F6118">
      <w:pPr>
        <w:pStyle w:val="SingleTxt"/>
      </w:pPr>
      <w:r>
        <w:t>20.</w:t>
      </w:r>
      <w:r>
        <w:tab/>
        <w:t>Ссылаясь на свою общую рекомендацию №19 (1992) о насилии в отнош</w:t>
      </w:r>
      <w:r>
        <w:t>е</w:t>
      </w:r>
      <w:r>
        <w:t xml:space="preserve">нии женщин, Комитет вновь рекомендует (см. </w:t>
      </w:r>
      <w:hyperlink r:id="rId30" w:history="1">
        <w:r w:rsidRPr="0084586F">
          <w:rPr>
            <w:rStyle w:val="Hyperlink"/>
          </w:rPr>
          <w:t>CEDAW/C/MLI/CO/5</w:t>
        </w:r>
      </w:hyperlink>
      <w:r>
        <w:t>, пункт 18)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ускорить введение в действие и исполнение закона о борьбе с ге</w:t>
      </w:r>
      <w:r>
        <w:t>н</w:t>
      </w:r>
      <w:r>
        <w:t>дерным насилием в отношении женщин и обеспечить, чтобы такой закон отн</w:t>
      </w:r>
      <w:r>
        <w:t>о</w:t>
      </w:r>
      <w:r>
        <w:t>сил к уголовным преступлениям изнасилование, включая изнасилование жены мужем, инцест, сексуальное преследование и калечение женских гениталий и не предусматривал передачу рассмотрения случаев гендерного насилия в о</w:t>
      </w:r>
      <w:r>
        <w:t>т</w:t>
      </w:r>
      <w:r>
        <w:t xml:space="preserve">ношении женщин институту посредничества; 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добиться того, чтобы пострадавшие не подвергались стигматизации, и побуждать их к тому, чтобы они сообщали о случаях гендерного насилия, а также ввести эффективные механизмы защиты и возмещения вреда, включая предоставление компенсации, судебное преследование и наказание виновных компетентным уголовным судом;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устранить факторы, препятствующие жертвам гендерного насилия получать доступ к правосудию посредством упразднения требования о пред</w:t>
      </w:r>
      <w:r>
        <w:t>о</w:t>
      </w:r>
      <w:r>
        <w:t>ставлении медицинской справки, которая является основанием для инициир</w:t>
      </w:r>
      <w:r>
        <w:t>о</w:t>
      </w:r>
      <w:r>
        <w:t>вания уголовного расследования по делу об изнасиловании;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d)</w:t>
      </w:r>
      <w:r>
        <w:tab/>
        <w:t>завершить подготовку национальной программы борьбы с генде</w:t>
      </w:r>
      <w:r>
        <w:t>р</w:t>
      </w:r>
      <w:r>
        <w:t>ным насилием в отношении женщин и девочек и выделить достаточный объем р</w:t>
      </w:r>
      <w:r>
        <w:t>е</w:t>
      </w:r>
      <w:r>
        <w:t>сурсов для обеспечения ее согласованной и эффективной реализации;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e)</w:t>
      </w:r>
      <w:r>
        <w:tab/>
        <w:t>предоставить женщинам и девочкам, пострадавшим от гендерного насилия, необходимую помощь и защиту, в том числе с помощью увеличения числа приютов, оказания жертвам гендерного насилия медицинской помощи и реализации программ психологической реабилитации и реинтеграции, особе</w:t>
      </w:r>
      <w:r>
        <w:t>н</w:t>
      </w:r>
      <w:r>
        <w:t>но в сельских районах, и координации предоставляемой помощи и оказания услуг пострадавшим в сотрудничестве с организациями гражданского общ</w:t>
      </w:r>
      <w:r>
        <w:t>е</w:t>
      </w:r>
      <w:r>
        <w:t>ства и международными партнерами;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f)</w:t>
      </w:r>
      <w:r>
        <w:tab/>
        <w:t>активизировать усилия по просвещению общественности, используя с этой целью согласованные стратегические кампании в СМИ и образовател</w:t>
      </w:r>
      <w:r>
        <w:t>ь</w:t>
      </w:r>
      <w:r>
        <w:t>ные программы, направленные на борьбу с гендерным неравенством, вредн</w:t>
      </w:r>
      <w:r>
        <w:t>ы</w:t>
      </w:r>
      <w:r>
        <w:t>ми традициями и гендерным насилием;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g)</w:t>
      </w:r>
      <w:r>
        <w:tab/>
        <w:t>организовать систематический сбор и анализ данных обо всех фо</w:t>
      </w:r>
      <w:r>
        <w:t>р</w:t>
      </w:r>
      <w:r>
        <w:t>мах гендерного насилия в отношении женщин в разбивке по возрасту, региону и отношениям, связывающим жертву и преступника.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Калечение женских гениталий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21.</w:t>
      </w:r>
      <w:r>
        <w:tab/>
        <w:t>Комитет отмечает, что в 2009 году национальной ассамблее был пре</w:t>
      </w:r>
      <w:r>
        <w:t>д</w:t>
      </w:r>
      <w:r>
        <w:t>ставлен законопроект, запрещающий калечение женских гениталий, существ</w:t>
      </w:r>
      <w:r>
        <w:t>у</w:t>
      </w:r>
      <w:r>
        <w:t>ет законопроект о формировании комитета по дальнейшему осуществлению законопроекта, а также принят национальный план действий по борьбе с кал</w:t>
      </w:r>
      <w:r>
        <w:t>е</w:t>
      </w:r>
      <w:r>
        <w:t>чением женских гениталий, охватывающий период 2015</w:t>
      </w:r>
      <w:r w:rsidRPr="008F6118">
        <w:t>–</w:t>
      </w:r>
      <w:r>
        <w:t>2019 годов. Напом</w:t>
      </w:r>
      <w:r>
        <w:t>и</w:t>
      </w:r>
      <w:r>
        <w:t>ная о своих предыдущих заключительных наблюдениях (см.</w:t>
      </w:r>
      <w:r>
        <w:rPr>
          <w:lang w:val="en-US"/>
        </w:rPr>
        <w:t> </w:t>
      </w:r>
      <w:hyperlink r:id="rId31" w:history="1">
        <w:r w:rsidRPr="0084586F">
          <w:rPr>
            <w:rStyle w:val="Hyperlink"/>
          </w:rPr>
          <w:t>CEDAW/</w:t>
        </w:r>
      </w:hyperlink>
      <w:r w:rsidRPr="008F6118">
        <w:t xml:space="preserve"> </w:t>
      </w:r>
      <w:r>
        <w:t>C/MLI/CO/5, пункт 23), Комитет вновь выражает обеспокоенность тем, что в стране по-прежнему чрезвычайно широко распространено к</w:t>
      </w:r>
      <w:r>
        <w:t>а</w:t>
      </w:r>
      <w:r>
        <w:t>лечение женских гениталий (90 процентов), а виновные и исполнители остаются безнаказанн</w:t>
      </w:r>
      <w:r>
        <w:t>ы</w:t>
      </w:r>
      <w:r>
        <w:t>ми, что, в частности, связано с отсутствием правовой основы, объявляющей подобные традиции вне закона. Комитет отмечает, что на с</w:t>
      </w:r>
      <w:r>
        <w:t>е</w:t>
      </w:r>
      <w:r>
        <w:t>годняшний день не зарегистрировано ни одного случая преследования в судебном порядке лиц, выполняющих женское обрезание, по статье 213 уголовного кодекса. Комитет также обеспокоен тем, что возраст, в котором проводится обрезание, неукло</w:t>
      </w:r>
      <w:r>
        <w:t>н</w:t>
      </w:r>
      <w:r>
        <w:t>но снижается (в среднем 4,3 года). Комитет с обеспокоенностью отмечает с</w:t>
      </w:r>
      <w:r>
        <w:t>о</w:t>
      </w:r>
      <w:r>
        <w:t>общения о том, что запрет на проведение женского обрезания профессионал</w:t>
      </w:r>
      <w:r>
        <w:t>ь</w:t>
      </w:r>
      <w:r>
        <w:t>ными медицинскими работниками привел к тому, что обрезания в</w:t>
      </w:r>
      <w:r>
        <w:t>ы</w:t>
      </w:r>
      <w:r>
        <w:t>полняются нелегально, что еще больше повышает у девочек и женщин риск серьезных осложнений после обрезания, которые даже могут привести к сме</w:t>
      </w:r>
      <w:r>
        <w:t>р</w:t>
      </w:r>
      <w:r>
        <w:t>ти.</w:t>
      </w:r>
    </w:p>
    <w:p w:rsidR="008F6118" w:rsidRDefault="008F6118" w:rsidP="008F6118">
      <w:pPr>
        <w:pStyle w:val="SingleTxt"/>
        <w:rPr>
          <w:lang w:val="en-US"/>
        </w:rPr>
      </w:pPr>
      <w:r>
        <w:t>22.</w:t>
      </w:r>
      <w:r>
        <w:tab/>
        <w:t>Комитет повторяет свою предыдущую рекомендацию (см.</w:t>
      </w:r>
      <w:r>
        <w:rPr>
          <w:lang w:val="en-US"/>
        </w:rPr>
        <w:t> </w:t>
      </w:r>
      <w:hyperlink r:id="rId32" w:history="1">
        <w:r w:rsidRPr="0084586F">
          <w:rPr>
            <w:rStyle w:val="Hyperlink"/>
          </w:rPr>
          <w:t>CEDAW/</w:t>
        </w:r>
      </w:hyperlink>
      <w:r w:rsidRPr="008F6118">
        <w:t xml:space="preserve"> </w:t>
      </w:r>
      <w:r>
        <w:t>C/MLI/5, пункт 24) государству-участнику завершить принятие законопроекта о запрете калечения женских гениталий, обеспечить привлечение к отве</w:t>
      </w:r>
      <w:r>
        <w:t>т</w:t>
      </w:r>
      <w:r>
        <w:t>ственности за подобные действия в соответствии с кодексом защиты детей и организовать подготовку сотрудников правоохранительных органов, медици</w:t>
      </w:r>
      <w:r>
        <w:t>н</w:t>
      </w:r>
      <w:r>
        <w:t>ских и социальных работников, а также сотрудников судебной системы по в</w:t>
      </w:r>
      <w:r>
        <w:t>о</w:t>
      </w:r>
      <w:r>
        <w:t>просам строгого применения санкций за калечение женских генит</w:t>
      </w:r>
      <w:r>
        <w:t>а</w:t>
      </w:r>
      <w:r>
        <w:t>лий в целях обеспечения эффективного расследования подобных случаев, пр</w:t>
      </w:r>
      <w:r>
        <w:t>е</w:t>
      </w:r>
      <w:r>
        <w:t>следования в судебном порядке и наказания виновных и исполнителей. Ком</w:t>
      </w:r>
      <w:r>
        <w:t>и</w:t>
      </w:r>
      <w:r>
        <w:t>тет рекомендует выделить достаточный объем ресурсов для обеспечения выполнения наци</w:t>
      </w:r>
      <w:r>
        <w:t>о</w:t>
      </w:r>
      <w:r>
        <w:t>нального плана действий по борьбе с калечением женских гениталий, в том числе на организацию деятельности по повышению осведомленности трад</w:t>
      </w:r>
      <w:r>
        <w:t>и</w:t>
      </w:r>
      <w:r>
        <w:t>ционных и религиозных лидеров о негативных последствиях этой практики для женщин и детей.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Гендерное насилие в отношении женщин в затронутых конфликтом областях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23.</w:t>
      </w:r>
      <w:r>
        <w:tab/>
        <w:t>Комитет обеспокоен жестокими преступлениями сексуального характера, включая принудительные и ранние браки, сексуальное рабство, изнасилования и пытки, которые совершают в отношении женщин группы экстремистов, о</w:t>
      </w:r>
      <w:r>
        <w:t>к</w:t>
      </w:r>
      <w:r>
        <w:t>купировавшие северные регионы Мали в апреле 2012 года. Комитет встрев</w:t>
      </w:r>
      <w:r>
        <w:t>о</w:t>
      </w:r>
      <w:r>
        <w:t>жен сообщениями о применении военными сексуального и гендерного насилия в отношении женщин, проживающих на затронутых конфликтом территориях, и тем, что из страха возмездия и в силу недостатка доверия к системе правос</w:t>
      </w:r>
      <w:r>
        <w:t>у</w:t>
      </w:r>
      <w:r>
        <w:t>дия сообщается о незначительной доле подобных случаев, а также вытека</w:t>
      </w:r>
      <w:r>
        <w:t>ю</w:t>
      </w:r>
      <w:r>
        <w:t>щей из этого безнаказанностью преступников. Комитет обеспокоен тем, что положения военно-судебного кодекса предусматривают получение разрешения министра обороны на судебное преследование сотрудников сил безопасности и обороны.</w:t>
      </w:r>
    </w:p>
    <w:p w:rsidR="008F6118" w:rsidRDefault="008F6118" w:rsidP="008F6118">
      <w:pPr>
        <w:pStyle w:val="SingleTxt"/>
      </w:pPr>
      <w:r>
        <w:t>24.</w:t>
      </w:r>
      <w:r>
        <w:tab/>
        <w:t>Комитет рекомендует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в срочном порядке завершить процесс пересмотра военно-судебного кодекса и, пользуясь при необходимости технической помощью Многопр</w:t>
      </w:r>
      <w:r>
        <w:t>о</w:t>
      </w:r>
      <w:r>
        <w:t>фильной комплексной миссии Организации Объединенных Наций по стабил</w:t>
      </w:r>
      <w:r>
        <w:t>и</w:t>
      </w:r>
      <w:r>
        <w:t xml:space="preserve">зации в Мали, обеспечить в соответствии с резолюцией </w:t>
      </w:r>
      <w:hyperlink r:id="rId33" w:history="1">
        <w:r w:rsidRPr="0084586F">
          <w:rPr>
            <w:rStyle w:val="Hyperlink"/>
          </w:rPr>
          <w:t>2295 (2016)</w:t>
        </w:r>
      </w:hyperlink>
      <w:r>
        <w:t xml:space="preserve"> Совета Безопасности, чтобы расследование заявлений о сексуальном и гендерном насилии и нарушении прав женщин со стороны сотрудников сил безопасности и обороны Мали и вооруженных групп, а также применение дисциплинарных мер и судебное преследование проводились с соблюдением международных норм;</w:t>
      </w:r>
    </w:p>
    <w:p w:rsidR="008F6118" w:rsidRDefault="008F6118" w:rsidP="008F6118">
      <w:pPr>
        <w:pStyle w:val="SingleTxt"/>
      </w:pPr>
      <w:r w:rsidRPr="0084586F">
        <w:tab/>
      </w:r>
      <w:r>
        <w:t>b)</w:t>
      </w:r>
      <w:r>
        <w:tab/>
        <w:t>уделять первостепенное внимание защите потерпевших и свидет</w:t>
      </w:r>
      <w:r>
        <w:t>е</w:t>
      </w:r>
      <w:r>
        <w:t>лей от репрессий в ходе получения ими доступа к правосудию и сотруднич</w:t>
      </w:r>
      <w:r>
        <w:t>е</w:t>
      </w:r>
      <w:r>
        <w:t>ства с с</w:t>
      </w:r>
      <w:r>
        <w:t>у</w:t>
      </w:r>
      <w:r>
        <w:t>дебными органами;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c)</w:t>
      </w:r>
      <w:r>
        <w:tab/>
        <w:t>обеспечить получение пострадавшими комплексной медицинской помощи, психиатрической помощи и психосоциальной поддержки.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Торговля людьми и эксплуатация проституции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25.</w:t>
      </w:r>
      <w:r>
        <w:tab/>
        <w:t>Комитет с обеспокоенностью отмечает, что закон № 2012-027/PM-RM от 12 июля 2012 года о борьбе с торговлей людьми и сходными видами практики не учитывает гендерные вопросы, не дополняется планом действий и по-прежнему относительно мало известен сотрудникам правоохранительных о</w:t>
      </w:r>
      <w:r>
        <w:t>р</w:t>
      </w:r>
      <w:r>
        <w:t>ганов и общественности. Комитет вновь выражает обеспокоенность (см.</w:t>
      </w:r>
      <w:r>
        <w:rPr>
          <w:lang w:val="en-US"/>
        </w:rPr>
        <w:t> </w:t>
      </w:r>
      <w:hyperlink r:id="rId34" w:history="1">
        <w:r w:rsidRPr="0084586F">
          <w:rPr>
            <w:rStyle w:val="Hyperlink"/>
          </w:rPr>
          <w:t>CEDAW/C/MLI/CO/5</w:t>
        </w:r>
      </w:hyperlink>
      <w:r>
        <w:t>, пункт 21) отсутствием дезагрегированных данных о торговле женщинами и девочками и эксплуатации проституции, которые вкл</w:t>
      </w:r>
      <w:r>
        <w:t>ю</w:t>
      </w:r>
      <w:r>
        <w:t>чали бы сведения о числе жертв, расследованиях, судебном преследовании, вынесении обвинительных приговоров и наказании за подобные деяния. Оз</w:t>
      </w:r>
      <w:r>
        <w:t>а</w:t>
      </w:r>
      <w:r>
        <w:t>боченность Комитета вызывает и то, что с начала конфликта в 2012 году пол</w:t>
      </w:r>
      <w:r>
        <w:t>у</w:t>
      </w:r>
      <w:r>
        <w:t>чило широкое распространение наследственное рабство, при этом эффекти</w:t>
      </w:r>
      <w:r>
        <w:t>в</w:t>
      </w:r>
      <w:r>
        <w:t>ные механизмы защиты от основных форм рабства, продажи детей и их нез</w:t>
      </w:r>
      <w:r>
        <w:t>а</w:t>
      </w:r>
      <w:r>
        <w:t>конного перемещения, долговой кабалы, крепостного права, принудительного или об</w:t>
      </w:r>
      <w:r>
        <w:t>я</w:t>
      </w:r>
      <w:r>
        <w:t>зательного труда отсутствуют.</w:t>
      </w:r>
    </w:p>
    <w:p w:rsidR="008F6118" w:rsidRDefault="008F6118" w:rsidP="008F6118">
      <w:pPr>
        <w:pStyle w:val="SingleTxt"/>
      </w:pPr>
      <w:r>
        <w:t>26.</w:t>
      </w:r>
      <w:r>
        <w:tab/>
        <w:t xml:space="preserve">Повторяя свою предыдущую рекомендацию (см. </w:t>
      </w:r>
      <w:hyperlink r:id="rId35" w:history="1">
        <w:r w:rsidRPr="0084586F">
          <w:rPr>
            <w:rStyle w:val="Hyperlink"/>
          </w:rPr>
          <w:t>CEDAW/C/MLI/CO/5</w:t>
        </w:r>
      </w:hyperlink>
      <w:r>
        <w:t>, пункт 22), Комитет привлекает внимание к цели 5.2 в области устойчивого ра</w:t>
      </w:r>
      <w:r>
        <w:t>з</w:t>
      </w:r>
      <w:r>
        <w:t>вития о ликвидации всех форм насилия в отношении всех женщин и девочек в публичной и частной сферах, включая торговлю людьми и сексуальную и иные формы эксплуатации и рекомендует государству-участнику: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обеспечить выделение достаточных людских, технических и фина</w:t>
      </w:r>
      <w:r>
        <w:t>н</w:t>
      </w:r>
      <w:r>
        <w:t>совых ресурсов для эффективного осуществления закона № 012-027/PM-RM, в том числе посредством разработки национального плана действий по борьбе с торговлей людьми, охватывающего в том числе долговую кабалу, крепостное право, принудительный и обязательный труд, рабство и сексуальную эксплу</w:t>
      </w:r>
      <w:r>
        <w:t>а</w:t>
      </w:r>
      <w:r>
        <w:t>тацию в коммерческих целях;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обеспечить непрерывное наращивание потенциала служащих прав</w:t>
      </w:r>
      <w:r>
        <w:t>о</w:t>
      </w:r>
      <w:r>
        <w:t>охранительных органов в отношении раннего выявления подобных случаев, перенаправления пострадавших от торговли людьми и оказания им помощи и проведения их реабилитации;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провести общенациональные просветительские и информационные кампании о рисках торговли людьми и ее преступном характере;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d)</w:t>
      </w:r>
      <w:r>
        <w:tab/>
        <w:t>систематически собирать данные, касающиеся эксплуатации прост</w:t>
      </w:r>
      <w:r>
        <w:t>и</w:t>
      </w:r>
      <w:r>
        <w:t>туции и торговли людьми, в разбивке по полу.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Участие в политической и общественной жизни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27.</w:t>
      </w:r>
      <w:r>
        <w:tab/>
        <w:t>Комитет приветствует увеличение числа женщин на министерских дол</w:t>
      </w:r>
      <w:r>
        <w:t>ж</w:t>
      </w:r>
      <w:r>
        <w:t>ностях, которые по состоянию на 15 января 2016 года занимали шесть (р</w:t>
      </w:r>
      <w:r>
        <w:t>а</w:t>
      </w:r>
      <w:r>
        <w:t>нее</w:t>
      </w:r>
      <w:r>
        <w:rPr>
          <w:lang w:val="en-US"/>
        </w:rPr>
        <w:t> </w:t>
      </w:r>
      <w:r>
        <w:t>— пять) из 32 министерских постов и принятие национальной страт</w:t>
      </w:r>
      <w:r>
        <w:t>е</w:t>
      </w:r>
      <w:r>
        <w:t>гии на период 2012—2015 годов и плана действий по обеспечению участия и пов</w:t>
      </w:r>
      <w:r>
        <w:t>ы</w:t>
      </w:r>
      <w:r>
        <w:t>шения представленности женщин во всеобщих выборах. Тем не менее, Ком</w:t>
      </w:r>
      <w:r>
        <w:t>и</w:t>
      </w:r>
      <w:r>
        <w:t>тет обеспокоен тем, что женщины незначительно представлены на в</w:t>
      </w:r>
      <w:r>
        <w:t>ы</w:t>
      </w:r>
      <w:r>
        <w:t>борных и назначаемых должностях на уровне принятия решений в национальной асса</w:t>
      </w:r>
      <w:r>
        <w:t>м</w:t>
      </w:r>
      <w:r>
        <w:t>блее, правительстве, судебных органах и на гражданской службе национальн</w:t>
      </w:r>
      <w:r>
        <w:t>о</w:t>
      </w:r>
      <w:r>
        <w:t>го и муниципального уровня и уровня провинций, а также на д</w:t>
      </w:r>
      <w:r>
        <w:t>и</w:t>
      </w:r>
      <w:r>
        <w:t>пломатической службе. Комитет отмечает, что участию женщин в политической и обществе</w:t>
      </w:r>
      <w:r>
        <w:t>н</w:t>
      </w:r>
      <w:r>
        <w:t>ной жизни препятствуют широко распространенная неграмотность, то, что женщинам не разрешено хранить официальные семейные документы, а также то, что в силу более низкого социального статуса женщины не могут получить необходимые идентификационные документы или проголосовать, не получив на это разрешения. Комитет с обеспокоенностью отмечает, что согласно статье 28 закона о выборах (№06-044 от 4 сентября 2006 года) женщины-инвалиды автоматически лишаются права голоса на основании их инвалидности.</w:t>
      </w:r>
    </w:p>
    <w:p w:rsidR="008F6118" w:rsidRDefault="008F6118" w:rsidP="008F6118">
      <w:pPr>
        <w:pStyle w:val="SingleTxt"/>
      </w:pPr>
      <w:r>
        <w:t>28.</w:t>
      </w:r>
      <w:r>
        <w:tab/>
        <w:t>В соответствии с общей рекомендацией Комитета №23 (1997), касающе</w:t>
      </w:r>
      <w:r>
        <w:t>й</w:t>
      </w:r>
      <w:r>
        <w:t>ся участия женщин в политической и общественной жизни, Комитет вновь р</w:t>
      </w:r>
      <w:r>
        <w:t>е</w:t>
      </w:r>
      <w:r>
        <w:t xml:space="preserve">комендует (см. </w:t>
      </w:r>
      <w:hyperlink r:id="rId36" w:history="1">
        <w:r w:rsidRPr="0084586F">
          <w:rPr>
            <w:rStyle w:val="Hyperlink"/>
          </w:rPr>
          <w:t>CEDAW/C/MLI/CO/5</w:t>
        </w:r>
      </w:hyperlink>
      <w:r>
        <w:t>, пункт 26) государству-участнику: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незамедлительно отменить статью 28 закона о выборах;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оказывать содействие женщинам, в особенности неграмотным и женщинам-инвалидам, в получении документов, необходимых для реализации их права голоса;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c)</w:t>
      </w:r>
      <w:r>
        <w:tab/>
        <w:t>повышать осведомленность политиков, СМИ и лидеров общин в о</w:t>
      </w:r>
      <w:r>
        <w:t>б</w:t>
      </w:r>
      <w:r>
        <w:t>ласти прав женщин и гендерного равенства, повышать социальный статус женщин и содействовать углублению понимания ими того, что полное, свобо</w:t>
      </w:r>
      <w:r>
        <w:t>д</w:t>
      </w:r>
      <w:r>
        <w:t>ное и демократическое участие женщин на равной основе с мужчинами в п</w:t>
      </w:r>
      <w:r>
        <w:t>о</w:t>
      </w:r>
      <w:r>
        <w:t>литической и общественной жизни является необходимым условием полн</w:t>
      </w:r>
      <w:r>
        <w:t>о</w:t>
      </w:r>
      <w:r>
        <w:t>ценного ос</w:t>
      </w:r>
      <w:r>
        <w:t>у</w:t>
      </w:r>
      <w:r>
        <w:t>ществления Конвенции.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Образование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29.</w:t>
      </w:r>
      <w:r>
        <w:tab/>
        <w:t>Комитет приветствует конструктивные меры, реализуемые в целях улу</w:t>
      </w:r>
      <w:r>
        <w:t>ч</w:t>
      </w:r>
      <w:r>
        <w:t>шения показателей охвата девочек школьным образованием и посещаемости ими школы, к которым, в частности, относится реализация национальной п</w:t>
      </w:r>
      <w:r>
        <w:t>о</w:t>
      </w:r>
      <w:r>
        <w:t>литики школьного образования для девочек и программы повышения грамо</w:t>
      </w:r>
      <w:r>
        <w:t>т</w:t>
      </w:r>
      <w:r>
        <w:t>ности среди женщин. Тем не менее, Комитет по-прежнему обеспокоен (см.</w:t>
      </w:r>
      <w:r>
        <w:rPr>
          <w:lang w:val="en-US"/>
        </w:rPr>
        <w:t> </w:t>
      </w:r>
      <w:hyperlink r:id="rId37" w:history="1">
        <w:r w:rsidRPr="0084586F">
          <w:rPr>
            <w:rStyle w:val="Hyperlink"/>
          </w:rPr>
          <w:t>CEDAW/C/MLI/CO/5</w:t>
        </w:r>
      </w:hyperlink>
      <w:r>
        <w:t>, пункт 27) крайне низкими показателями получения д</w:t>
      </w:r>
      <w:r>
        <w:t>е</w:t>
      </w:r>
      <w:r>
        <w:t>вочками среднего образования в силу, помимо прочих причин, ранних браков и браков между несовершеннолетними, ранней беременности, косвенных ра</w:t>
      </w:r>
      <w:r>
        <w:t>с</w:t>
      </w:r>
      <w:r>
        <w:t>ходов на школьное образование, детского труда и отправки в школу в первую очередь мальчиков, что приводит к чрезвычайно высокому уровню неграмо</w:t>
      </w:r>
      <w:r>
        <w:t>т</w:t>
      </w:r>
      <w:r>
        <w:t>ности (76 процентов) среди женщин в государстве-участнике. Комитет также отмечает невысокий уровень образования, обусловленный тем, что на одного учителя приходится значительное количество учеников, а школа испытывает недостаток учебных пособий и квалифицированных кадров, и указывает на наличие неравенства в охвате школьным образованием сельских и городских детей. Комитет обеспокоен и тем, что девочки зачастую страдают от сексуал</w:t>
      </w:r>
      <w:r>
        <w:t>ь</w:t>
      </w:r>
      <w:r>
        <w:t>ных надругательств и преследований на территории школы и что кризис в с</w:t>
      </w:r>
      <w:r>
        <w:t>е</w:t>
      </w:r>
      <w:r>
        <w:t>верной части страны привел к закрытию 115 школ и создал серьезные препя</w:t>
      </w:r>
      <w:r>
        <w:t>т</w:t>
      </w:r>
      <w:r>
        <w:t>ствия на пути получения образования для около 700 тыс. детей, из которых бóльшая часть — девочки. Комитет с озабоченностью указывает на то, что в стране сосуществуют две системы образования, при этом школы по изучению Корана не относятся к компетенции министерства образования.</w:t>
      </w:r>
    </w:p>
    <w:p w:rsidR="008F6118" w:rsidRDefault="008F6118" w:rsidP="008F6118">
      <w:pPr>
        <w:pStyle w:val="SingleTxt"/>
      </w:pPr>
      <w:r>
        <w:t>30.</w:t>
      </w:r>
      <w:r>
        <w:tab/>
        <w:t>Принимая во внимание цель  4.5 в области устойчивого развития о ликв</w:t>
      </w:r>
      <w:r>
        <w:t>и</w:t>
      </w:r>
      <w:r>
        <w:t>дации гендерного неравенства в сфере образования, Комитет рекомендует го</w:t>
      </w:r>
      <w:r>
        <w:t>с</w:t>
      </w:r>
      <w:r>
        <w:t>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уделять первостепенное внимание повторному открытию школ на затронутых конфликтом территориях в соответствии с положениями Соглаш</w:t>
      </w:r>
      <w:r>
        <w:t>е</w:t>
      </w:r>
      <w:r>
        <w:t xml:space="preserve">ния о мире и примирении и предыдущей рекомендацией Комитета (см. </w:t>
      </w:r>
      <w:hyperlink r:id="rId38" w:history="1">
        <w:r w:rsidRPr="0084586F">
          <w:rPr>
            <w:rStyle w:val="Hyperlink"/>
          </w:rPr>
          <w:t>CEDAW/C/MLI/CO/5</w:t>
        </w:r>
      </w:hyperlink>
      <w:r>
        <w:t>, пункт 28);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выделить системе образования надлежащее финансирование в целях о</w:t>
      </w:r>
      <w:r>
        <w:t>т</w:t>
      </w:r>
      <w:r>
        <w:t>мены косвенных расходов на школьное образование, увеличения числа школ и численности учителей, повышения качества обучения и совершенствования школьной инфраструктуры, а также улучшения программ повышения грамо</w:t>
      </w:r>
      <w:r>
        <w:t>т</w:t>
      </w:r>
      <w:r>
        <w:t>ности среди взрослого населения, особенно в сельской местности и на затр</w:t>
      </w:r>
      <w:r>
        <w:t>о</w:t>
      </w:r>
      <w:r>
        <w:t>нутых конфликтом территориях;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повышать осведомленность общественности о важности образов</w:t>
      </w:r>
      <w:r>
        <w:t>а</w:t>
      </w:r>
      <w:r>
        <w:t>ния для женщин и девочек и укрепить политику абсолютной нетерпимости к сексуальным надругательствам и преследованию в школе, обеспечивая надл</w:t>
      </w:r>
      <w:r>
        <w:t>е</w:t>
      </w:r>
      <w:r>
        <w:t>жащее наказание виновных;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d)</w:t>
      </w:r>
      <w:r>
        <w:tab/>
        <w:t>обеспечить согласование учебной программы, используемой школ</w:t>
      </w:r>
      <w:r>
        <w:t>а</w:t>
      </w:r>
      <w:r>
        <w:t>ми по изучению Корана, с общенациональной учебной программой, одобре</w:t>
      </w:r>
      <w:r>
        <w:t>н</w:t>
      </w:r>
      <w:r>
        <w:t>ной м</w:t>
      </w:r>
      <w:r>
        <w:t>и</w:t>
      </w:r>
      <w:r>
        <w:t>нистерством образования.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Занятость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31.</w:t>
      </w:r>
      <w:r>
        <w:tab/>
        <w:t xml:space="preserve">Комитет по-прежнему обеспокоен (см. </w:t>
      </w:r>
      <w:hyperlink r:id="rId39" w:history="1">
        <w:r w:rsidRPr="0084586F">
          <w:rPr>
            <w:rStyle w:val="Hyperlink"/>
          </w:rPr>
          <w:t>CEDAW/C/MLI/CO/5</w:t>
        </w:r>
      </w:hyperlink>
      <w:r>
        <w:t>, пункт 29) тем, что женщины, особенно в сельских районах, заняты преимущественно в неформальном секторе на неквалифицированных и низкооплачиваемых раб</w:t>
      </w:r>
      <w:r>
        <w:t>о</w:t>
      </w:r>
      <w:r>
        <w:t>тах и не охватываются системой социальной защиты. Комитет также обеспок</w:t>
      </w:r>
      <w:r>
        <w:t>о</w:t>
      </w:r>
      <w:r>
        <w:t>ен сохраняющимся разрывом в оплате труда по признаку пола, а также выс</w:t>
      </w:r>
      <w:r>
        <w:t>о</w:t>
      </w:r>
      <w:r>
        <w:t>ким уровнем безработицы среди женщин и стойкой горизонтальной и верт</w:t>
      </w:r>
      <w:r>
        <w:t>и</w:t>
      </w:r>
      <w:r>
        <w:t xml:space="preserve">кальной сегрегацией на рынке труда как в государственном, так и в частном секторе. Комитет с озабоченностью указывает на эксплуатацию труда девочек, в том числе в форме домашней работы и попрошайничества, а также на то, что согласно трудовому кодексу женщинам запрещено выполнять определенные типы работ. </w:t>
      </w:r>
    </w:p>
    <w:p w:rsidR="008F6118" w:rsidRDefault="008F6118" w:rsidP="008F6118">
      <w:pPr>
        <w:pStyle w:val="SingleTxt"/>
      </w:pPr>
      <w:r>
        <w:t>32.</w:t>
      </w:r>
      <w:r>
        <w:tab/>
        <w:t xml:space="preserve">Напоминая о своей предыдущей рекомендации (см. </w:t>
      </w:r>
      <w:hyperlink r:id="rId40" w:history="1">
        <w:r w:rsidRPr="0084586F">
          <w:rPr>
            <w:rStyle w:val="Hyperlink"/>
          </w:rPr>
          <w:t>CEDAW/C/MLI/CO/5</w:t>
        </w:r>
      </w:hyperlink>
      <w:r>
        <w:t>, пункт 30), Комитет рекомендует государству-участнику: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отменить дискриминационные положения трудового кодекса;</w:t>
      </w:r>
    </w:p>
    <w:p w:rsidR="008F6118" w:rsidRDefault="008F6118" w:rsidP="008F6118">
      <w:pPr>
        <w:pStyle w:val="SingleTxt"/>
      </w:pPr>
      <w:r w:rsidRPr="0084586F">
        <w:tab/>
      </w:r>
      <w:r>
        <w:t>b)</w:t>
      </w:r>
      <w:r>
        <w:tab/>
        <w:t>обеспечить активное участие женщин в разработке и осуществлении пр</w:t>
      </w:r>
      <w:r>
        <w:t>о</w:t>
      </w:r>
      <w:r>
        <w:t>грамм по созданию рабочих мест;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обеспечить применение национальной схемы субсидирования мед</w:t>
      </w:r>
      <w:r>
        <w:t>и</w:t>
      </w:r>
      <w:r>
        <w:t>цинского обслуживания, в особенности для сельских женщин и женщин-инвалидов;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d)</w:t>
      </w:r>
      <w:r>
        <w:tab/>
        <w:t>ликвидировать существующий разрыв в оплате труда женщин и мужчин посредством применения принципа равной оплаты за труд равной ценности в соответствии с общей рекомендацией Комитета №13 (1989) по да</w:t>
      </w:r>
      <w:r>
        <w:t>н</w:t>
      </w:r>
      <w:r>
        <w:t>ному вопр</w:t>
      </w:r>
      <w:r>
        <w:t>о</w:t>
      </w:r>
      <w:r>
        <w:t>су;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e)</w:t>
      </w:r>
      <w:r>
        <w:tab/>
        <w:t>выделить надлежащие ресурсы для осуществления национального плана действий по ликвидации детского труда и контроля его осуществления с п</w:t>
      </w:r>
      <w:r>
        <w:t>о</w:t>
      </w:r>
      <w:r>
        <w:t xml:space="preserve">мощью инспектирования, особенно отдаленных и приграничных районов.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Здравоохранение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33.</w:t>
      </w:r>
      <w:r>
        <w:tab/>
        <w:t xml:space="preserve">Комитет вновь выражает обеспокоенность (см. </w:t>
      </w:r>
      <w:hyperlink r:id="rId41" w:history="1">
        <w:r w:rsidRPr="0084586F">
          <w:rPr>
            <w:rStyle w:val="Hyperlink"/>
          </w:rPr>
          <w:t>CEDAW/C/MLI/CO/5</w:t>
        </w:r>
      </w:hyperlink>
      <w:r>
        <w:t>, пункт 33) недостаточным финансированием сектора здравоохранения и огр</w:t>
      </w:r>
      <w:r>
        <w:t>а</w:t>
      </w:r>
      <w:r>
        <w:t>ниченным доступом к первичному медико-санитарному обслуживанию, в том числе в сфере сексуального и репродуктивного здоровья, в особенности среди сельских женщин, женщин-инвалидов и женщин, проживающих на территор</w:t>
      </w:r>
      <w:r>
        <w:t>и</w:t>
      </w:r>
      <w:r>
        <w:t>ях, затронутых конфликтом. Комитет обеспокоен стабильно высокими показ</w:t>
      </w:r>
      <w:r>
        <w:t>а</w:t>
      </w:r>
      <w:r>
        <w:t>телями материнской смертности, рождаемости и ранней и частой беременн</w:t>
      </w:r>
      <w:r>
        <w:t>о</w:t>
      </w:r>
      <w:r>
        <w:t>сти и связанными с этими факторами спросом на лечение акушерского свища, широким распространением ВИЧ/СПИДа среди женщин, занимающихся пр</w:t>
      </w:r>
      <w:r>
        <w:t>о</w:t>
      </w:r>
      <w:r>
        <w:t>ституцией, и острым недоеданием, от которого страдают женщины. Комитет отмечает, что неблагоприятное состояние здоровья женщин в государстве-участнике связано, помимо прочего, с устойчивыми социально-культурными препятствиями, включая вредные традиции; несамостоятельность женщин; о</w:t>
      </w:r>
      <w:r>
        <w:t>т</w:t>
      </w:r>
      <w:r>
        <w:t>сутствие, высокую цену и недоступность современных контрацептивов; нево</w:t>
      </w:r>
      <w:r>
        <w:t>з</w:t>
      </w:r>
      <w:r>
        <w:t>можность получить информацию о сексуальном и репродуктивном здоровье и соответствующие услуги, в том числе для подростков; а также трудностями, связанными с получением доступа к легальным абортам.</w:t>
      </w:r>
    </w:p>
    <w:p w:rsidR="008F6118" w:rsidRDefault="008F6118" w:rsidP="008F6118">
      <w:pPr>
        <w:pStyle w:val="SingleTxt"/>
      </w:pPr>
      <w:r>
        <w:t>34.</w:t>
      </w:r>
      <w:r>
        <w:tab/>
        <w:t>Напоминая о своей общей рекомендации №24 (1999) о женщинах и зд</w:t>
      </w:r>
      <w:r>
        <w:t>о</w:t>
      </w:r>
      <w:r>
        <w:t>ровье, Комитет обращает внимание на цели 3.1 и 3.7 в области устойчивого развития, предусматривающие снижение глобального коэффициента матери</w:t>
      </w:r>
      <w:r>
        <w:t>н</w:t>
      </w:r>
      <w:r>
        <w:t>ской смертности и обеспечения всеобщего доступа к услугам по охране секс</w:t>
      </w:r>
      <w:r>
        <w:t>у</w:t>
      </w:r>
      <w:r>
        <w:t>ального и репродуктивного здоровья, и повторяет свою предыдущую рекоме</w:t>
      </w:r>
      <w:r>
        <w:t>н</w:t>
      </w:r>
      <w:r>
        <w:t xml:space="preserve">дацию (см. </w:t>
      </w:r>
      <w:hyperlink r:id="rId42" w:history="1">
        <w:r w:rsidRPr="0084586F">
          <w:rPr>
            <w:rStyle w:val="Hyperlink"/>
          </w:rPr>
          <w:t>CEDAW/C/MLI/CO/5</w:t>
        </w:r>
      </w:hyperlink>
      <w:r>
        <w:t>, пункт 34), а также дополнительно рекоме</w:t>
      </w:r>
      <w:r>
        <w:t>н</w:t>
      </w:r>
      <w:r>
        <w:t xml:space="preserve">дует государству-участнику: </w:t>
      </w:r>
    </w:p>
    <w:p w:rsidR="008F6118" w:rsidRDefault="008F6118" w:rsidP="008F6118">
      <w:pPr>
        <w:pStyle w:val="SingleTxt"/>
      </w:pPr>
      <w:r w:rsidRPr="0084586F">
        <w:tab/>
      </w:r>
      <w:r>
        <w:t>a)</w:t>
      </w:r>
      <w:r>
        <w:tab/>
        <w:t>увеличить объем бюджетных ассигнований на первичное медико-санитарное обслуживание и услуги в области сексуального и репродуктивного здоровья, современные контрацептивы приемлемой стоимости и услуги пл</w:t>
      </w:r>
      <w:r>
        <w:t>а</w:t>
      </w:r>
      <w:r>
        <w:t>нирования семьи с уделением первостепенного внимания женщинам, прож</w:t>
      </w:r>
      <w:r>
        <w:t>и</w:t>
      </w:r>
      <w:r>
        <w:t xml:space="preserve">вающим в сельской местности и на затронутых конфликтом территориях, и женщинам-инвалидам; 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обеспечить снижение материнской смертности за счет улучшения доступа к основной дородовой помощи и послеродовому уходу, а также сро</w:t>
      </w:r>
      <w:r>
        <w:t>ч</w:t>
      </w:r>
      <w:r>
        <w:t>ной акушерской помощи, которую должны оказывать квалифицированные акушеры, включая уход после проведения разрешенного законом аборта, на всей территории государства-участника с учетом Технического руководства Управления Верховного комиссара по правам человека по вопросам примен</w:t>
      </w:r>
      <w:r>
        <w:t>е</w:t>
      </w:r>
      <w:r>
        <w:t>ния правозащитного подхода при осуществлении политики и программ, направленных на сокращение масштабов предотвратимой материнской смер</w:t>
      </w:r>
      <w:r>
        <w:t>т</w:t>
      </w:r>
      <w:r>
        <w:t>ности и заболева</w:t>
      </w:r>
      <w:r>
        <w:t>е</w:t>
      </w:r>
      <w:r>
        <w:t>мости (</w:t>
      </w:r>
      <w:hyperlink r:id="rId43" w:history="1">
        <w:r w:rsidRPr="0084586F">
          <w:rPr>
            <w:rStyle w:val="Hyperlink"/>
          </w:rPr>
          <w:t>A/HRC/21/22</w:t>
        </w:r>
      </w:hyperlink>
      <w:r>
        <w:t xml:space="preserve"> и Corr.1 и 2); </w:t>
      </w:r>
    </w:p>
    <w:p w:rsidR="008F6118" w:rsidRDefault="008F6118" w:rsidP="008F6118">
      <w:pPr>
        <w:pStyle w:val="SingleTxt"/>
      </w:pPr>
      <w:r w:rsidRPr="0084586F">
        <w:tab/>
      </w:r>
      <w:r>
        <w:t>c)</w:t>
      </w:r>
      <w:r>
        <w:tab/>
        <w:t>реализовать целевую кампанию по повышению осведомленности в целях борьбы с негативным влиянием привычных, традиционных и религио</w:t>
      </w:r>
      <w:r>
        <w:t>з</w:t>
      </w:r>
      <w:r>
        <w:t>ных соображений, которые могут использоваться как оправдание для огран</w:t>
      </w:r>
      <w:r>
        <w:t>и</w:t>
      </w:r>
      <w:r>
        <w:t>чения самостоятельности женщин и препятствуют реализации их прав на се</w:t>
      </w:r>
      <w:r>
        <w:t>к</w:t>
      </w:r>
      <w:r>
        <w:t>суальное и репродуктивное здоровье;</w:t>
      </w:r>
    </w:p>
    <w:p w:rsidR="008F6118" w:rsidRPr="008F6118" w:rsidRDefault="008F6118" w:rsidP="008F6118">
      <w:pPr>
        <w:pStyle w:val="SingleTxt"/>
      </w:pPr>
      <w:r>
        <w:rPr>
          <w:lang w:val="en-US"/>
        </w:rPr>
        <w:tab/>
      </w:r>
      <w:r>
        <w:t>d)</w:t>
      </w:r>
      <w:r>
        <w:tab/>
        <w:t>обеспечить, чтобы в процессе пересмотра закона №06-028 от 29</w:t>
      </w:r>
      <w:r>
        <w:rPr>
          <w:lang w:val="en-US"/>
        </w:rPr>
        <w:t> </w:t>
      </w:r>
      <w:r>
        <w:t>июня 2006 года, определяющего правила профилактики, лечения и ко</w:t>
      </w:r>
      <w:r>
        <w:t>н</w:t>
      </w:r>
      <w:r>
        <w:t>троля ВИЧ/СПИДа, открыто учитывалась гендерная проблематика, предусматрив</w:t>
      </w:r>
      <w:r>
        <w:t>а</w:t>
      </w:r>
      <w:r>
        <w:t>лись четкие недискриминационные меры защиты женщин, занимающихся пр</w:t>
      </w:r>
      <w:r>
        <w:t>о</w:t>
      </w:r>
      <w:r>
        <w:t>ституцией, и выделялся достаточный объем ресурсов на реализацию наци</w:t>
      </w:r>
      <w:r>
        <w:t>о</w:t>
      </w:r>
      <w:r>
        <w:t>нального рамочного стратегического документа по ВИЧ/СПИДу.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Экономические и социальные преимущества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35.</w:t>
      </w:r>
      <w:r>
        <w:tab/>
        <w:t>Комитет приветствует принятие стратегических рамок по борьбе с нищ</w:t>
      </w:r>
      <w:r>
        <w:t>е</w:t>
      </w:r>
      <w:r>
        <w:t>той, нацеленных на улучшение доступа женщин к кредитованию, земельным ресурсам и оборудованию. Однако Комитет обеспокоен тем, что женщины не принимают активного участия в разработке и осуществлении этих меропри</w:t>
      </w:r>
      <w:r>
        <w:t>я</w:t>
      </w:r>
      <w:r>
        <w:t>тий, а дискриминационные законы обязывают женщин подчиняться своим м</w:t>
      </w:r>
      <w:r>
        <w:t>у</w:t>
      </w:r>
      <w:r>
        <w:t>жьям, ограничивая таким образом их экономические права. Комитет отмечает, что вследствие конфликта возможности женщин обеспечивать свое существ</w:t>
      </w:r>
      <w:r>
        <w:t>о</w:t>
      </w:r>
      <w:r>
        <w:t xml:space="preserve">вание, включая возможность участвовать в торговле, значительно ухудшились. </w:t>
      </w:r>
    </w:p>
    <w:p w:rsidR="008F6118" w:rsidRDefault="008F6118" w:rsidP="008F6118">
      <w:pPr>
        <w:pStyle w:val="SingleTxt"/>
        <w:rPr>
          <w:lang w:val="en-US"/>
        </w:rPr>
      </w:pPr>
      <w:r>
        <w:t>36.</w:t>
      </w:r>
      <w:r>
        <w:tab/>
        <w:t>Комитет рекомендует государству-участнику незамедлительно отменить правовые положения, обязывающие женщин подчиняться их мужьям, и, кроме того, повысить осведомленность традиционных лидеров и особенно мужчин о необходимости поощрять расширение экономических прав и возможностей женщин в рамках борьбы с нищетой.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Сельские женщины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37.</w:t>
      </w:r>
      <w:r>
        <w:tab/>
        <w:t>Комитет отмечает крайне высокие показатели нищеты (75,9 процента) и отсутствия продовольственной безопасности в сельских районах и вновь в</w:t>
      </w:r>
      <w:r>
        <w:t>ы</w:t>
      </w:r>
      <w:r>
        <w:t xml:space="preserve">ражает обеспокоенность (см. </w:t>
      </w:r>
      <w:hyperlink r:id="rId44" w:history="1">
        <w:r w:rsidRPr="0084586F">
          <w:rPr>
            <w:rStyle w:val="Hyperlink"/>
          </w:rPr>
          <w:t>CEDAW/C/MLI/CO/5</w:t>
        </w:r>
      </w:hyperlink>
      <w:r>
        <w:t>, пункт 35) бедственным п</w:t>
      </w:r>
      <w:r>
        <w:t>о</w:t>
      </w:r>
      <w:r>
        <w:t>ложением женщин в сельских районах. Комитет также с обеспокоенностью о</w:t>
      </w:r>
      <w:r>
        <w:t>т</w:t>
      </w:r>
      <w:r>
        <w:t>мечает несоразмерное отрицательное влияние, которое оказывает на сельских женщин земельный кодекс 2000 года; кодекс признает действие обычного пр</w:t>
      </w:r>
      <w:r>
        <w:t>а</w:t>
      </w:r>
      <w:r>
        <w:t>ва в области приобретения земли путем наследования и управления имущ</w:t>
      </w:r>
      <w:r>
        <w:t>е</w:t>
      </w:r>
      <w:r>
        <w:t xml:space="preserve">ством, ограничивая доступ женщин к экономическим ресурсам и финансовому кредитованию. </w:t>
      </w:r>
    </w:p>
    <w:p w:rsidR="008F6118" w:rsidRDefault="008F6118" w:rsidP="008F6118">
      <w:pPr>
        <w:pStyle w:val="SingleTxt"/>
      </w:pPr>
      <w:r>
        <w:t>38.</w:t>
      </w:r>
      <w:r>
        <w:tab/>
        <w:t>Комитет рекомендует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отменить дискриминационные положения земельного кодекса, для того чтобы упростить порядок приобретения и сохранения земельных и пр</w:t>
      </w:r>
      <w:r>
        <w:t>и</w:t>
      </w:r>
      <w:r>
        <w:t>родных ресурсов сельскими женщинами в соответствии с предыдущей рек</w:t>
      </w:r>
      <w:r>
        <w:t>о</w:t>
      </w:r>
      <w:r>
        <w:t xml:space="preserve">мендацией Комитета (см. </w:t>
      </w:r>
      <w:hyperlink r:id="rId45" w:history="1">
        <w:r w:rsidRPr="0084586F">
          <w:rPr>
            <w:rStyle w:val="Hyperlink"/>
          </w:rPr>
          <w:t>CEDAW/C/MLI/CO/5</w:t>
        </w:r>
      </w:hyperlink>
      <w:r>
        <w:t>, пункт 36);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b)</w:t>
      </w:r>
      <w:r>
        <w:tab/>
        <w:t>повысить уровень представленности женщин в местных директи</w:t>
      </w:r>
      <w:r>
        <w:t>в</w:t>
      </w:r>
      <w:r>
        <w:t>ных и административных органах, включая Высокий совет сельского хозя</w:t>
      </w:r>
      <w:r>
        <w:t>й</w:t>
      </w:r>
      <w:r>
        <w:t>ства, и обеспечить более активное участие женщин в разработке и осущест</w:t>
      </w:r>
      <w:r>
        <w:t>в</w:t>
      </w:r>
      <w:r>
        <w:t>лении национальной стратегии продовольственной безопасности на период 2015—2025 годов.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Социально незащищенные группы женщин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Женщины-инвалиды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39.</w:t>
      </w:r>
      <w:r>
        <w:tab/>
        <w:t>Комитет приветствует принятие в 2015 году десятилетнего стратегическ</w:t>
      </w:r>
      <w:r>
        <w:t>о</w:t>
      </w:r>
      <w:r>
        <w:t>го плана и плана действий по поощрению социально-экономических прав и</w:t>
      </w:r>
      <w:r>
        <w:t>н</w:t>
      </w:r>
      <w:r>
        <w:t>валидов и разработку законопроекта о социальной защите инвалидов, в кот</w:t>
      </w:r>
      <w:r>
        <w:t>о</w:t>
      </w:r>
      <w:r>
        <w:t>ром отдельно рассматриваются потребности женщин и девочек-инвалидов. Тем не менее, Комитет с обеспокоенностью отмечает, что женщины и девочки-инвалиды подвергаются стигматизации и дискриминации при попытках уч</w:t>
      </w:r>
      <w:r>
        <w:t>а</w:t>
      </w:r>
      <w:r>
        <w:t>стия в политической и общественной жизни, получения высококачественного образования, использования возможностей в сфере занятости, получения услуг по охране сексуального и репродуктивного здоровья и обращения к системе правосудия, и это еще более усугубляет их социальную изоляцию, крайнюю нищету и уязвимость в отношении гендерного насилия и сексуальной эксплу</w:t>
      </w:r>
      <w:r>
        <w:t>а</w:t>
      </w:r>
      <w:r>
        <w:t>тации.</w:t>
      </w:r>
    </w:p>
    <w:p w:rsidR="008F6118" w:rsidRDefault="008F6118" w:rsidP="008F6118">
      <w:pPr>
        <w:pStyle w:val="SingleTxt"/>
      </w:pPr>
      <w:r>
        <w:t>40.</w:t>
      </w:r>
      <w:r>
        <w:tab/>
        <w:t>Ссылаясь на свою общую рекомендацию №18 (1991), касающуюся же</w:t>
      </w:r>
      <w:r>
        <w:t>н</w:t>
      </w:r>
      <w:r>
        <w:t>щин-инвалидов, Комитет рекомендует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завершить разработку закона о социальной защите инвалидов и сформировать механизм наблюдения за его исполнением, обеспечивая прим</w:t>
      </w:r>
      <w:r>
        <w:t>е</w:t>
      </w:r>
      <w:r>
        <w:t>нение надлежащих мер наказания к виновным в дискриминации и гендерном насилии в отношении женщин и девочек-инвалидов и предоставление постр</w:t>
      </w:r>
      <w:r>
        <w:t>а</w:t>
      </w:r>
      <w:r>
        <w:t>давшим соответствующей компенсации;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провести перепись инвалидов, с тем чтобы установить их числе</w:t>
      </w:r>
      <w:r>
        <w:t>н</w:t>
      </w:r>
      <w:r>
        <w:t>ность и представить полученные данные в разбивке по полу, возрасту и реги</w:t>
      </w:r>
      <w:r>
        <w:t>о</w:t>
      </w:r>
      <w:r>
        <w:t>ну;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принять меры по повышению осведомленности, направленные на изменение отрицательного отношения к женщинам и девочкам-инвалидам, обусловленного культурными особенностями;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d)</w:t>
      </w:r>
      <w:r>
        <w:tab/>
        <w:t>предоставить женщинам и девочкам-инвалидам реальную возмо</w:t>
      </w:r>
      <w:r>
        <w:t>ж</w:t>
      </w:r>
      <w:r>
        <w:t>ность обращения к системе правосудия, участия в политической и обществе</w:t>
      </w:r>
      <w:r>
        <w:t>н</w:t>
      </w:r>
      <w:r>
        <w:t>ной жизни, получения образования, осуществления деятельности, приносящей доход, и получения медико-санитарного обслуживания, включая услуги в обл</w:t>
      </w:r>
      <w:r>
        <w:t>а</w:t>
      </w:r>
      <w:r>
        <w:t>сти сексуального и репродуктивного здоровья.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Женщины-заключенные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41.</w:t>
      </w:r>
      <w:r>
        <w:tab/>
        <w:t>Комитет с обеспокоенностью отмечает условия содержания женщин под стражей, к которым относятся отсутствие систематического раздельного с</w:t>
      </w:r>
      <w:r>
        <w:t>о</w:t>
      </w:r>
      <w:r>
        <w:t>держания под стражей мужчин и женщин, надругательства со стороны пол</w:t>
      </w:r>
      <w:r>
        <w:t>и</w:t>
      </w:r>
      <w:r>
        <w:t>ции и тюремной администрации и несоответствующие условия содержания под стражей беременных женщин и женщин с детьми.</w:t>
      </w:r>
    </w:p>
    <w:p w:rsidR="008F6118" w:rsidRDefault="008F6118" w:rsidP="008F6118">
      <w:pPr>
        <w:pStyle w:val="SingleTxt"/>
        <w:rPr>
          <w:lang w:val="en-US"/>
        </w:rPr>
      </w:pPr>
      <w:r>
        <w:t>42.</w:t>
      </w:r>
      <w:r>
        <w:tab/>
        <w:t>Комитет рекомендует государству-участнику соблюдать Правила Орган</w:t>
      </w:r>
      <w:r>
        <w:t>и</w:t>
      </w:r>
      <w:r>
        <w:t>зации Объединенных Наций, касающиеся обращения с женщинами-заключенными и мер наказания для женщин-правонарушителей, не связанных с лишением свободы («Бангкокские правила»), гарантировать отдельное с</w:t>
      </w:r>
      <w:r>
        <w:t>о</w:t>
      </w:r>
      <w:r>
        <w:t>держание мужчин и женщин-заключенных, обеспечить, чтобы надзор за же</w:t>
      </w:r>
      <w:r>
        <w:t>н</w:t>
      </w:r>
      <w:r>
        <w:t>щинами-заключенными осуществляли женщины-охранники, и создать надл</w:t>
      </w:r>
      <w:r>
        <w:t>е</w:t>
      </w:r>
      <w:r>
        <w:t>жащие условия для медицинского обслуживания и получения женщинами, в особенности беременными женщинами и заключенными с детьми, соотве</w:t>
      </w:r>
      <w:r>
        <w:t>т</w:t>
      </w:r>
      <w:r>
        <w:t>ствующих медико-санитарных услуг и лечения.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Брак и отношения в семье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43.</w:t>
      </w:r>
      <w:r>
        <w:tab/>
        <w:t>Комитет глубоко обеспокоен тем, что прогрессивные положения, затраг</w:t>
      </w:r>
      <w:r>
        <w:t>и</w:t>
      </w:r>
      <w:r>
        <w:t>вающие права женщин, содержавшиеся в предварительном проекте пересмо</w:t>
      </w:r>
      <w:r>
        <w:t>т</w:t>
      </w:r>
      <w:r>
        <w:t>ренного кодекса о статусе личности и семьи, в ходе второго чтения законопр</w:t>
      </w:r>
      <w:r>
        <w:t>о</w:t>
      </w:r>
      <w:r>
        <w:t>екта в национальной ассамблее были отменены под давлением консервативных и религиозных групп; это привело к тому, что в кодексе 2011 года имеется ц</w:t>
      </w:r>
      <w:r>
        <w:t>е</w:t>
      </w:r>
      <w:r>
        <w:t>лый ряд дискриминационных положений, а именно: разный минимальный во</w:t>
      </w:r>
      <w:r>
        <w:t>з</w:t>
      </w:r>
      <w:r>
        <w:t>раст вступления в брак для девочек (16 лет) и мальчиков (18 лет), при этом по решению суда и с согласия родителей возраст вступления девочки в брак м</w:t>
      </w:r>
      <w:r>
        <w:t>о</w:t>
      </w:r>
      <w:r>
        <w:t>жет быть снижен до 15 лет (статья 281), а право запрета принадлежит отцу д</w:t>
      </w:r>
      <w:r>
        <w:t>е</w:t>
      </w:r>
      <w:r>
        <w:t>вочки или членам его расширенной семьи (статья 284); выплата приданого (статья 288); полигамия (статья 307); требование подчиняться мужу (статья 316); наделение мужа правами главы семьи и полномочиями власти по месту жительства (статья 319); требование выдерживать определенный срок до п</w:t>
      </w:r>
      <w:r>
        <w:t>о</w:t>
      </w:r>
      <w:r>
        <w:t>вторного замужества, относящееся к разведенным женщинам (статья 366) и вдовам (статья 373). Комитет также обеспокоен отсутствием запрета левирата.</w:t>
      </w:r>
    </w:p>
    <w:p w:rsidR="008F6118" w:rsidRDefault="008F6118" w:rsidP="008F6118">
      <w:pPr>
        <w:pStyle w:val="SingleTxt"/>
      </w:pPr>
      <w:r>
        <w:t>44.</w:t>
      </w:r>
      <w:r>
        <w:tab/>
        <w:t>Напоминая о своих общих рекомендациях №21 (1994) о равноправии в браке и в семейных отношениях и №29 (2013) об экономических последствиях вступления в брак, семейных отношений и их расторжения, а также о совмес</w:t>
      </w:r>
      <w:r>
        <w:t>т</w:t>
      </w:r>
      <w:r>
        <w:t>ной общей рекомендации №31 Комитета по ликвидации дискриминации в о</w:t>
      </w:r>
      <w:r>
        <w:t>т</w:t>
      </w:r>
      <w:r>
        <w:t>ношении женщин/замечании общего порядка №18 Комитета по правам ребе</w:t>
      </w:r>
      <w:r>
        <w:t>н</w:t>
      </w:r>
      <w:r>
        <w:t>ка по вредной практике (2014 год), Комитет рекомендует государству-участнику: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a)</w:t>
      </w:r>
      <w:r>
        <w:tab/>
        <w:t>отменить все дискриминационные положения кодекса о статусе ли</w:t>
      </w:r>
      <w:r>
        <w:t>ч</w:t>
      </w:r>
      <w:r>
        <w:t>ности и семьи и обеспечить его эффективное исполнение;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b)</w:t>
      </w:r>
      <w:r>
        <w:tab/>
        <w:t>запретить вредные обычаи полигамии, левирата и браков среди несовершеннолетних;</w:t>
      </w:r>
    </w:p>
    <w:p w:rsidR="008F6118" w:rsidRDefault="008F6118" w:rsidP="008F6118">
      <w:pPr>
        <w:pStyle w:val="SingleTxt"/>
      </w:pPr>
      <w:r>
        <w:rPr>
          <w:lang w:val="en-US"/>
        </w:rPr>
        <w:tab/>
      </w:r>
      <w:r>
        <w:t>c)</w:t>
      </w:r>
      <w:r>
        <w:tab/>
        <w:t>ввести санкции в отношении любого лица, проводящего церемонию брака между детьми младше 18 лет, будь то по гражданским, традиционным или р</w:t>
      </w:r>
      <w:r>
        <w:t>е</w:t>
      </w:r>
      <w:r>
        <w:t>лигиозным законам;</w:t>
      </w:r>
    </w:p>
    <w:p w:rsidR="008F6118" w:rsidRDefault="008F6118" w:rsidP="008F6118">
      <w:pPr>
        <w:pStyle w:val="SingleTxt"/>
        <w:rPr>
          <w:lang w:val="en-US"/>
        </w:rPr>
      </w:pPr>
      <w:r>
        <w:rPr>
          <w:lang w:val="en-US"/>
        </w:rPr>
        <w:tab/>
      </w:r>
      <w:r>
        <w:t>d)</w:t>
      </w:r>
      <w:r>
        <w:tab/>
        <w:t>поощрять открытое общественное обсуждение на основе широкого участия вариантов толкования мусульманских законов и традиций в целях опровержения оправданий дискриминации в отношении женщин под знаменем р</w:t>
      </w:r>
      <w:r>
        <w:t>е</w:t>
      </w:r>
      <w:r>
        <w:t>лигии.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Сбор и анализ данных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45.</w:t>
      </w:r>
      <w:r>
        <w:tab/>
        <w:t>Комитет рекомендует государству-участнику усовершенствовать сбор, анализ и распространение всеобъемлющих данных с разбивкой по полу, во</w:t>
      </w:r>
      <w:r>
        <w:t>з</w:t>
      </w:r>
      <w:r>
        <w:t>расту, инвалидности, этнической принадлежности, местонахождению и соц</w:t>
      </w:r>
      <w:r>
        <w:t>и</w:t>
      </w:r>
      <w:r>
        <w:t>ально-экономическому положению и использовать измеримые показатели для оценки изменений в положении женщин и прогресса в обеспечении основоп</w:t>
      </w:r>
      <w:r>
        <w:t>о</w:t>
      </w:r>
      <w:r>
        <w:t>лагающего равенства женщин во всех областях, входящих в сферу действия Конвенции.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Пекинская декларация и Платформа действий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46.</w:t>
      </w:r>
      <w:r>
        <w:tab/>
        <w:t>Комитет призывает государство-участника использовать Пекинскую д</w:t>
      </w:r>
      <w:r>
        <w:t>е</w:t>
      </w:r>
      <w:r>
        <w:t>кларацию и Платформу действий в своей деятельности по осуществлению п</w:t>
      </w:r>
      <w:r>
        <w:t>о</w:t>
      </w:r>
      <w:r>
        <w:t>ложений Конвенции.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Повестка дня в области устойчивого развития на период до 2030 г</w:t>
      </w:r>
      <w:r>
        <w:t>о</w:t>
      </w:r>
      <w:r>
        <w:t xml:space="preserve">да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Pr="008F6118" w:rsidRDefault="008F6118" w:rsidP="008F6118">
      <w:pPr>
        <w:pStyle w:val="SingleTxt"/>
      </w:pPr>
      <w:r>
        <w:t>47.</w:t>
      </w:r>
      <w:r>
        <w:tab/>
        <w:t>Комитет призывает к осуществлению реального гендерного равенства в соответствии с положениями Конвенции на протяжении всего процесса ос</w:t>
      </w:r>
      <w:r>
        <w:t>у</w:t>
      </w:r>
      <w:r>
        <w:t>ществления Повестки дня в области устойчивого развития на период до 2030</w:t>
      </w:r>
      <w:r>
        <w:rPr>
          <w:lang w:val="en-US"/>
        </w:rPr>
        <w:t> </w:t>
      </w:r>
      <w:r>
        <w:t>года.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Распространение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48.</w:t>
      </w:r>
      <w:r>
        <w:tab/>
        <w:t>Комитет просит государство-участника своевременно направить насто</w:t>
      </w:r>
      <w:r>
        <w:t>я</w:t>
      </w:r>
      <w:r>
        <w:t>щие заключительные замечания на официальном языке государства-участника в соответствующие государственные учреждения на всех уровнях (национал</w:t>
      </w:r>
      <w:r>
        <w:t>ь</w:t>
      </w:r>
      <w:r>
        <w:t>ном, региональном и местном), в частности в правительство, министерства, парламент и судебные органы, чтобы обеспечить возможность их полного осуществления.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Техническая помощь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49.</w:t>
      </w:r>
      <w:r>
        <w:tab/>
        <w:t>Комитет рекомендует государству-участнику увязать выполнение Конве</w:t>
      </w:r>
      <w:r>
        <w:t>н</w:t>
      </w:r>
      <w:r>
        <w:t>ции с осуществляемыми им мерами в области развития и воспользоваться р</w:t>
      </w:r>
      <w:r>
        <w:t>е</w:t>
      </w:r>
      <w:r>
        <w:t>гиональной и международной технической помощью в этом отношении.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 xml:space="preserve">Последующие действия по заключительным замечаниям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  <w:rPr>
          <w:lang w:val="en-US"/>
        </w:rPr>
      </w:pPr>
      <w:r>
        <w:t>50.</w:t>
      </w:r>
      <w:r>
        <w:tab/>
        <w:t>Комитет просит государство-участника представить в течение двух лет письменную информацию о мерах, принятых по осуществлению рекоменд</w:t>
      </w:r>
      <w:r>
        <w:t>а</w:t>
      </w:r>
      <w:r>
        <w:t>ций, изложенных выше в пунктах 20(a), (c) и (e) и 44(a).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>
        <w:tab/>
      </w:r>
      <w:r>
        <w:tab/>
        <w:t xml:space="preserve">Подготовка следующего доклада </w:t>
      </w:r>
    </w:p>
    <w:p w:rsidR="008F6118" w:rsidRPr="008F6118" w:rsidRDefault="008F6118" w:rsidP="008F6118">
      <w:pPr>
        <w:pStyle w:val="SingleTxt"/>
        <w:spacing w:after="0" w:line="120" w:lineRule="exact"/>
        <w:rPr>
          <w:sz w:val="10"/>
          <w:lang w:val="en-US"/>
        </w:rPr>
      </w:pPr>
    </w:p>
    <w:p w:rsidR="008F6118" w:rsidRDefault="008F6118" w:rsidP="008F6118">
      <w:pPr>
        <w:pStyle w:val="SingleTxt"/>
      </w:pPr>
      <w:r>
        <w:t>51.</w:t>
      </w:r>
      <w:r>
        <w:tab/>
        <w:t>Комитет предлагает государству-участнику представить свой десятый п</w:t>
      </w:r>
      <w:r>
        <w:t>е</w:t>
      </w:r>
      <w:r>
        <w:t>риодический доклад в июле 2020 года.</w:t>
      </w:r>
    </w:p>
    <w:p w:rsidR="008F6118" w:rsidRPr="008F6118" w:rsidRDefault="008F6118" w:rsidP="008F611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8FCD6" wp14:editId="2E98946E">
                <wp:simplePos x="0" y="0"/>
                <wp:positionH relativeFrom="column">
                  <wp:posOffset>2609850</wp:posOffset>
                </wp:positionH>
                <wp:positionV relativeFrom="paragraph">
                  <wp:posOffset>1205865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94.95pt" to="277.5pt,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ikX693wAAAAsBAAAPAAAAAAAAAAAAAAAAADMEAABkcnMvZG93bnJldi54bWxQSwUGAAAAAAQA&#10;BADzAAAAPwUAAAAA&#10;" strokecolor="#010000" strokeweight=".25pt"/>
            </w:pict>
          </mc:Fallback>
        </mc:AlternateContent>
      </w:r>
      <w:r>
        <w:t>52.</w:t>
      </w:r>
      <w:r>
        <w:tab/>
        <w:t>Комитет просит государство-участника следовать согласованным руков</w:t>
      </w:r>
      <w:r>
        <w:t>о</w:t>
      </w:r>
      <w:r>
        <w:t>дящим принципам представления докладов, предусмотренным в междунаро</w:t>
      </w:r>
      <w:r>
        <w:t>д</w:t>
      </w:r>
      <w:r>
        <w:t>ных договорах по правам человека, в том числе руководящим принципам пре</w:t>
      </w:r>
      <w:r>
        <w:t>д</w:t>
      </w:r>
      <w:r>
        <w:t>ставления докладов по основному документу и конкретному договору (HRI/GEN/2/Rev.6, глава I).</w:t>
      </w:r>
    </w:p>
    <w:sectPr w:rsidR="008F6118" w:rsidRPr="008F6118" w:rsidSect="001D2E0E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9-02T17:17:00Z" w:initials="Start">
    <w:p w:rsidR="001D2E0E" w:rsidRPr="008F6118" w:rsidRDefault="001D2E0E">
      <w:pPr>
        <w:pStyle w:val="CommentText"/>
        <w:rPr>
          <w:lang w:val="en-US"/>
        </w:rPr>
      </w:pPr>
      <w:r>
        <w:fldChar w:fldCharType="begin"/>
      </w:r>
      <w:r w:rsidRPr="008F6118">
        <w:rPr>
          <w:rStyle w:val="CommentReference"/>
          <w:lang w:val="en-US"/>
        </w:rPr>
        <w:instrText xml:space="preserve"> </w:instrText>
      </w:r>
      <w:r w:rsidRPr="008F6118">
        <w:rPr>
          <w:lang w:val="en-US"/>
        </w:rPr>
        <w:instrText>PAGE \# "'Page: '#'</w:instrText>
      </w:r>
      <w:r w:rsidRPr="008F6118">
        <w:rPr>
          <w:lang w:val="en-US"/>
        </w:rPr>
        <w:br/>
        <w:instrText>'"</w:instrText>
      </w:r>
      <w:r w:rsidRPr="008F611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F6118">
        <w:rPr>
          <w:lang w:val="en-US"/>
        </w:rPr>
        <w:t>&lt;&lt;ODS JOB NO&gt;&gt;N1623334R&lt;&lt;ODS JOB NO&gt;&gt;</w:t>
      </w:r>
    </w:p>
    <w:p w:rsidR="001D2E0E" w:rsidRPr="008F6118" w:rsidRDefault="001D2E0E">
      <w:pPr>
        <w:pStyle w:val="CommentText"/>
        <w:rPr>
          <w:lang w:val="en-US"/>
        </w:rPr>
      </w:pPr>
      <w:r w:rsidRPr="008F6118">
        <w:rPr>
          <w:lang w:val="en-US"/>
        </w:rPr>
        <w:t>&lt;&lt;ODS DOC SYMBOL1&gt;&gt;CEDAW/C/MLI/CO/6-7&lt;&lt;ODS DOC SYMBOL1&gt;&gt;</w:t>
      </w:r>
    </w:p>
    <w:p w:rsidR="001D2E0E" w:rsidRPr="008F6118" w:rsidRDefault="001D2E0E">
      <w:pPr>
        <w:pStyle w:val="CommentText"/>
        <w:rPr>
          <w:lang w:val="en-US"/>
        </w:rPr>
      </w:pPr>
      <w:r w:rsidRPr="008F611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FE7" w:rsidRDefault="00C34FE7" w:rsidP="008A1A7A">
      <w:pPr>
        <w:spacing w:line="240" w:lineRule="auto"/>
      </w:pPr>
      <w:r>
        <w:separator/>
      </w:r>
    </w:p>
  </w:endnote>
  <w:endnote w:type="continuationSeparator" w:id="0">
    <w:p w:rsidR="00C34FE7" w:rsidRDefault="00C34FE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D2E0E" w:rsidTr="001D2E0E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2E0E" w:rsidRPr="001D2E0E" w:rsidRDefault="001D2E0E" w:rsidP="001D2E0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4586F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84586F">
              <w:rPr>
                <w:noProof/>
              </w:rPr>
              <w:t>17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D2E0E" w:rsidRPr="008F6118" w:rsidRDefault="001D2E0E" w:rsidP="008F6118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16-12868</w:t>
          </w:r>
          <w:r w:rsidR="008F6118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1D2E0E" w:rsidRPr="001D2E0E" w:rsidRDefault="001D2E0E" w:rsidP="001D2E0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D2E0E" w:rsidTr="001D2E0E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2E0E" w:rsidRPr="001D2E0E" w:rsidRDefault="008F6118" w:rsidP="001D2E0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t>16-12868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1D2E0E" w:rsidRPr="001D2E0E" w:rsidRDefault="001D2E0E" w:rsidP="001D2E0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4586F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84586F">
              <w:rPr>
                <w:noProof/>
              </w:rPr>
              <w:t>17</w:t>
            </w:r>
          </w:fldSimple>
        </w:p>
      </w:tc>
    </w:tr>
  </w:tbl>
  <w:p w:rsidR="001D2E0E" w:rsidRPr="001D2E0E" w:rsidRDefault="001D2E0E" w:rsidP="001D2E0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1D2E0E" w:rsidTr="001D2E0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D2E0E" w:rsidRDefault="001D2E0E" w:rsidP="001D2E0E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07EE7A5" wp14:editId="3F89617C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MLI/CO/6-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MLI/CO/6-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16-12868</w:t>
          </w:r>
          <w:r w:rsidR="008F6118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020916    020916</w:t>
          </w:r>
        </w:p>
        <w:p w:rsidR="001D2E0E" w:rsidRPr="001D2E0E" w:rsidRDefault="001D2E0E" w:rsidP="001D2E0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*1612868*</w:t>
          </w:r>
        </w:p>
      </w:tc>
      <w:tc>
        <w:tcPr>
          <w:tcW w:w="5028" w:type="dxa"/>
        </w:tcPr>
        <w:p w:rsidR="001D2E0E" w:rsidRDefault="001D2E0E" w:rsidP="001D2E0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146DA2E6" wp14:editId="4D0F04A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D2E0E" w:rsidRPr="001D2E0E" w:rsidRDefault="001D2E0E" w:rsidP="001D2E0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FE7" w:rsidRDefault="00C34FE7" w:rsidP="008A1A7A">
      <w:pPr>
        <w:spacing w:line="240" w:lineRule="auto"/>
      </w:pPr>
      <w:r>
        <w:separator/>
      </w:r>
    </w:p>
  </w:footnote>
  <w:footnote w:type="continuationSeparator" w:id="0">
    <w:p w:rsidR="00C34FE7" w:rsidRDefault="00C34FE7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D2E0E" w:rsidTr="001D2E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2E0E" w:rsidRPr="001D2E0E" w:rsidRDefault="001D2E0E" w:rsidP="001D2E0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4586F">
            <w:rPr>
              <w:b/>
            </w:rPr>
            <w:t>CEDAW/C/MLI/CO/6-7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D2E0E" w:rsidRDefault="001D2E0E" w:rsidP="001D2E0E">
          <w:pPr>
            <w:pStyle w:val="Header"/>
          </w:pPr>
        </w:p>
      </w:tc>
    </w:tr>
  </w:tbl>
  <w:p w:rsidR="001D2E0E" w:rsidRPr="001D2E0E" w:rsidRDefault="001D2E0E" w:rsidP="001D2E0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D2E0E" w:rsidTr="001D2E0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2E0E" w:rsidRDefault="001D2E0E" w:rsidP="001D2E0E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1D2E0E" w:rsidRPr="001D2E0E" w:rsidRDefault="001D2E0E" w:rsidP="001D2E0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4586F">
            <w:rPr>
              <w:b/>
            </w:rPr>
            <w:t>CEDAW/C/MLI/CO/6-7</w:t>
          </w:r>
          <w:r>
            <w:rPr>
              <w:b/>
            </w:rPr>
            <w:fldChar w:fldCharType="end"/>
          </w:r>
        </w:p>
      </w:tc>
    </w:tr>
  </w:tbl>
  <w:p w:rsidR="001D2E0E" w:rsidRPr="001D2E0E" w:rsidRDefault="001D2E0E" w:rsidP="001D2E0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D2E0E" w:rsidTr="001D2E0E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D2E0E" w:rsidRPr="001D2E0E" w:rsidRDefault="001D2E0E" w:rsidP="001D2E0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D2E0E" w:rsidRDefault="001D2E0E" w:rsidP="001D2E0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D2E0E" w:rsidRPr="001D2E0E" w:rsidRDefault="001D2E0E" w:rsidP="001D2E0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/C/MLI/CO/6-7</w:t>
          </w:r>
        </w:p>
      </w:tc>
    </w:tr>
    <w:tr w:rsidR="001D2E0E" w:rsidRPr="008F6118" w:rsidTr="001D2E0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2E0E" w:rsidRPr="001D2E0E" w:rsidRDefault="001D2E0E" w:rsidP="001D2E0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56E1A1D" wp14:editId="5BECA4E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2E0E" w:rsidRPr="001D2E0E" w:rsidRDefault="001D2E0E" w:rsidP="001D2E0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2E0E" w:rsidRPr="001D2E0E" w:rsidRDefault="001D2E0E" w:rsidP="001D2E0E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2E0E" w:rsidRPr="008F6118" w:rsidRDefault="001D2E0E" w:rsidP="001D2E0E">
          <w:pPr>
            <w:pStyle w:val="Distribution"/>
            <w:rPr>
              <w:color w:val="000000"/>
              <w:lang w:val="en-US"/>
            </w:rPr>
          </w:pPr>
          <w:r w:rsidRPr="008F6118">
            <w:rPr>
              <w:color w:val="000000"/>
              <w:lang w:val="en-US"/>
            </w:rPr>
            <w:t>Distr.: General</w:t>
          </w:r>
        </w:p>
        <w:p w:rsidR="001D2E0E" w:rsidRPr="008F6118" w:rsidRDefault="001D2E0E" w:rsidP="001D2E0E">
          <w:pPr>
            <w:pStyle w:val="Publication"/>
            <w:spacing w:before="120"/>
            <w:rPr>
              <w:color w:val="000000"/>
              <w:lang w:val="en-US"/>
            </w:rPr>
          </w:pPr>
          <w:r w:rsidRPr="008F6118">
            <w:rPr>
              <w:color w:val="000000"/>
              <w:lang w:val="en-US"/>
            </w:rPr>
            <w:t>25 July 2016</w:t>
          </w:r>
        </w:p>
        <w:p w:rsidR="001D2E0E" w:rsidRPr="008F6118" w:rsidRDefault="001D2E0E" w:rsidP="001D2E0E">
          <w:pPr>
            <w:rPr>
              <w:color w:val="000000"/>
              <w:lang w:val="en-US"/>
            </w:rPr>
          </w:pPr>
          <w:r w:rsidRPr="008F6118">
            <w:rPr>
              <w:color w:val="000000"/>
              <w:lang w:val="en-US"/>
            </w:rPr>
            <w:t>Russian</w:t>
          </w:r>
        </w:p>
        <w:p w:rsidR="001D2E0E" w:rsidRPr="008F6118" w:rsidRDefault="001D2E0E" w:rsidP="001D2E0E">
          <w:pPr>
            <w:pStyle w:val="Original"/>
            <w:rPr>
              <w:color w:val="000000"/>
              <w:lang w:val="en-US"/>
            </w:rPr>
          </w:pPr>
          <w:r w:rsidRPr="008F6118">
            <w:rPr>
              <w:color w:val="000000"/>
              <w:lang w:val="en-US"/>
            </w:rPr>
            <w:t>Original: English</w:t>
          </w:r>
        </w:p>
        <w:p w:rsidR="001D2E0E" w:rsidRPr="008F6118" w:rsidRDefault="001D2E0E" w:rsidP="001D2E0E">
          <w:pPr>
            <w:rPr>
              <w:lang w:val="en-US"/>
            </w:rPr>
          </w:pPr>
        </w:p>
      </w:tc>
    </w:tr>
  </w:tbl>
  <w:p w:rsidR="001D2E0E" w:rsidRPr="008F6118" w:rsidRDefault="001D2E0E" w:rsidP="001D2E0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12868*"/>
    <w:docVar w:name="CreationDt" w:val="02/09/2016 5:17: PM"/>
    <w:docVar w:name="DocCategory" w:val="Doc"/>
    <w:docVar w:name="DocType" w:val="Final"/>
    <w:docVar w:name="DutyStation" w:val="New York"/>
    <w:docVar w:name="FooterJN" w:val="16-12868"/>
    <w:docVar w:name="jobn" w:val="16-12868 (R)"/>
    <w:docVar w:name="jobnDT" w:val="16-12868 (R)   020916"/>
    <w:docVar w:name="jobnDTDT" w:val="16-12868 (R)   020916   020916"/>
    <w:docVar w:name="JobNo" w:val="1612868R"/>
    <w:docVar w:name="JobNo2" w:val="1623334R"/>
    <w:docVar w:name="LocalDrive" w:val="0"/>
    <w:docVar w:name="OandT" w:val=" "/>
    <w:docVar w:name="PaperSize" w:val="Letter"/>
    <w:docVar w:name="sss1" w:val="CEDAW/C/MLI/CO/6-7"/>
    <w:docVar w:name="sss2" w:val="-"/>
    <w:docVar w:name="Symbol1" w:val="CEDAW/C/MLI/CO/6-7"/>
    <w:docVar w:name="Symbol2" w:val="-"/>
  </w:docVars>
  <w:rsids>
    <w:rsidRoot w:val="00C34FE7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3C1F"/>
    <w:rsid w:val="0004020D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A58E3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6984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1775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2E0E"/>
    <w:rsid w:val="001D502D"/>
    <w:rsid w:val="001D60ED"/>
    <w:rsid w:val="001E21CE"/>
    <w:rsid w:val="001E25A2"/>
    <w:rsid w:val="001E45CB"/>
    <w:rsid w:val="001E61AD"/>
    <w:rsid w:val="001E639C"/>
    <w:rsid w:val="001F1B08"/>
    <w:rsid w:val="001F4353"/>
    <w:rsid w:val="001F639D"/>
    <w:rsid w:val="00205CBD"/>
    <w:rsid w:val="00206603"/>
    <w:rsid w:val="002078A2"/>
    <w:rsid w:val="002102DE"/>
    <w:rsid w:val="00211A7E"/>
    <w:rsid w:val="00215955"/>
    <w:rsid w:val="00217A24"/>
    <w:rsid w:val="00223C57"/>
    <w:rsid w:val="00227D15"/>
    <w:rsid w:val="002329FD"/>
    <w:rsid w:val="00242477"/>
    <w:rsid w:val="00244051"/>
    <w:rsid w:val="002469E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CDF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5D39"/>
    <w:rsid w:val="004D6276"/>
    <w:rsid w:val="004D656E"/>
    <w:rsid w:val="004D7B0A"/>
    <w:rsid w:val="004E1A1F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37F"/>
    <w:rsid w:val="005A7964"/>
    <w:rsid w:val="005B01FC"/>
    <w:rsid w:val="005B064E"/>
    <w:rsid w:val="005B0686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3CBD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D60E4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26F7D"/>
    <w:rsid w:val="00730859"/>
    <w:rsid w:val="00731830"/>
    <w:rsid w:val="00736A19"/>
    <w:rsid w:val="00743C8D"/>
    <w:rsid w:val="00745258"/>
    <w:rsid w:val="00763C4A"/>
    <w:rsid w:val="00767AED"/>
    <w:rsid w:val="007732BE"/>
    <w:rsid w:val="0077374B"/>
    <w:rsid w:val="007746A3"/>
    <w:rsid w:val="0077623B"/>
    <w:rsid w:val="007766E6"/>
    <w:rsid w:val="00781ACA"/>
    <w:rsid w:val="00785F8F"/>
    <w:rsid w:val="00787B44"/>
    <w:rsid w:val="00790CD9"/>
    <w:rsid w:val="00791F20"/>
    <w:rsid w:val="00795A5A"/>
    <w:rsid w:val="00795F48"/>
    <w:rsid w:val="00796EC3"/>
    <w:rsid w:val="007A0441"/>
    <w:rsid w:val="007A072C"/>
    <w:rsid w:val="007A7058"/>
    <w:rsid w:val="007B098D"/>
    <w:rsid w:val="007B1DE5"/>
    <w:rsid w:val="007B5785"/>
    <w:rsid w:val="007B5CF3"/>
    <w:rsid w:val="007B67AE"/>
    <w:rsid w:val="007B6EBF"/>
    <w:rsid w:val="007B7682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4586F"/>
    <w:rsid w:val="00853B24"/>
    <w:rsid w:val="00853E2A"/>
    <w:rsid w:val="008541E9"/>
    <w:rsid w:val="00856EEB"/>
    <w:rsid w:val="00873020"/>
    <w:rsid w:val="008739EB"/>
    <w:rsid w:val="00874DB2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37BE"/>
    <w:rsid w:val="008E7A0A"/>
    <w:rsid w:val="008F12FD"/>
    <w:rsid w:val="008F13EA"/>
    <w:rsid w:val="008F24E6"/>
    <w:rsid w:val="008F6118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A17"/>
    <w:rsid w:val="00984EE4"/>
    <w:rsid w:val="00990168"/>
    <w:rsid w:val="0099354F"/>
    <w:rsid w:val="00996CBB"/>
    <w:rsid w:val="009A074F"/>
    <w:rsid w:val="009A3DB2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589E"/>
    <w:rsid w:val="009C6A25"/>
    <w:rsid w:val="009D28B9"/>
    <w:rsid w:val="009D6E3D"/>
    <w:rsid w:val="009E16A2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5DE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849DE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4557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E1C7B"/>
    <w:rsid w:val="00BE2488"/>
    <w:rsid w:val="00BE2994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99D"/>
    <w:rsid w:val="00C16B93"/>
    <w:rsid w:val="00C2210E"/>
    <w:rsid w:val="00C2524E"/>
    <w:rsid w:val="00C32802"/>
    <w:rsid w:val="00C34FE7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2F27"/>
    <w:rsid w:val="00CD3C62"/>
    <w:rsid w:val="00CD7D86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57802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504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4428"/>
    <w:rsid w:val="00E261F5"/>
    <w:rsid w:val="00E34A5B"/>
    <w:rsid w:val="00E3623B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1E90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3C29"/>
    <w:rsid w:val="00F74A39"/>
    <w:rsid w:val="00F8138E"/>
    <w:rsid w:val="00F85203"/>
    <w:rsid w:val="00F85EC0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C8A"/>
    <w:rsid w:val="00FA6D66"/>
    <w:rsid w:val="00FA7C7A"/>
    <w:rsid w:val="00FC1C00"/>
    <w:rsid w:val="00FD213B"/>
    <w:rsid w:val="00FD29BF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1D2E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2E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2E0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E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E0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84586F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4586F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1D2E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2E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2E0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E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E0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84586F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4586F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CEDAW/C/MLI/Q/6" TargetMode="External"/><Relationship Id="rId26" Type="http://schemas.openxmlformats.org/officeDocument/2006/relationships/hyperlink" Target="http://undocs.org/ru/CEDAW/C/MLI/CO/5" TargetMode="External"/><Relationship Id="rId39" Type="http://schemas.openxmlformats.org/officeDocument/2006/relationships/hyperlink" Target="http://undocs.org/ru/CEDAW/C/MLI/CO/5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S/RES/1325(2000)" TargetMode="External"/><Relationship Id="rId34" Type="http://schemas.openxmlformats.org/officeDocument/2006/relationships/hyperlink" Target="http://undocs.org/ru/CEDAW/C/MLI/CO/5" TargetMode="External"/><Relationship Id="rId42" Type="http://schemas.openxmlformats.org/officeDocument/2006/relationships/hyperlink" Target="http://undocs.org/ru/CEDAW/C/MLI/CO/5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SR.1419" TargetMode="External"/><Relationship Id="rId25" Type="http://schemas.openxmlformats.org/officeDocument/2006/relationships/hyperlink" Target="http://undocs.org/ru/CEDAW/C/MLI/CO/5" TargetMode="External"/><Relationship Id="rId33" Type="http://schemas.openxmlformats.org/officeDocument/2006/relationships/hyperlink" Target="http://undocs.org/ru/S/RES/2295(2016)" TargetMode="External"/><Relationship Id="rId38" Type="http://schemas.openxmlformats.org/officeDocument/2006/relationships/hyperlink" Target="http://undocs.org/ru/CEDAW/C/MLI/CO/5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MLI/6" TargetMode="External"/><Relationship Id="rId20" Type="http://schemas.openxmlformats.org/officeDocument/2006/relationships/hyperlink" Target="http://undocs.org/ru/CEDAW/C/MLI/2" TargetMode="External"/><Relationship Id="rId29" Type="http://schemas.openxmlformats.org/officeDocument/2006/relationships/hyperlink" Target="http://undocs.org/ru/CEDAW/C/" TargetMode="External"/><Relationship Id="rId41" Type="http://schemas.openxmlformats.org/officeDocument/2006/relationships/hyperlink" Target="http://undocs.org/ru/CEDAW/C/MLI/CO/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ru/CEDAW/C/MLI/CO/5" TargetMode="External"/><Relationship Id="rId32" Type="http://schemas.openxmlformats.org/officeDocument/2006/relationships/hyperlink" Target="http://undocs.org/ru/CEDAW/" TargetMode="External"/><Relationship Id="rId37" Type="http://schemas.openxmlformats.org/officeDocument/2006/relationships/hyperlink" Target="http://undocs.org/ru/CEDAW/C/MLI/CO/5" TargetMode="External"/><Relationship Id="rId40" Type="http://schemas.openxmlformats.org/officeDocument/2006/relationships/hyperlink" Target="http://undocs.org/ru/CEDAW/C/MLI/CO/5" TargetMode="External"/><Relationship Id="rId45" Type="http://schemas.openxmlformats.org/officeDocument/2006/relationships/hyperlink" Target="http://undocs.org/ru/CEDAW/C/MLI/CO/5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S/RES/2295(2016)" TargetMode="External"/><Relationship Id="rId28" Type="http://schemas.openxmlformats.org/officeDocument/2006/relationships/hyperlink" Target="http://undocs.org/ru/CEDAW/C/MLI/CO/5" TargetMode="External"/><Relationship Id="rId36" Type="http://schemas.openxmlformats.org/officeDocument/2006/relationships/hyperlink" Target="http://undocs.org/ru/CEDAW/C/MLI/CO/5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ru/CEDAW/C/MLI/Q/6-7/Add.1" TargetMode="External"/><Relationship Id="rId31" Type="http://schemas.openxmlformats.org/officeDocument/2006/relationships/hyperlink" Target="http://undocs.org/ru/CEDAW/" TargetMode="External"/><Relationship Id="rId44" Type="http://schemas.openxmlformats.org/officeDocument/2006/relationships/hyperlink" Target="http://undocs.org/ru/CEDAW/C/MLI/CO/5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S/RES/1325(2000)" TargetMode="External"/><Relationship Id="rId27" Type="http://schemas.openxmlformats.org/officeDocument/2006/relationships/hyperlink" Target="http://undocs.org/ru/CEDAW/C/MLI/CO/5" TargetMode="External"/><Relationship Id="rId30" Type="http://schemas.openxmlformats.org/officeDocument/2006/relationships/hyperlink" Target="http://undocs.org/ru/CEDAW/C/MLI/CO/5" TargetMode="External"/><Relationship Id="rId35" Type="http://schemas.openxmlformats.org/officeDocument/2006/relationships/hyperlink" Target="http://undocs.org/ru/CEDAW/C/MLI/CO/5" TargetMode="External"/><Relationship Id="rId43" Type="http://schemas.openxmlformats.org/officeDocument/2006/relationships/hyperlink" Target="http://undocs.org/ru/A/HRC/21/2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2ED96-9FF0-428A-8A92-677590742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5713</Words>
  <Characters>40513</Characters>
  <Application>Microsoft Office Word</Application>
  <DocSecurity>0</DocSecurity>
  <Lines>826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32</vt:i4>
      </vt:variant>
    </vt:vector>
  </HeadingPairs>
  <TitlesOfParts>
    <vt:vector size="33" baseType="lpstr">
      <vt:lpstr>Revised 20150602</vt:lpstr>
      <vt:lpstr>Комитет по ликвидации дискриминации</vt:lpstr>
      <vt:lpstr>в отношении женщин</vt:lpstr>
      <vt:lpstr>Заключительные замечания по объединенным  шестому и седьмому периодическим док</vt:lpstr>
      <vt:lpstr>A.	Введение</vt:lpstr>
      <vt:lpstr>B.	Позитивные аспекты</vt:lpstr>
      <vt:lpstr>C.	Факторы и трудности, препятствующие эффективному осуществлению Конвенции </vt:lpstr>
      <vt:lpstr>D.	Главные проблемные области и рекомендации</vt:lpstr>
      <vt:lpstr>    Национальная ассамблея</vt:lpstr>
      <vt:lpstr>    Женщины и  мир и безопасность</vt:lpstr>
      <vt:lpstr>    Определение равенства и недискриминации</vt:lpstr>
      <vt:lpstr>    Доступ к правосудию</vt:lpstr>
      <vt:lpstr>    Национальные механизмы по улучшению положения женщин</vt:lpstr>
      <vt:lpstr>    Временные специальные меры</vt:lpstr>
      <vt:lpstr>    Гендерное насилие и вредные традиции </vt:lpstr>
      <vt:lpstr>    Калечение женских гениталий</vt:lpstr>
      <vt:lpstr>    Гендерное насилие в отношении женщин в затронутых конфликтом областях</vt:lpstr>
      <vt:lpstr>    Торговля людьми и эксплуатация проституции </vt:lpstr>
      <vt:lpstr>    Участие в политической и общественной жизни</vt:lpstr>
      <vt:lpstr>    Образование</vt:lpstr>
      <vt:lpstr>    Занятость</vt:lpstr>
      <vt:lpstr>    Здравоохранение</vt:lpstr>
      <vt:lpstr>    Экономические и социальные преимущества</vt:lpstr>
      <vt:lpstr>    Сельские женщины</vt:lpstr>
      <vt:lpstr>    Социально незащищенные группы женщин</vt:lpstr>
      <vt:lpstr>    Брак и отношения в семье </vt:lpstr>
      <vt:lpstr>    Сбор и анализ данных </vt:lpstr>
      <vt:lpstr>    Пекинская декларация и Платформа действий </vt:lpstr>
      <vt:lpstr>    Повестка дня в области устойчивого развития на период до 2030 года </vt:lpstr>
      <vt:lpstr>    Распространение</vt:lpstr>
      <vt:lpstr>    Техническая помощь </vt:lpstr>
      <vt:lpstr>    Последующие действия по заключительным замечаниям </vt:lpstr>
      <vt:lpstr>    Подготовка следующего доклада </vt:lpstr>
    </vt:vector>
  </TitlesOfParts>
  <Company>United Nations</Company>
  <LinksUpToDate>false</LinksUpToDate>
  <CharactersWithSpaces>46055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Irina.Sergueenko</dc:creator>
  <cp:lastModifiedBy>Irina.Sergueenko</cp:lastModifiedBy>
  <cp:revision>3</cp:revision>
  <cp:lastPrinted>2016-09-02T21:27:00Z</cp:lastPrinted>
  <dcterms:created xsi:type="dcterms:W3CDTF">2016-09-02T21:25:00Z</dcterms:created>
  <dcterms:modified xsi:type="dcterms:W3CDTF">2016-09-02T21:27:00Z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1612868R</vt:lpwstr>
  </property>
  <property fmtid="{D5CDD505-2E9C-101B-9397-08002B2CF9AE}" pid="3" name="ODSRefJobNo">
    <vt:lpwstr>1623334R</vt:lpwstr>
  </property>
  <property fmtid="{D5CDD505-2E9C-101B-9397-08002B2CF9AE}" pid="4" name="Symbol1">
    <vt:lpwstr>CEDAW/C/MLI/CO/6-7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July 2016</vt:lpwstr>
  </property>
  <property fmtid="{D5CDD505-2E9C-101B-9397-08002B2CF9AE}" pid="9" name="Original">
    <vt:lpwstr>English</vt:lpwstr>
  </property>
  <property fmtid="{D5CDD505-2E9C-101B-9397-08002B2CF9AE}" pid="10" name="Release Date">
    <vt:lpwstr>020916</vt:lpwstr>
  </property>
  <property fmtid="{D5CDD505-2E9C-101B-9397-08002B2CF9AE}" pid="11" name="Comment">
    <vt:lpwstr/>
  </property>
  <property fmtid="{D5CDD505-2E9C-101B-9397-08002B2CF9AE}" pid="12" name="DraftPages">
    <vt:lpwstr> 17</vt:lpwstr>
  </property>
  <property fmtid="{D5CDD505-2E9C-101B-9397-08002B2CF9AE}" pid="13" name="Operator">
    <vt:lpwstr>Sergueenko</vt:lpwstr>
  </property>
</Properties>
</file>